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755FCB">
      <w:pPr>
        <w:spacing w:beforeLines="0" w:afterLines="0"/>
        <w:ind w:firstLine="420"/>
        <w:jc w:val="left"/>
        <w:rPr>
          <w:rFonts w:cs="宋体"/>
          <w:color w:val="auto"/>
          <w:szCs w:val="24"/>
          <w:highlight w:val="none"/>
        </w:rPr>
      </w:pPr>
    </w:p>
    <w:p w14:paraId="528B64D8">
      <w:pPr>
        <w:spacing w:beforeLines="0" w:afterLines="0"/>
        <w:ind w:firstLine="420"/>
        <w:jc w:val="left"/>
        <w:rPr>
          <w:rFonts w:cs="宋体"/>
          <w:color w:val="auto"/>
          <w:highlight w:val="none"/>
        </w:rPr>
      </w:pPr>
    </w:p>
    <w:p w14:paraId="52307AC1">
      <w:pPr>
        <w:spacing w:beforeLines="0" w:afterLines="0"/>
        <w:ind w:firstLine="420"/>
        <w:jc w:val="left"/>
        <w:rPr>
          <w:rFonts w:cs="宋体"/>
          <w:color w:val="auto"/>
          <w:szCs w:val="24"/>
          <w:highlight w:val="none"/>
        </w:rPr>
      </w:pPr>
    </w:p>
    <w:p w14:paraId="37F06E98">
      <w:pPr>
        <w:pStyle w:val="36"/>
        <w:tabs>
          <w:tab w:val="left" w:pos="3839"/>
        </w:tabs>
        <w:kinsoku/>
        <w:adjustRightInd/>
        <w:snapToGrid/>
        <w:spacing w:beforeLines="0" w:afterLines="0" w:line="240" w:lineRule="auto"/>
        <w:ind w:firstLine="0" w:firstLineChars="0"/>
        <w:jc w:val="center"/>
        <w:textAlignment w:val="auto"/>
        <w:rPr>
          <w:rFonts w:hint="eastAsia" w:ascii="华文中宋" w:hAnsi="华文中宋" w:eastAsia="华文中宋" w:cs="华文中宋"/>
          <w:b/>
          <w:bCs/>
          <w:snapToGrid/>
          <w:color w:val="auto"/>
          <w:spacing w:val="-20"/>
          <w:sz w:val="56"/>
          <w:szCs w:val="64"/>
          <w:highlight w:val="none"/>
          <w:lang w:eastAsia="zh-CN"/>
        </w:rPr>
      </w:pPr>
      <w:r>
        <w:rPr>
          <w:rFonts w:hint="eastAsia" w:ascii="华文中宋" w:hAnsi="华文中宋" w:eastAsia="华文中宋" w:cs="华文中宋"/>
          <w:b/>
          <w:bCs/>
          <w:i w:val="0"/>
          <w:iCs/>
          <w:snapToGrid/>
          <w:color w:val="auto"/>
          <w:spacing w:val="-20"/>
          <w:sz w:val="56"/>
          <w:szCs w:val="64"/>
          <w:highlight w:val="none"/>
          <w:u w:val="none"/>
          <w:lang w:eastAsia="zh-CN"/>
        </w:rPr>
        <w:t>浙江镜岭水库工程输水工程土建10标</w:t>
      </w:r>
    </w:p>
    <w:p w14:paraId="2A3633D7">
      <w:pPr>
        <w:kinsoku/>
        <w:adjustRightInd/>
        <w:snapToGrid/>
        <w:spacing w:beforeLines="0" w:afterLines="0" w:line="0" w:lineRule="atLeast"/>
        <w:ind w:firstLine="0" w:firstLineChars="0"/>
        <w:jc w:val="center"/>
        <w:textAlignment w:val="auto"/>
        <w:rPr>
          <w:rFonts w:hint="eastAsia" w:ascii="华文中宋" w:hAnsi="华文中宋" w:eastAsia="华文中宋" w:cs="华文中宋"/>
          <w:b/>
          <w:bCs/>
          <w:snapToGrid/>
          <w:color w:val="auto"/>
          <w:kern w:val="2"/>
          <w:sz w:val="72"/>
          <w:szCs w:val="72"/>
          <w:highlight w:val="none"/>
          <w:lang w:eastAsia="zh-CN"/>
        </w:rPr>
      </w:pPr>
      <w:r>
        <w:rPr>
          <w:rFonts w:hint="eastAsia" w:ascii="华文中宋" w:hAnsi="华文中宋" w:eastAsia="华文中宋" w:cs="华文中宋"/>
          <w:b/>
          <w:bCs/>
          <w:snapToGrid/>
          <w:color w:val="auto"/>
          <w:kern w:val="2"/>
          <w:sz w:val="72"/>
          <w:szCs w:val="72"/>
          <w:highlight w:val="none"/>
          <w:lang w:eastAsia="zh-CN"/>
        </w:rPr>
        <w:t>招  标  文  件</w:t>
      </w:r>
    </w:p>
    <w:p w14:paraId="1AD93FBD">
      <w:pPr>
        <w:kinsoku/>
        <w:snapToGrid/>
        <w:spacing w:beforeLines="0" w:afterLines="0" w:line="240" w:lineRule="auto"/>
        <w:ind w:firstLine="0" w:firstLineChars="0"/>
        <w:jc w:val="center"/>
        <w:textAlignment w:val="auto"/>
        <w:rPr>
          <w:rFonts w:ascii="Calibri" w:hAnsi="Calibri" w:cs="Times New Roman"/>
          <w:b/>
          <w:snapToGrid/>
          <w:color w:val="auto"/>
          <w:sz w:val="44"/>
          <w:szCs w:val="44"/>
          <w:highlight w:val="none"/>
          <w:lang w:eastAsia="zh-CN"/>
        </w:rPr>
      </w:pPr>
      <w:bookmarkStart w:id="0" w:name="_Toc29812"/>
      <w:bookmarkStart w:id="1" w:name="_Toc4615"/>
    </w:p>
    <w:bookmarkEnd w:id="0"/>
    <w:bookmarkEnd w:id="1"/>
    <w:p w14:paraId="20AEDEF7">
      <w:pPr>
        <w:tabs>
          <w:tab w:val="left" w:pos="5834"/>
        </w:tabs>
        <w:adjustRightInd/>
        <w:spacing w:beforeLines="0" w:after="0" w:afterLines="0"/>
        <w:ind w:firstLine="0" w:firstLineChars="0"/>
        <w:jc w:val="center"/>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pacing w:val="0"/>
          <w:sz w:val="28"/>
          <w:szCs w:val="28"/>
          <w:highlight w:val="none"/>
          <w:lang w:eastAsia="zh-CN"/>
        </w:rPr>
        <w:t>（招标编号：</w:t>
      </w:r>
      <w:r>
        <w:rPr>
          <w:rFonts w:hint="eastAsia" w:asciiTheme="minorEastAsia" w:hAnsiTheme="minorEastAsia" w:eastAsiaTheme="minorEastAsia" w:cstheme="minorEastAsia"/>
          <w:color w:val="auto"/>
          <w:spacing w:val="0"/>
          <w:sz w:val="28"/>
          <w:szCs w:val="28"/>
          <w:highlight w:val="none"/>
          <w:u w:val="single"/>
          <w:lang w:val="en-US" w:eastAsia="zh-CN"/>
        </w:rPr>
        <w:t xml:space="preserve"> A3306010720008083001 </w:t>
      </w:r>
      <w:r>
        <w:rPr>
          <w:rFonts w:hint="eastAsia" w:asciiTheme="minorEastAsia" w:hAnsiTheme="minorEastAsia" w:eastAsiaTheme="minorEastAsia" w:cstheme="minorEastAsia"/>
          <w:color w:val="auto"/>
          <w:spacing w:val="0"/>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eastAsia="zh-CN"/>
        </w:rPr>
        <w:t>）</w:t>
      </w:r>
    </w:p>
    <w:p w14:paraId="63FB4D86">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3479F447">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706B7AA7">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45B48417">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4D0CA2AA">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7D1F86F0">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55BD1206">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17399FE0">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70D11158">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21C80845">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4733FEC5">
      <w:pPr>
        <w:kinsoku/>
        <w:snapToGrid/>
        <w:spacing w:beforeLines="0" w:afterLines="0" w:line="240" w:lineRule="auto"/>
        <w:ind w:firstLine="0" w:firstLineChars="0"/>
        <w:jc w:val="left"/>
        <w:textAlignment w:val="auto"/>
        <w:rPr>
          <w:rFonts w:ascii="Calibri" w:hAnsi="Calibri" w:cs="Times New Roman"/>
          <w:b/>
          <w:snapToGrid/>
          <w:color w:val="auto"/>
          <w:sz w:val="44"/>
          <w:szCs w:val="44"/>
          <w:highlight w:val="none"/>
          <w:lang w:eastAsia="zh-CN"/>
        </w:rPr>
      </w:pPr>
    </w:p>
    <w:p w14:paraId="110BDBAF">
      <w:pPr>
        <w:tabs>
          <w:tab w:val="left" w:pos="2593"/>
        </w:tabs>
        <w:adjustRightInd/>
        <w:spacing w:beforeLines="0" w:after="0" w:afterLines="0"/>
        <w:ind w:firstLine="0" w:firstLineChars="0"/>
        <w:jc w:val="left"/>
        <w:rPr>
          <w:rFonts w:hint="eastAsia" w:ascii="华文中宋" w:hAnsi="华文中宋" w:eastAsia="华文中宋" w:cs="华文中宋"/>
          <w:color w:val="auto"/>
          <w:sz w:val="32"/>
          <w:szCs w:val="32"/>
          <w:highlight w:val="none"/>
          <w:lang w:eastAsia="zh-CN"/>
        </w:rPr>
      </w:pPr>
      <w:r>
        <w:rPr>
          <w:rFonts w:hint="eastAsia" w:ascii="华文中宋" w:hAnsi="华文中宋" w:eastAsia="华文中宋" w:cs="华文中宋"/>
          <w:color w:val="auto"/>
          <w:spacing w:val="240"/>
          <w:kern w:val="0"/>
          <w:sz w:val="32"/>
          <w:szCs w:val="32"/>
          <w:highlight w:val="none"/>
          <w:fitText w:val="1920" w:id="-940920063"/>
          <w:lang w:eastAsia="zh-CN"/>
        </w:rPr>
        <w:t>招标</w:t>
      </w:r>
      <w:r>
        <w:rPr>
          <w:rFonts w:hint="eastAsia" w:ascii="华文中宋" w:hAnsi="华文中宋" w:eastAsia="华文中宋" w:cs="华文中宋"/>
          <w:color w:val="auto"/>
          <w:spacing w:val="0"/>
          <w:kern w:val="0"/>
          <w:sz w:val="32"/>
          <w:szCs w:val="32"/>
          <w:highlight w:val="none"/>
          <w:fitText w:val="1920" w:id="-940920063"/>
          <w:lang w:eastAsia="zh-CN"/>
        </w:rPr>
        <w:t>人</w:t>
      </w:r>
      <w:r>
        <w:rPr>
          <w:rFonts w:hint="eastAsia" w:ascii="华文中宋" w:hAnsi="华文中宋" w:eastAsia="华文中宋" w:cs="华文中宋"/>
          <w:color w:val="auto"/>
          <w:sz w:val="32"/>
          <w:szCs w:val="32"/>
          <w:highlight w:val="none"/>
          <w:lang w:eastAsia="zh-CN"/>
        </w:rPr>
        <w:t>：</w:t>
      </w:r>
      <w:r>
        <w:rPr>
          <w:rFonts w:hint="eastAsia" w:ascii="华文中宋" w:hAnsi="华文中宋" w:eastAsia="华文中宋" w:cs="华文中宋"/>
          <w:color w:val="auto"/>
          <w:sz w:val="32"/>
          <w:szCs w:val="32"/>
          <w:highlight w:val="none"/>
          <w:u w:val="single"/>
          <w:lang w:eastAsia="zh-CN"/>
        </w:rPr>
        <w:t xml:space="preserve"> 浙江镜岭水库有限公司 </w:t>
      </w:r>
      <w:r>
        <w:rPr>
          <w:rFonts w:hint="eastAsia" w:ascii="华文中宋" w:hAnsi="华文中宋" w:eastAsia="华文中宋" w:cs="华文中宋"/>
          <w:color w:val="auto"/>
          <w:sz w:val="32"/>
          <w:szCs w:val="32"/>
          <w:highlight w:val="none"/>
          <w:lang w:eastAsia="zh-CN"/>
        </w:rPr>
        <w:t>（单位盖章）</w:t>
      </w:r>
    </w:p>
    <w:p w14:paraId="23C381C8">
      <w:pPr>
        <w:tabs>
          <w:tab w:val="left" w:pos="2593"/>
        </w:tabs>
        <w:adjustRightInd/>
        <w:spacing w:beforeLines="0" w:after="0" w:afterLines="0"/>
        <w:ind w:firstLine="0" w:firstLineChars="0"/>
        <w:jc w:val="left"/>
        <w:rPr>
          <w:rFonts w:hint="eastAsia" w:ascii="华文中宋" w:hAnsi="华文中宋" w:eastAsia="华文中宋" w:cs="华文中宋"/>
          <w:color w:val="auto"/>
          <w:sz w:val="32"/>
          <w:szCs w:val="32"/>
          <w:highlight w:val="none"/>
          <w:lang w:eastAsia="zh-CN"/>
        </w:rPr>
      </w:pPr>
      <w:r>
        <w:rPr>
          <w:rFonts w:hint="eastAsia" w:ascii="华文中宋" w:hAnsi="华文中宋" w:eastAsia="华文中宋" w:cs="华文中宋"/>
          <w:color w:val="auto"/>
          <w:spacing w:val="0"/>
          <w:kern w:val="0"/>
          <w:sz w:val="32"/>
          <w:szCs w:val="32"/>
          <w:highlight w:val="none"/>
          <w:fitText w:val="1920" w:id="-940920064"/>
          <w:lang w:eastAsia="zh-CN"/>
        </w:rPr>
        <w:t>招标代理机构</w:t>
      </w:r>
      <w:r>
        <w:rPr>
          <w:rFonts w:hint="eastAsia" w:ascii="华文中宋" w:hAnsi="华文中宋" w:eastAsia="华文中宋" w:cs="华文中宋"/>
          <w:color w:val="auto"/>
          <w:sz w:val="32"/>
          <w:szCs w:val="32"/>
          <w:highlight w:val="none"/>
          <w:lang w:eastAsia="zh-CN"/>
        </w:rPr>
        <w:t>：</w:t>
      </w:r>
      <w:r>
        <w:rPr>
          <w:rFonts w:hint="eastAsia" w:ascii="华文中宋" w:hAnsi="华文中宋" w:eastAsia="华文中宋" w:cs="华文中宋"/>
          <w:color w:val="auto"/>
          <w:sz w:val="32"/>
          <w:szCs w:val="32"/>
          <w:highlight w:val="none"/>
          <w:u w:val="single"/>
          <w:lang w:val="en-US" w:eastAsia="zh-CN"/>
        </w:rPr>
        <w:t xml:space="preserve"> </w:t>
      </w:r>
      <w:r>
        <w:rPr>
          <w:rFonts w:hint="eastAsia" w:ascii="华文中宋" w:hAnsi="华文中宋" w:eastAsia="华文中宋" w:cs="华文中宋"/>
          <w:color w:val="auto"/>
          <w:spacing w:val="-23"/>
          <w:sz w:val="32"/>
          <w:szCs w:val="32"/>
          <w:highlight w:val="none"/>
          <w:u w:val="single"/>
          <w:lang w:eastAsia="zh-CN"/>
        </w:rPr>
        <w:t>长江勘测规划设计研究有限责任公司</w:t>
      </w:r>
      <w:r>
        <w:rPr>
          <w:rFonts w:hint="eastAsia" w:ascii="华文中宋" w:hAnsi="华文中宋" w:eastAsia="华文中宋" w:cs="华文中宋"/>
          <w:color w:val="auto"/>
          <w:spacing w:val="-23"/>
          <w:sz w:val="32"/>
          <w:szCs w:val="32"/>
          <w:highlight w:val="none"/>
          <w:u w:val="single"/>
          <w:lang w:val="en-US" w:eastAsia="zh-CN"/>
        </w:rPr>
        <w:t xml:space="preserve"> </w:t>
      </w:r>
      <w:r>
        <w:rPr>
          <w:rFonts w:hint="eastAsia" w:ascii="华文中宋" w:hAnsi="华文中宋" w:eastAsia="华文中宋" w:cs="华文中宋"/>
          <w:color w:val="auto"/>
          <w:spacing w:val="-23"/>
          <w:sz w:val="32"/>
          <w:szCs w:val="32"/>
          <w:highlight w:val="none"/>
          <w:lang w:eastAsia="zh-CN"/>
        </w:rPr>
        <w:t>（单位盖章）</w:t>
      </w:r>
    </w:p>
    <w:p w14:paraId="2963FD98">
      <w:pPr>
        <w:adjustRightInd/>
        <w:spacing w:beforeLines="0" w:after="0" w:afterLines="0"/>
        <w:ind w:firstLine="0" w:firstLineChars="0"/>
        <w:jc w:val="center"/>
        <w:rPr>
          <w:rFonts w:hint="eastAsia" w:ascii="华文中宋" w:hAnsi="华文中宋" w:eastAsia="华文中宋" w:cs="华文中宋"/>
          <w:color w:val="auto"/>
          <w:sz w:val="32"/>
          <w:szCs w:val="32"/>
          <w:highlight w:val="none"/>
          <w:lang w:eastAsia="zh-CN"/>
        </w:rPr>
      </w:pPr>
      <w:r>
        <w:rPr>
          <w:rFonts w:hint="eastAsia" w:ascii="华文中宋" w:hAnsi="华文中宋" w:eastAsia="华文中宋" w:cs="华文中宋"/>
          <w:color w:val="auto"/>
          <w:sz w:val="32"/>
          <w:szCs w:val="32"/>
          <w:highlight w:val="none"/>
          <w:u w:val="single"/>
          <w:lang w:val="en-US" w:eastAsia="zh-CN"/>
        </w:rPr>
        <w:t xml:space="preserve">   </w:t>
      </w:r>
      <w:r>
        <w:rPr>
          <w:rFonts w:hint="eastAsia" w:ascii="华文中宋" w:hAnsi="华文中宋" w:eastAsia="华文中宋" w:cs="华文中宋"/>
          <w:color w:val="auto"/>
          <w:sz w:val="32"/>
          <w:szCs w:val="32"/>
          <w:highlight w:val="none"/>
          <w:u w:val="single"/>
          <w:lang w:eastAsia="zh-CN"/>
        </w:rPr>
        <w:t xml:space="preserve">2024  </w:t>
      </w:r>
      <w:r>
        <w:rPr>
          <w:rFonts w:hint="eastAsia" w:ascii="华文中宋" w:hAnsi="华文中宋" w:eastAsia="华文中宋" w:cs="华文中宋"/>
          <w:color w:val="auto"/>
          <w:sz w:val="32"/>
          <w:szCs w:val="32"/>
          <w:highlight w:val="none"/>
          <w:lang w:eastAsia="zh-CN"/>
        </w:rPr>
        <w:t>年</w:t>
      </w:r>
      <w:r>
        <w:rPr>
          <w:rFonts w:hint="eastAsia" w:ascii="华文中宋" w:hAnsi="华文中宋" w:eastAsia="华文中宋" w:cs="华文中宋"/>
          <w:color w:val="auto"/>
          <w:sz w:val="32"/>
          <w:szCs w:val="32"/>
          <w:highlight w:val="none"/>
          <w:u w:val="single"/>
          <w:lang w:eastAsia="zh-CN"/>
        </w:rPr>
        <w:t xml:space="preserve">  </w:t>
      </w:r>
      <w:r>
        <w:rPr>
          <w:rFonts w:hint="eastAsia" w:ascii="华文中宋" w:hAnsi="华文中宋" w:eastAsia="华文中宋" w:cs="华文中宋"/>
          <w:color w:val="auto"/>
          <w:sz w:val="32"/>
          <w:szCs w:val="32"/>
          <w:highlight w:val="none"/>
          <w:u w:val="single"/>
          <w:lang w:val="en-US" w:eastAsia="zh-CN"/>
        </w:rPr>
        <w:t>9</w:t>
      </w:r>
      <w:r>
        <w:rPr>
          <w:rFonts w:hint="eastAsia" w:ascii="华文中宋" w:hAnsi="华文中宋" w:eastAsia="华文中宋" w:cs="华文中宋"/>
          <w:color w:val="auto"/>
          <w:sz w:val="32"/>
          <w:szCs w:val="32"/>
          <w:highlight w:val="none"/>
          <w:u w:val="single"/>
          <w:lang w:eastAsia="zh-CN"/>
        </w:rPr>
        <w:t xml:space="preserve">  </w:t>
      </w:r>
      <w:r>
        <w:rPr>
          <w:rFonts w:hint="eastAsia" w:ascii="华文中宋" w:hAnsi="华文中宋" w:eastAsia="华文中宋" w:cs="华文中宋"/>
          <w:color w:val="auto"/>
          <w:sz w:val="32"/>
          <w:szCs w:val="32"/>
          <w:highlight w:val="none"/>
          <w:lang w:eastAsia="zh-CN"/>
        </w:rPr>
        <w:t>月</w:t>
      </w:r>
    </w:p>
    <w:p w14:paraId="7303757F">
      <w:pPr>
        <w:rPr>
          <w:rFonts w:hint="eastAsia" w:ascii="华文中宋" w:hAnsi="华文中宋" w:eastAsia="华文中宋" w:cs="华文中宋"/>
          <w:color w:val="auto"/>
          <w:sz w:val="32"/>
          <w:szCs w:val="32"/>
          <w:highlight w:val="none"/>
          <w:lang w:eastAsia="zh-CN"/>
        </w:rPr>
      </w:pPr>
      <w:r>
        <w:rPr>
          <w:rFonts w:hint="eastAsia" w:ascii="华文中宋" w:hAnsi="华文中宋" w:eastAsia="华文中宋" w:cs="华文中宋"/>
          <w:color w:val="auto"/>
          <w:sz w:val="32"/>
          <w:szCs w:val="32"/>
          <w:highlight w:val="none"/>
          <w:lang w:eastAsia="zh-CN"/>
        </w:rPr>
        <w:br w:type="page"/>
      </w:r>
    </w:p>
    <w:p w14:paraId="1F38CAE5">
      <w:pPr>
        <w:adjustRightInd/>
        <w:spacing w:beforeLines="0" w:after="0" w:afterLines="0"/>
        <w:ind w:firstLine="0" w:firstLineChars="0"/>
        <w:jc w:val="center"/>
        <w:rPr>
          <w:rFonts w:hint="eastAsia" w:ascii="华文中宋" w:hAnsi="华文中宋" w:eastAsia="华文中宋" w:cs="华文中宋"/>
          <w:color w:val="auto"/>
          <w:sz w:val="32"/>
          <w:szCs w:val="32"/>
          <w:highlight w:val="none"/>
          <w:lang w:eastAsia="zh-CN"/>
        </w:rPr>
      </w:pPr>
    </w:p>
    <w:p w14:paraId="06C2C7F4">
      <w:pPr>
        <w:kinsoku/>
        <w:spacing w:beforeLines="0" w:afterLines="0" w:line="247" w:lineRule="auto"/>
        <w:ind w:firstLine="420"/>
        <w:jc w:val="center"/>
        <w:rPr>
          <w:rFonts w:hint="eastAsia" w:ascii="华文中宋" w:hAnsi="华文中宋" w:eastAsia="华文中宋" w:cs="华文中宋"/>
          <w:b/>
          <w:bCs/>
          <w:color w:val="auto"/>
          <w:sz w:val="36"/>
          <w:szCs w:val="36"/>
          <w:highlight w:val="none"/>
          <w:lang w:eastAsia="zh-CN"/>
        </w:rPr>
        <w:sectPr>
          <w:headerReference r:id="rId5" w:type="default"/>
          <w:footerReference r:id="rId6" w:type="default"/>
          <w:pgSz w:w="11905" w:h="16840"/>
          <w:pgMar w:top="1616" w:right="1418" w:bottom="1616" w:left="1418" w:header="851" w:footer="1304" w:gutter="0"/>
          <w:pgNumType w:fmt="decimal" w:start="1"/>
          <w:cols w:space="720" w:num="1"/>
          <w:docGrid w:linePitch="381" w:charSpace="0"/>
        </w:sectPr>
      </w:pPr>
    </w:p>
    <w:p w14:paraId="58E7A4A5">
      <w:pPr>
        <w:kinsoku/>
        <w:spacing w:beforeLines="0" w:afterLines="0" w:line="247" w:lineRule="auto"/>
        <w:ind w:firstLine="420"/>
        <w:jc w:val="center"/>
        <w:rPr>
          <w:rFonts w:hint="eastAsia" w:ascii="华文中宋" w:hAnsi="华文中宋" w:eastAsia="华文中宋" w:cs="华文中宋"/>
          <w:b/>
          <w:bCs/>
          <w:color w:val="auto"/>
          <w:sz w:val="36"/>
          <w:szCs w:val="36"/>
          <w:highlight w:val="none"/>
        </w:rPr>
      </w:pPr>
      <w:r>
        <w:rPr>
          <w:rFonts w:hint="eastAsia" w:ascii="华文中宋" w:hAnsi="华文中宋" w:eastAsia="华文中宋" w:cs="华文中宋"/>
          <w:b/>
          <w:bCs/>
          <w:color w:val="auto"/>
          <w:sz w:val="36"/>
          <w:szCs w:val="36"/>
          <w:highlight w:val="none"/>
          <w:lang w:eastAsia="zh-CN"/>
        </w:rPr>
        <w:t>目  录</w:t>
      </w:r>
    </w:p>
    <w:p w14:paraId="590831F9">
      <w:pPr>
        <w:kinsoku/>
        <w:spacing w:beforeLines="0" w:afterLines="0"/>
        <w:ind w:firstLine="422"/>
        <w:jc w:val="left"/>
        <w:rPr>
          <w:rFonts w:eastAsia="Arial"/>
          <w:b/>
          <w:color w:val="auto"/>
          <w:highlight w:val="none"/>
        </w:rPr>
      </w:pPr>
    </w:p>
    <w:p w14:paraId="678B4CB0">
      <w:pPr>
        <w:pStyle w:val="13"/>
        <w:tabs>
          <w:tab w:val="right" w:leader="dot" w:pos="9069"/>
        </w:tabs>
      </w:pPr>
      <w:r>
        <w:rPr>
          <w:rFonts w:eastAsia="Arial"/>
          <w:b/>
          <w:color w:val="auto"/>
          <w:highlight w:val="none"/>
        </w:rPr>
        <w:fldChar w:fldCharType="begin"/>
      </w:r>
      <w:r>
        <w:rPr>
          <w:rFonts w:eastAsia="Arial"/>
          <w:b/>
          <w:color w:val="auto"/>
          <w:highlight w:val="none"/>
        </w:rPr>
        <w:instrText xml:space="preserve">TOC \o "1-2" \h \u </w:instrText>
      </w:r>
      <w:r>
        <w:rPr>
          <w:rFonts w:eastAsia="Arial"/>
          <w:b/>
          <w:color w:val="auto"/>
          <w:highlight w:val="none"/>
        </w:rPr>
        <w:fldChar w:fldCharType="separate"/>
      </w:r>
      <w:r>
        <w:rPr>
          <w:rFonts w:eastAsia="Arial"/>
          <w:color w:val="auto"/>
          <w:highlight w:val="none"/>
        </w:rPr>
        <w:fldChar w:fldCharType="begin"/>
      </w:r>
      <w:r>
        <w:rPr>
          <w:rFonts w:eastAsia="Arial"/>
          <w:highlight w:val="none"/>
        </w:rPr>
        <w:instrText xml:space="preserve"> HYPERLINK \l _Toc24920 </w:instrText>
      </w:r>
      <w:r>
        <w:rPr>
          <w:rFonts w:eastAsia="Arial"/>
          <w:highlight w:val="none"/>
        </w:rPr>
        <w:fldChar w:fldCharType="separate"/>
      </w:r>
      <w:r>
        <w:rPr>
          <w:rFonts w:hint="eastAsia" w:ascii="宋体" w:hAnsi="宋体" w:cs="宋体"/>
          <w:bCs w:val="0"/>
          <w:snapToGrid w:val="0"/>
          <w:szCs w:val="32"/>
          <w:highlight w:val="none"/>
          <w:lang w:eastAsia="zh-CN"/>
        </w:rPr>
        <w:t>重要提示</w:t>
      </w:r>
      <w:r>
        <w:tab/>
      </w:r>
      <w:r>
        <w:fldChar w:fldCharType="begin"/>
      </w:r>
      <w:r>
        <w:instrText xml:space="preserve"> PAGEREF _Toc24920 \h </w:instrText>
      </w:r>
      <w:r>
        <w:fldChar w:fldCharType="separate"/>
      </w:r>
      <w:r>
        <w:t>5</w:t>
      </w:r>
      <w:r>
        <w:fldChar w:fldCharType="end"/>
      </w:r>
      <w:r>
        <w:rPr>
          <w:rFonts w:eastAsia="Arial"/>
          <w:color w:val="auto"/>
          <w:highlight w:val="none"/>
        </w:rPr>
        <w:fldChar w:fldCharType="end"/>
      </w:r>
    </w:p>
    <w:p w14:paraId="392C7560">
      <w:pPr>
        <w:pStyle w:val="13"/>
        <w:tabs>
          <w:tab w:val="right" w:leader="dot" w:pos="9069"/>
        </w:tabs>
      </w:pPr>
      <w:r>
        <w:rPr>
          <w:rFonts w:eastAsia="Arial"/>
          <w:color w:val="auto"/>
          <w:highlight w:val="none"/>
        </w:rPr>
        <w:fldChar w:fldCharType="begin"/>
      </w:r>
      <w:r>
        <w:rPr>
          <w:rFonts w:eastAsia="Arial"/>
          <w:highlight w:val="none"/>
        </w:rPr>
        <w:instrText xml:space="preserve"> HYPERLINK \l _Toc14902 </w:instrText>
      </w:r>
      <w:r>
        <w:rPr>
          <w:rFonts w:eastAsia="Arial"/>
          <w:highlight w:val="none"/>
        </w:rPr>
        <w:fldChar w:fldCharType="separate"/>
      </w:r>
      <w:r>
        <w:rPr>
          <w:rFonts w:hint="eastAsia" w:ascii="宋体" w:hAnsi="宋体" w:eastAsia="宋体" w:cs="宋体"/>
          <w:bCs w:val="0"/>
          <w:snapToGrid/>
          <w:spacing w:val="-21"/>
          <w:szCs w:val="52"/>
          <w:highlight w:val="none"/>
          <w:lang w:eastAsia="zh-CN"/>
        </w:rPr>
        <w:t>第</w:t>
      </w:r>
      <w:r>
        <w:rPr>
          <w:rFonts w:hint="eastAsia" w:ascii="宋体" w:hAnsi="宋体" w:eastAsia="宋体" w:cs="宋体"/>
          <w:bCs w:val="0"/>
          <w:snapToGrid/>
          <w:spacing w:val="30"/>
          <w:szCs w:val="52"/>
          <w:highlight w:val="none"/>
          <w:lang w:eastAsia="zh-CN"/>
        </w:rPr>
        <w:t xml:space="preserve"> </w:t>
      </w:r>
      <w:r>
        <w:rPr>
          <w:rFonts w:hint="eastAsia" w:ascii="宋体" w:hAnsi="宋体" w:eastAsia="宋体" w:cs="宋体"/>
          <w:bCs w:val="0"/>
          <w:snapToGrid/>
          <w:spacing w:val="-21"/>
          <w:szCs w:val="52"/>
          <w:highlight w:val="none"/>
          <w:lang w:eastAsia="zh-CN"/>
        </w:rPr>
        <w:t>一</w:t>
      </w:r>
      <w:r>
        <w:rPr>
          <w:rFonts w:hint="eastAsia" w:ascii="宋体" w:hAnsi="宋体" w:eastAsia="宋体" w:cs="宋体"/>
          <w:bCs w:val="0"/>
          <w:snapToGrid/>
          <w:spacing w:val="30"/>
          <w:szCs w:val="52"/>
          <w:highlight w:val="none"/>
          <w:lang w:eastAsia="zh-CN"/>
        </w:rPr>
        <w:t xml:space="preserve"> </w:t>
      </w:r>
      <w:r>
        <w:rPr>
          <w:rFonts w:hint="eastAsia" w:ascii="宋体" w:hAnsi="宋体" w:eastAsia="宋体" w:cs="宋体"/>
          <w:bCs w:val="0"/>
          <w:snapToGrid/>
          <w:spacing w:val="-21"/>
          <w:szCs w:val="52"/>
          <w:highlight w:val="none"/>
          <w:lang w:eastAsia="zh-CN"/>
        </w:rPr>
        <w:t>卷</w:t>
      </w:r>
      <w:r>
        <w:tab/>
      </w:r>
      <w:r>
        <w:fldChar w:fldCharType="begin"/>
      </w:r>
      <w:r>
        <w:instrText xml:space="preserve"> PAGEREF _Toc14902 \h </w:instrText>
      </w:r>
      <w:r>
        <w:fldChar w:fldCharType="separate"/>
      </w:r>
      <w:r>
        <w:t>6</w:t>
      </w:r>
      <w:r>
        <w:fldChar w:fldCharType="end"/>
      </w:r>
      <w:r>
        <w:rPr>
          <w:rFonts w:eastAsia="Arial"/>
          <w:color w:val="auto"/>
          <w:highlight w:val="none"/>
        </w:rPr>
        <w:fldChar w:fldCharType="end"/>
      </w:r>
    </w:p>
    <w:p w14:paraId="1AD2B7ED">
      <w:pPr>
        <w:pStyle w:val="13"/>
        <w:tabs>
          <w:tab w:val="right" w:leader="dot" w:pos="9069"/>
        </w:tabs>
      </w:pPr>
      <w:r>
        <w:rPr>
          <w:rFonts w:eastAsia="Arial"/>
          <w:color w:val="auto"/>
          <w:highlight w:val="none"/>
        </w:rPr>
        <w:fldChar w:fldCharType="begin"/>
      </w:r>
      <w:r>
        <w:rPr>
          <w:rFonts w:eastAsia="Arial"/>
          <w:highlight w:val="none"/>
        </w:rPr>
        <w:instrText xml:space="preserve"> HYPERLINK \l _Toc8426 </w:instrText>
      </w:r>
      <w:r>
        <w:rPr>
          <w:rFonts w:eastAsia="Arial"/>
          <w:highlight w:val="none"/>
        </w:rPr>
        <w:fldChar w:fldCharType="separate"/>
      </w:r>
      <w:r>
        <w:rPr>
          <w:rFonts w:hint="eastAsia" w:ascii="宋体" w:hAnsi="宋体" w:eastAsia="宋体" w:cs="宋体"/>
          <w:bCs w:val="0"/>
          <w:snapToGrid w:val="0"/>
          <w:kern w:val="44"/>
          <w:szCs w:val="32"/>
          <w:highlight w:val="none"/>
          <w:lang w:val="en-US" w:eastAsia="zh-CN" w:bidi="ar-SA"/>
        </w:rPr>
        <w:t>第一章  招标公告</w:t>
      </w:r>
      <w:r>
        <w:tab/>
      </w:r>
      <w:r>
        <w:fldChar w:fldCharType="begin"/>
      </w:r>
      <w:r>
        <w:instrText xml:space="preserve"> PAGEREF _Toc8426 \h </w:instrText>
      </w:r>
      <w:r>
        <w:fldChar w:fldCharType="separate"/>
      </w:r>
      <w:r>
        <w:t>7</w:t>
      </w:r>
      <w:r>
        <w:fldChar w:fldCharType="end"/>
      </w:r>
      <w:r>
        <w:rPr>
          <w:rFonts w:eastAsia="Arial"/>
          <w:color w:val="auto"/>
          <w:highlight w:val="none"/>
        </w:rPr>
        <w:fldChar w:fldCharType="end"/>
      </w:r>
    </w:p>
    <w:p w14:paraId="6B8A4F7A">
      <w:pPr>
        <w:pStyle w:val="15"/>
        <w:tabs>
          <w:tab w:val="right" w:leader="dot" w:pos="9069"/>
        </w:tabs>
      </w:pPr>
      <w:r>
        <w:rPr>
          <w:rFonts w:eastAsia="Arial"/>
          <w:color w:val="auto"/>
          <w:highlight w:val="none"/>
        </w:rPr>
        <w:fldChar w:fldCharType="begin"/>
      </w:r>
      <w:r>
        <w:rPr>
          <w:rFonts w:eastAsia="Arial"/>
          <w:highlight w:val="none"/>
        </w:rPr>
        <w:instrText xml:space="preserve"> HYPERLINK \l _Toc22038 </w:instrText>
      </w:r>
      <w:r>
        <w:rPr>
          <w:rFonts w:eastAsia="Arial"/>
          <w:highlight w:val="none"/>
        </w:rPr>
        <w:fldChar w:fldCharType="separate"/>
      </w:r>
      <w:r>
        <w:rPr>
          <w:rFonts w:hint="eastAsia" w:ascii="宋体" w:hAnsi="宋体" w:eastAsia="宋体" w:cs="宋体"/>
          <w:bCs/>
          <w:szCs w:val="30"/>
          <w:highlight w:val="none"/>
          <w:lang w:val="en-US"/>
        </w:rPr>
        <w:t>1</w:t>
      </w:r>
      <w:r>
        <w:rPr>
          <w:rFonts w:hint="eastAsia" w:ascii="宋体" w:cs="宋体"/>
          <w:bCs/>
          <w:szCs w:val="30"/>
          <w:highlight w:val="none"/>
          <w:lang w:val="en-US"/>
        </w:rPr>
        <w:t>　</w:t>
      </w:r>
      <w:r>
        <w:rPr>
          <w:rFonts w:ascii="宋体" w:cs="宋体"/>
          <w:bCs/>
          <w:szCs w:val="30"/>
          <w:highlight w:val="none"/>
          <w:lang w:val="en-US"/>
        </w:rPr>
        <w:t>招标条件</w:t>
      </w:r>
      <w:r>
        <w:tab/>
      </w:r>
      <w:r>
        <w:fldChar w:fldCharType="begin"/>
      </w:r>
      <w:r>
        <w:instrText xml:space="preserve"> PAGEREF _Toc22038 \h </w:instrText>
      </w:r>
      <w:r>
        <w:fldChar w:fldCharType="separate"/>
      </w:r>
      <w:r>
        <w:t>7</w:t>
      </w:r>
      <w:r>
        <w:fldChar w:fldCharType="end"/>
      </w:r>
      <w:r>
        <w:rPr>
          <w:rFonts w:eastAsia="Arial"/>
          <w:color w:val="auto"/>
          <w:highlight w:val="none"/>
        </w:rPr>
        <w:fldChar w:fldCharType="end"/>
      </w:r>
    </w:p>
    <w:p w14:paraId="04C654A2">
      <w:pPr>
        <w:pStyle w:val="15"/>
        <w:tabs>
          <w:tab w:val="right" w:leader="dot" w:pos="9069"/>
        </w:tabs>
      </w:pPr>
      <w:r>
        <w:rPr>
          <w:rFonts w:eastAsia="Arial"/>
          <w:color w:val="auto"/>
          <w:highlight w:val="none"/>
        </w:rPr>
        <w:fldChar w:fldCharType="begin"/>
      </w:r>
      <w:r>
        <w:rPr>
          <w:rFonts w:eastAsia="Arial"/>
          <w:highlight w:val="none"/>
        </w:rPr>
        <w:instrText xml:space="preserve"> HYPERLINK \l _Toc810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2</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项目概况与招标范围</w:t>
      </w:r>
      <w:r>
        <w:tab/>
      </w:r>
      <w:r>
        <w:fldChar w:fldCharType="begin"/>
      </w:r>
      <w:r>
        <w:instrText xml:space="preserve"> PAGEREF _Toc810 \h </w:instrText>
      </w:r>
      <w:r>
        <w:fldChar w:fldCharType="separate"/>
      </w:r>
      <w:r>
        <w:t>7</w:t>
      </w:r>
      <w:r>
        <w:fldChar w:fldCharType="end"/>
      </w:r>
      <w:r>
        <w:rPr>
          <w:rFonts w:eastAsia="Arial"/>
          <w:color w:val="auto"/>
          <w:highlight w:val="none"/>
        </w:rPr>
        <w:fldChar w:fldCharType="end"/>
      </w:r>
    </w:p>
    <w:p w14:paraId="3455CD01">
      <w:pPr>
        <w:pStyle w:val="15"/>
        <w:tabs>
          <w:tab w:val="right" w:leader="dot" w:pos="9069"/>
        </w:tabs>
      </w:pPr>
      <w:r>
        <w:rPr>
          <w:rFonts w:eastAsia="Arial"/>
          <w:color w:val="auto"/>
          <w:highlight w:val="none"/>
        </w:rPr>
        <w:fldChar w:fldCharType="begin"/>
      </w:r>
      <w:r>
        <w:rPr>
          <w:rFonts w:eastAsia="Arial"/>
          <w:highlight w:val="none"/>
        </w:rPr>
        <w:instrText xml:space="preserve"> HYPERLINK \l _Toc15569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3</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投标人资格要求</w:t>
      </w:r>
      <w:r>
        <w:tab/>
      </w:r>
      <w:r>
        <w:fldChar w:fldCharType="begin"/>
      </w:r>
      <w:r>
        <w:instrText xml:space="preserve"> PAGEREF _Toc15569 \h </w:instrText>
      </w:r>
      <w:r>
        <w:fldChar w:fldCharType="separate"/>
      </w:r>
      <w:r>
        <w:t>8</w:t>
      </w:r>
      <w:r>
        <w:fldChar w:fldCharType="end"/>
      </w:r>
      <w:r>
        <w:rPr>
          <w:rFonts w:eastAsia="Arial"/>
          <w:color w:val="auto"/>
          <w:highlight w:val="none"/>
        </w:rPr>
        <w:fldChar w:fldCharType="end"/>
      </w:r>
    </w:p>
    <w:p w14:paraId="77C1DB6B">
      <w:pPr>
        <w:pStyle w:val="15"/>
        <w:tabs>
          <w:tab w:val="right" w:leader="dot" w:pos="9069"/>
        </w:tabs>
      </w:pPr>
      <w:r>
        <w:rPr>
          <w:rFonts w:eastAsia="Arial"/>
          <w:color w:val="auto"/>
          <w:highlight w:val="none"/>
        </w:rPr>
        <w:fldChar w:fldCharType="begin"/>
      </w:r>
      <w:r>
        <w:rPr>
          <w:rFonts w:eastAsia="Arial"/>
          <w:highlight w:val="none"/>
        </w:rPr>
        <w:instrText xml:space="preserve"> HYPERLINK \l _Toc6439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4</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招标文件的获取</w:t>
      </w:r>
      <w:r>
        <w:tab/>
      </w:r>
      <w:r>
        <w:fldChar w:fldCharType="begin"/>
      </w:r>
      <w:r>
        <w:instrText xml:space="preserve"> PAGEREF _Toc6439 \h </w:instrText>
      </w:r>
      <w:r>
        <w:fldChar w:fldCharType="separate"/>
      </w:r>
      <w:r>
        <w:t>9</w:t>
      </w:r>
      <w:r>
        <w:fldChar w:fldCharType="end"/>
      </w:r>
      <w:r>
        <w:rPr>
          <w:rFonts w:eastAsia="Arial"/>
          <w:color w:val="auto"/>
          <w:highlight w:val="none"/>
        </w:rPr>
        <w:fldChar w:fldCharType="end"/>
      </w:r>
    </w:p>
    <w:p w14:paraId="3C3573FF">
      <w:pPr>
        <w:pStyle w:val="15"/>
        <w:tabs>
          <w:tab w:val="right" w:leader="dot" w:pos="9069"/>
        </w:tabs>
      </w:pPr>
      <w:r>
        <w:rPr>
          <w:rFonts w:eastAsia="Arial"/>
          <w:color w:val="auto"/>
          <w:highlight w:val="none"/>
        </w:rPr>
        <w:fldChar w:fldCharType="begin"/>
      </w:r>
      <w:r>
        <w:rPr>
          <w:rFonts w:eastAsia="Arial"/>
          <w:highlight w:val="none"/>
        </w:rPr>
        <w:instrText xml:space="preserve"> HYPERLINK \l _Toc17528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5</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投标文件的递交</w:t>
      </w:r>
      <w:r>
        <w:tab/>
      </w:r>
      <w:r>
        <w:fldChar w:fldCharType="begin"/>
      </w:r>
      <w:r>
        <w:instrText xml:space="preserve"> PAGEREF _Toc17528 \h </w:instrText>
      </w:r>
      <w:r>
        <w:fldChar w:fldCharType="separate"/>
      </w:r>
      <w:r>
        <w:t>9</w:t>
      </w:r>
      <w:r>
        <w:fldChar w:fldCharType="end"/>
      </w:r>
      <w:r>
        <w:rPr>
          <w:rFonts w:eastAsia="Arial"/>
          <w:color w:val="auto"/>
          <w:highlight w:val="none"/>
        </w:rPr>
        <w:fldChar w:fldCharType="end"/>
      </w:r>
    </w:p>
    <w:p w14:paraId="1AE5844B">
      <w:pPr>
        <w:pStyle w:val="15"/>
        <w:tabs>
          <w:tab w:val="right" w:leader="dot" w:pos="9069"/>
        </w:tabs>
      </w:pPr>
      <w:r>
        <w:rPr>
          <w:rFonts w:eastAsia="Arial"/>
          <w:color w:val="auto"/>
          <w:highlight w:val="none"/>
        </w:rPr>
        <w:fldChar w:fldCharType="begin"/>
      </w:r>
      <w:r>
        <w:rPr>
          <w:rFonts w:eastAsia="Arial"/>
          <w:highlight w:val="none"/>
        </w:rPr>
        <w:instrText xml:space="preserve"> HYPERLINK \l _Toc12103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6</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发布公告的媒介</w:t>
      </w:r>
      <w:r>
        <w:tab/>
      </w:r>
      <w:r>
        <w:fldChar w:fldCharType="begin"/>
      </w:r>
      <w:r>
        <w:instrText xml:space="preserve"> PAGEREF _Toc12103 \h </w:instrText>
      </w:r>
      <w:r>
        <w:fldChar w:fldCharType="separate"/>
      </w:r>
      <w:r>
        <w:t>9</w:t>
      </w:r>
      <w:r>
        <w:fldChar w:fldCharType="end"/>
      </w:r>
      <w:r>
        <w:rPr>
          <w:rFonts w:eastAsia="Arial"/>
          <w:color w:val="auto"/>
          <w:highlight w:val="none"/>
        </w:rPr>
        <w:fldChar w:fldCharType="end"/>
      </w:r>
    </w:p>
    <w:p w14:paraId="66E6E11D">
      <w:pPr>
        <w:pStyle w:val="15"/>
        <w:tabs>
          <w:tab w:val="right" w:leader="dot" w:pos="9069"/>
        </w:tabs>
      </w:pPr>
      <w:r>
        <w:rPr>
          <w:rFonts w:eastAsia="Arial"/>
          <w:color w:val="auto"/>
          <w:highlight w:val="none"/>
        </w:rPr>
        <w:fldChar w:fldCharType="begin"/>
      </w:r>
      <w:r>
        <w:rPr>
          <w:rFonts w:eastAsia="Arial"/>
          <w:highlight w:val="none"/>
        </w:rPr>
        <w:instrText xml:space="preserve"> HYPERLINK \l _Toc32301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7</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监管机构：</w:t>
      </w:r>
      <w:r>
        <w:rPr>
          <w:rFonts w:hint="eastAsia" w:ascii="宋体" w:cs="宋体"/>
          <w:bCs/>
          <w:snapToGrid w:val="0"/>
          <w:szCs w:val="30"/>
          <w:highlight w:val="none"/>
          <w:lang w:val="en-US" w:eastAsia="zh-CN" w:bidi="ar-SA"/>
        </w:rPr>
        <w:t xml:space="preserve"> </w:t>
      </w:r>
      <w:r>
        <w:rPr>
          <w:rFonts w:hint="eastAsia" w:ascii="宋体" w:hAnsi="Times New Roman" w:eastAsia="宋体" w:cs="Times New Roman"/>
          <w:bCs w:val="0"/>
          <w:snapToGrid w:val="0"/>
          <w:szCs w:val="21"/>
          <w:highlight w:val="none"/>
          <w:lang w:val="en-US" w:eastAsia="en-US" w:bidi="ar-SA"/>
        </w:rPr>
        <w:t>绍兴市政务服务办公室</w:t>
      </w:r>
      <w:r>
        <w:tab/>
      </w:r>
      <w:r>
        <w:fldChar w:fldCharType="begin"/>
      </w:r>
      <w:r>
        <w:instrText xml:space="preserve"> PAGEREF _Toc32301 \h </w:instrText>
      </w:r>
      <w:r>
        <w:fldChar w:fldCharType="separate"/>
      </w:r>
      <w:r>
        <w:t>10</w:t>
      </w:r>
      <w:r>
        <w:fldChar w:fldCharType="end"/>
      </w:r>
      <w:r>
        <w:rPr>
          <w:rFonts w:eastAsia="Arial"/>
          <w:color w:val="auto"/>
          <w:highlight w:val="none"/>
        </w:rPr>
        <w:fldChar w:fldCharType="end"/>
      </w:r>
    </w:p>
    <w:p w14:paraId="023C26E0">
      <w:pPr>
        <w:pStyle w:val="15"/>
        <w:tabs>
          <w:tab w:val="right" w:leader="dot" w:pos="9069"/>
        </w:tabs>
      </w:pPr>
      <w:r>
        <w:rPr>
          <w:rFonts w:eastAsia="Arial"/>
          <w:color w:val="auto"/>
          <w:highlight w:val="none"/>
        </w:rPr>
        <w:fldChar w:fldCharType="begin"/>
      </w:r>
      <w:r>
        <w:rPr>
          <w:rFonts w:eastAsia="Arial"/>
          <w:highlight w:val="none"/>
        </w:rPr>
        <w:instrText xml:space="preserve"> HYPERLINK \l _Toc14806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8</w:t>
      </w:r>
      <w:r>
        <w:rPr>
          <w:rFonts w:hint="eastAsia" w:ascii="宋体" w:cs="宋体"/>
          <w:bCs/>
          <w:snapToGrid w:val="0"/>
          <w:szCs w:val="30"/>
          <w:highlight w:val="none"/>
          <w:lang w:val="en-US" w:eastAsia="zh-CN" w:bidi="ar-SA"/>
        </w:rPr>
        <w:t>　</w:t>
      </w:r>
      <w:r>
        <w:rPr>
          <w:rFonts w:hint="eastAsia" w:ascii="宋体" w:hAnsi="宋体" w:eastAsia="宋体" w:cs="宋体"/>
          <w:bCs/>
          <w:snapToGrid w:val="0"/>
          <w:szCs w:val="30"/>
          <w:highlight w:val="none"/>
          <w:lang w:val="en-US" w:eastAsia="en-US" w:bidi="ar-SA"/>
        </w:rPr>
        <w:t>联系方式</w:t>
      </w:r>
      <w:r>
        <w:tab/>
      </w:r>
      <w:r>
        <w:fldChar w:fldCharType="begin"/>
      </w:r>
      <w:r>
        <w:instrText xml:space="preserve"> PAGEREF _Toc14806 \h </w:instrText>
      </w:r>
      <w:r>
        <w:fldChar w:fldCharType="separate"/>
      </w:r>
      <w:r>
        <w:t>10</w:t>
      </w:r>
      <w:r>
        <w:fldChar w:fldCharType="end"/>
      </w:r>
      <w:r>
        <w:rPr>
          <w:rFonts w:eastAsia="Arial"/>
          <w:color w:val="auto"/>
          <w:highlight w:val="none"/>
        </w:rPr>
        <w:fldChar w:fldCharType="end"/>
      </w:r>
    </w:p>
    <w:p w14:paraId="7DA9FE76">
      <w:pPr>
        <w:pStyle w:val="15"/>
        <w:tabs>
          <w:tab w:val="right" w:leader="dot" w:pos="9069"/>
        </w:tabs>
      </w:pPr>
      <w:r>
        <w:rPr>
          <w:rFonts w:eastAsia="Arial"/>
          <w:color w:val="auto"/>
          <w:highlight w:val="none"/>
        </w:rPr>
        <w:fldChar w:fldCharType="begin"/>
      </w:r>
      <w:r>
        <w:rPr>
          <w:rFonts w:eastAsia="Arial"/>
          <w:highlight w:val="none"/>
        </w:rPr>
        <w:instrText xml:space="preserve"> HYPERLINK \l _Toc4735 </w:instrText>
      </w:r>
      <w:r>
        <w:rPr>
          <w:rFonts w:eastAsia="Arial"/>
          <w:highlight w:val="none"/>
        </w:rPr>
        <w:fldChar w:fldCharType="separate"/>
      </w:r>
      <w:r>
        <w:rPr>
          <w:rFonts w:hint="eastAsia" w:ascii="宋体" w:hAnsi="宋体" w:eastAsia="宋体" w:cs="宋体"/>
          <w:bCs/>
          <w:snapToGrid w:val="0"/>
          <w:szCs w:val="30"/>
          <w:highlight w:val="none"/>
          <w:lang w:val="en-US" w:eastAsia="zh-CN" w:bidi="ar-SA"/>
        </w:rPr>
        <w:t>投标人资格条件要求附表</w:t>
      </w:r>
      <w:r>
        <w:tab/>
      </w:r>
      <w:r>
        <w:fldChar w:fldCharType="begin"/>
      </w:r>
      <w:r>
        <w:instrText xml:space="preserve"> PAGEREF _Toc4735 \h </w:instrText>
      </w:r>
      <w:r>
        <w:fldChar w:fldCharType="separate"/>
      </w:r>
      <w:r>
        <w:t>11</w:t>
      </w:r>
      <w:r>
        <w:fldChar w:fldCharType="end"/>
      </w:r>
      <w:r>
        <w:rPr>
          <w:rFonts w:eastAsia="Arial"/>
          <w:color w:val="auto"/>
          <w:highlight w:val="none"/>
        </w:rPr>
        <w:fldChar w:fldCharType="end"/>
      </w:r>
    </w:p>
    <w:p w14:paraId="2D39700C">
      <w:pPr>
        <w:pStyle w:val="13"/>
        <w:tabs>
          <w:tab w:val="right" w:leader="dot" w:pos="9069"/>
        </w:tabs>
      </w:pPr>
      <w:r>
        <w:rPr>
          <w:rFonts w:eastAsia="Arial"/>
          <w:color w:val="auto"/>
          <w:highlight w:val="none"/>
        </w:rPr>
        <w:fldChar w:fldCharType="begin"/>
      </w:r>
      <w:r>
        <w:rPr>
          <w:rFonts w:eastAsia="Arial"/>
          <w:highlight w:val="none"/>
        </w:rPr>
        <w:instrText xml:space="preserve"> HYPERLINK \l _Toc6024 </w:instrText>
      </w:r>
      <w:r>
        <w:rPr>
          <w:rFonts w:eastAsia="Arial"/>
          <w:highlight w:val="none"/>
        </w:rPr>
        <w:fldChar w:fldCharType="separate"/>
      </w:r>
      <w:r>
        <w:rPr>
          <w:rFonts w:hint="eastAsia" w:ascii="宋体" w:hAnsi="宋体" w:eastAsia="宋体" w:cs="宋体"/>
          <w:bCs w:val="0"/>
          <w:snapToGrid w:val="0"/>
          <w:kern w:val="44"/>
          <w:szCs w:val="32"/>
          <w:highlight w:val="none"/>
          <w:lang w:val="en-US" w:eastAsia="zh-CN" w:bidi="ar-SA"/>
        </w:rPr>
        <w:t>第二章  投标人须知</w:t>
      </w:r>
      <w:r>
        <w:tab/>
      </w:r>
      <w:r>
        <w:fldChar w:fldCharType="begin"/>
      </w:r>
      <w:r>
        <w:instrText xml:space="preserve"> PAGEREF _Toc6024 \h </w:instrText>
      </w:r>
      <w:r>
        <w:fldChar w:fldCharType="separate"/>
      </w:r>
      <w:r>
        <w:t>14</w:t>
      </w:r>
      <w:r>
        <w:fldChar w:fldCharType="end"/>
      </w:r>
      <w:r>
        <w:rPr>
          <w:rFonts w:eastAsia="Arial"/>
          <w:color w:val="auto"/>
          <w:highlight w:val="none"/>
        </w:rPr>
        <w:fldChar w:fldCharType="end"/>
      </w:r>
    </w:p>
    <w:p w14:paraId="1FF3BB9C">
      <w:pPr>
        <w:pStyle w:val="15"/>
        <w:tabs>
          <w:tab w:val="right" w:leader="dot" w:pos="9069"/>
        </w:tabs>
      </w:pPr>
      <w:r>
        <w:rPr>
          <w:rFonts w:eastAsia="Arial"/>
          <w:color w:val="auto"/>
          <w:highlight w:val="none"/>
        </w:rPr>
        <w:fldChar w:fldCharType="begin"/>
      </w:r>
      <w:r>
        <w:rPr>
          <w:rFonts w:eastAsia="Arial"/>
          <w:highlight w:val="none"/>
        </w:rPr>
        <w:instrText xml:space="preserve"> HYPERLINK \l _Toc1424 </w:instrText>
      </w:r>
      <w:r>
        <w:rPr>
          <w:rFonts w:eastAsia="Arial"/>
          <w:highlight w:val="none"/>
        </w:rPr>
        <w:fldChar w:fldCharType="separate"/>
      </w:r>
      <w:r>
        <w:rPr>
          <w:rFonts w:hint="eastAsia" w:ascii="宋体" w:hAnsi="宋体" w:eastAsia="宋体" w:cs="宋体"/>
          <w:bCs/>
          <w:snapToGrid w:val="0"/>
          <w:szCs w:val="30"/>
          <w:highlight w:val="none"/>
          <w:lang w:val="en-US" w:eastAsia="en-US" w:bidi="ar-SA"/>
        </w:rPr>
        <w:t>投标人须知前附表</w:t>
      </w:r>
      <w:r>
        <w:tab/>
      </w:r>
      <w:r>
        <w:fldChar w:fldCharType="begin"/>
      </w:r>
      <w:r>
        <w:instrText xml:space="preserve"> PAGEREF _Toc1424 \h </w:instrText>
      </w:r>
      <w:r>
        <w:fldChar w:fldCharType="separate"/>
      </w:r>
      <w:r>
        <w:t>14</w:t>
      </w:r>
      <w:r>
        <w:fldChar w:fldCharType="end"/>
      </w:r>
      <w:r>
        <w:rPr>
          <w:rFonts w:eastAsia="Arial"/>
          <w:color w:val="auto"/>
          <w:highlight w:val="none"/>
        </w:rPr>
        <w:fldChar w:fldCharType="end"/>
      </w:r>
    </w:p>
    <w:p w14:paraId="57AC5C56">
      <w:pPr>
        <w:pStyle w:val="15"/>
        <w:tabs>
          <w:tab w:val="right" w:leader="dot" w:pos="9069"/>
        </w:tabs>
      </w:pPr>
      <w:r>
        <w:rPr>
          <w:rFonts w:eastAsia="Arial"/>
          <w:color w:val="auto"/>
          <w:highlight w:val="none"/>
        </w:rPr>
        <w:fldChar w:fldCharType="begin"/>
      </w:r>
      <w:r>
        <w:rPr>
          <w:rFonts w:eastAsia="Arial"/>
          <w:highlight w:val="none"/>
        </w:rPr>
        <w:instrText xml:space="preserve"> HYPERLINK \l _Toc1409 </w:instrText>
      </w:r>
      <w:r>
        <w:rPr>
          <w:rFonts w:eastAsia="Arial"/>
          <w:highlight w:val="none"/>
        </w:rPr>
        <w:fldChar w:fldCharType="separate"/>
      </w:r>
      <w:r>
        <w:rPr>
          <w:rFonts w:hint="eastAsia" w:ascii="宋体" w:hAnsi="宋体" w:eastAsia="宋体" w:cs="宋体"/>
          <w:bCs/>
          <w:spacing w:val="-6"/>
          <w:szCs w:val="30"/>
          <w:highlight w:val="none"/>
        </w:rPr>
        <w:t>1</w:t>
      </w:r>
      <w:r>
        <w:rPr>
          <w:rFonts w:hint="eastAsia" w:cs="宋体"/>
          <w:bCs/>
          <w:szCs w:val="30"/>
          <w:highlight w:val="none"/>
        </w:rPr>
        <w:t>　</w:t>
      </w:r>
      <w:r>
        <w:rPr>
          <w:rFonts w:cs="宋体"/>
          <w:bCs/>
          <w:spacing w:val="-6"/>
          <w:szCs w:val="30"/>
          <w:highlight w:val="none"/>
        </w:rPr>
        <w:t>总则</w:t>
      </w:r>
      <w:r>
        <w:tab/>
      </w:r>
      <w:r>
        <w:fldChar w:fldCharType="begin"/>
      </w:r>
      <w:r>
        <w:instrText xml:space="preserve"> PAGEREF _Toc1409 \h </w:instrText>
      </w:r>
      <w:r>
        <w:fldChar w:fldCharType="separate"/>
      </w:r>
      <w:r>
        <w:t>26</w:t>
      </w:r>
      <w:r>
        <w:fldChar w:fldCharType="end"/>
      </w:r>
      <w:r>
        <w:rPr>
          <w:rFonts w:eastAsia="Arial"/>
          <w:color w:val="auto"/>
          <w:highlight w:val="none"/>
        </w:rPr>
        <w:fldChar w:fldCharType="end"/>
      </w:r>
    </w:p>
    <w:p w14:paraId="043BC865">
      <w:pPr>
        <w:pStyle w:val="15"/>
        <w:tabs>
          <w:tab w:val="right" w:leader="dot" w:pos="9069"/>
        </w:tabs>
      </w:pPr>
      <w:r>
        <w:rPr>
          <w:rFonts w:eastAsia="Arial"/>
          <w:color w:val="auto"/>
          <w:highlight w:val="none"/>
        </w:rPr>
        <w:fldChar w:fldCharType="begin"/>
      </w:r>
      <w:r>
        <w:rPr>
          <w:rFonts w:eastAsia="Arial"/>
          <w:highlight w:val="none"/>
        </w:rPr>
        <w:instrText xml:space="preserve"> HYPERLINK \l _Toc9021 </w:instrText>
      </w:r>
      <w:r>
        <w:rPr>
          <w:rFonts w:eastAsia="Arial"/>
          <w:highlight w:val="none"/>
        </w:rPr>
        <w:fldChar w:fldCharType="separate"/>
      </w:r>
      <w:r>
        <w:rPr>
          <w:rFonts w:hint="eastAsia" w:ascii="宋体" w:hAnsi="宋体" w:eastAsia="宋体" w:cs="宋体"/>
          <w:bCs/>
          <w:spacing w:val="3"/>
          <w:szCs w:val="30"/>
          <w:highlight w:val="none"/>
        </w:rPr>
        <w:t>2</w:t>
      </w:r>
      <w:r>
        <w:rPr>
          <w:rFonts w:hint="eastAsia" w:cs="宋体"/>
          <w:bCs/>
          <w:spacing w:val="3"/>
          <w:szCs w:val="30"/>
          <w:highlight w:val="none"/>
          <w:lang w:eastAsia="zh-CN"/>
        </w:rPr>
        <w:t>　</w:t>
      </w:r>
      <w:r>
        <w:rPr>
          <w:rFonts w:hint="eastAsia" w:ascii="宋体" w:hAnsi="宋体" w:eastAsia="宋体" w:cs="宋体"/>
          <w:bCs/>
          <w:spacing w:val="3"/>
          <w:szCs w:val="30"/>
          <w:highlight w:val="none"/>
        </w:rPr>
        <w:t>招标文件</w:t>
      </w:r>
      <w:r>
        <w:tab/>
      </w:r>
      <w:r>
        <w:fldChar w:fldCharType="begin"/>
      </w:r>
      <w:r>
        <w:instrText xml:space="preserve"> PAGEREF _Toc9021 \h </w:instrText>
      </w:r>
      <w:r>
        <w:fldChar w:fldCharType="separate"/>
      </w:r>
      <w:r>
        <w:t>29</w:t>
      </w:r>
      <w:r>
        <w:fldChar w:fldCharType="end"/>
      </w:r>
      <w:r>
        <w:rPr>
          <w:rFonts w:eastAsia="Arial"/>
          <w:color w:val="auto"/>
          <w:highlight w:val="none"/>
        </w:rPr>
        <w:fldChar w:fldCharType="end"/>
      </w:r>
    </w:p>
    <w:p w14:paraId="53DECCF2">
      <w:pPr>
        <w:pStyle w:val="15"/>
        <w:tabs>
          <w:tab w:val="right" w:leader="dot" w:pos="9069"/>
        </w:tabs>
      </w:pPr>
      <w:r>
        <w:rPr>
          <w:rFonts w:eastAsia="Arial"/>
          <w:color w:val="auto"/>
          <w:highlight w:val="none"/>
        </w:rPr>
        <w:fldChar w:fldCharType="begin"/>
      </w:r>
      <w:r>
        <w:rPr>
          <w:rFonts w:eastAsia="Arial"/>
          <w:highlight w:val="none"/>
        </w:rPr>
        <w:instrText xml:space="preserve"> HYPERLINK \l _Toc15949 </w:instrText>
      </w:r>
      <w:r>
        <w:rPr>
          <w:rFonts w:eastAsia="Arial"/>
          <w:highlight w:val="none"/>
        </w:rPr>
        <w:fldChar w:fldCharType="separate"/>
      </w:r>
      <w:r>
        <w:rPr>
          <w:rFonts w:hint="eastAsia" w:ascii="宋体" w:hAnsi="宋体" w:eastAsia="宋体" w:cs="宋体"/>
          <w:bCs/>
          <w:spacing w:val="3"/>
          <w:szCs w:val="30"/>
          <w:highlight w:val="none"/>
        </w:rPr>
        <w:t>3</w:t>
      </w:r>
      <w:r>
        <w:rPr>
          <w:rFonts w:hint="eastAsia" w:cs="宋体"/>
          <w:bCs/>
          <w:spacing w:val="3"/>
          <w:szCs w:val="30"/>
          <w:highlight w:val="none"/>
        </w:rPr>
        <w:t>　</w:t>
      </w:r>
      <w:r>
        <w:rPr>
          <w:rFonts w:hint="eastAsia" w:ascii="宋体" w:hAnsi="宋体" w:eastAsia="宋体" w:cs="宋体"/>
          <w:bCs/>
          <w:spacing w:val="3"/>
          <w:szCs w:val="30"/>
          <w:highlight w:val="none"/>
        </w:rPr>
        <w:t>投标文件</w:t>
      </w:r>
      <w:r>
        <w:tab/>
      </w:r>
      <w:r>
        <w:fldChar w:fldCharType="begin"/>
      </w:r>
      <w:r>
        <w:instrText xml:space="preserve"> PAGEREF _Toc15949 \h </w:instrText>
      </w:r>
      <w:r>
        <w:fldChar w:fldCharType="separate"/>
      </w:r>
      <w:r>
        <w:t>30</w:t>
      </w:r>
      <w:r>
        <w:fldChar w:fldCharType="end"/>
      </w:r>
      <w:r>
        <w:rPr>
          <w:rFonts w:eastAsia="Arial"/>
          <w:color w:val="auto"/>
          <w:highlight w:val="none"/>
        </w:rPr>
        <w:fldChar w:fldCharType="end"/>
      </w:r>
    </w:p>
    <w:p w14:paraId="5AC95ECC">
      <w:pPr>
        <w:pStyle w:val="15"/>
        <w:tabs>
          <w:tab w:val="right" w:leader="dot" w:pos="9069"/>
        </w:tabs>
      </w:pPr>
      <w:r>
        <w:rPr>
          <w:rFonts w:eastAsia="Arial"/>
          <w:color w:val="auto"/>
          <w:highlight w:val="none"/>
        </w:rPr>
        <w:fldChar w:fldCharType="begin"/>
      </w:r>
      <w:r>
        <w:rPr>
          <w:rFonts w:eastAsia="Arial"/>
          <w:highlight w:val="none"/>
        </w:rPr>
        <w:instrText xml:space="preserve"> HYPERLINK \l _Toc27009 </w:instrText>
      </w:r>
      <w:r>
        <w:rPr>
          <w:rFonts w:eastAsia="Arial"/>
          <w:highlight w:val="none"/>
        </w:rPr>
        <w:fldChar w:fldCharType="separate"/>
      </w:r>
      <w:r>
        <w:rPr>
          <w:rFonts w:hint="eastAsia" w:ascii="宋体" w:hAnsi="宋体" w:eastAsia="宋体" w:cs="宋体"/>
          <w:bCs/>
          <w:spacing w:val="-1"/>
          <w:szCs w:val="30"/>
          <w:highlight w:val="none"/>
        </w:rPr>
        <w:t>4</w:t>
      </w:r>
      <w:r>
        <w:rPr>
          <w:rFonts w:hint="eastAsia" w:cs="宋体"/>
          <w:bCs/>
          <w:szCs w:val="30"/>
          <w:highlight w:val="none"/>
          <w:lang w:eastAsia="zh-CN"/>
        </w:rPr>
        <w:t>　</w:t>
      </w:r>
      <w:r>
        <w:rPr>
          <w:rFonts w:cs="宋体"/>
          <w:bCs/>
          <w:spacing w:val="-1"/>
          <w:szCs w:val="30"/>
          <w:highlight w:val="none"/>
        </w:rPr>
        <w:t>投标</w:t>
      </w:r>
      <w:r>
        <w:tab/>
      </w:r>
      <w:r>
        <w:fldChar w:fldCharType="begin"/>
      </w:r>
      <w:r>
        <w:instrText xml:space="preserve"> PAGEREF _Toc27009 \h </w:instrText>
      </w:r>
      <w:r>
        <w:fldChar w:fldCharType="separate"/>
      </w:r>
      <w:r>
        <w:t>33</w:t>
      </w:r>
      <w:r>
        <w:fldChar w:fldCharType="end"/>
      </w:r>
      <w:r>
        <w:rPr>
          <w:rFonts w:eastAsia="Arial"/>
          <w:color w:val="auto"/>
          <w:highlight w:val="none"/>
        </w:rPr>
        <w:fldChar w:fldCharType="end"/>
      </w:r>
    </w:p>
    <w:p w14:paraId="3D193310">
      <w:pPr>
        <w:pStyle w:val="15"/>
        <w:tabs>
          <w:tab w:val="right" w:leader="dot" w:pos="9069"/>
        </w:tabs>
      </w:pPr>
      <w:r>
        <w:rPr>
          <w:rFonts w:eastAsia="Arial"/>
          <w:color w:val="auto"/>
          <w:highlight w:val="none"/>
        </w:rPr>
        <w:fldChar w:fldCharType="begin"/>
      </w:r>
      <w:r>
        <w:rPr>
          <w:rFonts w:eastAsia="Arial"/>
          <w:highlight w:val="none"/>
        </w:rPr>
        <w:instrText xml:space="preserve"> HYPERLINK \l _Toc10031 </w:instrText>
      </w:r>
      <w:r>
        <w:rPr>
          <w:rFonts w:eastAsia="Arial"/>
          <w:highlight w:val="none"/>
        </w:rPr>
        <w:fldChar w:fldCharType="separate"/>
      </w:r>
      <w:r>
        <w:rPr>
          <w:rFonts w:hint="eastAsia" w:ascii="宋体" w:hAnsi="宋体" w:eastAsia="宋体" w:cs="宋体"/>
          <w:bCs/>
          <w:spacing w:val="-1"/>
          <w:szCs w:val="30"/>
          <w:highlight w:val="none"/>
        </w:rPr>
        <w:t>5</w:t>
      </w:r>
      <w:r>
        <w:rPr>
          <w:rFonts w:hint="eastAsia" w:cs="宋体"/>
          <w:bCs/>
          <w:szCs w:val="30"/>
          <w:highlight w:val="none"/>
          <w:lang w:eastAsia="zh-CN"/>
        </w:rPr>
        <w:t>　</w:t>
      </w:r>
      <w:r>
        <w:rPr>
          <w:rFonts w:cs="宋体"/>
          <w:bCs/>
          <w:spacing w:val="-1"/>
          <w:szCs w:val="30"/>
          <w:highlight w:val="none"/>
        </w:rPr>
        <w:t>开标</w:t>
      </w:r>
      <w:r>
        <w:tab/>
      </w:r>
      <w:r>
        <w:fldChar w:fldCharType="begin"/>
      </w:r>
      <w:r>
        <w:instrText xml:space="preserve"> PAGEREF _Toc10031 \h </w:instrText>
      </w:r>
      <w:r>
        <w:fldChar w:fldCharType="separate"/>
      </w:r>
      <w:r>
        <w:t>34</w:t>
      </w:r>
      <w:r>
        <w:fldChar w:fldCharType="end"/>
      </w:r>
      <w:r>
        <w:rPr>
          <w:rFonts w:eastAsia="Arial"/>
          <w:color w:val="auto"/>
          <w:highlight w:val="none"/>
        </w:rPr>
        <w:fldChar w:fldCharType="end"/>
      </w:r>
    </w:p>
    <w:p w14:paraId="39EB868E">
      <w:pPr>
        <w:pStyle w:val="15"/>
        <w:tabs>
          <w:tab w:val="right" w:leader="dot" w:pos="9069"/>
        </w:tabs>
      </w:pPr>
      <w:r>
        <w:rPr>
          <w:rFonts w:eastAsia="Arial"/>
          <w:color w:val="auto"/>
          <w:highlight w:val="none"/>
        </w:rPr>
        <w:fldChar w:fldCharType="begin"/>
      </w:r>
      <w:r>
        <w:rPr>
          <w:rFonts w:eastAsia="Arial"/>
          <w:highlight w:val="none"/>
        </w:rPr>
        <w:instrText xml:space="preserve"> HYPERLINK \l _Toc21241 </w:instrText>
      </w:r>
      <w:r>
        <w:rPr>
          <w:rFonts w:eastAsia="Arial"/>
          <w:highlight w:val="none"/>
        </w:rPr>
        <w:fldChar w:fldCharType="separate"/>
      </w:r>
      <w:r>
        <w:rPr>
          <w:rFonts w:hint="eastAsia" w:ascii="宋体" w:hAnsi="宋体" w:eastAsia="宋体" w:cs="宋体"/>
          <w:bCs/>
          <w:snapToGrid w:val="0"/>
          <w:spacing w:val="-1"/>
          <w:szCs w:val="30"/>
          <w:highlight w:val="none"/>
          <w:lang w:val="en-US" w:eastAsia="en-US" w:bidi="ar-SA"/>
        </w:rPr>
        <w:t>6</w:t>
      </w:r>
      <w:r>
        <w:rPr>
          <w:rFonts w:ascii="Arial" w:hAnsi="Arial" w:eastAsia="宋体" w:cs="Arial"/>
          <w:bCs/>
          <w:snapToGrid w:val="0"/>
          <w:spacing w:val="-1"/>
          <w:szCs w:val="21"/>
          <w:highlight w:val="none"/>
          <w:lang w:val="en-US" w:eastAsia="en-US" w:bidi="ar-SA"/>
        </w:rPr>
        <w:t>　</w:t>
      </w:r>
      <w:r>
        <w:rPr>
          <w:rFonts w:hint="eastAsia" w:ascii="Arial" w:hAnsi="Arial" w:eastAsia="宋体" w:cs="宋体"/>
          <w:bCs/>
          <w:snapToGrid w:val="0"/>
          <w:spacing w:val="-1"/>
          <w:szCs w:val="30"/>
          <w:highlight w:val="none"/>
          <w:lang w:val="en-US" w:eastAsia="en-US" w:bidi="ar-SA"/>
        </w:rPr>
        <w:t>评标</w:t>
      </w:r>
      <w:r>
        <w:tab/>
      </w:r>
      <w:r>
        <w:fldChar w:fldCharType="begin"/>
      </w:r>
      <w:r>
        <w:instrText xml:space="preserve"> PAGEREF _Toc21241 \h </w:instrText>
      </w:r>
      <w:r>
        <w:fldChar w:fldCharType="separate"/>
      </w:r>
      <w:r>
        <w:t>34</w:t>
      </w:r>
      <w:r>
        <w:fldChar w:fldCharType="end"/>
      </w:r>
      <w:r>
        <w:rPr>
          <w:rFonts w:eastAsia="Arial"/>
          <w:color w:val="auto"/>
          <w:highlight w:val="none"/>
        </w:rPr>
        <w:fldChar w:fldCharType="end"/>
      </w:r>
    </w:p>
    <w:p w14:paraId="06A48F0B">
      <w:pPr>
        <w:pStyle w:val="15"/>
        <w:tabs>
          <w:tab w:val="right" w:leader="dot" w:pos="9069"/>
        </w:tabs>
      </w:pPr>
      <w:r>
        <w:rPr>
          <w:rFonts w:eastAsia="Arial"/>
          <w:color w:val="auto"/>
          <w:highlight w:val="none"/>
        </w:rPr>
        <w:fldChar w:fldCharType="begin"/>
      </w:r>
      <w:r>
        <w:rPr>
          <w:rFonts w:eastAsia="Arial"/>
          <w:highlight w:val="none"/>
        </w:rPr>
        <w:instrText xml:space="preserve"> HYPERLINK \l _Toc30987 </w:instrText>
      </w:r>
      <w:r>
        <w:rPr>
          <w:rFonts w:eastAsia="Arial"/>
          <w:highlight w:val="none"/>
        </w:rPr>
        <w:fldChar w:fldCharType="separate"/>
      </w:r>
      <w:r>
        <w:rPr>
          <w:rFonts w:hint="eastAsia" w:ascii="宋体" w:hAnsi="宋体" w:eastAsia="宋体" w:cs="宋体"/>
          <w:bCs/>
          <w:spacing w:val="2"/>
          <w:szCs w:val="30"/>
          <w:highlight w:val="none"/>
        </w:rPr>
        <w:t>7</w:t>
      </w:r>
      <w:r>
        <w:rPr>
          <w:rFonts w:hint="eastAsia" w:cs="宋体"/>
          <w:bCs/>
          <w:szCs w:val="30"/>
          <w:highlight w:val="none"/>
          <w:lang w:eastAsia="zh-CN"/>
        </w:rPr>
        <w:t>　</w:t>
      </w:r>
      <w:r>
        <w:rPr>
          <w:rFonts w:cs="宋体"/>
          <w:bCs/>
          <w:spacing w:val="2"/>
          <w:szCs w:val="30"/>
          <w:highlight w:val="none"/>
        </w:rPr>
        <w:t>合同授予</w:t>
      </w:r>
      <w:r>
        <w:tab/>
      </w:r>
      <w:r>
        <w:fldChar w:fldCharType="begin"/>
      </w:r>
      <w:r>
        <w:instrText xml:space="preserve"> PAGEREF _Toc30987 \h </w:instrText>
      </w:r>
      <w:r>
        <w:fldChar w:fldCharType="separate"/>
      </w:r>
      <w:r>
        <w:t>35</w:t>
      </w:r>
      <w:r>
        <w:fldChar w:fldCharType="end"/>
      </w:r>
      <w:r>
        <w:rPr>
          <w:rFonts w:eastAsia="Arial"/>
          <w:color w:val="auto"/>
          <w:highlight w:val="none"/>
        </w:rPr>
        <w:fldChar w:fldCharType="end"/>
      </w:r>
    </w:p>
    <w:p w14:paraId="40299EFF">
      <w:pPr>
        <w:pStyle w:val="15"/>
        <w:tabs>
          <w:tab w:val="right" w:leader="dot" w:pos="9069"/>
        </w:tabs>
      </w:pPr>
      <w:r>
        <w:rPr>
          <w:rFonts w:eastAsia="Arial"/>
          <w:color w:val="auto"/>
          <w:highlight w:val="none"/>
        </w:rPr>
        <w:fldChar w:fldCharType="begin"/>
      </w:r>
      <w:r>
        <w:rPr>
          <w:rFonts w:eastAsia="Arial"/>
          <w:highlight w:val="none"/>
        </w:rPr>
        <w:instrText xml:space="preserve"> HYPERLINK \l _Toc17076 </w:instrText>
      </w:r>
      <w:r>
        <w:rPr>
          <w:rFonts w:eastAsia="Arial"/>
          <w:highlight w:val="none"/>
        </w:rPr>
        <w:fldChar w:fldCharType="separate"/>
      </w:r>
      <w:r>
        <w:rPr>
          <w:rFonts w:hint="eastAsia" w:ascii="宋体" w:hAnsi="宋体" w:eastAsia="宋体" w:cs="宋体"/>
          <w:bCs/>
          <w:spacing w:val="6"/>
          <w:szCs w:val="30"/>
          <w:highlight w:val="none"/>
        </w:rPr>
        <w:t>8</w:t>
      </w:r>
      <w:r>
        <w:rPr>
          <w:rFonts w:hint="eastAsia" w:cs="宋体"/>
          <w:bCs/>
          <w:spacing w:val="6"/>
          <w:szCs w:val="30"/>
          <w:highlight w:val="none"/>
        </w:rPr>
        <w:t>　</w:t>
      </w:r>
      <w:r>
        <w:rPr>
          <w:rFonts w:cs="宋体"/>
          <w:bCs/>
          <w:spacing w:val="6"/>
          <w:szCs w:val="30"/>
          <w:highlight w:val="none"/>
        </w:rPr>
        <w:t>重新招标和不再招标</w:t>
      </w:r>
      <w:r>
        <w:tab/>
      </w:r>
      <w:r>
        <w:fldChar w:fldCharType="begin"/>
      </w:r>
      <w:r>
        <w:instrText xml:space="preserve"> PAGEREF _Toc17076 \h </w:instrText>
      </w:r>
      <w:r>
        <w:fldChar w:fldCharType="separate"/>
      </w:r>
      <w:r>
        <w:t>38</w:t>
      </w:r>
      <w:r>
        <w:fldChar w:fldCharType="end"/>
      </w:r>
      <w:r>
        <w:rPr>
          <w:rFonts w:eastAsia="Arial"/>
          <w:color w:val="auto"/>
          <w:highlight w:val="none"/>
        </w:rPr>
        <w:fldChar w:fldCharType="end"/>
      </w:r>
    </w:p>
    <w:p w14:paraId="5CE89023">
      <w:pPr>
        <w:pStyle w:val="15"/>
        <w:tabs>
          <w:tab w:val="right" w:leader="dot" w:pos="9069"/>
        </w:tabs>
      </w:pPr>
      <w:r>
        <w:rPr>
          <w:rFonts w:eastAsia="Arial"/>
          <w:color w:val="auto"/>
          <w:highlight w:val="none"/>
        </w:rPr>
        <w:fldChar w:fldCharType="begin"/>
      </w:r>
      <w:r>
        <w:rPr>
          <w:rFonts w:eastAsia="Arial"/>
          <w:highlight w:val="none"/>
        </w:rPr>
        <w:instrText xml:space="preserve"> HYPERLINK \l _Toc18826 </w:instrText>
      </w:r>
      <w:r>
        <w:rPr>
          <w:rFonts w:eastAsia="Arial"/>
          <w:highlight w:val="none"/>
        </w:rPr>
        <w:fldChar w:fldCharType="separate"/>
      </w:r>
      <w:r>
        <w:rPr>
          <w:rFonts w:hint="eastAsia" w:ascii="宋体" w:hAnsi="宋体" w:eastAsia="宋体" w:cs="宋体"/>
          <w:bCs/>
          <w:spacing w:val="2"/>
          <w:szCs w:val="30"/>
          <w:highlight w:val="none"/>
        </w:rPr>
        <w:t>9</w:t>
      </w:r>
      <w:r>
        <w:rPr>
          <w:rFonts w:hint="eastAsia" w:cs="宋体"/>
          <w:bCs/>
          <w:szCs w:val="30"/>
          <w:highlight w:val="none"/>
          <w:lang w:eastAsia="zh-CN"/>
        </w:rPr>
        <w:t>　</w:t>
      </w:r>
      <w:r>
        <w:rPr>
          <w:rFonts w:cs="宋体"/>
          <w:bCs/>
          <w:spacing w:val="2"/>
          <w:szCs w:val="30"/>
          <w:highlight w:val="none"/>
        </w:rPr>
        <w:t>纪律和监督</w:t>
      </w:r>
      <w:r>
        <w:tab/>
      </w:r>
      <w:r>
        <w:fldChar w:fldCharType="begin"/>
      </w:r>
      <w:r>
        <w:instrText xml:space="preserve"> PAGEREF _Toc18826 \h </w:instrText>
      </w:r>
      <w:r>
        <w:fldChar w:fldCharType="separate"/>
      </w:r>
      <w:r>
        <w:t>38</w:t>
      </w:r>
      <w:r>
        <w:fldChar w:fldCharType="end"/>
      </w:r>
      <w:r>
        <w:rPr>
          <w:rFonts w:eastAsia="Arial"/>
          <w:color w:val="auto"/>
          <w:highlight w:val="none"/>
        </w:rPr>
        <w:fldChar w:fldCharType="end"/>
      </w:r>
    </w:p>
    <w:p w14:paraId="7878FFA0">
      <w:pPr>
        <w:pStyle w:val="15"/>
        <w:tabs>
          <w:tab w:val="right" w:leader="dot" w:pos="9069"/>
        </w:tabs>
      </w:pPr>
      <w:r>
        <w:rPr>
          <w:rFonts w:eastAsia="Arial"/>
          <w:color w:val="auto"/>
          <w:highlight w:val="none"/>
        </w:rPr>
        <w:fldChar w:fldCharType="begin"/>
      </w:r>
      <w:r>
        <w:rPr>
          <w:rFonts w:eastAsia="Arial"/>
          <w:highlight w:val="none"/>
        </w:rPr>
        <w:instrText xml:space="preserve"> HYPERLINK \l _Toc833 </w:instrText>
      </w:r>
      <w:r>
        <w:rPr>
          <w:rFonts w:eastAsia="Arial"/>
          <w:highlight w:val="none"/>
        </w:rPr>
        <w:fldChar w:fldCharType="separate"/>
      </w:r>
      <w:r>
        <w:rPr>
          <w:rFonts w:hint="eastAsia" w:ascii="宋体" w:hAnsi="宋体" w:eastAsia="宋体" w:cs="宋体"/>
          <w:bCs/>
          <w:spacing w:val="1"/>
          <w:szCs w:val="30"/>
          <w:highlight w:val="none"/>
        </w:rPr>
        <w:t>10</w:t>
      </w:r>
      <w:r>
        <w:rPr>
          <w:rFonts w:hint="eastAsia" w:cs="宋体"/>
          <w:bCs/>
          <w:szCs w:val="30"/>
          <w:highlight w:val="none"/>
        </w:rPr>
        <w:t>　</w:t>
      </w:r>
      <w:r>
        <w:rPr>
          <w:rFonts w:cs="宋体"/>
          <w:bCs/>
          <w:spacing w:val="1"/>
          <w:szCs w:val="30"/>
          <w:highlight w:val="none"/>
        </w:rPr>
        <w:t>其他内容</w:t>
      </w:r>
      <w:r>
        <w:tab/>
      </w:r>
      <w:r>
        <w:fldChar w:fldCharType="begin"/>
      </w:r>
      <w:r>
        <w:instrText xml:space="preserve"> PAGEREF _Toc833 \h </w:instrText>
      </w:r>
      <w:r>
        <w:fldChar w:fldCharType="separate"/>
      </w:r>
      <w:r>
        <w:t>39</w:t>
      </w:r>
      <w:r>
        <w:fldChar w:fldCharType="end"/>
      </w:r>
      <w:r>
        <w:rPr>
          <w:rFonts w:eastAsia="Arial"/>
          <w:color w:val="auto"/>
          <w:highlight w:val="none"/>
        </w:rPr>
        <w:fldChar w:fldCharType="end"/>
      </w:r>
    </w:p>
    <w:p w14:paraId="666F68A0">
      <w:pPr>
        <w:pStyle w:val="15"/>
        <w:tabs>
          <w:tab w:val="right" w:leader="dot" w:pos="9069"/>
        </w:tabs>
      </w:pPr>
      <w:r>
        <w:rPr>
          <w:rFonts w:eastAsia="Arial"/>
          <w:color w:val="auto"/>
          <w:highlight w:val="none"/>
        </w:rPr>
        <w:fldChar w:fldCharType="begin"/>
      </w:r>
      <w:r>
        <w:rPr>
          <w:rFonts w:eastAsia="Arial"/>
          <w:highlight w:val="none"/>
        </w:rPr>
        <w:instrText xml:space="preserve"> HYPERLINK \l _Toc15973 </w:instrText>
      </w:r>
      <w:r>
        <w:rPr>
          <w:rFonts w:eastAsia="Arial"/>
          <w:highlight w:val="none"/>
        </w:rPr>
        <w:fldChar w:fldCharType="separate"/>
      </w:r>
      <w:r>
        <w:rPr>
          <w:rFonts w:hint="eastAsia" w:ascii="宋体" w:hAnsi="宋体" w:eastAsia="宋体" w:cs="宋体"/>
          <w:bCs/>
          <w:spacing w:val="2"/>
          <w:szCs w:val="30"/>
          <w:highlight w:val="none"/>
        </w:rPr>
        <w:t>11</w:t>
      </w:r>
      <w:r>
        <w:rPr>
          <w:rFonts w:hint="eastAsia" w:cs="宋体"/>
          <w:bCs/>
          <w:szCs w:val="30"/>
          <w:highlight w:val="none"/>
          <w:lang w:eastAsia="zh-CN"/>
        </w:rPr>
        <w:t>　</w:t>
      </w:r>
      <w:r>
        <w:rPr>
          <w:rFonts w:cs="宋体"/>
          <w:bCs/>
          <w:spacing w:val="2"/>
          <w:szCs w:val="30"/>
          <w:highlight w:val="none"/>
        </w:rPr>
        <w:t>需要补充的内容</w:t>
      </w:r>
      <w:r>
        <w:tab/>
      </w:r>
      <w:r>
        <w:fldChar w:fldCharType="begin"/>
      </w:r>
      <w:r>
        <w:instrText xml:space="preserve"> PAGEREF _Toc15973 \h </w:instrText>
      </w:r>
      <w:r>
        <w:fldChar w:fldCharType="separate"/>
      </w:r>
      <w:r>
        <w:t>40</w:t>
      </w:r>
      <w:r>
        <w:fldChar w:fldCharType="end"/>
      </w:r>
      <w:r>
        <w:rPr>
          <w:rFonts w:eastAsia="Arial"/>
          <w:color w:val="auto"/>
          <w:highlight w:val="none"/>
        </w:rPr>
        <w:fldChar w:fldCharType="end"/>
      </w:r>
    </w:p>
    <w:p w14:paraId="1CBD8A6E">
      <w:pPr>
        <w:pStyle w:val="15"/>
        <w:tabs>
          <w:tab w:val="right" w:leader="dot" w:pos="9069"/>
        </w:tabs>
      </w:pPr>
      <w:r>
        <w:rPr>
          <w:rFonts w:eastAsia="Arial"/>
          <w:color w:val="auto"/>
          <w:highlight w:val="none"/>
        </w:rPr>
        <w:fldChar w:fldCharType="begin"/>
      </w:r>
      <w:r>
        <w:rPr>
          <w:rFonts w:eastAsia="Arial"/>
          <w:highlight w:val="none"/>
        </w:rPr>
        <w:instrText xml:space="preserve"> HYPERLINK \l _Toc6991 </w:instrText>
      </w:r>
      <w:r>
        <w:rPr>
          <w:rFonts w:eastAsia="Arial"/>
          <w:highlight w:val="none"/>
        </w:rPr>
        <w:fldChar w:fldCharType="separate"/>
      </w:r>
      <w:r>
        <w:rPr>
          <w:rFonts w:cs="宋体"/>
          <w:bCs/>
          <w:spacing w:val="-4"/>
          <w:szCs w:val="30"/>
          <w:highlight w:val="none"/>
        </w:rPr>
        <w:t>附件一：</w:t>
      </w:r>
      <w:r>
        <w:tab/>
      </w:r>
      <w:r>
        <w:fldChar w:fldCharType="begin"/>
      </w:r>
      <w:r>
        <w:instrText xml:space="preserve"> PAGEREF _Toc6991 \h </w:instrText>
      </w:r>
      <w:r>
        <w:fldChar w:fldCharType="separate"/>
      </w:r>
      <w:r>
        <w:t>41</w:t>
      </w:r>
      <w:r>
        <w:fldChar w:fldCharType="end"/>
      </w:r>
      <w:r>
        <w:rPr>
          <w:rFonts w:eastAsia="Arial"/>
          <w:color w:val="auto"/>
          <w:highlight w:val="none"/>
        </w:rPr>
        <w:fldChar w:fldCharType="end"/>
      </w:r>
    </w:p>
    <w:p w14:paraId="11FAF31F">
      <w:pPr>
        <w:pStyle w:val="15"/>
        <w:tabs>
          <w:tab w:val="right" w:leader="dot" w:pos="9069"/>
        </w:tabs>
      </w:pPr>
      <w:r>
        <w:rPr>
          <w:rFonts w:eastAsia="Arial"/>
          <w:color w:val="auto"/>
          <w:highlight w:val="none"/>
        </w:rPr>
        <w:fldChar w:fldCharType="begin"/>
      </w:r>
      <w:r>
        <w:rPr>
          <w:rFonts w:eastAsia="Arial"/>
          <w:highlight w:val="none"/>
        </w:rPr>
        <w:instrText xml:space="preserve"> HYPERLINK \l _Toc17402 </w:instrText>
      </w:r>
      <w:r>
        <w:rPr>
          <w:rFonts w:eastAsia="Arial"/>
          <w:highlight w:val="none"/>
        </w:rPr>
        <w:fldChar w:fldCharType="separate"/>
      </w:r>
      <w:r>
        <w:rPr>
          <w:rFonts w:cs="宋体"/>
          <w:bCs/>
          <w:spacing w:val="-15"/>
          <w:szCs w:val="30"/>
          <w:highlight w:val="none"/>
        </w:rPr>
        <w:t>附件二：</w:t>
      </w:r>
      <w:r>
        <w:tab/>
      </w:r>
      <w:r>
        <w:fldChar w:fldCharType="begin"/>
      </w:r>
      <w:r>
        <w:instrText xml:space="preserve"> PAGEREF _Toc17402 \h </w:instrText>
      </w:r>
      <w:r>
        <w:fldChar w:fldCharType="separate"/>
      </w:r>
      <w:r>
        <w:t>42</w:t>
      </w:r>
      <w:r>
        <w:fldChar w:fldCharType="end"/>
      </w:r>
      <w:r>
        <w:rPr>
          <w:rFonts w:eastAsia="Arial"/>
          <w:color w:val="auto"/>
          <w:highlight w:val="none"/>
        </w:rPr>
        <w:fldChar w:fldCharType="end"/>
      </w:r>
    </w:p>
    <w:p w14:paraId="46063A66">
      <w:pPr>
        <w:pStyle w:val="15"/>
        <w:tabs>
          <w:tab w:val="right" w:leader="dot" w:pos="9069"/>
        </w:tabs>
      </w:pPr>
      <w:r>
        <w:rPr>
          <w:rFonts w:eastAsia="Arial"/>
          <w:color w:val="auto"/>
          <w:highlight w:val="none"/>
        </w:rPr>
        <w:fldChar w:fldCharType="begin"/>
      </w:r>
      <w:r>
        <w:rPr>
          <w:rFonts w:eastAsia="Arial"/>
          <w:highlight w:val="none"/>
        </w:rPr>
        <w:instrText xml:space="preserve"> HYPERLINK \l _Toc3186 </w:instrText>
      </w:r>
      <w:r>
        <w:rPr>
          <w:rFonts w:eastAsia="Arial"/>
          <w:highlight w:val="none"/>
        </w:rPr>
        <w:fldChar w:fldCharType="separate"/>
      </w:r>
      <w:r>
        <w:rPr>
          <w:rFonts w:cs="宋体"/>
          <w:bCs/>
          <w:spacing w:val="-15"/>
          <w:szCs w:val="30"/>
          <w:highlight w:val="none"/>
        </w:rPr>
        <w:t>附件三：</w:t>
      </w:r>
      <w:r>
        <w:tab/>
      </w:r>
      <w:r>
        <w:fldChar w:fldCharType="begin"/>
      </w:r>
      <w:r>
        <w:instrText xml:space="preserve"> PAGEREF _Toc3186 \h </w:instrText>
      </w:r>
      <w:r>
        <w:fldChar w:fldCharType="separate"/>
      </w:r>
      <w:r>
        <w:t>43</w:t>
      </w:r>
      <w:r>
        <w:fldChar w:fldCharType="end"/>
      </w:r>
      <w:r>
        <w:rPr>
          <w:rFonts w:eastAsia="Arial"/>
          <w:color w:val="auto"/>
          <w:highlight w:val="none"/>
        </w:rPr>
        <w:fldChar w:fldCharType="end"/>
      </w:r>
    </w:p>
    <w:p w14:paraId="38BCCC15">
      <w:pPr>
        <w:pStyle w:val="15"/>
        <w:tabs>
          <w:tab w:val="right" w:leader="dot" w:pos="9069"/>
        </w:tabs>
      </w:pPr>
      <w:r>
        <w:rPr>
          <w:rFonts w:eastAsia="Arial"/>
          <w:color w:val="auto"/>
          <w:highlight w:val="none"/>
        </w:rPr>
        <w:fldChar w:fldCharType="begin"/>
      </w:r>
      <w:r>
        <w:rPr>
          <w:rFonts w:eastAsia="Arial"/>
          <w:highlight w:val="none"/>
        </w:rPr>
        <w:instrText xml:space="preserve"> HYPERLINK \l _Toc10646 </w:instrText>
      </w:r>
      <w:r>
        <w:rPr>
          <w:rFonts w:eastAsia="Arial"/>
          <w:highlight w:val="none"/>
        </w:rPr>
        <w:fldChar w:fldCharType="separate"/>
      </w:r>
      <w:r>
        <w:rPr>
          <w:rFonts w:cs="宋体"/>
          <w:bCs/>
          <w:spacing w:val="-15"/>
          <w:szCs w:val="30"/>
          <w:highlight w:val="none"/>
        </w:rPr>
        <w:t>附件四：</w:t>
      </w:r>
      <w:r>
        <w:tab/>
      </w:r>
      <w:r>
        <w:fldChar w:fldCharType="begin"/>
      </w:r>
      <w:r>
        <w:instrText xml:space="preserve"> PAGEREF _Toc10646 \h </w:instrText>
      </w:r>
      <w:r>
        <w:fldChar w:fldCharType="separate"/>
      </w:r>
      <w:r>
        <w:t>44</w:t>
      </w:r>
      <w:r>
        <w:fldChar w:fldCharType="end"/>
      </w:r>
      <w:r>
        <w:rPr>
          <w:rFonts w:eastAsia="Arial"/>
          <w:color w:val="auto"/>
          <w:highlight w:val="none"/>
        </w:rPr>
        <w:fldChar w:fldCharType="end"/>
      </w:r>
    </w:p>
    <w:p w14:paraId="6C24D400">
      <w:pPr>
        <w:pStyle w:val="15"/>
        <w:tabs>
          <w:tab w:val="right" w:leader="dot" w:pos="9069"/>
        </w:tabs>
      </w:pPr>
      <w:r>
        <w:rPr>
          <w:rFonts w:eastAsia="Arial"/>
          <w:color w:val="auto"/>
          <w:highlight w:val="none"/>
        </w:rPr>
        <w:fldChar w:fldCharType="begin"/>
      </w:r>
      <w:r>
        <w:rPr>
          <w:rFonts w:eastAsia="Arial"/>
          <w:highlight w:val="none"/>
        </w:rPr>
        <w:instrText xml:space="preserve"> HYPERLINK \l _Toc29877 </w:instrText>
      </w:r>
      <w:r>
        <w:rPr>
          <w:rFonts w:eastAsia="Arial"/>
          <w:highlight w:val="none"/>
        </w:rPr>
        <w:fldChar w:fldCharType="separate"/>
      </w:r>
      <w:r>
        <w:rPr>
          <w:rFonts w:cs="宋体"/>
          <w:bCs/>
          <w:spacing w:val="-15"/>
          <w:szCs w:val="30"/>
          <w:highlight w:val="none"/>
        </w:rPr>
        <w:t>附件五：</w:t>
      </w:r>
      <w:r>
        <w:tab/>
      </w:r>
      <w:r>
        <w:fldChar w:fldCharType="begin"/>
      </w:r>
      <w:r>
        <w:instrText xml:space="preserve"> PAGEREF _Toc29877 \h </w:instrText>
      </w:r>
      <w:r>
        <w:fldChar w:fldCharType="separate"/>
      </w:r>
      <w:r>
        <w:t>45</w:t>
      </w:r>
      <w:r>
        <w:fldChar w:fldCharType="end"/>
      </w:r>
      <w:r>
        <w:rPr>
          <w:rFonts w:eastAsia="Arial"/>
          <w:color w:val="auto"/>
          <w:highlight w:val="none"/>
        </w:rPr>
        <w:fldChar w:fldCharType="end"/>
      </w:r>
    </w:p>
    <w:p w14:paraId="5D6DC004">
      <w:pPr>
        <w:pStyle w:val="15"/>
        <w:tabs>
          <w:tab w:val="right" w:leader="dot" w:pos="9069"/>
        </w:tabs>
      </w:pPr>
      <w:r>
        <w:rPr>
          <w:rFonts w:eastAsia="Arial"/>
          <w:color w:val="auto"/>
          <w:highlight w:val="none"/>
        </w:rPr>
        <w:fldChar w:fldCharType="begin"/>
      </w:r>
      <w:r>
        <w:rPr>
          <w:rFonts w:eastAsia="Arial"/>
          <w:highlight w:val="none"/>
        </w:rPr>
        <w:instrText xml:space="preserve"> HYPERLINK \l _Toc22819 </w:instrText>
      </w:r>
      <w:r>
        <w:rPr>
          <w:rFonts w:eastAsia="Arial"/>
          <w:highlight w:val="none"/>
        </w:rPr>
        <w:fldChar w:fldCharType="separate"/>
      </w:r>
      <w:r>
        <w:rPr>
          <w:rFonts w:cs="宋体"/>
          <w:bCs/>
          <w:spacing w:val="-15"/>
          <w:szCs w:val="30"/>
          <w:highlight w:val="none"/>
        </w:rPr>
        <w:t>附件六：</w:t>
      </w:r>
      <w:r>
        <w:tab/>
      </w:r>
      <w:r>
        <w:fldChar w:fldCharType="begin"/>
      </w:r>
      <w:r>
        <w:instrText xml:space="preserve"> PAGEREF _Toc22819 \h </w:instrText>
      </w:r>
      <w:r>
        <w:fldChar w:fldCharType="separate"/>
      </w:r>
      <w:r>
        <w:t>46</w:t>
      </w:r>
      <w:r>
        <w:fldChar w:fldCharType="end"/>
      </w:r>
      <w:r>
        <w:rPr>
          <w:rFonts w:eastAsia="Arial"/>
          <w:color w:val="auto"/>
          <w:highlight w:val="none"/>
        </w:rPr>
        <w:fldChar w:fldCharType="end"/>
      </w:r>
    </w:p>
    <w:p w14:paraId="0EE04E85">
      <w:pPr>
        <w:pStyle w:val="13"/>
        <w:tabs>
          <w:tab w:val="right" w:leader="dot" w:pos="9069"/>
        </w:tabs>
      </w:pPr>
      <w:r>
        <w:rPr>
          <w:rFonts w:eastAsia="Arial"/>
          <w:color w:val="auto"/>
          <w:highlight w:val="none"/>
        </w:rPr>
        <w:fldChar w:fldCharType="begin"/>
      </w:r>
      <w:r>
        <w:rPr>
          <w:rFonts w:eastAsia="Arial"/>
          <w:highlight w:val="none"/>
        </w:rPr>
        <w:instrText xml:space="preserve"> HYPERLINK \l _Toc4650 </w:instrText>
      </w:r>
      <w:r>
        <w:rPr>
          <w:rFonts w:eastAsia="Arial"/>
          <w:highlight w:val="none"/>
        </w:rPr>
        <w:fldChar w:fldCharType="separate"/>
      </w:r>
      <w:r>
        <w:rPr>
          <w:rFonts w:cs="宋体"/>
          <w:bCs w:val="0"/>
          <w:spacing w:val="-5"/>
          <w:szCs w:val="32"/>
          <w:highlight w:val="none"/>
          <w:lang w:eastAsia="zh-CN"/>
        </w:rPr>
        <w:t>第三章</w:t>
      </w:r>
      <w:r>
        <w:rPr>
          <w:rFonts w:hint="eastAsia" w:cs="宋体"/>
          <w:bCs w:val="0"/>
          <w:szCs w:val="32"/>
          <w:highlight w:val="none"/>
          <w:lang w:eastAsia="zh-CN"/>
        </w:rPr>
        <w:t xml:space="preserve">  </w:t>
      </w:r>
      <w:r>
        <w:rPr>
          <w:rFonts w:cs="宋体"/>
          <w:bCs w:val="0"/>
          <w:spacing w:val="-5"/>
          <w:szCs w:val="32"/>
          <w:highlight w:val="none"/>
          <w:lang w:eastAsia="zh-CN"/>
        </w:rPr>
        <w:t>评标定标办法（综合评估法）</w:t>
      </w:r>
      <w:r>
        <w:tab/>
      </w:r>
      <w:r>
        <w:fldChar w:fldCharType="begin"/>
      </w:r>
      <w:r>
        <w:instrText xml:space="preserve"> PAGEREF _Toc4650 \h </w:instrText>
      </w:r>
      <w:r>
        <w:fldChar w:fldCharType="separate"/>
      </w:r>
      <w:r>
        <w:t>47</w:t>
      </w:r>
      <w:r>
        <w:fldChar w:fldCharType="end"/>
      </w:r>
      <w:r>
        <w:rPr>
          <w:rFonts w:eastAsia="Arial"/>
          <w:color w:val="auto"/>
          <w:highlight w:val="none"/>
        </w:rPr>
        <w:fldChar w:fldCharType="end"/>
      </w:r>
    </w:p>
    <w:p w14:paraId="43B40FF2">
      <w:pPr>
        <w:pStyle w:val="15"/>
        <w:tabs>
          <w:tab w:val="right" w:leader="dot" w:pos="9069"/>
        </w:tabs>
      </w:pPr>
      <w:r>
        <w:rPr>
          <w:rFonts w:eastAsia="Arial"/>
          <w:color w:val="auto"/>
          <w:highlight w:val="none"/>
        </w:rPr>
        <w:fldChar w:fldCharType="begin"/>
      </w:r>
      <w:r>
        <w:rPr>
          <w:rFonts w:eastAsia="Arial"/>
          <w:highlight w:val="none"/>
        </w:rPr>
        <w:instrText xml:space="preserve"> HYPERLINK \l _Toc19728 </w:instrText>
      </w:r>
      <w:r>
        <w:rPr>
          <w:rFonts w:eastAsia="Arial"/>
          <w:highlight w:val="none"/>
        </w:rPr>
        <w:fldChar w:fldCharType="separate"/>
      </w:r>
      <w:r>
        <w:rPr>
          <w:rFonts w:hint="eastAsia" w:ascii="宋体" w:hAnsi="宋体" w:eastAsia="宋体" w:cs="宋体"/>
          <w:bCs/>
          <w:spacing w:val="-5"/>
          <w:szCs w:val="30"/>
          <w:highlight w:val="none"/>
        </w:rPr>
        <w:t>1</w:t>
      </w:r>
      <w:r>
        <w:rPr>
          <w:rFonts w:hint="eastAsia" w:cs="宋体"/>
          <w:bCs/>
          <w:szCs w:val="30"/>
          <w:highlight w:val="none"/>
        </w:rPr>
        <w:t>　</w:t>
      </w:r>
      <w:r>
        <w:rPr>
          <w:rFonts w:cs="宋体"/>
          <w:bCs/>
          <w:spacing w:val="-5"/>
          <w:szCs w:val="30"/>
          <w:highlight w:val="none"/>
        </w:rPr>
        <w:t>依据</w:t>
      </w:r>
      <w:r>
        <w:tab/>
      </w:r>
      <w:r>
        <w:fldChar w:fldCharType="begin"/>
      </w:r>
      <w:r>
        <w:instrText xml:space="preserve"> PAGEREF _Toc19728 \h </w:instrText>
      </w:r>
      <w:r>
        <w:fldChar w:fldCharType="separate"/>
      </w:r>
      <w:r>
        <w:t>47</w:t>
      </w:r>
      <w:r>
        <w:fldChar w:fldCharType="end"/>
      </w:r>
      <w:r>
        <w:rPr>
          <w:rFonts w:eastAsia="Arial"/>
          <w:color w:val="auto"/>
          <w:highlight w:val="none"/>
        </w:rPr>
        <w:fldChar w:fldCharType="end"/>
      </w:r>
    </w:p>
    <w:p w14:paraId="4D84A8BD">
      <w:pPr>
        <w:pStyle w:val="15"/>
        <w:tabs>
          <w:tab w:val="right" w:leader="dot" w:pos="9069"/>
        </w:tabs>
      </w:pPr>
      <w:r>
        <w:rPr>
          <w:rFonts w:eastAsia="Arial"/>
          <w:color w:val="auto"/>
          <w:highlight w:val="none"/>
        </w:rPr>
        <w:fldChar w:fldCharType="begin"/>
      </w:r>
      <w:r>
        <w:rPr>
          <w:rFonts w:eastAsia="Arial"/>
          <w:highlight w:val="none"/>
        </w:rPr>
        <w:instrText xml:space="preserve"> HYPERLINK \l _Toc24476 </w:instrText>
      </w:r>
      <w:r>
        <w:rPr>
          <w:rFonts w:eastAsia="Arial"/>
          <w:highlight w:val="none"/>
        </w:rPr>
        <w:fldChar w:fldCharType="separate"/>
      </w:r>
      <w:r>
        <w:rPr>
          <w:rFonts w:hint="eastAsia" w:ascii="宋体" w:hAnsi="宋体" w:eastAsia="宋体" w:cs="宋体"/>
          <w:bCs/>
          <w:spacing w:val="3"/>
          <w:szCs w:val="30"/>
          <w:highlight w:val="none"/>
        </w:rPr>
        <w:t>2</w:t>
      </w:r>
      <w:r>
        <w:rPr>
          <w:rFonts w:hint="eastAsia" w:cs="宋体"/>
          <w:bCs/>
          <w:szCs w:val="30"/>
          <w:highlight w:val="none"/>
        </w:rPr>
        <w:t>　</w:t>
      </w:r>
      <w:r>
        <w:rPr>
          <w:rFonts w:cs="宋体"/>
          <w:bCs/>
          <w:spacing w:val="3"/>
          <w:szCs w:val="30"/>
          <w:highlight w:val="none"/>
        </w:rPr>
        <w:t>评标原则</w:t>
      </w:r>
      <w:r>
        <w:tab/>
      </w:r>
      <w:r>
        <w:fldChar w:fldCharType="begin"/>
      </w:r>
      <w:r>
        <w:instrText xml:space="preserve"> PAGEREF _Toc24476 \h </w:instrText>
      </w:r>
      <w:r>
        <w:fldChar w:fldCharType="separate"/>
      </w:r>
      <w:r>
        <w:t>47</w:t>
      </w:r>
      <w:r>
        <w:fldChar w:fldCharType="end"/>
      </w:r>
      <w:r>
        <w:rPr>
          <w:rFonts w:eastAsia="Arial"/>
          <w:color w:val="auto"/>
          <w:highlight w:val="none"/>
        </w:rPr>
        <w:fldChar w:fldCharType="end"/>
      </w:r>
    </w:p>
    <w:p w14:paraId="4A80B5B4">
      <w:pPr>
        <w:pStyle w:val="15"/>
        <w:tabs>
          <w:tab w:val="right" w:leader="dot" w:pos="9069"/>
        </w:tabs>
      </w:pPr>
      <w:r>
        <w:rPr>
          <w:rFonts w:eastAsia="Arial"/>
          <w:color w:val="auto"/>
          <w:highlight w:val="none"/>
        </w:rPr>
        <w:fldChar w:fldCharType="begin"/>
      </w:r>
      <w:r>
        <w:rPr>
          <w:rFonts w:eastAsia="Arial"/>
          <w:highlight w:val="none"/>
        </w:rPr>
        <w:instrText xml:space="preserve"> HYPERLINK \l _Toc16047 </w:instrText>
      </w:r>
      <w:r>
        <w:rPr>
          <w:rFonts w:eastAsia="Arial"/>
          <w:highlight w:val="none"/>
        </w:rPr>
        <w:fldChar w:fldCharType="separate"/>
      </w:r>
      <w:r>
        <w:rPr>
          <w:rFonts w:hint="eastAsia" w:ascii="宋体" w:hAnsi="宋体" w:eastAsia="宋体" w:cs="宋体"/>
          <w:bCs/>
          <w:spacing w:val="4"/>
          <w:szCs w:val="30"/>
          <w:highlight w:val="none"/>
          <w:lang w:eastAsia="zh-CN"/>
        </w:rPr>
        <w:t>3</w:t>
      </w:r>
      <w:r>
        <w:rPr>
          <w:rFonts w:hint="eastAsia" w:cs="宋体"/>
          <w:bCs/>
          <w:szCs w:val="30"/>
          <w:highlight w:val="none"/>
          <w:lang w:eastAsia="zh-CN"/>
        </w:rPr>
        <w:t>　</w:t>
      </w:r>
      <w:r>
        <w:rPr>
          <w:rFonts w:cs="宋体"/>
          <w:bCs/>
          <w:spacing w:val="4"/>
          <w:szCs w:val="30"/>
          <w:highlight w:val="none"/>
          <w:lang w:eastAsia="zh-CN"/>
        </w:rPr>
        <w:t>评标组织</w:t>
      </w:r>
      <w:r>
        <w:tab/>
      </w:r>
      <w:r>
        <w:fldChar w:fldCharType="begin"/>
      </w:r>
      <w:r>
        <w:instrText xml:space="preserve"> PAGEREF _Toc16047 \h </w:instrText>
      </w:r>
      <w:r>
        <w:fldChar w:fldCharType="separate"/>
      </w:r>
      <w:r>
        <w:t>47</w:t>
      </w:r>
      <w:r>
        <w:fldChar w:fldCharType="end"/>
      </w:r>
      <w:r>
        <w:rPr>
          <w:rFonts w:eastAsia="Arial"/>
          <w:color w:val="auto"/>
          <w:highlight w:val="none"/>
        </w:rPr>
        <w:fldChar w:fldCharType="end"/>
      </w:r>
    </w:p>
    <w:p w14:paraId="2737CFC9">
      <w:pPr>
        <w:pStyle w:val="15"/>
        <w:tabs>
          <w:tab w:val="right" w:leader="dot" w:pos="9069"/>
        </w:tabs>
      </w:pPr>
      <w:r>
        <w:rPr>
          <w:rFonts w:eastAsia="Arial"/>
          <w:color w:val="auto"/>
          <w:highlight w:val="none"/>
        </w:rPr>
        <w:fldChar w:fldCharType="begin"/>
      </w:r>
      <w:r>
        <w:rPr>
          <w:rFonts w:eastAsia="Arial"/>
          <w:highlight w:val="none"/>
        </w:rPr>
        <w:instrText xml:space="preserve"> HYPERLINK \l _Toc31744 </w:instrText>
      </w:r>
      <w:r>
        <w:rPr>
          <w:rFonts w:eastAsia="Arial"/>
          <w:highlight w:val="none"/>
        </w:rPr>
        <w:fldChar w:fldCharType="separate"/>
      </w:r>
      <w:r>
        <w:rPr>
          <w:rFonts w:hint="eastAsia" w:ascii="宋体" w:hAnsi="宋体" w:cs="宋体"/>
          <w:bCs/>
          <w:snapToGrid w:val="0"/>
          <w:szCs w:val="30"/>
          <w:highlight w:val="none"/>
          <w:lang w:bidi="ar-SA"/>
        </w:rPr>
        <w:t>4</w:t>
      </w:r>
      <w:r>
        <w:rPr>
          <w:rFonts w:hint="eastAsia" w:cs="宋体"/>
          <w:bCs/>
          <w:snapToGrid w:val="0"/>
          <w:szCs w:val="30"/>
          <w:highlight w:val="none"/>
          <w:lang w:bidi="ar-SA"/>
        </w:rPr>
        <w:t>　</w:t>
      </w:r>
      <w:r>
        <w:rPr>
          <w:rFonts w:hint="eastAsia" w:ascii="宋体" w:hAnsi="宋体" w:cs="宋体"/>
          <w:bCs/>
          <w:snapToGrid w:val="0"/>
          <w:szCs w:val="30"/>
          <w:highlight w:val="none"/>
          <w:lang w:bidi="ar-SA"/>
        </w:rPr>
        <w:t>评标程序和内容</w:t>
      </w:r>
      <w:r>
        <w:tab/>
      </w:r>
      <w:r>
        <w:fldChar w:fldCharType="begin"/>
      </w:r>
      <w:r>
        <w:instrText xml:space="preserve"> PAGEREF _Toc31744 \h </w:instrText>
      </w:r>
      <w:r>
        <w:fldChar w:fldCharType="separate"/>
      </w:r>
      <w:r>
        <w:t>47</w:t>
      </w:r>
      <w:r>
        <w:fldChar w:fldCharType="end"/>
      </w:r>
      <w:r>
        <w:rPr>
          <w:rFonts w:eastAsia="Arial"/>
          <w:color w:val="auto"/>
          <w:highlight w:val="none"/>
        </w:rPr>
        <w:fldChar w:fldCharType="end"/>
      </w:r>
    </w:p>
    <w:p w14:paraId="58B27312">
      <w:pPr>
        <w:pStyle w:val="15"/>
        <w:tabs>
          <w:tab w:val="right" w:leader="dot" w:pos="9069"/>
        </w:tabs>
      </w:pPr>
      <w:r>
        <w:rPr>
          <w:rFonts w:eastAsia="Arial"/>
          <w:color w:val="auto"/>
          <w:highlight w:val="none"/>
        </w:rPr>
        <w:fldChar w:fldCharType="begin"/>
      </w:r>
      <w:r>
        <w:rPr>
          <w:rFonts w:eastAsia="Arial"/>
          <w:highlight w:val="none"/>
        </w:rPr>
        <w:instrText xml:space="preserve"> HYPERLINK \l _Toc6242 </w:instrText>
      </w:r>
      <w:r>
        <w:rPr>
          <w:rFonts w:eastAsia="Arial"/>
          <w:highlight w:val="none"/>
        </w:rPr>
        <w:fldChar w:fldCharType="separate"/>
      </w:r>
      <w:r>
        <w:rPr>
          <w:rFonts w:cs="宋体"/>
          <w:bCs/>
          <w:spacing w:val="3"/>
          <w:szCs w:val="30"/>
          <w:highlight w:val="none"/>
        </w:rPr>
        <w:t>附件一：投标文件澄清通知</w:t>
      </w:r>
      <w:r>
        <w:tab/>
      </w:r>
      <w:r>
        <w:fldChar w:fldCharType="begin"/>
      </w:r>
      <w:r>
        <w:instrText xml:space="preserve"> PAGEREF _Toc6242 \h </w:instrText>
      </w:r>
      <w:r>
        <w:fldChar w:fldCharType="separate"/>
      </w:r>
      <w:r>
        <w:t>58</w:t>
      </w:r>
      <w:r>
        <w:fldChar w:fldCharType="end"/>
      </w:r>
      <w:r>
        <w:rPr>
          <w:rFonts w:eastAsia="Arial"/>
          <w:color w:val="auto"/>
          <w:highlight w:val="none"/>
        </w:rPr>
        <w:fldChar w:fldCharType="end"/>
      </w:r>
    </w:p>
    <w:p w14:paraId="3016AA6B">
      <w:pPr>
        <w:pStyle w:val="15"/>
        <w:tabs>
          <w:tab w:val="right" w:leader="dot" w:pos="9069"/>
        </w:tabs>
      </w:pPr>
      <w:r>
        <w:rPr>
          <w:rFonts w:eastAsia="Arial"/>
          <w:color w:val="auto"/>
          <w:highlight w:val="none"/>
        </w:rPr>
        <w:fldChar w:fldCharType="begin"/>
      </w:r>
      <w:r>
        <w:rPr>
          <w:rFonts w:eastAsia="Arial"/>
          <w:highlight w:val="none"/>
        </w:rPr>
        <w:instrText xml:space="preserve"> HYPERLINK \l _Toc23142 </w:instrText>
      </w:r>
      <w:r>
        <w:rPr>
          <w:rFonts w:eastAsia="Arial"/>
          <w:highlight w:val="none"/>
        </w:rPr>
        <w:fldChar w:fldCharType="separate"/>
      </w:r>
      <w:r>
        <w:rPr>
          <w:rFonts w:cs="宋体"/>
          <w:bCs/>
          <w:spacing w:val="5"/>
          <w:szCs w:val="30"/>
          <w:highlight w:val="none"/>
        </w:rPr>
        <w:t>附件二：投标文件澄清函</w:t>
      </w:r>
      <w:r>
        <w:tab/>
      </w:r>
      <w:r>
        <w:fldChar w:fldCharType="begin"/>
      </w:r>
      <w:r>
        <w:instrText xml:space="preserve"> PAGEREF _Toc23142 \h </w:instrText>
      </w:r>
      <w:r>
        <w:fldChar w:fldCharType="separate"/>
      </w:r>
      <w:r>
        <w:t>59</w:t>
      </w:r>
      <w:r>
        <w:fldChar w:fldCharType="end"/>
      </w:r>
      <w:r>
        <w:rPr>
          <w:rFonts w:eastAsia="Arial"/>
          <w:color w:val="auto"/>
          <w:highlight w:val="none"/>
        </w:rPr>
        <w:fldChar w:fldCharType="end"/>
      </w:r>
    </w:p>
    <w:p w14:paraId="47D39B4A">
      <w:pPr>
        <w:pStyle w:val="13"/>
        <w:tabs>
          <w:tab w:val="right" w:leader="dot" w:pos="9069"/>
        </w:tabs>
      </w:pPr>
      <w:r>
        <w:rPr>
          <w:rFonts w:eastAsia="Arial"/>
          <w:color w:val="auto"/>
          <w:highlight w:val="none"/>
        </w:rPr>
        <w:fldChar w:fldCharType="begin"/>
      </w:r>
      <w:r>
        <w:rPr>
          <w:rFonts w:eastAsia="Arial"/>
          <w:highlight w:val="none"/>
        </w:rPr>
        <w:instrText xml:space="preserve"> HYPERLINK \l _Toc21855 </w:instrText>
      </w:r>
      <w:r>
        <w:rPr>
          <w:rFonts w:eastAsia="Arial"/>
          <w:highlight w:val="none"/>
        </w:rPr>
        <w:fldChar w:fldCharType="separate"/>
      </w:r>
      <w:r>
        <w:rPr>
          <w:rFonts w:hint="eastAsia" w:cs="宋体"/>
          <w:bCs w:val="0"/>
          <w:szCs w:val="32"/>
          <w:highlight w:val="none"/>
          <w:lang w:eastAsia="zh-CN"/>
        </w:rPr>
        <w:t>第四章  合同条款及格式</w:t>
      </w:r>
      <w:r>
        <w:tab/>
      </w:r>
      <w:r>
        <w:fldChar w:fldCharType="begin"/>
      </w:r>
      <w:r>
        <w:instrText xml:space="preserve"> PAGEREF _Toc21855 \h </w:instrText>
      </w:r>
      <w:r>
        <w:fldChar w:fldCharType="separate"/>
      </w:r>
      <w:r>
        <w:t>60</w:t>
      </w:r>
      <w:r>
        <w:fldChar w:fldCharType="end"/>
      </w:r>
      <w:r>
        <w:rPr>
          <w:rFonts w:eastAsia="Arial"/>
          <w:color w:val="auto"/>
          <w:highlight w:val="none"/>
        </w:rPr>
        <w:fldChar w:fldCharType="end"/>
      </w:r>
    </w:p>
    <w:p w14:paraId="44BB5449">
      <w:pPr>
        <w:pStyle w:val="13"/>
        <w:tabs>
          <w:tab w:val="right" w:leader="dot" w:pos="9069"/>
        </w:tabs>
      </w:pPr>
      <w:r>
        <w:rPr>
          <w:rFonts w:eastAsia="Arial"/>
          <w:color w:val="auto"/>
          <w:highlight w:val="none"/>
        </w:rPr>
        <w:fldChar w:fldCharType="begin"/>
      </w:r>
      <w:r>
        <w:rPr>
          <w:rFonts w:eastAsia="Arial"/>
          <w:highlight w:val="none"/>
        </w:rPr>
        <w:instrText xml:space="preserve"> HYPERLINK \l _Toc27054 </w:instrText>
      </w:r>
      <w:r>
        <w:rPr>
          <w:rFonts w:eastAsia="Arial"/>
          <w:highlight w:val="none"/>
        </w:rPr>
        <w:fldChar w:fldCharType="separate"/>
      </w:r>
      <w:r>
        <w:rPr>
          <w:rFonts w:hint="eastAsia" w:ascii="宋体" w:hAnsi="宋体" w:cs="宋体"/>
          <w:snapToGrid w:val="0"/>
          <w:szCs w:val="30"/>
          <w:highlight w:val="none"/>
          <w:lang w:bidi="ar-SA"/>
        </w:rPr>
        <w:t>第</w:t>
      </w:r>
      <w:r>
        <w:rPr>
          <w:rFonts w:hint="eastAsia" w:cs="宋体"/>
          <w:snapToGrid w:val="0"/>
          <w:szCs w:val="30"/>
          <w:highlight w:val="none"/>
          <w:lang w:bidi="ar-SA"/>
        </w:rPr>
        <w:t>1</w:t>
      </w:r>
      <w:r>
        <w:rPr>
          <w:rFonts w:hint="eastAsia" w:ascii="宋体" w:hAnsi="宋体" w:cs="宋体"/>
          <w:snapToGrid w:val="0"/>
          <w:szCs w:val="30"/>
          <w:highlight w:val="none"/>
          <w:lang w:bidi="ar-SA"/>
        </w:rPr>
        <w:t>节  通用合同条款</w:t>
      </w:r>
      <w:r>
        <w:tab/>
      </w:r>
      <w:r>
        <w:fldChar w:fldCharType="begin"/>
      </w:r>
      <w:r>
        <w:instrText xml:space="preserve"> PAGEREF _Toc27054 \h </w:instrText>
      </w:r>
      <w:r>
        <w:fldChar w:fldCharType="separate"/>
      </w:r>
      <w:r>
        <w:t>60</w:t>
      </w:r>
      <w:r>
        <w:fldChar w:fldCharType="end"/>
      </w:r>
      <w:r>
        <w:rPr>
          <w:rFonts w:eastAsia="Arial"/>
          <w:color w:val="auto"/>
          <w:highlight w:val="none"/>
        </w:rPr>
        <w:fldChar w:fldCharType="end"/>
      </w:r>
    </w:p>
    <w:p w14:paraId="4EFBE027">
      <w:pPr>
        <w:pStyle w:val="15"/>
        <w:tabs>
          <w:tab w:val="right" w:leader="dot" w:pos="9069"/>
        </w:tabs>
      </w:pPr>
      <w:r>
        <w:rPr>
          <w:rFonts w:eastAsia="Arial"/>
          <w:color w:val="auto"/>
          <w:highlight w:val="none"/>
        </w:rPr>
        <w:fldChar w:fldCharType="begin"/>
      </w:r>
      <w:r>
        <w:rPr>
          <w:rFonts w:eastAsia="Arial"/>
          <w:highlight w:val="none"/>
        </w:rPr>
        <w:instrText xml:space="preserve"> HYPERLINK \l _Toc8185 </w:instrText>
      </w:r>
      <w:r>
        <w:rPr>
          <w:rFonts w:eastAsia="Arial"/>
          <w:highlight w:val="none"/>
        </w:rPr>
        <w:fldChar w:fldCharType="separate"/>
      </w:r>
      <w:r>
        <w:rPr>
          <w:rFonts w:hint="eastAsia" w:ascii="宋体" w:cs="宋体"/>
          <w:bCs/>
          <w:szCs w:val="30"/>
          <w:highlight w:val="none"/>
        </w:rPr>
        <w:t>1</w:t>
      </w:r>
      <w:r>
        <w:rPr>
          <w:rFonts w:hint="eastAsia" w:cs="宋体"/>
          <w:bCs/>
          <w:szCs w:val="30"/>
          <w:highlight w:val="none"/>
          <w:lang w:eastAsia="zh-CN"/>
        </w:rPr>
        <w:t>　</w:t>
      </w:r>
      <w:r>
        <w:rPr>
          <w:rFonts w:hint="eastAsia" w:ascii="宋体" w:cs="宋体"/>
          <w:bCs/>
          <w:szCs w:val="30"/>
          <w:highlight w:val="none"/>
        </w:rPr>
        <w:t>一般约定</w:t>
      </w:r>
      <w:r>
        <w:tab/>
      </w:r>
      <w:r>
        <w:fldChar w:fldCharType="begin"/>
      </w:r>
      <w:r>
        <w:instrText xml:space="preserve"> PAGEREF _Toc8185 \h </w:instrText>
      </w:r>
      <w:r>
        <w:fldChar w:fldCharType="separate"/>
      </w:r>
      <w:r>
        <w:t>60</w:t>
      </w:r>
      <w:r>
        <w:fldChar w:fldCharType="end"/>
      </w:r>
      <w:r>
        <w:rPr>
          <w:rFonts w:eastAsia="Arial"/>
          <w:color w:val="auto"/>
          <w:highlight w:val="none"/>
        </w:rPr>
        <w:fldChar w:fldCharType="end"/>
      </w:r>
    </w:p>
    <w:p w14:paraId="410494B3">
      <w:pPr>
        <w:pStyle w:val="15"/>
        <w:tabs>
          <w:tab w:val="right" w:leader="dot" w:pos="9069"/>
        </w:tabs>
      </w:pPr>
      <w:r>
        <w:rPr>
          <w:rFonts w:eastAsia="Arial"/>
          <w:color w:val="auto"/>
          <w:highlight w:val="none"/>
        </w:rPr>
        <w:fldChar w:fldCharType="begin"/>
      </w:r>
      <w:r>
        <w:rPr>
          <w:rFonts w:eastAsia="Arial"/>
          <w:highlight w:val="none"/>
        </w:rPr>
        <w:instrText xml:space="preserve"> HYPERLINK \l _Toc8225 </w:instrText>
      </w:r>
      <w:r>
        <w:rPr>
          <w:rFonts w:eastAsia="Arial"/>
          <w:highlight w:val="none"/>
        </w:rPr>
        <w:fldChar w:fldCharType="separate"/>
      </w:r>
      <w:r>
        <w:rPr>
          <w:rFonts w:hint="eastAsia" w:ascii="宋体" w:cs="宋体"/>
          <w:bCs/>
          <w:szCs w:val="30"/>
          <w:highlight w:val="none"/>
        </w:rPr>
        <w:t>2</w:t>
      </w:r>
      <w:r>
        <w:rPr>
          <w:rFonts w:ascii="Arial" w:hAnsi="Arial" w:eastAsia="宋体" w:cs="Arial"/>
          <w:snapToGrid w:val="0"/>
          <w:szCs w:val="30"/>
          <w:highlight w:val="none"/>
          <w:lang w:val="en-US" w:eastAsia="en-US" w:bidi="ar-SA"/>
        </w:rPr>
        <w:t>　</w:t>
      </w:r>
      <w:r>
        <w:rPr>
          <w:rFonts w:hint="eastAsia" w:ascii="宋体" w:cs="宋体"/>
          <w:bCs/>
          <w:szCs w:val="30"/>
          <w:highlight w:val="none"/>
        </w:rPr>
        <w:t>发包人义务</w:t>
      </w:r>
      <w:r>
        <w:tab/>
      </w:r>
      <w:r>
        <w:fldChar w:fldCharType="begin"/>
      </w:r>
      <w:r>
        <w:instrText xml:space="preserve"> PAGEREF _Toc8225 \h </w:instrText>
      </w:r>
      <w:r>
        <w:fldChar w:fldCharType="separate"/>
      </w:r>
      <w:r>
        <w:t>65</w:t>
      </w:r>
      <w:r>
        <w:fldChar w:fldCharType="end"/>
      </w:r>
      <w:r>
        <w:rPr>
          <w:rFonts w:eastAsia="Arial"/>
          <w:color w:val="auto"/>
          <w:highlight w:val="none"/>
        </w:rPr>
        <w:fldChar w:fldCharType="end"/>
      </w:r>
    </w:p>
    <w:p w14:paraId="0549F44C">
      <w:pPr>
        <w:pStyle w:val="15"/>
        <w:tabs>
          <w:tab w:val="right" w:leader="dot" w:pos="9069"/>
        </w:tabs>
      </w:pPr>
      <w:r>
        <w:rPr>
          <w:rFonts w:eastAsia="Arial"/>
          <w:color w:val="auto"/>
          <w:highlight w:val="none"/>
        </w:rPr>
        <w:fldChar w:fldCharType="begin"/>
      </w:r>
      <w:r>
        <w:rPr>
          <w:rFonts w:eastAsia="Arial"/>
          <w:highlight w:val="none"/>
        </w:rPr>
        <w:instrText xml:space="preserve"> HYPERLINK \l _Toc125 </w:instrText>
      </w:r>
      <w:r>
        <w:rPr>
          <w:rFonts w:eastAsia="Arial"/>
          <w:highlight w:val="none"/>
        </w:rPr>
        <w:fldChar w:fldCharType="separate"/>
      </w:r>
      <w:r>
        <w:rPr>
          <w:rFonts w:hint="eastAsia" w:ascii="宋体" w:hAnsi="Arial" w:eastAsia="宋体" w:cs="宋体"/>
          <w:snapToGrid w:val="0"/>
          <w:szCs w:val="30"/>
          <w:highlight w:val="none"/>
          <w:lang w:val="en-US" w:eastAsia="en-US" w:bidi="ar-SA"/>
        </w:rPr>
        <w:t>3</w:t>
      </w:r>
      <w:r>
        <w:rPr>
          <w:rFonts w:ascii="Arial" w:hAnsi="Arial" w:eastAsia="宋体" w:cs="Arial"/>
          <w:snapToGrid w:val="0"/>
          <w:szCs w:val="30"/>
          <w:highlight w:val="none"/>
          <w:lang w:val="en-US" w:eastAsia="en-US" w:bidi="ar-SA"/>
        </w:rPr>
        <w:t>　</w:t>
      </w:r>
      <w:r>
        <w:rPr>
          <w:rFonts w:hint="eastAsia" w:ascii="宋体" w:hAnsi="Arial" w:eastAsia="宋体" w:cs="宋体"/>
          <w:snapToGrid w:val="0"/>
          <w:szCs w:val="30"/>
          <w:highlight w:val="none"/>
          <w:lang w:val="en-US" w:eastAsia="en-US" w:bidi="ar-SA"/>
        </w:rPr>
        <w:t>监理人</w:t>
      </w:r>
      <w:r>
        <w:tab/>
      </w:r>
      <w:r>
        <w:fldChar w:fldCharType="begin"/>
      </w:r>
      <w:r>
        <w:instrText xml:space="preserve"> PAGEREF _Toc125 \h </w:instrText>
      </w:r>
      <w:r>
        <w:fldChar w:fldCharType="separate"/>
      </w:r>
      <w:r>
        <w:t>66</w:t>
      </w:r>
      <w:r>
        <w:fldChar w:fldCharType="end"/>
      </w:r>
      <w:r>
        <w:rPr>
          <w:rFonts w:eastAsia="Arial"/>
          <w:color w:val="auto"/>
          <w:highlight w:val="none"/>
        </w:rPr>
        <w:fldChar w:fldCharType="end"/>
      </w:r>
    </w:p>
    <w:p w14:paraId="21BF03A4">
      <w:pPr>
        <w:pStyle w:val="15"/>
        <w:tabs>
          <w:tab w:val="right" w:leader="dot" w:pos="9069"/>
        </w:tabs>
      </w:pPr>
      <w:r>
        <w:rPr>
          <w:rFonts w:eastAsia="Arial"/>
          <w:color w:val="auto"/>
          <w:highlight w:val="none"/>
        </w:rPr>
        <w:fldChar w:fldCharType="begin"/>
      </w:r>
      <w:r>
        <w:rPr>
          <w:rFonts w:eastAsia="Arial"/>
          <w:highlight w:val="none"/>
        </w:rPr>
        <w:instrText xml:space="preserve"> HYPERLINK \l _Toc7969 </w:instrText>
      </w:r>
      <w:r>
        <w:rPr>
          <w:rFonts w:eastAsia="Arial"/>
          <w:highlight w:val="none"/>
        </w:rPr>
        <w:fldChar w:fldCharType="separate"/>
      </w:r>
      <w:r>
        <w:rPr>
          <w:rFonts w:hint="eastAsia" w:ascii="宋体" w:cs="宋体"/>
          <w:szCs w:val="30"/>
          <w:highlight w:val="none"/>
        </w:rPr>
        <w:t>4</w:t>
      </w:r>
      <w:r>
        <w:rPr>
          <w:rFonts w:hint="eastAsia" w:cs="宋体"/>
          <w:szCs w:val="30"/>
          <w:highlight w:val="none"/>
          <w:lang w:eastAsia="zh-CN"/>
        </w:rPr>
        <w:t>　</w:t>
      </w:r>
      <w:r>
        <w:rPr>
          <w:rFonts w:hint="eastAsia" w:ascii="宋体" w:cs="宋体"/>
          <w:szCs w:val="30"/>
          <w:highlight w:val="none"/>
        </w:rPr>
        <w:t>承包人</w:t>
      </w:r>
      <w:r>
        <w:tab/>
      </w:r>
      <w:r>
        <w:fldChar w:fldCharType="begin"/>
      </w:r>
      <w:r>
        <w:instrText xml:space="preserve"> PAGEREF _Toc7969 \h </w:instrText>
      </w:r>
      <w:r>
        <w:fldChar w:fldCharType="separate"/>
      </w:r>
      <w:r>
        <w:t>68</w:t>
      </w:r>
      <w:r>
        <w:fldChar w:fldCharType="end"/>
      </w:r>
      <w:r>
        <w:rPr>
          <w:rFonts w:eastAsia="Arial"/>
          <w:color w:val="auto"/>
          <w:highlight w:val="none"/>
        </w:rPr>
        <w:fldChar w:fldCharType="end"/>
      </w:r>
    </w:p>
    <w:p w14:paraId="12E1FE12">
      <w:pPr>
        <w:pStyle w:val="15"/>
        <w:tabs>
          <w:tab w:val="right" w:leader="dot" w:pos="9069"/>
        </w:tabs>
      </w:pPr>
      <w:r>
        <w:rPr>
          <w:rFonts w:eastAsia="Arial"/>
          <w:color w:val="auto"/>
          <w:highlight w:val="none"/>
        </w:rPr>
        <w:fldChar w:fldCharType="begin"/>
      </w:r>
      <w:r>
        <w:rPr>
          <w:rFonts w:eastAsia="Arial"/>
          <w:highlight w:val="none"/>
        </w:rPr>
        <w:instrText xml:space="preserve"> HYPERLINK \l _Toc7551 </w:instrText>
      </w:r>
      <w:r>
        <w:rPr>
          <w:rFonts w:eastAsia="Arial"/>
          <w:highlight w:val="none"/>
        </w:rPr>
        <w:fldChar w:fldCharType="separate"/>
      </w:r>
      <w:r>
        <w:rPr>
          <w:rFonts w:hint="eastAsia" w:ascii="宋体" w:cs="宋体"/>
          <w:szCs w:val="30"/>
          <w:highlight w:val="none"/>
        </w:rPr>
        <w:t>5</w:t>
      </w:r>
      <w:r>
        <w:rPr>
          <w:rFonts w:hint="eastAsia" w:cs="宋体"/>
          <w:szCs w:val="30"/>
          <w:highlight w:val="none"/>
          <w:lang w:eastAsia="zh-CN"/>
        </w:rPr>
        <w:t>　</w:t>
      </w:r>
      <w:r>
        <w:rPr>
          <w:rFonts w:hint="eastAsia" w:ascii="宋体" w:cs="宋体"/>
          <w:szCs w:val="30"/>
          <w:highlight w:val="none"/>
        </w:rPr>
        <w:t>材料和工程设备</w:t>
      </w:r>
      <w:r>
        <w:tab/>
      </w:r>
      <w:r>
        <w:fldChar w:fldCharType="begin"/>
      </w:r>
      <w:r>
        <w:instrText xml:space="preserve"> PAGEREF _Toc7551 \h </w:instrText>
      </w:r>
      <w:r>
        <w:fldChar w:fldCharType="separate"/>
      </w:r>
      <w:r>
        <w:t>72</w:t>
      </w:r>
      <w:r>
        <w:fldChar w:fldCharType="end"/>
      </w:r>
      <w:r>
        <w:rPr>
          <w:rFonts w:eastAsia="Arial"/>
          <w:color w:val="auto"/>
          <w:highlight w:val="none"/>
        </w:rPr>
        <w:fldChar w:fldCharType="end"/>
      </w:r>
    </w:p>
    <w:p w14:paraId="7D7376BE">
      <w:pPr>
        <w:pStyle w:val="15"/>
        <w:tabs>
          <w:tab w:val="right" w:leader="dot" w:pos="9069"/>
        </w:tabs>
      </w:pPr>
      <w:r>
        <w:rPr>
          <w:rFonts w:eastAsia="Arial"/>
          <w:color w:val="auto"/>
          <w:highlight w:val="none"/>
        </w:rPr>
        <w:fldChar w:fldCharType="begin"/>
      </w:r>
      <w:r>
        <w:rPr>
          <w:rFonts w:eastAsia="Arial"/>
          <w:highlight w:val="none"/>
        </w:rPr>
        <w:instrText xml:space="preserve"> HYPERLINK \l _Toc1850 </w:instrText>
      </w:r>
      <w:r>
        <w:rPr>
          <w:rFonts w:eastAsia="Arial"/>
          <w:highlight w:val="none"/>
        </w:rPr>
        <w:fldChar w:fldCharType="separate"/>
      </w:r>
      <w:r>
        <w:rPr>
          <w:rFonts w:hint="eastAsia" w:ascii="宋体" w:cs="宋体"/>
          <w:szCs w:val="30"/>
          <w:highlight w:val="none"/>
        </w:rPr>
        <w:t>6</w:t>
      </w:r>
      <w:r>
        <w:rPr>
          <w:rFonts w:hint="eastAsia" w:cs="宋体"/>
          <w:szCs w:val="30"/>
          <w:highlight w:val="none"/>
          <w:lang w:eastAsia="zh-CN"/>
        </w:rPr>
        <w:t>　</w:t>
      </w:r>
      <w:r>
        <w:rPr>
          <w:rFonts w:hint="eastAsia" w:ascii="宋体" w:cs="宋体"/>
          <w:szCs w:val="30"/>
          <w:highlight w:val="none"/>
        </w:rPr>
        <w:t>施工设备和临时设施</w:t>
      </w:r>
      <w:r>
        <w:tab/>
      </w:r>
      <w:r>
        <w:fldChar w:fldCharType="begin"/>
      </w:r>
      <w:r>
        <w:instrText xml:space="preserve"> PAGEREF _Toc1850 \h </w:instrText>
      </w:r>
      <w:r>
        <w:fldChar w:fldCharType="separate"/>
      </w:r>
      <w:r>
        <w:t>74</w:t>
      </w:r>
      <w:r>
        <w:fldChar w:fldCharType="end"/>
      </w:r>
      <w:r>
        <w:rPr>
          <w:rFonts w:eastAsia="Arial"/>
          <w:color w:val="auto"/>
          <w:highlight w:val="none"/>
        </w:rPr>
        <w:fldChar w:fldCharType="end"/>
      </w:r>
    </w:p>
    <w:p w14:paraId="375CBD2F">
      <w:pPr>
        <w:pStyle w:val="15"/>
        <w:tabs>
          <w:tab w:val="right" w:leader="dot" w:pos="9069"/>
        </w:tabs>
      </w:pPr>
      <w:r>
        <w:rPr>
          <w:rFonts w:eastAsia="Arial"/>
          <w:color w:val="auto"/>
          <w:highlight w:val="none"/>
        </w:rPr>
        <w:fldChar w:fldCharType="begin"/>
      </w:r>
      <w:r>
        <w:rPr>
          <w:rFonts w:eastAsia="Arial"/>
          <w:highlight w:val="none"/>
        </w:rPr>
        <w:instrText xml:space="preserve"> HYPERLINK \l _Toc123 </w:instrText>
      </w:r>
      <w:r>
        <w:rPr>
          <w:rFonts w:eastAsia="Arial"/>
          <w:highlight w:val="none"/>
        </w:rPr>
        <w:fldChar w:fldCharType="separate"/>
      </w:r>
      <w:r>
        <w:rPr>
          <w:rFonts w:hint="eastAsia" w:hAnsi="宋体" w:cs="宋体"/>
          <w:bCs/>
          <w:szCs w:val="30"/>
          <w:highlight w:val="none"/>
          <w:lang w:eastAsia="zh-CN"/>
        </w:rPr>
        <w:t>7</w:t>
      </w:r>
      <w:r>
        <w:rPr>
          <w:rFonts w:hint="eastAsia" w:cs="宋体"/>
          <w:bCs/>
          <w:szCs w:val="30"/>
          <w:highlight w:val="none"/>
          <w:lang w:eastAsia="zh-CN"/>
        </w:rPr>
        <w:t>　</w:t>
      </w:r>
      <w:r>
        <w:rPr>
          <w:rFonts w:cs="宋体"/>
          <w:bCs/>
          <w:szCs w:val="30"/>
          <w:highlight w:val="none"/>
          <w:lang w:eastAsia="zh-CN"/>
        </w:rPr>
        <w:t>交通运输</w:t>
      </w:r>
      <w:r>
        <w:tab/>
      </w:r>
      <w:r>
        <w:fldChar w:fldCharType="begin"/>
      </w:r>
      <w:r>
        <w:instrText xml:space="preserve"> PAGEREF _Toc123 \h </w:instrText>
      </w:r>
      <w:r>
        <w:fldChar w:fldCharType="separate"/>
      </w:r>
      <w:r>
        <w:t>74</w:t>
      </w:r>
      <w:r>
        <w:fldChar w:fldCharType="end"/>
      </w:r>
      <w:r>
        <w:rPr>
          <w:rFonts w:eastAsia="Arial"/>
          <w:color w:val="auto"/>
          <w:highlight w:val="none"/>
        </w:rPr>
        <w:fldChar w:fldCharType="end"/>
      </w:r>
    </w:p>
    <w:p w14:paraId="2560D1E0">
      <w:pPr>
        <w:pStyle w:val="15"/>
        <w:tabs>
          <w:tab w:val="right" w:leader="dot" w:pos="9069"/>
        </w:tabs>
      </w:pPr>
      <w:r>
        <w:rPr>
          <w:rFonts w:eastAsia="Arial"/>
          <w:color w:val="auto"/>
          <w:highlight w:val="none"/>
        </w:rPr>
        <w:fldChar w:fldCharType="begin"/>
      </w:r>
      <w:r>
        <w:rPr>
          <w:rFonts w:eastAsia="Arial"/>
          <w:highlight w:val="none"/>
        </w:rPr>
        <w:instrText xml:space="preserve"> HYPERLINK \l _Toc655 </w:instrText>
      </w:r>
      <w:r>
        <w:rPr>
          <w:rFonts w:eastAsia="Arial"/>
          <w:highlight w:val="none"/>
        </w:rPr>
        <w:fldChar w:fldCharType="separate"/>
      </w:r>
      <w:r>
        <w:rPr>
          <w:rFonts w:hint="eastAsia" w:ascii="宋体" w:cs="宋体"/>
          <w:szCs w:val="30"/>
          <w:highlight w:val="none"/>
        </w:rPr>
        <w:t>8</w:t>
      </w:r>
      <w:r>
        <w:rPr>
          <w:rFonts w:hint="eastAsia" w:cs="宋体"/>
          <w:szCs w:val="30"/>
          <w:highlight w:val="none"/>
          <w:lang w:eastAsia="zh-CN"/>
        </w:rPr>
        <w:t>　</w:t>
      </w:r>
      <w:r>
        <w:rPr>
          <w:rFonts w:hint="eastAsia" w:ascii="宋体" w:cs="宋体"/>
          <w:szCs w:val="30"/>
          <w:highlight w:val="none"/>
        </w:rPr>
        <w:t>测量放线</w:t>
      </w:r>
      <w:r>
        <w:tab/>
      </w:r>
      <w:r>
        <w:fldChar w:fldCharType="begin"/>
      </w:r>
      <w:r>
        <w:instrText xml:space="preserve"> PAGEREF _Toc655 \h </w:instrText>
      </w:r>
      <w:r>
        <w:fldChar w:fldCharType="separate"/>
      </w:r>
      <w:r>
        <w:t>75</w:t>
      </w:r>
      <w:r>
        <w:fldChar w:fldCharType="end"/>
      </w:r>
      <w:r>
        <w:rPr>
          <w:rFonts w:eastAsia="Arial"/>
          <w:color w:val="auto"/>
          <w:highlight w:val="none"/>
        </w:rPr>
        <w:fldChar w:fldCharType="end"/>
      </w:r>
    </w:p>
    <w:p w14:paraId="411ECC85">
      <w:pPr>
        <w:pStyle w:val="15"/>
        <w:tabs>
          <w:tab w:val="right" w:leader="dot" w:pos="9069"/>
        </w:tabs>
      </w:pPr>
      <w:r>
        <w:rPr>
          <w:rFonts w:eastAsia="Arial"/>
          <w:color w:val="auto"/>
          <w:highlight w:val="none"/>
        </w:rPr>
        <w:fldChar w:fldCharType="begin"/>
      </w:r>
      <w:r>
        <w:rPr>
          <w:rFonts w:eastAsia="Arial"/>
          <w:highlight w:val="none"/>
        </w:rPr>
        <w:instrText xml:space="preserve"> HYPERLINK \l _Toc16186 </w:instrText>
      </w:r>
      <w:r>
        <w:rPr>
          <w:rFonts w:eastAsia="Arial"/>
          <w:highlight w:val="none"/>
        </w:rPr>
        <w:fldChar w:fldCharType="separate"/>
      </w:r>
      <w:r>
        <w:rPr>
          <w:rFonts w:hint="eastAsia" w:ascii="宋体" w:cs="宋体"/>
          <w:szCs w:val="30"/>
          <w:highlight w:val="none"/>
        </w:rPr>
        <w:t>9</w:t>
      </w:r>
      <w:r>
        <w:rPr>
          <w:rFonts w:hint="eastAsia" w:cs="宋体"/>
          <w:szCs w:val="30"/>
          <w:highlight w:val="none"/>
          <w:lang w:eastAsia="zh-CN"/>
        </w:rPr>
        <w:t>　</w:t>
      </w:r>
      <w:r>
        <w:rPr>
          <w:rFonts w:hint="eastAsia" w:ascii="宋体" w:cs="宋体"/>
          <w:szCs w:val="30"/>
          <w:highlight w:val="none"/>
        </w:rPr>
        <w:t>施工安全、治安保卫和环境保护</w:t>
      </w:r>
      <w:r>
        <w:tab/>
      </w:r>
      <w:r>
        <w:fldChar w:fldCharType="begin"/>
      </w:r>
      <w:r>
        <w:instrText xml:space="preserve"> PAGEREF _Toc16186 \h </w:instrText>
      </w:r>
      <w:r>
        <w:fldChar w:fldCharType="separate"/>
      </w:r>
      <w:r>
        <w:t>76</w:t>
      </w:r>
      <w:r>
        <w:fldChar w:fldCharType="end"/>
      </w:r>
      <w:r>
        <w:rPr>
          <w:rFonts w:eastAsia="Arial"/>
          <w:color w:val="auto"/>
          <w:highlight w:val="none"/>
        </w:rPr>
        <w:fldChar w:fldCharType="end"/>
      </w:r>
    </w:p>
    <w:p w14:paraId="3434238A">
      <w:pPr>
        <w:pStyle w:val="15"/>
        <w:tabs>
          <w:tab w:val="right" w:leader="dot" w:pos="9069"/>
        </w:tabs>
      </w:pPr>
      <w:r>
        <w:rPr>
          <w:rFonts w:eastAsia="Arial"/>
          <w:color w:val="auto"/>
          <w:highlight w:val="none"/>
        </w:rPr>
        <w:fldChar w:fldCharType="begin"/>
      </w:r>
      <w:r>
        <w:rPr>
          <w:rFonts w:eastAsia="Arial"/>
          <w:highlight w:val="none"/>
        </w:rPr>
        <w:instrText xml:space="preserve"> HYPERLINK \l _Toc23347 </w:instrText>
      </w:r>
      <w:r>
        <w:rPr>
          <w:rFonts w:eastAsia="Arial"/>
          <w:highlight w:val="none"/>
        </w:rPr>
        <w:fldChar w:fldCharType="separate"/>
      </w:r>
      <w:r>
        <w:rPr>
          <w:rFonts w:hint="eastAsia" w:ascii="宋体" w:cs="宋体"/>
          <w:szCs w:val="30"/>
          <w:highlight w:val="none"/>
        </w:rPr>
        <w:t>10</w:t>
      </w:r>
      <w:r>
        <w:rPr>
          <w:rFonts w:hint="eastAsia" w:cs="宋体"/>
          <w:szCs w:val="30"/>
          <w:highlight w:val="none"/>
          <w:lang w:val="en-US" w:eastAsia="zh-CN"/>
        </w:rPr>
        <w:t>　</w:t>
      </w:r>
      <w:r>
        <w:rPr>
          <w:rFonts w:hint="eastAsia" w:ascii="宋体" w:cs="宋体"/>
          <w:szCs w:val="30"/>
          <w:highlight w:val="none"/>
        </w:rPr>
        <w:t>进度计划</w:t>
      </w:r>
      <w:r>
        <w:tab/>
      </w:r>
      <w:r>
        <w:fldChar w:fldCharType="begin"/>
      </w:r>
      <w:r>
        <w:instrText xml:space="preserve"> PAGEREF _Toc23347 \h </w:instrText>
      </w:r>
      <w:r>
        <w:fldChar w:fldCharType="separate"/>
      </w:r>
      <w:r>
        <w:t>80</w:t>
      </w:r>
      <w:r>
        <w:fldChar w:fldCharType="end"/>
      </w:r>
      <w:r>
        <w:rPr>
          <w:rFonts w:eastAsia="Arial"/>
          <w:color w:val="auto"/>
          <w:highlight w:val="none"/>
        </w:rPr>
        <w:fldChar w:fldCharType="end"/>
      </w:r>
    </w:p>
    <w:p w14:paraId="3F2DFD04">
      <w:pPr>
        <w:pStyle w:val="15"/>
        <w:tabs>
          <w:tab w:val="right" w:leader="dot" w:pos="9069"/>
        </w:tabs>
      </w:pPr>
      <w:r>
        <w:rPr>
          <w:rFonts w:eastAsia="Arial"/>
          <w:color w:val="auto"/>
          <w:highlight w:val="none"/>
        </w:rPr>
        <w:fldChar w:fldCharType="begin"/>
      </w:r>
      <w:r>
        <w:rPr>
          <w:rFonts w:eastAsia="Arial"/>
          <w:highlight w:val="none"/>
        </w:rPr>
        <w:instrText xml:space="preserve"> HYPERLINK \l _Toc327 </w:instrText>
      </w:r>
      <w:r>
        <w:rPr>
          <w:rFonts w:eastAsia="Arial"/>
          <w:highlight w:val="none"/>
        </w:rPr>
        <w:fldChar w:fldCharType="separate"/>
      </w:r>
      <w:r>
        <w:rPr>
          <w:rFonts w:hint="eastAsia" w:ascii="宋体" w:cs="宋体"/>
          <w:szCs w:val="30"/>
          <w:highlight w:val="none"/>
        </w:rPr>
        <w:t>11</w:t>
      </w:r>
      <w:r>
        <w:rPr>
          <w:rFonts w:hint="eastAsia" w:cs="宋体"/>
          <w:szCs w:val="30"/>
          <w:highlight w:val="none"/>
          <w:lang w:eastAsia="zh-CN"/>
        </w:rPr>
        <w:t>　</w:t>
      </w:r>
      <w:r>
        <w:rPr>
          <w:rFonts w:hint="eastAsia" w:ascii="宋体" w:cs="宋体"/>
          <w:szCs w:val="30"/>
          <w:highlight w:val="none"/>
        </w:rPr>
        <w:t>开工和完工</w:t>
      </w:r>
      <w:r>
        <w:tab/>
      </w:r>
      <w:r>
        <w:fldChar w:fldCharType="begin"/>
      </w:r>
      <w:r>
        <w:instrText xml:space="preserve"> PAGEREF _Toc327 \h </w:instrText>
      </w:r>
      <w:r>
        <w:fldChar w:fldCharType="separate"/>
      </w:r>
      <w:r>
        <w:t>81</w:t>
      </w:r>
      <w:r>
        <w:fldChar w:fldCharType="end"/>
      </w:r>
      <w:r>
        <w:rPr>
          <w:rFonts w:eastAsia="Arial"/>
          <w:color w:val="auto"/>
          <w:highlight w:val="none"/>
        </w:rPr>
        <w:fldChar w:fldCharType="end"/>
      </w:r>
    </w:p>
    <w:p w14:paraId="4757B804">
      <w:pPr>
        <w:pStyle w:val="15"/>
        <w:tabs>
          <w:tab w:val="right" w:leader="dot" w:pos="9069"/>
        </w:tabs>
      </w:pPr>
      <w:r>
        <w:rPr>
          <w:rFonts w:eastAsia="Arial"/>
          <w:color w:val="auto"/>
          <w:highlight w:val="none"/>
        </w:rPr>
        <w:fldChar w:fldCharType="begin"/>
      </w:r>
      <w:r>
        <w:rPr>
          <w:rFonts w:eastAsia="Arial"/>
          <w:highlight w:val="none"/>
        </w:rPr>
        <w:instrText xml:space="preserve"> HYPERLINK \l _Toc4417 </w:instrText>
      </w:r>
      <w:r>
        <w:rPr>
          <w:rFonts w:eastAsia="Arial"/>
          <w:highlight w:val="none"/>
        </w:rPr>
        <w:fldChar w:fldCharType="separate"/>
      </w:r>
      <w:r>
        <w:rPr>
          <w:rFonts w:hint="eastAsia" w:ascii="宋体" w:cs="宋体"/>
          <w:szCs w:val="30"/>
          <w:highlight w:val="none"/>
        </w:rPr>
        <w:t>12</w:t>
      </w:r>
      <w:r>
        <w:rPr>
          <w:rFonts w:hint="eastAsia" w:cs="宋体"/>
          <w:szCs w:val="30"/>
          <w:highlight w:val="none"/>
          <w:lang w:eastAsia="zh-CN"/>
        </w:rPr>
        <w:t>　</w:t>
      </w:r>
      <w:r>
        <w:rPr>
          <w:rFonts w:hint="eastAsia" w:ascii="宋体" w:cs="宋体"/>
          <w:szCs w:val="30"/>
          <w:highlight w:val="none"/>
        </w:rPr>
        <w:t>暂停施工</w:t>
      </w:r>
      <w:r>
        <w:tab/>
      </w:r>
      <w:r>
        <w:fldChar w:fldCharType="begin"/>
      </w:r>
      <w:r>
        <w:instrText xml:space="preserve"> PAGEREF _Toc4417 \h </w:instrText>
      </w:r>
      <w:r>
        <w:fldChar w:fldCharType="separate"/>
      </w:r>
      <w:r>
        <w:t>83</w:t>
      </w:r>
      <w:r>
        <w:fldChar w:fldCharType="end"/>
      </w:r>
      <w:r>
        <w:rPr>
          <w:rFonts w:eastAsia="Arial"/>
          <w:color w:val="auto"/>
          <w:highlight w:val="none"/>
        </w:rPr>
        <w:fldChar w:fldCharType="end"/>
      </w:r>
    </w:p>
    <w:p w14:paraId="261A1872">
      <w:pPr>
        <w:pStyle w:val="15"/>
        <w:tabs>
          <w:tab w:val="right" w:leader="dot" w:pos="9069"/>
        </w:tabs>
      </w:pPr>
      <w:r>
        <w:rPr>
          <w:rFonts w:eastAsia="Arial"/>
          <w:color w:val="auto"/>
          <w:highlight w:val="none"/>
        </w:rPr>
        <w:fldChar w:fldCharType="begin"/>
      </w:r>
      <w:r>
        <w:rPr>
          <w:rFonts w:eastAsia="Arial"/>
          <w:highlight w:val="none"/>
        </w:rPr>
        <w:instrText xml:space="preserve"> HYPERLINK \l _Toc18978 </w:instrText>
      </w:r>
      <w:r>
        <w:rPr>
          <w:rFonts w:eastAsia="Arial"/>
          <w:highlight w:val="none"/>
        </w:rPr>
        <w:fldChar w:fldCharType="separate"/>
      </w:r>
      <w:r>
        <w:rPr>
          <w:rFonts w:hint="eastAsia" w:ascii="宋体" w:cs="宋体"/>
          <w:szCs w:val="30"/>
          <w:highlight w:val="none"/>
        </w:rPr>
        <w:t>13</w:t>
      </w:r>
      <w:r>
        <w:rPr>
          <w:rFonts w:hint="eastAsia" w:cs="宋体"/>
          <w:szCs w:val="30"/>
          <w:highlight w:val="none"/>
          <w:lang w:eastAsia="zh-CN"/>
        </w:rPr>
        <w:t>　</w:t>
      </w:r>
      <w:r>
        <w:rPr>
          <w:rFonts w:hint="eastAsia" w:ascii="宋体" w:cs="宋体"/>
          <w:szCs w:val="30"/>
          <w:highlight w:val="none"/>
        </w:rPr>
        <w:t>工程质量</w:t>
      </w:r>
      <w:r>
        <w:tab/>
      </w:r>
      <w:r>
        <w:fldChar w:fldCharType="begin"/>
      </w:r>
      <w:r>
        <w:instrText xml:space="preserve"> PAGEREF _Toc18978 \h </w:instrText>
      </w:r>
      <w:r>
        <w:fldChar w:fldCharType="separate"/>
      </w:r>
      <w:r>
        <w:t>84</w:t>
      </w:r>
      <w:r>
        <w:fldChar w:fldCharType="end"/>
      </w:r>
      <w:r>
        <w:rPr>
          <w:rFonts w:eastAsia="Arial"/>
          <w:color w:val="auto"/>
          <w:highlight w:val="none"/>
        </w:rPr>
        <w:fldChar w:fldCharType="end"/>
      </w:r>
    </w:p>
    <w:p w14:paraId="0C7995DC">
      <w:pPr>
        <w:pStyle w:val="15"/>
        <w:tabs>
          <w:tab w:val="right" w:leader="dot" w:pos="9069"/>
        </w:tabs>
      </w:pPr>
      <w:r>
        <w:rPr>
          <w:rFonts w:eastAsia="Arial"/>
          <w:color w:val="auto"/>
          <w:highlight w:val="none"/>
        </w:rPr>
        <w:fldChar w:fldCharType="begin"/>
      </w:r>
      <w:r>
        <w:rPr>
          <w:rFonts w:eastAsia="Arial"/>
          <w:highlight w:val="none"/>
        </w:rPr>
        <w:instrText xml:space="preserve"> HYPERLINK \l _Toc22207 </w:instrText>
      </w:r>
      <w:r>
        <w:rPr>
          <w:rFonts w:eastAsia="Arial"/>
          <w:highlight w:val="none"/>
        </w:rPr>
        <w:fldChar w:fldCharType="separate"/>
      </w:r>
      <w:r>
        <w:rPr>
          <w:rFonts w:hint="eastAsia" w:ascii="宋体" w:cs="宋体"/>
          <w:szCs w:val="30"/>
          <w:highlight w:val="none"/>
        </w:rPr>
        <w:t>14</w:t>
      </w:r>
      <w:r>
        <w:rPr>
          <w:rFonts w:hint="eastAsia" w:cs="宋体"/>
          <w:szCs w:val="30"/>
          <w:highlight w:val="none"/>
          <w:lang w:eastAsia="zh-CN"/>
        </w:rPr>
        <w:t>　</w:t>
      </w:r>
      <w:r>
        <w:rPr>
          <w:rFonts w:hint="eastAsia" w:ascii="宋体" w:cs="宋体"/>
          <w:szCs w:val="30"/>
          <w:highlight w:val="none"/>
        </w:rPr>
        <w:t>试验和检验</w:t>
      </w:r>
      <w:r>
        <w:tab/>
      </w:r>
      <w:r>
        <w:fldChar w:fldCharType="begin"/>
      </w:r>
      <w:r>
        <w:instrText xml:space="preserve"> PAGEREF _Toc22207 \h </w:instrText>
      </w:r>
      <w:r>
        <w:fldChar w:fldCharType="separate"/>
      </w:r>
      <w:r>
        <w:t>87</w:t>
      </w:r>
      <w:r>
        <w:fldChar w:fldCharType="end"/>
      </w:r>
      <w:r>
        <w:rPr>
          <w:rFonts w:eastAsia="Arial"/>
          <w:color w:val="auto"/>
          <w:highlight w:val="none"/>
        </w:rPr>
        <w:fldChar w:fldCharType="end"/>
      </w:r>
    </w:p>
    <w:p w14:paraId="7CE116B4">
      <w:pPr>
        <w:pStyle w:val="15"/>
        <w:tabs>
          <w:tab w:val="right" w:leader="dot" w:pos="9069"/>
        </w:tabs>
      </w:pPr>
      <w:r>
        <w:rPr>
          <w:rFonts w:eastAsia="Arial"/>
          <w:color w:val="auto"/>
          <w:highlight w:val="none"/>
        </w:rPr>
        <w:fldChar w:fldCharType="begin"/>
      </w:r>
      <w:r>
        <w:rPr>
          <w:rFonts w:eastAsia="Arial"/>
          <w:highlight w:val="none"/>
        </w:rPr>
        <w:instrText xml:space="preserve"> HYPERLINK \l _Toc30238 </w:instrText>
      </w:r>
      <w:r>
        <w:rPr>
          <w:rFonts w:eastAsia="Arial"/>
          <w:highlight w:val="none"/>
        </w:rPr>
        <w:fldChar w:fldCharType="separate"/>
      </w:r>
      <w:r>
        <w:rPr>
          <w:rFonts w:hint="eastAsia" w:ascii="宋体" w:cs="宋体"/>
          <w:szCs w:val="30"/>
          <w:highlight w:val="none"/>
        </w:rPr>
        <w:t>15</w:t>
      </w:r>
      <w:r>
        <w:rPr>
          <w:rFonts w:hint="eastAsia" w:cs="宋体"/>
          <w:szCs w:val="30"/>
          <w:highlight w:val="none"/>
          <w:lang w:eastAsia="zh-CN"/>
        </w:rPr>
        <w:t>　</w:t>
      </w:r>
      <w:r>
        <w:rPr>
          <w:rFonts w:hint="eastAsia" w:ascii="宋体" w:cs="宋体"/>
          <w:szCs w:val="30"/>
          <w:highlight w:val="none"/>
        </w:rPr>
        <w:t>变更</w:t>
      </w:r>
      <w:r>
        <w:tab/>
      </w:r>
      <w:r>
        <w:fldChar w:fldCharType="begin"/>
      </w:r>
      <w:r>
        <w:instrText xml:space="preserve"> PAGEREF _Toc30238 \h </w:instrText>
      </w:r>
      <w:r>
        <w:fldChar w:fldCharType="separate"/>
      </w:r>
      <w:r>
        <w:t>88</w:t>
      </w:r>
      <w:r>
        <w:fldChar w:fldCharType="end"/>
      </w:r>
      <w:r>
        <w:rPr>
          <w:rFonts w:eastAsia="Arial"/>
          <w:color w:val="auto"/>
          <w:highlight w:val="none"/>
        </w:rPr>
        <w:fldChar w:fldCharType="end"/>
      </w:r>
    </w:p>
    <w:p w14:paraId="26DEE124">
      <w:pPr>
        <w:pStyle w:val="15"/>
        <w:tabs>
          <w:tab w:val="right" w:leader="dot" w:pos="9069"/>
        </w:tabs>
      </w:pPr>
      <w:r>
        <w:rPr>
          <w:rFonts w:eastAsia="Arial"/>
          <w:color w:val="auto"/>
          <w:highlight w:val="none"/>
        </w:rPr>
        <w:fldChar w:fldCharType="begin"/>
      </w:r>
      <w:r>
        <w:rPr>
          <w:rFonts w:eastAsia="Arial"/>
          <w:highlight w:val="none"/>
        </w:rPr>
        <w:instrText xml:space="preserve"> HYPERLINK \l _Toc18318 </w:instrText>
      </w:r>
      <w:r>
        <w:rPr>
          <w:rFonts w:eastAsia="Arial"/>
          <w:highlight w:val="none"/>
        </w:rPr>
        <w:fldChar w:fldCharType="separate"/>
      </w:r>
      <w:r>
        <w:rPr>
          <w:rFonts w:hint="eastAsia" w:ascii="宋体" w:cs="宋体"/>
          <w:szCs w:val="30"/>
          <w:highlight w:val="none"/>
        </w:rPr>
        <w:t>16</w:t>
      </w:r>
      <w:r>
        <w:rPr>
          <w:rFonts w:hint="eastAsia" w:cs="宋体"/>
          <w:szCs w:val="30"/>
          <w:highlight w:val="none"/>
          <w:lang w:eastAsia="zh-CN"/>
        </w:rPr>
        <w:t>　</w:t>
      </w:r>
      <w:r>
        <w:rPr>
          <w:rFonts w:hint="eastAsia" w:ascii="宋体" w:cs="宋体"/>
          <w:szCs w:val="30"/>
          <w:highlight w:val="none"/>
        </w:rPr>
        <w:t>价格调整</w:t>
      </w:r>
      <w:r>
        <w:tab/>
      </w:r>
      <w:r>
        <w:fldChar w:fldCharType="begin"/>
      </w:r>
      <w:r>
        <w:instrText xml:space="preserve"> PAGEREF _Toc18318 \h </w:instrText>
      </w:r>
      <w:r>
        <w:fldChar w:fldCharType="separate"/>
      </w:r>
      <w:r>
        <w:t>91</w:t>
      </w:r>
      <w:r>
        <w:fldChar w:fldCharType="end"/>
      </w:r>
      <w:r>
        <w:rPr>
          <w:rFonts w:eastAsia="Arial"/>
          <w:color w:val="auto"/>
          <w:highlight w:val="none"/>
        </w:rPr>
        <w:fldChar w:fldCharType="end"/>
      </w:r>
    </w:p>
    <w:p w14:paraId="7090806B">
      <w:pPr>
        <w:pStyle w:val="15"/>
        <w:tabs>
          <w:tab w:val="right" w:leader="dot" w:pos="9069"/>
        </w:tabs>
      </w:pPr>
      <w:r>
        <w:rPr>
          <w:rFonts w:eastAsia="Arial"/>
          <w:color w:val="auto"/>
          <w:highlight w:val="none"/>
        </w:rPr>
        <w:fldChar w:fldCharType="begin"/>
      </w:r>
      <w:r>
        <w:rPr>
          <w:rFonts w:eastAsia="Arial"/>
          <w:highlight w:val="none"/>
        </w:rPr>
        <w:instrText xml:space="preserve"> HYPERLINK \l _Toc1798 </w:instrText>
      </w:r>
      <w:r>
        <w:rPr>
          <w:rFonts w:eastAsia="Arial"/>
          <w:highlight w:val="none"/>
        </w:rPr>
        <w:fldChar w:fldCharType="separate"/>
      </w:r>
      <w:r>
        <w:rPr>
          <w:rFonts w:hint="eastAsia" w:ascii="宋体" w:cs="宋体"/>
          <w:szCs w:val="30"/>
          <w:highlight w:val="none"/>
        </w:rPr>
        <w:t>17</w:t>
      </w:r>
      <w:r>
        <w:rPr>
          <w:rFonts w:hint="eastAsia" w:cs="宋体"/>
          <w:szCs w:val="30"/>
          <w:highlight w:val="none"/>
          <w:lang w:eastAsia="zh-CN"/>
        </w:rPr>
        <w:t>　</w:t>
      </w:r>
      <w:r>
        <w:rPr>
          <w:rFonts w:hint="eastAsia" w:ascii="宋体" w:cs="宋体"/>
          <w:szCs w:val="30"/>
          <w:highlight w:val="none"/>
        </w:rPr>
        <w:t>计量与支付</w:t>
      </w:r>
      <w:r>
        <w:tab/>
      </w:r>
      <w:r>
        <w:fldChar w:fldCharType="begin"/>
      </w:r>
      <w:r>
        <w:instrText xml:space="preserve"> PAGEREF _Toc1798 \h </w:instrText>
      </w:r>
      <w:r>
        <w:fldChar w:fldCharType="separate"/>
      </w:r>
      <w:r>
        <w:t>93</w:t>
      </w:r>
      <w:r>
        <w:fldChar w:fldCharType="end"/>
      </w:r>
      <w:r>
        <w:rPr>
          <w:rFonts w:eastAsia="Arial"/>
          <w:color w:val="auto"/>
          <w:highlight w:val="none"/>
        </w:rPr>
        <w:fldChar w:fldCharType="end"/>
      </w:r>
    </w:p>
    <w:p w14:paraId="40EA8E18">
      <w:pPr>
        <w:pStyle w:val="15"/>
        <w:tabs>
          <w:tab w:val="right" w:leader="dot" w:pos="9069"/>
        </w:tabs>
      </w:pPr>
      <w:r>
        <w:rPr>
          <w:rFonts w:eastAsia="Arial"/>
          <w:color w:val="auto"/>
          <w:highlight w:val="none"/>
        </w:rPr>
        <w:fldChar w:fldCharType="begin"/>
      </w:r>
      <w:r>
        <w:rPr>
          <w:rFonts w:eastAsia="Arial"/>
          <w:highlight w:val="none"/>
        </w:rPr>
        <w:instrText xml:space="preserve"> HYPERLINK \l _Toc9723 </w:instrText>
      </w:r>
      <w:r>
        <w:rPr>
          <w:rFonts w:eastAsia="Arial"/>
          <w:highlight w:val="none"/>
        </w:rPr>
        <w:fldChar w:fldCharType="separate"/>
      </w:r>
      <w:r>
        <w:rPr>
          <w:rFonts w:hint="eastAsia" w:ascii="宋体" w:cs="宋体"/>
          <w:szCs w:val="30"/>
          <w:highlight w:val="none"/>
        </w:rPr>
        <w:t>18</w:t>
      </w:r>
      <w:r>
        <w:rPr>
          <w:rFonts w:hint="eastAsia" w:cs="宋体"/>
          <w:szCs w:val="30"/>
          <w:highlight w:val="none"/>
          <w:lang w:eastAsia="zh-CN"/>
        </w:rPr>
        <w:t>　</w:t>
      </w:r>
      <w:r>
        <w:rPr>
          <w:rFonts w:hint="eastAsia" w:ascii="宋体" w:cs="宋体"/>
          <w:szCs w:val="30"/>
          <w:highlight w:val="none"/>
        </w:rPr>
        <w:t>工程验收</w:t>
      </w:r>
      <w:r>
        <w:tab/>
      </w:r>
      <w:r>
        <w:fldChar w:fldCharType="begin"/>
      </w:r>
      <w:r>
        <w:instrText xml:space="preserve"> PAGEREF _Toc9723 \h </w:instrText>
      </w:r>
      <w:r>
        <w:fldChar w:fldCharType="separate"/>
      </w:r>
      <w:r>
        <w:t>98</w:t>
      </w:r>
      <w:r>
        <w:fldChar w:fldCharType="end"/>
      </w:r>
      <w:r>
        <w:rPr>
          <w:rFonts w:eastAsia="Arial"/>
          <w:color w:val="auto"/>
          <w:highlight w:val="none"/>
        </w:rPr>
        <w:fldChar w:fldCharType="end"/>
      </w:r>
    </w:p>
    <w:p w14:paraId="2B2DCA00">
      <w:pPr>
        <w:pStyle w:val="15"/>
        <w:tabs>
          <w:tab w:val="right" w:leader="dot" w:pos="9069"/>
        </w:tabs>
      </w:pPr>
      <w:r>
        <w:rPr>
          <w:rFonts w:eastAsia="Arial"/>
          <w:color w:val="auto"/>
          <w:highlight w:val="none"/>
        </w:rPr>
        <w:fldChar w:fldCharType="begin"/>
      </w:r>
      <w:r>
        <w:rPr>
          <w:rFonts w:eastAsia="Arial"/>
          <w:highlight w:val="none"/>
        </w:rPr>
        <w:instrText xml:space="preserve"> HYPERLINK \l _Toc1781 </w:instrText>
      </w:r>
      <w:r>
        <w:rPr>
          <w:rFonts w:eastAsia="Arial"/>
          <w:highlight w:val="none"/>
        </w:rPr>
        <w:fldChar w:fldCharType="separate"/>
      </w:r>
      <w:r>
        <w:rPr>
          <w:rFonts w:hint="eastAsia" w:ascii="宋体" w:cs="宋体"/>
          <w:szCs w:val="30"/>
          <w:highlight w:val="none"/>
        </w:rPr>
        <w:t>19</w:t>
      </w:r>
      <w:r>
        <w:rPr>
          <w:rFonts w:hint="eastAsia" w:cs="宋体"/>
          <w:szCs w:val="30"/>
          <w:highlight w:val="none"/>
          <w:lang w:eastAsia="zh-CN"/>
        </w:rPr>
        <w:t>　</w:t>
      </w:r>
      <w:r>
        <w:rPr>
          <w:rFonts w:hint="eastAsia" w:ascii="宋体" w:cs="宋体"/>
          <w:szCs w:val="30"/>
          <w:highlight w:val="none"/>
        </w:rPr>
        <w:t>缺陷责任与保修责任</w:t>
      </w:r>
      <w:r>
        <w:tab/>
      </w:r>
      <w:r>
        <w:fldChar w:fldCharType="begin"/>
      </w:r>
      <w:r>
        <w:instrText xml:space="preserve"> PAGEREF _Toc1781 \h </w:instrText>
      </w:r>
      <w:r>
        <w:fldChar w:fldCharType="separate"/>
      </w:r>
      <w:r>
        <w:t>100</w:t>
      </w:r>
      <w:r>
        <w:fldChar w:fldCharType="end"/>
      </w:r>
      <w:r>
        <w:rPr>
          <w:rFonts w:eastAsia="Arial"/>
          <w:color w:val="auto"/>
          <w:highlight w:val="none"/>
        </w:rPr>
        <w:fldChar w:fldCharType="end"/>
      </w:r>
    </w:p>
    <w:p w14:paraId="05BE4247">
      <w:pPr>
        <w:pStyle w:val="15"/>
        <w:tabs>
          <w:tab w:val="right" w:leader="dot" w:pos="9069"/>
        </w:tabs>
      </w:pPr>
      <w:r>
        <w:rPr>
          <w:rFonts w:eastAsia="Arial"/>
          <w:color w:val="auto"/>
          <w:highlight w:val="none"/>
        </w:rPr>
        <w:fldChar w:fldCharType="begin"/>
      </w:r>
      <w:r>
        <w:rPr>
          <w:rFonts w:eastAsia="Arial"/>
          <w:highlight w:val="none"/>
        </w:rPr>
        <w:instrText xml:space="preserve"> HYPERLINK \l _Toc26793 </w:instrText>
      </w:r>
      <w:r>
        <w:rPr>
          <w:rFonts w:eastAsia="Arial"/>
          <w:highlight w:val="none"/>
        </w:rPr>
        <w:fldChar w:fldCharType="separate"/>
      </w:r>
      <w:r>
        <w:rPr>
          <w:rFonts w:hint="eastAsia" w:ascii="宋体" w:cs="宋体"/>
          <w:szCs w:val="30"/>
          <w:highlight w:val="none"/>
        </w:rPr>
        <w:t>20</w:t>
      </w:r>
      <w:r>
        <w:rPr>
          <w:rFonts w:hint="eastAsia" w:cs="宋体"/>
          <w:szCs w:val="30"/>
          <w:highlight w:val="none"/>
          <w:lang w:eastAsia="zh-CN"/>
        </w:rPr>
        <w:t>　</w:t>
      </w:r>
      <w:r>
        <w:rPr>
          <w:rFonts w:hint="eastAsia" w:ascii="宋体" w:cs="宋体"/>
          <w:szCs w:val="30"/>
          <w:highlight w:val="none"/>
        </w:rPr>
        <w:t>保险</w:t>
      </w:r>
      <w:r>
        <w:tab/>
      </w:r>
      <w:r>
        <w:fldChar w:fldCharType="begin"/>
      </w:r>
      <w:r>
        <w:instrText xml:space="preserve"> PAGEREF _Toc26793 \h </w:instrText>
      </w:r>
      <w:r>
        <w:fldChar w:fldCharType="separate"/>
      </w:r>
      <w:r>
        <w:t>101</w:t>
      </w:r>
      <w:r>
        <w:fldChar w:fldCharType="end"/>
      </w:r>
      <w:r>
        <w:rPr>
          <w:rFonts w:eastAsia="Arial"/>
          <w:color w:val="auto"/>
          <w:highlight w:val="none"/>
        </w:rPr>
        <w:fldChar w:fldCharType="end"/>
      </w:r>
    </w:p>
    <w:p w14:paraId="2B7ABA33">
      <w:pPr>
        <w:pStyle w:val="15"/>
        <w:tabs>
          <w:tab w:val="right" w:leader="dot" w:pos="9069"/>
        </w:tabs>
      </w:pPr>
      <w:r>
        <w:rPr>
          <w:rFonts w:eastAsia="Arial"/>
          <w:color w:val="auto"/>
          <w:highlight w:val="none"/>
        </w:rPr>
        <w:fldChar w:fldCharType="begin"/>
      </w:r>
      <w:r>
        <w:rPr>
          <w:rFonts w:eastAsia="Arial"/>
          <w:highlight w:val="none"/>
        </w:rPr>
        <w:instrText xml:space="preserve"> HYPERLINK \l _Toc15125 </w:instrText>
      </w:r>
      <w:r>
        <w:rPr>
          <w:rFonts w:eastAsia="Arial"/>
          <w:highlight w:val="none"/>
        </w:rPr>
        <w:fldChar w:fldCharType="separate"/>
      </w:r>
      <w:r>
        <w:rPr>
          <w:rFonts w:hint="eastAsia" w:ascii="宋体" w:cs="宋体"/>
          <w:szCs w:val="30"/>
          <w:highlight w:val="none"/>
        </w:rPr>
        <w:t>21</w:t>
      </w:r>
      <w:r>
        <w:rPr>
          <w:rFonts w:hint="eastAsia" w:cs="宋体"/>
          <w:szCs w:val="30"/>
          <w:highlight w:val="none"/>
          <w:lang w:eastAsia="zh-CN"/>
        </w:rPr>
        <w:t>　</w:t>
      </w:r>
      <w:r>
        <w:rPr>
          <w:rFonts w:hint="eastAsia" w:ascii="宋体" w:cs="宋体"/>
          <w:szCs w:val="30"/>
          <w:highlight w:val="none"/>
        </w:rPr>
        <w:t>不可抗力</w:t>
      </w:r>
      <w:r>
        <w:tab/>
      </w:r>
      <w:r>
        <w:fldChar w:fldCharType="begin"/>
      </w:r>
      <w:r>
        <w:instrText xml:space="preserve"> PAGEREF _Toc15125 \h </w:instrText>
      </w:r>
      <w:r>
        <w:fldChar w:fldCharType="separate"/>
      </w:r>
      <w:r>
        <w:t>103</w:t>
      </w:r>
      <w:r>
        <w:fldChar w:fldCharType="end"/>
      </w:r>
      <w:r>
        <w:rPr>
          <w:rFonts w:eastAsia="Arial"/>
          <w:color w:val="auto"/>
          <w:highlight w:val="none"/>
        </w:rPr>
        <w:fldChar w:fldCharType="end"/>
      </w:r>
    </w:p>
    <w:p w14:paraId="11137A52">
      <w:pPr>
        <w:pStyle w:val="15"/>
        <w:tabs>
          <w:tab w:val="right" w:leader="dot" w:pos="9069"/>
        </w:tabs>
      </w:pPr>
      <w:r>
        <w:rPr>
          <w:rFonts w:eastAsia="Arial"/>
          <w:color w:val="auto"/>
          <w:highlight w:val="none"/>
        </w:rPr>
        <w:fldChar w:fldCharType="begin"/>
      </w:r>
      <w:r>
        <w:rPr>
          <w:rFonts w:eastAsia="Arial"/>
          <w:highlight w:val="none"/>
        </w:rPr>
        <w:instrText xml:space="preserve"> HYPERLINK \l _Toc3304 </w:instrText>
      </w:r>
      <w:r>
        <w:rPr>
          <w:rFonts w:eastAsia="Arial"/>
          <w:highlight w:val="none"/>
        </w:rPr>
        <w:fldChar w:fldCharType="separate"/>
      </w:r>
      <w:r>
        <w:rPr>
          <w:rFonts w:hint="eastAsia" w:ascii="宋体" w:cs="宋体"/>
          <w:szCs w:val="30"/>
          <w:highlight w:val="none"/>
        </w:rPr>
        <w:t>22</w:t>
      </w:r>
      <w:r>
        <w:rPr>
          <w:rFonts w:hint="eastAsia" w:cs="宋体"/>
          <w:szCs w:val="30"/>
          <w:highlight w:val="none"/>
          <w:lang w:eastAsia="zh-CN"/>
        </w:rPr>
        <w:t>　</w:t>
      </w:r>
      <w:r>
        <w:rPr>
          <w:rFonts w:hint="eastAsia" w:ascii="宋体" w:cs="宋体"/>
          <w:szCs w:val="30"/>
          <w:highlight w:val="none"/>
        </w:rPr>
        <w:t>违约</w:t>
      </w:r>
      <w:r>
        <w:tab/>
      </w:r>
      <w:r>
        <w:fldChar w:fldCharType="begin"/>
      </w:r>
      <w:r>
        <w:instrText xml:space="preserve"> PAGEREF _Toc3304 \h </w:instrText>
      </w:r>
      <w:r>
        <w:fldChar w:fldCharType="separate"/>
      </w:r>
      <w:r>
        <w:t>105</w:t>
      </w:r>
      <w:r>
        <w:fldChar w:fldCharType="end"/>
      </w:r>
      <w:r>
        <w:rPr>
          <w:rFonts w:eastAsia="Arial"/>
          <w:color w:val="auto"/>
          <w:highlight w:val="none"/>
        </w:rPr>
        <w:fldChar w:fldCharType="end"/>
      </w:r>
    </w:p>
    <w:p w14:paraId="4C950394">
      <w:pPr>
        <w:pStyle w:val="15"/>
        <w:tabs>
          <w:tab w:val="right" w:leader="dot" w:pos="9069"/>
        </w:tabs>
      </w:pPr>
      <w:r>
        <w:rPr>
          <w:rFonts w:eastAsia="Arial"/>
          <w:color w:val="auto"/>
          <w:highlight w:val="none"/>
        </w:rPr>
        <w:fldChar w:fldCharType="begin"/>
      </w:r>
      <w:r>
        <w:rPr>
          <w:rFonts w:eastAsia="Arial"/>
          <w:highlight w:val="none"/>
        </w:rPr>
        <w:instrText xml:space="preserve"> HYPERLINK \l _Toc27928 </w:instrText>
      </w:r>
      <w:r>
        <w:rPr>
          <w:rFonts w:eastAsia="Arial"/>
          <w:highlight w:val="none"/>
        </w:rPr>
        <w:fldChar w:fldCharType="separate"/>
      </w:r>
      <w:r>
        <w:rPr>
          <w:rFonts w:hint="eastAsia" w:ascii="宋体" w:cs="宋体"/>
          <w:szCs w:val="30"/>
          <w:highlight w:val="none"/>
        </w:rPr>
        <w:t>23</w:t>
      </w:r>
      <w:r>
        <w:rPr>
          <w:rFonts w:hint="eastAsia" w:cs="宋体"/>
          <w:szCs w:val="30"/>
          <w:highlight w:val="none"/>
          <w:lang w:eastAsia="zh-CN"/>
        </w:rPr>
        <w:t>　</w:t>
      </w:r>
      <w:r>
        <w:rPr>
          <w:rFonts w:hint="eastAsia" w:ascii="宋体" w:cs="宋体"/>
          <w:szCs w:val="30"/>
          <w:highlight w:val="none"/>
        </w:rPr>
        <w:t>索赔</w:t>
      </w:r>
      <w:r>
        <w:tab/>
      </w:r>
      <w:r>
        <w:fldChar w:fldCharType="begin"/>
      </w:r>
      <w:r>
        <w:instrText xml:space="preserve"> PAGEREF _Toc27928 \h </w:instrText>
      </w:r>
      <w:r>
        <w:fldChar w:fldCharType="separate"/>
      </w:r>
      <w:r>
        <w:t>108</w:t>
      </w:r>
      <w:r>
        <w:fldChar w:fldCharType="end"/>
      </w:r>
      <w:r>
        <w:rPr>
          <w:rFonts w:eastAsia="Arial"/>
          <w:color w:val="auto"/>
          <w:highlight w:val="none"/>
        </w:rPr>
        <w:fldChar w:fldCharType="end"/>
      </w:r>
    </w:p>
    <w:p w14:paraId="309C77B7">
      <w:pPr>
        <w:pStyle w:val="15"/>
        <w:tabs>
          <w:tab w:val="right" w:leader="dot" w:pos="9069"/>
        </w:tabs>
      </w:pPr>
      <w:r>
        <w:rPr>
          <w:rFonts w:eastAsia="Arial"/>
          <w:color w:val="auto"/>
          <w:highlight w:val="none"/>
        </w:rPr>
        <w:fldChar w:fldCharType="begin"/>
      </w:r>
      <w:r>
        <w:rPr>
          <w:rFonts w:eastAsia="Arial"/>
          <w:highlight w:val="none"/>
        </w:rPr>
        <w:instrText xml:space="preserve"> HYPERLINK \l _Toc30909 </w:instrText>
      </w:r>
      <w:r>
        <w:rPr>
          <w:rFonts w:eastAsia="Arial"/>
          <w:highlight w:val="none"/>
        </w:rPr>
        <w:fldChar w:fldCharType="separate"/>
      </w:r>
      <w:r>
        <w:rPr>
          <w:rFonts w:hint="eastAsia" w:ascii="宋体" w:cs="宋体"/>
          <w:szCs w:val="30"/>
          <w:highlight w:val="none"/>
        </w:rPr>
        <w:t>24</w:t>
      </w:r>
      <w:r>
        <w:rPr>
          <w:rFonts w:hint="eastAsia" w:cs="宋体"/>
          <w:szCs w:val="30"/>
          <w:highlight w:val="none"/>
          <w:lang w:eastAsia="zh-CN"/>
        </w:rPr>
        <w:t>　</w:t>
      </w:r>
      <w:r>
        <w:rPr>
          <w:rFonts w:hint="eastAsia" w:ascii="宋体" w:cs="宋体"/>
          <w:szCs w:val="30"/>
          <w:highlight w:val="none"/>
        </w:rPr>
        <w:t>争议的解决</w:t>
      </w:r>
      <w:r>
        <w:tab/>
      </w:r>
      <w:r>
        <w:fldChar w:fldCharType="begin"/>
      </w:r>
      <w:r>
        <w:instrText xml:space="preserve"> PAGEREF _Toc30909 \h </w:instrText>
      </w:r>
      <w:r>
        <w:fldChar w:fldCharType="separate"/>
      </w:r>
      <w:r>
        <w:t>109</w:t>
      </w:r>
      <w:r>
        <w:fldChar w:fldCharType="end"/>
      </w:r>
      <w:r>
        <w:rPr>
          <w:rFonts w:eastAsia="Arial"/>
          <w:color w:val="auto"/>
          <w:highlight w:val="none"/>
        </w:rPr>
        <w:fldChar w:fldCharType="end"/>
      </w:r>
    </w:p>
    <w:p w14:paraId="1F826860">
      <w:pPr>
        <w:pStyle w:val="13"/>
        <w:tabs>
          <w:tab w:val="right" w:leader="dot" w:pos="9069"/>
        </w:tabs>
      </w:pPr>
      <w:r>
        <w:rPr>
          <w:rFonts w:eastAsia="Arial"/>
          <w:color w:val="auto"/>
          <w:highlight w:val="none"/>
        </w:rPr>
        <w:fldChar w:fldCharType="begin"/>
      </w:r>
      <w:r>
        <w:rPr>
          <w:rFonts w:eastAsia="Arial"/>
          <w:highlight w:val="none"/>
        </w:rPr>
        <w:instrText xml:space="preserve"> HYPERLINK \l _Toc2467 </w:instrText>
      </w:r>
      <w:r>
        <w:rPr>
          <w:rFonts w:eastAsia="Arial"/>
          <w:highlight w:val="none"/>
        </w:rPr>
        <w:fldChar w:fldCharType="separate"/>
      </w:r>
      <w:r>
        <w:rPr>
          <w:rFonts w:hint="eastAsia" w:cs="宋体"/>
          <w:szCs w:val="30"/>
          <w:highlight w:val="none"/>
        </w:rPr>
        <w:t>第2节</w:t>
      </w:r>
      <w:r>
        <w:rPr>
          <w:rFonts w:hint="eastAsia" w:cs="宋体"/>
          <w:szCs w:val="30"/>
          <w:highlight w:val="none"/>
          <w:lang w:val="en-US" w:eastAsia="zh-CN"/>
        </w:rPr>
        <w:t xml:space="preserve">  </w:t>
      </w:r>
      <w:r>
        <w:rPr>
          <w:rFonts w:hint="eastAsia" w:cs="宋体"/>
          <w:szCs w:val="30"/>
          <w:highlight w:val="none"/>
        </w:rPr>
        <w:t>专用合同条款</w:t>
      </w:r>
      <w:r>
        <w:tab/>
      </w:r>
      <w:r>
        <w:fldChar w:fldCharType="begin"/>
      </w:r>
      <w:r>
        <w:instrText xml:space="preserve"> PAGEREF _Toc2467 \h </w:instrText>
      </w:r>
      <w:r>
        <w:fldChar w:fldCharType="separate"/>
      </w:r>
      <w:r>
        <w:t>111</w:t>
      </w:r>
      <w:r>
        <w:fldChar w:fldCharType="end"/>
      </w:r>
      <w:r>
        <w:rPr>
          <w:rFonts w:eastAsia="Arial"/>
          <w:color w:val="auto"/>
          <w:highlight w:val="none"/>
        </w:rPr>
        <w:fldChar w:fldCharType="end"/>
      </w:r>
    </w:p>
    <w:p w14:paraId="409EEB9B">
      <w:pPr>
        <w:pStyle w:val="13"/>
        <w:tabs>
          <w:tab w:val="right" w:leader="dot" w:pos="9069"/>
        </w:tabs>
      </w:pPr>
      <w:r>
        <w:rPr>
          <w:rFonts w:eastAsia="Arial"/>
          <w:color w:val="auto"/>
          <w:highlight w:val="none"/>
        </w:rPr>
        <w:fldChar w:fldCharType="begin"/>
      </w:r>
      <w:r>
        <w:rPr>
          <w:rFonts w:eastAsia="Arial"/>
          <w:highlight w:val="none"/>
        </w:rPr>
        <w:instrText xml:space="preserve"> HYPERLINK \l _Toc21023 </w:instrText>
      </w:r>
      <w:r>
        <w:rPr>
          <w:rFonts w:eastAsia="Arial"/>
          <w:highlight w:val="none"/>
        </w:rPr>
        <w:fldChar w:fldCharType="separate"/>
      </w:r>
      <w:r>
        <w:rPr>
          <w:rFonts w:cs="宋体"/>
          <w:bCs/>
          <w:spacing w:val="0"/>
          <w:szCs w:val="30"/>
          <w:highlight w:val="none"/>
          <w:lang w:eastAsia="zh-CN"/>
        </w:rPr>
        <w:t>第</w:t>
      </w:r>
      <w:r>
        <w:rPr>
          <w:rFonts w:hint="eastAsia" w:ascii="宋体" w:hAnsi="宋体" w:eastAsia="宋体" w:cs="宋体"/>
          <w:bCs/>
          <w:spacing w:val="0"/>
          <w:szCs w:val="30"/>
          <w:highlight w:val="none"/>
          <w:lang w:eastAsia="zh-CN"/>
        </w:rPr>
        <w:t>3</w:t>
      </w:r>
      <w:r>
        <w:rPr>
          <w:rFonts w:cs="宋体"/>
          <w:bCs/>
          <w:spacing w:val="0"/>
          <w:szCs w:val="30"/>
          <w:highlight w:val="none"/>
          <w:lang w:eastAsia="zh-CN"/>
        </w:rPr>
        <w:t>节</w:t>
      </w:r>
      <w:r>
        <w:rPr>
          <w:rFonts w:hint="eastAsia" w:cs="宋体"/>
          <w:bCs/>
          <w:spacing w:val="0"/>
          <w:szCs w:val="30"/>
          <w:highlight w:val="none"/>
          <w:lang w:val="en-US" w:eastAsia="zh-CN"/>
        </w:rPr>
        <w:t xml:space="preserve">  </w:t>
      </w:r>
      <w:r>
        <w:rPr>
          <w:rFonts w:cs="宋体"/>
          <w:bCs/>
          <w:spacing w:val="0"/>
          <w:szCs w:val="30"/>
          <w:highlight w:val="none"/>
          <w:lang w:eastAsia="zh-CN"/>
        </w:rPr>
        <w:t>合同附件格式</w:t>
      </w:r>
      <w:r>
        <w:tab/>
      </w:r>
      <w:r>
        <w:fldChar w:fldCharType="begin"/>
      </w:r>
      <w:r>
        <w:instrText xml:space="preserve"> PAGEREF _Toc21023 \h </w:instrText>
      </w:r>
      <w:r>
        <w:fldChar w:fldCharType="separate"/>
      </w:r>
      <w:r>
        <w:t>150</w:t>
      </w:r>
      <w:r>
        <w:fldChar w:fldCharType="end"/>
      </w:r>
      <w:r>
        <w:rPr>
          <w:rFonts w:eastAsia="Arial"/>
          <w:color w:val="auto"/>
          <w:highlight w:val="none"/>
        </w:rPr>
        <w:fldChar w:fldCharType="end"/>
      </w:r>
    </w:p>
    <w:p w14:paraId="1B412F44">
      <w:pPr>
        <w:pStyle w:val="13"/>
        <w:tabs>
          <w:tab w:val="right" w:leader="dot" w:pos="9069"/>
        </w:tabs>
      </w:pPr>
      <w:r>
        <w:rPr>
          <w:rFonts w:eastAsia="Arial"/>
          <w:color w:val="auto"/>
          <w:highlight w:val="none"/>
        </w:rPr>
        <w:fldChar w:fldCharType="begin"/>
      </w:r>
      <w:r>
        <w:rPr>
          <w:rFonts w:eastAsia="Arial"/>
          <w:highlight w:val="none"/>
        </w:rPr>
        <w:instrText xml:space="preserve"> HYPERLINK \l _Toc785 </w:instrText>
      </w:r>
      <w:r>
        <w:rPr>
          <w:rFonts w:eastAsia="Arial"/>
          <w:highlight w:val="none"/>
        </w:rPr>
        <w:fldChar w:fldCharType="separate"/>
      </w:r>
      <w:r>
        <w:rPr>
          <w:rFonts w:cs="宋体"/>
          <w:bCs/>
          <w:spacing w:val="-4"/>
          <w:szCs w:val="32"/>
          <w:highlight w:val="none"/>
          <w:lang w:eastAsia="zh-CN"/>
        </w:rPr>
        <w:t>第五章</w:t>
      </w:r>
      <w:r>
        <w:rPr>
          <w:rFonts w:cs="宋体"/>
          <w:spacing w:val="-4"/>
          <w:szCs w:val="32"/>
          <w:highlight w:val="none"/>
          <w:lang w:eastAsia="zh-CN"/>
        </w:rPr>
        <w:t xml:space="preserve"> </w:t>
      </w:r>
      <w:r>
        <w:rPr>
          <w:rFonts w:hint="eastAsia" w:cs="宋体"/>
          <w:spacing w:val="-4"/>
          <w:szCs w:val="32"/>
          <w:highlight w:val="none"/>
          <w:lang w:val="en-US" w:eastAsia="zh-CN"/>
        </w:rPr>
        <w:t xml:space="preserve"> </w:t>
      </w:r>
      <w:r>
        <w:rPr>
          <w:rFonts w:cs="宋体"/>
          <w:bCs/>
          <w:spacing w:val="0"/>
          <w:szCs w:val="32"/>
          <w:highlight w:val="none"/>
          <w:lang w:eastAsia="zh-CN"/>
        </w:rPr>
        <w:t>工程量清单</w:t>
      </w:r>
      <w:r>
        <w:tab/>
      </w:r>
      <w:r>
        <w:fldChar w:fldCharType="begin"/>
      </w:r>
      <w:r>
        <w:instrText xml:space="preserve"> PAGEREF _Toc785 \h </w:instrText>
      </w:r>
      <w:r>
        <w:fldChar w:fldCharType="separate"/>
      </w:r>
      <w:r>
        <w:t>162</w:t>
      </w:r>
      <w:r>
        <w:fldChar w:fldCharType="end"/>
      </w:r>
      <w:r>
        <w:rPr>
          <w:rFonts w:eastAsia="Arial"/>
          <w:color w:val="auto"/>
          <w:highlight w:val="none"/>
        </w:rPr>
        <w:fldChar w:fldCharType="end"/>
      </w:r>
    </w:p>
    <w:p w14:paraId="1012C7A6">
      <w:pPr>
        <w:pStyle w:val="13"/>
        <w:tabs>
          <w:tab w:val="right" w:leader="dot" w:pos="9069"/>
        </w:tabs>
      </w:pPr>
      <w:r>
        <w:rPr>
          <w:rFonts w:eastAsia="Arial"/>
          <w:color w:val="auto"/>
          <w:highlight w:val="none"/>
        </w:rPr>
        <w:fldChar w:fldCharType="begin"/>
      </w:r>
      <w:r>
        <w:rPr>
          <w:rFonts w:eastAsia="Arial"/>
          <w:highlight w:val="none"/>
        </w:rPr>
        <w:instrText xml:space="preserve"> HYPERLINK \l _Toc7484 </w:instrText>
      </w:r>
      <w:r>
        <w:rPr>
          <w:rFonts w:eastAsia="Arial"/>
          <w:highlight w:val="none"/>
        </w:rPr>
        <w:fldChar w:fldCharType="separate"/>
      </w:r>
      <w:r>
        <w:rPr>
          <w:rFonts w:hint="eastAsia" w:ascii="宋体" w:hAnsi="宋体" w:eastAsia="宋体" w:cs="宋体"/>
          <w:bCs/>
          <w:spacing w:val="0"/>
          <w:szCs w:val="52"/>
          <w:highlight w:val="none"/>
          <w:lang w:eastAsia="zh-CN"/>
        </w:rPr>
        <w:t>第</w:t>
      </w:r>
      <w:r>
        <w:rPr>
          <w:rFonts w:hint="eastAsia" w:ascii="宋体" w:hAnsi="宋体" w:eastAsia="宋体" w:cs="宋体"/>
          <w:spacing w:val="0"/>
          <w:szCs w:val="52"/>
          <w:highlight w:val="none"/>
          <w:lang w:eastAsia="zh-CN"/>
        </w:rPr>
        <w:t xml:space="preserve"> </w:t>
      </w:r>
      <w:r>
        <w:rPr>
          <w:rFonts w:hint="eastAsia" w:ascii="宋体" w:hAnsi="宋体" w:eastAsia="宋体" w:cs="宋体"/>
          <w:bCs/>
          <w:spacing w:val="0"/>
          <w:szCs w:val="52"/>
          <w:highlight w:val="none"/>
          <w:lang w:eastAsia="zh-CN"/>
        </w:rPr>
        <w:t>二</w:t>
      </w:r>
      <w:r>
        <w:rPr>
          <w:rFonts w:hint="eastAsia" w:ascii="宋体" w:hAnsi="宋体" w:eastAsia="宋体" w:cs="宋体"/>
          <w:spacing w:val="0"/>
          <w:szCs w:val="52"/>
          <w:highlight w:val="none"/>
          <w:lang w:eastAsia="zh-CN"/>
        </w:rPr>
        <w:t xml:space="preserve"> </w:t>
      </w:r>
      <w:r>
        <w:rPr>
          <w:rFonts w:hint="eastAsia" w:ascii="宋体" w:hAnsi="宋体" w:eastAsia="宋体" w:cs="宋体"/>
          <w:bCs/>
          <w:spacing w:val="0"/>
          <w:szCs w:val="52"/>
          <w:highlight w:val="none"/>
          <w:lang w:eastAsia="zh-CN"/>
        </w:rPr>
        <w:t>卷</w:t>
      </w:r>
      <w:r>
        <w:tab/>
      </w:r>
      <w:r>
        <w:fldChar w:fldCharType="begin"/>
      </w:r>
      <w:r>
        <w:instrText xml:space="preserve"> PAGEREF _Toc7484 \h </w:instrText>
      </w:r>
      <w:r>
        <w:fldChar w:fldCharType="separate"/>
      </w:r>
      <w:r>
        <w:t>163</w:t>
      </w:r>
      <w:r>
        <w:fldChar w:fldCharType="end"/>
      </w:r>
      <w:r>
        <w:rPr>
          <w:rFonts w:eastAsia="Arial"/>
          <w:color w:val="auto"/>
          <w:highlight w:val="none"/>
        </w:rPr>
        <w:fldChar w:fldCharType="end"/>
      </w:r>
    </w:p>
    <w:p w14:paraId="25181051">
      <w:pPr>
        <w:pStyle w:val="13"/>
        <w:tabs>
          <w:tab w:val="right" w:leader="dot" w:pos="9069"/>
        </w:tabs>
      </w:pPr>
      <w:r>
        <w:rPr>
          <w:rFonts w:eastAsia="Arial"/>
          <w:color w:val="auto"/>
          <w:highlight w:val="none"/>
        </w:rPr>
        <w:fldChar w:fldCharType="begin"/>
      </w:r>
      <w:r>
        <w:rPr>
          <w:rFonts w:eastAsia="Arial"/>
          <w:highlight w:val="none"/>
        </w:rPr>
        <w:instrText xml:space="preserve"> HYPERLINK \l _Toc9002 </w:instrText>
      </w:r>
      <w:r>
        <w:rPr>
          <w:rFonts w:eastAsia="Arial"/>
          <w:highlight w:val="none"/>
        </w:rPr>
        <w:fldChar w:fldCharType="separate"/>
      </w:r>
      <w:r>
        <w:rPr>
          <w:rFonts w:cs="宋体"/>
          <w:bCs/>
          <w:szCs w:val="32"/>
          <w:highlight w:val="none"/>
          <w:lang w:eastAsia="zh-CN"/>
        </w:rPr>
        <w:t>第六章</w:t>
      </w:r>
      <w:r>
        <w:rPr>
          <w:rFonts w:hint="eastAsia" w:cs="宋体"/>
          <w:bCs/>
          <w:szCs w:val="32"/>
          <w:highlight w:val="none"/>
          <w:lang w:val="en-US" w:eastAsia="zh-CN"/>
        </w:rPr>
        <w:t xml:space="preserve">  </w:t>
      </w:r>
      <w:r>
        <w:rPr>
          <w:rFonts w:cs="宋体"/>
          <w:bCs/>
          <w:szCs w:val="32"/>
          <w:highlight w:val="none"/>
          <w:lang w:eastAsia="zh-CN"/>
        </w:rPr>
        <w:t>图纸（招标图纸）及其他资</w:t>
      </w:r>
      <w:r>
        <w:rPr>
          <w:rFonts w:cs="宋体"/>
          <w:bCs/>
          <w:spacing w:val="0"/>
          <w:szCs w:val="32"/>
          <w:highlight w:val="none"/>
          <w:lang w:eastAsia="zh-CN"/>
        </w:rPr>
        <w:t>料</w:t>
      </w:r>
      <w:r>
        <w:tab/>
      </w:r>
      <w:r>
        <w:fldChar w:fldCharType="begin"/>
      </w:r>
      <w:r>
        <w:instrText xml:space="preserve"> PAGEREF _Toc9002 \h </w:instrText>
      </w:r>
      <w:r>
        <w:fldChar w:fldCharType="separate"/>
      </w:r>
      <w:r>
        <w:t>164</w:t>
      </w:r>
      <w:r>
        <w:fldChar w:fldCharType="end"/>
      </w:r>
      <w:r>
        <w:rPr>
          <w:rFonts w:eastAsia="Arial"/>
          <w:color w:val="auto"/>
          <w:highlight w:val="none"/>
        </w:rPr>
        <w:fldChar w:fldCharType="end"/>
      </w:r>
    </w:p>
    <w:p w14:paraId="0FA5C0B6">
      <w:pPr>
        <w:pStyle w:val="15"/>
        <w:tabs>
          <w:tab w:val="right" w:leader="dot" w:pos="9069"/>
        </w:tabs>
      </w:pPr>
      <w:r>
        <w:rPr>
          <w:rFonts w:eastAsia="Arial"/>
          <w:color w:val="auto"/>
          <w:highlight w:val="none"/>
        </w:rPr>
        <w:fldChar w:fldCharType="begin"/>
      </w:r>
      <w:r>
        <w:rPr>
          <w:rFonts w:eastAsia="Arial"/>
          <w:highlight w:val="none"/>
        </w:rPr>
        <w:instrText xml:space="preserve"> HYPERLINK \l _Toc16832 </w:instrText>
      </w:r>
      <w:r>
        <w:rPr>
          <w:rFonts w:eastAsia="Arial"/>
          <w:highlight w:val="none"/>
        </w:rPr>
        <w:fldChar w:fldCharType="separate"/>
      </w:r>
      <w:r>
        <w:rPr>
          <w:rFonts w:hint="eastAsia" w:cs="宋体"/>
          <w:szCs w:val="30"/>
          <w:highlight w:val="none"/>
        </w:rPr>
        <w:t>1</w:t>
      </w:r>
      <w:r>
        <w:rPr>
          <w:rFonts w:hint="eastAsia" w:cs="宋体"/>
          <w:szCs w:val="30"/>
          <w:highlight w:val="none"/>
          <w:lang w:eastAsia="zh-CN"/>
        </w:rPr>
        <w:t>　</w:t>
      </w:r>
      <w:r>
        <w:rPr>
          <w:rFonts w:hint="eastAsia" w:cs="宋体"/>
          <w:szCs w:val="30"/>
          <w:highlight w:val="none"/>
        </w:rPr>
        <w:t>说明</w:t>
      </w:r>
      <w:r>
        <w:tab/>
      </w:r>
      <w:r>
        <w:fldChar w:fldCharType="begin"/>
      </w:r>
      <w:r>
        <w:instrText xml:space="preserve"> PAGEREF _Toc16832 \h </w:instrText>
      </w:r>
      <w:r>
        <w:fldChar w:fldCharType="separate"/>
      </w:r>
      <w:r>
        <w:t>164</w:t>
      </w:r>
      <w:r>
        <w:fldChar w:fldCharType="end"/>
      </w:r>
      <w:r>
        <w:rPr>
          <w:rFonts w:eastAsia="Arial"/>
          <w:color w:val="auto"/>
          <w:highlight w:val="none"/>
        </w:rPr>
        <w:fldChar w:fldCharType="end"/>
      </w:r>
    </w:p>
    <w:p w14:paraId="5F646891">
      <w:pPr>
        <w:pStyle w:val="15"/>
        <w:tabs>
          <w:tab w:val="right" w:leader="dot" w:pos="9069"/>
        </w:tabs>
      </w:pPr>
      <w:r>
        <w:rPr>
          <w:rFonts w:eastAsia="Arial"/>
          <w:color w:val="auto"/>
          <w:highlight w:val="none"/>
        </w:rPr>
        <w:fldChar w:fldCharType="begin"/>
      </w:r>
      <w:r>
        <w:rPr>
          <w:rFonts w:eastAsia="Arial"/>
          <w:highlight w:val="none"/>
        </w:rPr>
        <w:instrText xml:space="preserve"> HYPERLINK \l _Toc3019 </w:instrText>
      </w:r>
      <w:r>
        <w:rPr>
          <w:rFonts w:eastAsia="Arial"/>
          <w:highlight w:val="none"/>
        </w:rPr>
        <w:fldChar w:fldCharType="separate"/>
      </w:r>
      <w:r>
        <w:rPr>
          <w:rFonts w:hint="eastAsia" w:cs="宋体"/>
          <w:szCs w:val="30"/>
          <w:highlight w:val="none"/>
        </w:rPr>
        <w:t>2</w:t>
      </w:r>
      <w:r>
        <w:rPr>
          <w:rFonts w:hint="eastAsia" w:cs="宋体"/>
          <w:szCs w:val="30"/>
          <w:highlight w:val="none"/>
          <w:lang w:eastAsia="zh-CN"/>
        </w:rPr>
        <w:t>　</w:t>
      </w:r>
      <w:r>
        <w:rPr>
          <w:rFonts w:hint="eastAsia" w:cs="宋体"/>
          <w:szCs w:val="30"/>
          <w:highlight w:val="none"/>
        </w:rPr>
        <w:t>图纸及其他资料目录</w:t>
      </w:r>
      <w:r>
        <w:tab/>
      </w:r>
      <w:r>
        <w:fldChar w:fldCharType="begin"/>
      </w:r>
      <w:r>
        <w:instrText xml:space="preserve"> PAGEREF _Toc3019 \h </w:instrText>
      </w:r>
      <w:r>
        <w:fldChar w:fldCharType="separate"/>
      </w:r>
      <w:r>
        <w:t>164</w:t>
      </w:r>
      <w:r>
        <w:fldChar w:fldCharType="end"/>
      </w:r>
      <w:r>
        <w:rPr>
          <w:rFonts w:eastAsia="Arial"/>
          <w:color w:val="auto"/>
          <w:highlight w:val="none"/>
        </w:rPr>
        <w:fldChar w:fldCharType="end"/>
      </w:r>
    </w:p>
    <w:p w14:paraId="25EACBAE">
      <w:pPr>
        <w:pStyle w:val="15"/>
        <w:tabs>
          <w:tab w:val="right" w:leader="dot" w:pos="9069"/>
        </w:tabs>
      </w:pPr>
      <w:r>
        <w:rPr>
          <w:rFonts w:eastAsia="Arial"/>
          <w:color w:val="auto"/>
          <w:highlight w:val="none"/>
        </w:rPr>
        <w:fldChar w:fldCharType="begin"/>
      </w:r>
      <w:r>
        <w:rPr>
          <w:rFonts w:eastAsia="Arial"/>
          <w:highlight w:val="none"/>
        </w:rPr>
        <w:instrText xml:space="preserve"> HYPERLINK \l _Toc22388 </w:instrText>
      </w:r>
      <w:r>
        <w:rPr>
          <w:rFonts w:eastAsia="Arial"/>
          <w:highlight w:val="none"/>
        </w:rPr>
        <w:fldChar w:fldCharType="separate"/>
      </w:r>
      <w:r>
        <w:rPr>
          <w:rFonts w:hint="eastAsia" w:cs="宋体"/>
          <w:szCs w:val="30"/>
          <w:highlight w:val="none"/>
        </w:rPr>
        <w:t>3</w:t>
      </w:r>
      <w:r>
        <w:rPr>
          <w:rFonts w:hint="eastAsia" w:cs="宋体"/>
          <w:szCs w:val="30"/>
          <w:highlight w:val="none"/>
          <w:lang w:eastAsia="zh-CN"/>
        </w:rPr>
        <w:t>　</w:t>
      </w:r>
      <w:r>
        <w:rPr>
          <w:rFonts w:hint="eastAsia" w:cs="宋体"/>
          <w:szCs w:val="30"/>
          <w:highlight w:val="none"/>
        </w:rPr>
        <w:t>图纸及其它资料</w:t>
      </w:r>
      <w:r>
        <w:tab/>
      </w:r>
      <w:r>
        <w:fldChar w:fldCharType="begin"/>
      </w:r>
      <w:r>
        <w:instrText xml:space="preserve"> PAGEREF _Toc22388 \h </w:instrText>
      </w:r>
      <w:r>
        <w:fldChar w:fldCharType="separate"/>
      </w:r>
      <w:r>
        <w:t>164</w:t>
      </w:r>
      <w:r>
        <w:fldChar w:fldCharType="end"/>
      </w:r>
      <w:r>
        <w:rPr>
          <w:rFonts w:eastAsia="Arial"/>
          <w:color w:val="auto"/>
          <w:highlight w:val="none"/>
        </w:rPr>
        <w:fldChar w:fldCharType="end"/>
      </w:r>
    </w:p>
    <w:p w14:paraId="5CCE1564">
      <w:pPr>
        <w:pStyle w:val="13"/>
        <w:tabs>
          <w:tab w:val="right" w:leader="dot" w:pos="9069"/>
        </w:tabs>
      </w:pPr>
      <w:r>
        <w:rPr>
          <w:rFonts w:eastAsia="Arial"/>
          <w:color w:val="auto"/>
          <w:highlight w:val="none"/>
        </w:rPr>
        <w:fldChar w:fldCharType="begin"/>
      </w:r>
      <w:r>
        <w:rPr>
          <w:rFonts w:eastAsia="Arial"/>
          <w:highlight w:val="none"/>
        </w:rPr>
        <w:instrText xml:space="preserve"> HYPERLINK \l _Toc25999 </w:instrText>
      </w:r>
      <w:r>
        <w:rPr>
          <w:rFonts w:eastAsia="Arial"/>
          <w:highlight w:val="none"/>
        </w:rPr>
        <w:fldChar w:fldCharType="separate"/>
      </w:r>
      <w:r>
        <w:rPr>
          <w:rFonts w:hint="eastAsia" w:ascii="宋体" w:hAnsi="宋体" w:eastAsia="宋体" w:cs="宋体"/>
          <w:bCs/>
          <w:spacing w:val="0"/>
          <w:szCs w:val="52"/>
          <w:highlight w:val="none"/>
        </w:rPr>
        <w:t>第</w:t>
      </w:r>
      <w:r>
        <w:rPr>
          <w:rFonts w:hint="eastAsia" w:ascii="宋体" w:hAnsi="宋体" w:eastAsia="宋体" w:cs="宋体"/>
          <w:spacing w:val="0"/>
          <w:szCs w:val="52"/>
          <w:highlight w:val="none"/>
        </w:rPr>
        <w:t xml:space="preserve"> </w:t>
      </w:r>
      <w:r>
        <w:rPr>
          <w:rFonts w:hint="eastAsia" w:ascii="宋体" w:hAnsi="宋体" w:eastAsia="宋体" w:cs="宋体"/>
          <w:bCs/>
          <w:spacing w:val="0"/>
          <w:szCs w:val="52"/>
          <w:highlight w:val="none"/>
          <w:lang w:eastAsia="zh-CN"/>
        </w:rPr>
        <w:t>三</w:t>
      </w:r>
      <w:r>
        <w:rPr>
          <w:rFonts w:hint="eastAsia" w:ascii="宋体" w:hAnsi="宋体" w:eastAsia="宋体" w:cs="宋体"/>
          <w:spacing w:val="0"/>
          <w:szCs w:val="52"/>
          <w:highlight w:val="none"/>
        </w:rPr>
        <w:t xml:space="preserve"> </w:t>
      </w:r>
      <w:r>
        <w:rPr>
          <w:rFonts w:hint="eastAsia" w:ascii="宋体" w:hAnsi="宋体" w:eastAsia="宋体" w:cs="宋体"/>
          <w:bCs/>
          <w:spacing w:val="0"/>
          <w:szCs w:val="52"/>
          <w:highlight w:val="none"/>
        </w:rPr>
        <w:t>卷</w:t>
      </w:r>
      <w:r>
        <w:tab/>
      </w:r>
      <w:r>
        <w:fldChar w:fldCharType="begin"/>
      </w:r>
      <w:r>
        <w:instrText xml:space="preserve"> PAGEREF _Toc25999 \h </w:instrText>
      </w:r>
      <w:r>
        <w:fldChar w:fldCharType="separate"/>
      </w:r>
      <w:r>
        <w:t>165</w:t>
      </w:r>
      <w:r>
        <w:fldChar w:fldCharType="end"/>
      </w:r>
      <w:r>
        <w:rPr>
          <w:rFonts w:eastAsia="Arial"/>
          <w:color w:val="auto"/>
          <w:highlight w:val="none"/>
        </w:rPr>
        <w:fldChar w:fldCharType="end"/>
      </w:r>
    </w:p>
    <w:p w14:paraId="0D10CC6A">
      <w:pPr>
        <w:pStyle w:val="13"/>
        <w:tabs>
          <w:tab w:val="right" w:leader="dot" w:pos="9069"/>
        </w:tabs>
      </w:pPr>
      <w:r>
        <w:rPr>
          <w:rFonts w:eastAsia="Arial"/>
          <w:color w:val="auto"/>
          <w:highlight w:val="none"/>
        </w:rPr>
        <w:fldChar w:fldCharType="begin"/>
      </w:r>
      <w:r>
        <w:rPr>
          <w:rFonts w:eastAsia="Arial"/>
          <w:highlight w:val="none"/>
        </w:rPr>
        <w:instrText xml:space="preserve"> HYPERLINK \l _Toc23724 </w:instrText>
      </w:r>
      <w:r>
        <w:rPr>
          <w:rFonts w:eastAsia="Arial"/>
          <w:highlight w:val="none"/>
        </w:rPr>
        <w:fldChar w:fldCharType="separate"/>
      </w:r>
      <w:r>
        <w:rPr>
          <w:rFonts w:hint="eastAsia" w:cs="宋体"/>
          <w:szCs w:val="30"/>
          <w:highlight w:val="none"/>
          <w:lang w:eastAsia="zh-CN"/>
        </w:rPr>
        <w:t>第七章</w:t>
      </w:r>
      <w:r>
        <w:rPr>
          <w:rFonts w:hint="eastAsia" w:cs="宋体"/>
          <w:szCs w:val="30"/>
          <w:highlight w:val="none"/>
          <w:lang w:val="en-US" w:eastAsia="zh-CN"/>
        </w:rPr>
        <w:t xml:space="preserve">  </w:t>
      </w:r>
      <w:r>
        <w:rPr>
          <w:rFonts w:hint="eastAsia" w:cs="宋体"/>
          <w:szCs w:val="30"/>
          <w:highlight w:val="none"/>
          <w:lang w:eastAsia="zh-CN"/>
        </w:rPr>
        <w:t>技术标准和要求（合同技术条款）</w:t>
      </w:r>
      <w:r>
        <w:tab/>
      </w:r>
      <w:r>
        <w:fldChar w:fldCharType="begin"/>
      </w:r>
      <w:r>
        <w:instrText xml:space="preserve"> PAGEREF _Toc23724 \h </w:instrText>
      </w:r>
      <w:r>
        <w:fldChar w:fldCharType="separate"/>
      </w:r>
      <w:r>
        <w:t>166</w:t>
      </w:r>
      <w:r>
        <w:fldChar w:fldCharType="end"/>
      </w:r>
      <w:r>
        <w:rPr>
          <w:rFonts w:eastAsia="Arial"/>
          <w:color w:val="auto"/>
          <w:highlight w:val="none"/>
        </w:rPr>
        <w:fldChar w:fldCharType="end"/>
      </w:r>
    </w:p>
    <w:p w14:paraId="174855DA">
      <w:pPr>
        <w:pStyle w:val="15"/>
        <w:tabs>
          <w:tab w:val="right" w:leader="dot" w:pos="9069"/>
        </w:tabs>
      </w:pPr>
      <w:r>
        <w:rPr>
          <w:rFonts w:eastAsia="Arial"/>
          <w:color w:val="auto"/>
          <w:highlight w:val="none"/>
        </w:rPr>
        <w:fldChar w:fldCharType="begin"/>
      </w:r>
      <w:r>
        <w:rPr>
          <w:rFonts w:eastAsia="Arial"/>
          <w:highlight w:val="none"/>
        </w:rPr>
        <w:instrText xml:space="preserve"> HYPERLINK \l _Toc29943 </w:instrText>
      </w:r>
      <w:r>
        <w:rPr>
          <w:rFonts w:eastAsia="Arial"/>
          <w:highlight w:val="none"/>
        </w:rPr>
        <w:fldChar w:fldCharType="separate"/>
      </w:r>
      <w:r>
        <w:rPr>
          <w:rFonts w:hint="eastAsia" w:cs="宋体"/>
          <w:szCs w:val="30"/>
          <w:highlight w:val="none"/>
        </w:rPr>
        <w:t>1</w:t>
      </w:r>
      <w:r>
        <w:rPr>
          <w:rFonts w:hint="eastAsia" w:cs="宋体"/>
          <w:szCs w:val="30"/>
          <w:highlight w:val="none"/>
          <w:lang w:eastAsia="zh-CN"/>
        </w:rPr>
        <w:t>　</w:t>
      </w:r>
      <w:r>
        <w:rPr>
          <w:rFonts w:hint="eastAsia" w:cs="宋体"/>
          <w:szCs w:val="30"/>
          <w:highlight w:val="none"/>
        </w:rPr>
        <w:t>一般规定</w:t>
      </w:r>
      <w:r>
        <w:tab/>
      </w:r>
      <w:r>
        <w:fldChar w:fldCharType="begin"/>
      </w:r>
      <w:r>
        <w:instrText xml:space="preserve"> PAGEREF _Toc29943 \h </w:instrText>
      </w:r>
      <w:r>
        <w:fldChar w:fldCharType="separate"/>
      </w:r>
      <w:r>
        <w:t>166</w:t>
      </w:r>
      <w:r>
        <w:fldChar w:fldCharType="end"/>
      </w:r>
      <w:r>
        <w:rPr>
          <w:rFonts w:eastAsia="Arial"/>
          <w:color w:val="auto"/>
          <w:highlight w:val="none"/>
        </w:rPr>
        <w:fldChar w:fldCharType="end"/>
      </w:r>
    </w:p>
    <w:p w14:paraId="657E32D0">
      <w:pPr>
        <w:pStyle w:val="15"/>
        <w:tabs>
          <w:tab w:val="right" w:leader="dot" w:pos="9069"/>
        </w:tabs>
      </w:pPr>
      <w:r>
        <w:rPr>
          <w:rFonts w:eastAsia="Arial"/>
          <w:color w:val="auto"/>
          <w:highlight w:val="none"/>
        </w:rPr>
        <w:fldChar w:fldCharType="begin"/>
      </w:r>
      <w:r>
        <w:rPr>
          <w:rFonts w:eastAsia="Arial"/>
          <w:highlight w:val="none"/>
        </w:rPr>
        <w:instrText xml:space="preserve"> HYPERLINK \l _Toc19811 </w:instrText>
      </w:r>
      <w:r>
        <w:rPr>
          <w:rFonts w:eastAsia="Arial"/>
          <w:highlight w:val="none"/>
        </w:rPr>
        <w:fldChar w:fldCharType="separate"/>
      </w:r>
      <w:r>
        <w:rPr>
          <w:rFonts w:hint="eastAsia" w:cs="宋体"/>
          <w:szCs w:val="30"/>
          <w:highlight w:val="none"/>
        </w:rPr>
        <w:t>2</w:t>
      </w:r>
      <w:r>
        <w:rPr>
          <w:rFonts w:hint="eastAsia" w:cs="宋体"/>
          <w:szCs w:val="30"/>
          <w:highlight w:val="none"/>
          <w:lang w:eastAsia="zh-CN"/>
        </w:rPr>
        <w:t>　</w:t>
      </w:r>
      <w:r>
        <w:rPr>
          <w:rFonts w:hint="eastAsia" w:cs="宋体"/>
          <w:szCs w:val="30"/>
          <w:highlight w:val="none"/>
        </w:rPr>
        <w:t>施工临时设施</w:t>
      </w:r>
      <w:r>
        <w:tab/>
      </w:r>
      <w:r>
        <w:fldChar w:fldCharType="begin"/>
      </w:r>
      <w:r>
        <w:instrText xml:space="preserve"> PAGEREF _Toc19811 \h </w:instrText>
      </w:r>
      <w:r>
        <w:fldChar w:fldCharType="separate"/>
      </w:r>
      <w:r>
        <w:t>181</w:t>
      </w:r>
      <w:r>
        <w:fldChar w:fldCharType="end"/>
      </w:r>
      <w:r>
        <w:rPr>
          <w:rFonts w:eastAsia="Arial"/>
          <w:color w:val="auto"/>
          <w:highlight w:val="none"/>
        </w:rPr>
        <w:fldChar w:fldCharType="end"/>
      </w:r>
    </w:p>
    <w:p w14:paraId="1561F757">
      <w:pPr>
        <w:pStyle w:val="15"/>
        <w:tabs>
          <w:tab w:val="right" w:leader="dot" w:pos="9069"/>
        </w:tabs>
      </w:pPr>
      <w:r>
        <w:rPr>
          <w:rFonts w:eastAsia="Arial"/>
          <w:color w:val="auto"/>
          <w:highlight w:val="none"/>
        </w:rPr>
        <w:fldChar w:fldCharType="begin"/>
      </w:r>
      <w:r>
        <w:rPr>
          <w:rFonts w:eastAsia="Arial"/>
          <w:highlight w:val="none"/>
        </w:rPr>
        <w:instrText xml:space="preserve"> HYPERLINK \l _Toc20903 </w:instrText>
      </w:r>
      <w:r>
        <w:rPr>
          <w:rFonts w:eastAsia="Arial"/>
          <w:highlight w:val="none"/>
        </w:rPr>
        <w:fldChar w:fldCharType="separate"/>
      </w:r>
      <w:r>
        <w:rPr>
          <w:rFonts w:hint="eastAsia" w:cs="宋体"/>
          <w:szCs w:val="30"/>
          <w:highlight w:val="none"/>
        </w:rPr>
        <w:t>3</w:t>
      </w:r>
      <w:r>
        <w:rPr>
          <w:rFonts w:hint="eastAsia" w:cs="宋体"/>
          <w:szCs w:val="30"/>
          <w:highlight w:val="none"/>
          <w:lang w:eastAsia="zh-CN"/>
        </w:rPr>
        <w:t>　</w:t>
      </w:r>
      <w:r>
        <w:rPr>
          <w:rFonts w:hint="eastAsia" w:cs="宋体"/>
          <w:szCs w:val="30"/>
          <w:highlight w:val="none"/>
        </w:rPr>
        <w:t>施工安全文明措施</w:t>
      </w:r>
      <w:r>
        <w:tab/>
      </w:r>
      <w:r>
        <w:fldChar w:fldCharType="begin"/>
      </w:r>
      <w:r>
        <w:instrText xml:space="preserve"> PAGEREF _Toc20903 \h </w:instrText>
      </w:r>
      <w:r>
        <w:fldChar w:fldCharType="separate"/>
      </w:r>
      <w:r>
        <w:t>201</w:t>
      </w:r>
      <w:r>
        <w:fldChar w:fldCharType="end"/>
      </w:r>
      <w:r>
        <w:rPr>
          <w:rFonts w:eastAsia="Arial"/>
          <w:color w:val="auto"/>
          <w:highlight w:val="none"/>
        </w:rPr>
        <w:fldChar w:fldCharType="end"/>
      </w:r>
    </w:p>
    <w:p w14:paraId="2F75B67D">
      <w:pPr>
        <w:pStyle w:val="15"/>
        <w:tabs>
          <w:tab w:val="right" w:leader="dot" w:pos="9069"/>
        </w:tabs>
      </w:pPr>
      <w:r>
        <w:rPr>
          <w:rFonts w:eastAsia="Arial"/>
          <w:color w:val="auto"/>
          <w:highlight w:val="none"/>
        </w:rPr>
        <w:fldChar w:fldCharType="begin"/>
      </w:r>
      <w:r>
        <w:rPr>
          <w:rFonts w:eastAsia="Arial"/>
          <w:highlight w:val="none"/>
        </w:rPr>
        <w:instrText xml:space="preserve"> HYPERLINK \l _Toc2036 </w:instrText>
      </w:r>
      <w:r>
        <w:rPr>
          <w:rFonts w:eastAsia="Arial"/>
          <w:highlight w:val="none"/>
        </w:rPr>
        <w:fldChar w:fldCharType="separate"/>
      </w:r>
      <w:r>
        <w:rPr>
          <w:rFonts w:hint="eastAsia" w:cs="宋体"/>
          <w:szCs w:val="30"/>
          <w:highlight w:val="none"/>
        </w:rPr>
        <w:t>4</w:t>
      </w:r>
      <w:r>
        <w:rPr>
          <w:rFonts w:hint="eastAsia" w:cs="宋体"/>
          <w:szCs w:val="30"/>
          <w:highlight w:val="none"/>
          <w:lang w:eastAsia="zh-CN"/>
        </w:rPr>
        <w:t>　</w:t>
      </w:r>
      <w:r>
        <w:rPr>
          <w:rFonts w:hint="eastAsia" w:cs="宋体"/>
          <w:szCs w:val="30"/>
          <w:highlight w:val="none"/>
        </w:rPr>
        <w:t>环境保护和水土保持</w:t>
      </w:r>
      <w:r>
        <w:tab/>
      </w:r>
      <w:r>
        <w:fldChar w:fldCharType="begin"/>
      </w:r>
      <w:r>
        <w:instrText xml:space="preserve"> PAGEREF _Toc2036 \h </w:instrText>
      </w:r>
      <w:r>
        <w:fldChar w:fldCharType="separate"/>
      </w:r>
      <w:r>
        <w:t>241</w:t>
      </w:r>
      <w:r>
        <w:fldChar w:fldCharType="end"/>
      </w:r>
      <w:r>
        <w:rPr>
          <w:rFonts w:eastAsia="Arial"/>
          <w:color w:val="auto"/>
          <w:highlight w:val="none"/>
        </w:rPr>
        <w:fldChar w:fldCharType="end"/>
      </w:r>
    </w:p>
    <w:p w14:paraId="315B45EF">
      <w:pPr>
        <w:pStyle w:val="15"/>
        <w:tabs>
          <w:tab w:val="right" w:leader="dot" w:pos="9069"/>
        </w:tabs>
      </w:pPr>
      <w:r>
        <w:rPr>
          <w:rFonts w:eastAsia="Arial"/>
          <w:color w:val="auto"/>
          <w:highlight w:val="none"/>
        </w:rPr>
        <w:fldChar w:fldCharType="begin"/>
      </w:r>
      <w:r>
        <w:rPr>
          <w:rFonts w:eastAsia="Arial"/>
          <w:highlight w:val="none"/>
        </w:rPr>
        <w:instrText xml:space="preserve"> HYPERLINK \l _Toc6319 </w:instrText>
      </w:r>
      <w:r>
        <w:rPr>
          <w:rFonts w:eastAsia="Arial"/>
          <w:highlight w:val="none"/>
        </w:rPr>
        <w:fldChar w:fldCharType="separate"/>
      </w:r>
      <w:r>
        <w:rPr>
          <w:rFonts w:hint="eastAsia" w:cs="宋体"/>
          <w:szCs w:val="30"/>
          <w:highlight w:val="none"/>
        </w:rPr>
        <w:t>5</w:t>
      </w:r>
      <w:r>
        <w:rPr>
          <w:rFonts w:hint="eastAsia" w:cs="宋体"/>
          <w:szCs w:val="30"/>
          <w:highlight w:val="none"/>
          <w:lang w:eastAsia="zh-CN"/>
        </w:rPr>
        <w:t>　</w:t>
      </w:r>
      <w:r>
        <w:rPr>
          <w:rFonts w:hint="eastAsia" w:cs="宋体"/>
          <w:szCs w:val="30"/>
          <w:highlight w:val="none"/>
        </w:rPr>
        <w:t>施工导流工程</w:t>
      </w:r>
      <w:r>
        <w:tab/>
      </w:r>
      <w:r>
        <w:fldChar w:fldCharType="begin"/>
      </w:r>
      <w:r>
        <w:instrText xml:space="preserve"> PAGEREF _Toc6319 \h </w:instrText>
      </w:r>
      <w:r>
        <w:fldChar w:fldCharType="separate"/>
      </w:r>
      <w:r>
        <w:t>272</w:t>
      </w:r>
      <w:r>
        <w:fldChar w:fldCharType="end"/>
      </w:r>
      <w:r>
        <w:rPr>
          <w:rFonts w:eastAsia="Arial"/>
          <w:color w:val="auto"/>
          <w:highlight w:val="none"/>
        </w:rPr>
        <w:fldChar w:fldCharType="end"/>
      </w:r>
    </w:p>
    <w:p w14:paraId="6E885E7F">
      <w:pPr>
        <w:pStyle w:val="15"/>
        <w:tabs>
          <w:tab w:val="right" w:leader="dot" w:pos="9069"/>
        </w:tabs>
      </w:pPr>
      <w:r>
        <w:rPr>
          <w:rFonts w:eastAsia="Arial"/>
          <w:color w:val="auto"/>
          <w:highlight w:val="none"/>
        </w:rPr>
        <w:fldChar w:fldCharType="begin"/>
      </w:r>
      <w:r>
        <w:rPr>
          <w:rFonts w:eastAsia="Arial"/>
          <w:highlight w:val="none"/>
        </w:rPr>
        <w:instrText xml:space="preserve"> HYPERLINK \l _Toc5324 </w:instrText>
      </w:r>
      <w:r>
        <w:rPr>
          <w:rFonts w:eastAsia="Arial"/>
          <w:highlight w:val="none"/>
        </w:rPr>
        <w:fldChar w:fldCharType="separate"/>
      </w:r>
      <w:r>
        <w:rPr>
          <w:rFonts w:hint="eastAsia" w:cs="宋体"/>
          <w:szCs w:val="30"/>
          <w:highlight w:val="none"/>
        </w:rPr>
        <w:t>6</w:t>
      </w:r>
      <w:r>
        <w:rPr>
          <w:rFonts w:hint="eastAsia" w:cs="宋体"/>
          <w:szCs w:val="30"/>
          <w:highlight w:val="none"/>
          <w:lang w:eastAsia="zh-CN"/>
        </w:rPr>
        <w:t>　</w:t>
      </w:r>
      <w:r>
        <w:rPr>
          <w:rFonts w:hint="eastAsia" w:cs="宋体"/>
          <w:szCs w:val="30"/>
          <w:highlight w:val="none"/>
        </w:rPr>
        <w:t>土方明挖</w:t>
      </w:r>
      <w:r>
        <w:tab/>
      </w:r>
      <w:r>
        <w:fldChar w:fldCharType="begin"/>
      </w:r>
      <w:r>
        <w:instrText xml:space="preserve"> PAGEREF _Toc5324 \h </w:instrText>
      </w:r>
      <w:r>
        <w:fldChar w:fldCharType="separate"/>
      </w:r>
      <w:r>
        <w:t>276</w:t>
      </w:r>
      <w:r>
        <w:fldChar w:fldCharType="end"/>
      </w:r>
      <w:r>
        <w:rPr>
          <w:rFonts w:eastAsia="Arial"/>
          <w:color w:val="auto"/>
          <w:highlight w:val="none"/>
        </w:rPr>
        <w:fldChar w:fldCharType="end"/>
      </w:r>
    </w:p>
    <w:p w14:paraId="2391A2D6">
      <w:pPr>
        <w:pStyle w:val="15"/>
        <w:tabs>
          <w:tab w:val="right" w:leader="dot" w:pos="9069"/>
        </w:tabs>
      </w:pPr>
      <w:r>
        <w:rPr>
          <w:rFonts w:eastAsia="Arial"/>
          <w:color w:val="auto"/>
          <w:highlight w:val="none"/>
        </w:rPr>
        <w:fldChar w:fldCharType="begin"/>
      </w:r>
      <w:r>
        <w:rPr>
          <w:rFonts w:eastAsia="Arial"/>
          <w:highlight w:val="none"/>
        </w:rPr>
        <w:instrText xml:space="preserve"> HYPERLINK \l _Toc31226 </w:instrText>
      </w:r>
      <w:r>
        <w:rPr>
          <w:rFonts w:eastAsia="Arial"/>
          <w:highlight w:val="none"/>
        </w:rPr>
        <w:fldChar w:fldCharType="separate"/>
      </w:r>
      <w:r>
        <w:rPr>
          <w:rFonts w:hint="eastAsia" w:cs="宋体"/>
          <w:szCs w:val="30"/>
          <w:highlight w:val="none"/>
        </w:rPr>
        <w:t>7</w:t>
      </w:r>
      <w:r>
        <w:rPr>
          <w:rFonts w:hint="eastAsia" w:cs="宋体"/>
          <w:szCs w:val="30"/>
          <w:highlight w:val="none"/>
          <w:lang w:eastAsia="zh-CN"/>
        </w:rPr>
        <w:t>　</w:t>
      </w:r>
      <w:r>
        <w:rPr>
          <w:rFonts w:hint="eastAsia" w:cs="宋体"/>
          <w:szCs w:val="30"/>
          <w:highlight w:val="none"/>
        </w:rPr>
        <w:t>石方明挖</w:t>
      </w:r>
      <w:r>
        <w:tab/>
      </w:r>
      <w:r>
        <w:fldChar w:fldCharType="begin"/>
      </w:r>
      <w:r>
        <w:instrText xml:space="preserve"> PAGEREF _Toc31226 \h </w:instrText>
      </w:r>
      <w:r>
        <w:fldChar w:fldCharType="separate"/>
      </w:r>
      <w:r>
        <w:t>285</w:t>
      </w:r>
      <w:r>
        <w:fldChar w:fldCharType="end"/>
      </w:r>
      <w:r>
        <w:rPr>
          <w:rFonts w:eastAsia="Arial"/>
          <w:color w:val="auto"/>
          <w:highlight w:val="none"/>
        </w:rPr>
        <w:fldChar w:fldCharType="end"/>
      </w:r>
    </w:p>
    <w:p w14:paraId="7918E893">
      <w:pPr>
        <w:pStyle w:val="15"/>
        <w:tabs>
          <w:tab w:val="right" w:leader="dot" w:pos="9069"/>
        </w:tabs>
      </w:pPr>
      <w:r>
        <w:rPr>
          <w:rFonts w:eastAsia="Arial"/>
          <w:color w:val="auto"/>
          <w:highlight w:val="none"/>
        </w:rPr>
        <w:fldChar w:fldCharType="begin"/>
      </w:r>
      <w:r>
        <w:rPr>
          <w:rFonts w:eastAsia="Arial"/>
          <w:highlight w:val="none"/>
        </w:rPr>
        <w:instrText xml:space="preserve"> HYPERLINK \l _Toc16985 </w:instrText>
      </w:r>
      <w:r>
        <w:rPr>
          <w:rFonts w:eastAsia="Arial"/>
          <w:highlight w:val="none"/>
        </w:rPr>
        <w:fldChar w:fldCharType="separate"/>
      </w:r>
      <w:r>
        <w:rPr>
          <w:rFonts w:hint="eastAsia" w:cs="宋体"/>
          <w:szCs w:val="30"/>
          <w:highlight w:val="none"/>
        </w:rPr>
        <w:t>8</w:t>
      </w:r>
      <w:r>
        <w:rPr>
          <w:rFonts w:hint="eastAsia" w:cs="宋体"/>
          <w:szCs w:val="30"/>
          <w:highlight w:val="none"/>
          <w:lang w:eastAsia="zh-CN"/>
        </w:rPr>
        <w:t>　</w:t>
      </w:r>
      <w:r>
        <w:rPr>
          <w:rFonts w:hint="eastAsia" w:cs="宋体"/>
          <w:szCs w:val="30"/>
          <w:highlight w:val="none"/>
        </w:rPr>
        <w:t>地下洞室开挖</w:t>
      </w:r>
      <w:r>
        <w:tab/>
      </w:r>
      <w:r>
        <w:fldChar w:fldCharType="begin"/>
      </w:r>
      <w:r>
        <w:instrText xml:space="preserve"> PAGEREF _Toc16985 \h </w:instrText>
      </w:r>
      <w:r>
        <w:fldChar w:fldCharType="separate"/>
      </w:r>
      <w:r>
        <w:t>293</w:t>
      </w:r>
      <w:r>
        <w:fldChar w:fldCharType="end"/>
      </w:r>
      <w:r>
        <w:rPr>
          <w:rFonts w:eastAsia="Arial"/>
          <w:color w:val="auto"/>
          <w:highlight w:val="none"/>
        </w:rPr>
        <w:fldChar w:fldCharType="end"/>
      </w:r>
    </w:p>
    <w:p w14:paraId="4BE85B00">
      <w:pPr>
        <w:pStyle w:val="15"/>
        <w:tabs>
          <w:tab w:val="right" w:leader="dot" w:pos="9069"/>
        </w:tabs>
      </w:pPr>
      <w:r>
        <w:rPr>
          <w:rFonts w:eastAsia="Arial"/>
          <w:color w:val="auto"/>
          <w:highlight w:val="none"/>
        </w:rPr>
        <w:fldChar w:fldCharType="begin"/>
      </w:r>
      <w:r>
        <w:rPr>
          <w:rFonts w:eastAsia="Arial"/>
          <w:highlight w:val="none"/>
        </w:rPr>
        <w:instrText xml:space="preserve"> HYPERLINK \l _Toc13450 </w:instrText>
      </w:r>
      <w:r>
        <w:rPr>
          <w:rFonts w:eastAsia="Arial"/>
          <w:highlight w:val="none"/>
        </w:rPr>
        <w:fldChar w:fldCharType="separate"/>
      </w:r>
      <w:r>
        <w:rPr>
          <w:rFonts w:hint="eastAsia" w:cs="宋体"/>
          <w:szCs w:val="30"/>
          <w:highlight w:val="none"/>
        </w:rPr>
        <w:t>9</w:t>
      </w:r>
      <w:r>
        <w:rPr>
          <w:rFonts w:hint="eastAsia" w:cs="宋体"/>
          <w:szCs w:val="30"/>
          <w:highlight w:val="none"/>
          <w:lang w:eastAsia="zh-CN"/>
        </w:rPr>
        <w:t>　</w:t>
      </w:r>
      <w:r>
        <w:rPr>
          <w:rFonts w:hint="eastAsia" w:cs="宋体"/>
          <w:szCs w:val="30"/>
          <w:highlight w:val="none"/>
        </w:rPr>
        <w:t>支护工程</w:t>
      </w:r>
      <w:r>
        <w:tab/>
      </w:r>
      <w:r>
        <w:fldChar w:fldCharType="begin"/>
      </w:r>
      <w:r>
        <w:instrText xml:space="preserve"> PAGEREF _Toc13450 \h </w:instrText>
      </w:r>
      <w:r>
        <w:fldChar w:fldCharType="separate"/>
      </w:r>
      <w:r>
        <w:t>324</w:t>
      </w:r>
      <w:r>
        <w:fldChar w:fldCharType="end"/>
      </w:r>
      <w:r>
        <w:rPr>
          <w:rFonts w:eastAsia="Arial"/>
          <w:color w:val="auto"/>
          <w:highlight w:val="none"/>
        </w:rPr>
        <w:fldChar w:fldCharType="end"/>
      </w:r>
    </w:p>
    <w:p w14:paraId="0CA1AEEB">
      <w:pPr>
        <w:pStyle w:val="15"/>
        <w:tabs>
          <w:tab w:val="right" w:leader="dot" w:pos="9069"/>
        </w:tabs>
      </w:pPr>
      <w:r>
        <w:rPr>
          <w:rFonts w:eastAsia="Arial"/>
          <w:color w:val="auto"/>
          <w:highlight w:val="none"/>
        </w:rPr>
        <w:fldChar w:fldCharType="begin"/>
      </w:r>
      <w:r>
        <w:rPr>
          <w:rFonts w:eastAsia="Arial"/>
          <w:highlight w:val="none"/>
        </w:rPr>
        <w:instrText xml:space="preserve"> HYPERLINK \l _Toc20167 </w:instrText>
      </w:r>
      <w:r>
        <w:rPr>
          <w:rFonts w:eastAsia="Arial"/>
          <w:highlight w:val="none"/>
        </w:rPr>
        <w:fldChar w:fldCharType="separate"/>
      </w:r>
      <w:r>
        <w:rPr>
          <w:rFonts w:hint="eastAsia" w:cs="宋体"/>
          <w:szCs w:val="30"/>
          <w:highlight w:val="none"/>
        </w:rPr>
        <w:t>10</w:t>
      </w:r>
      <w:r>
        <w:rPr>
          <w:rFonts w:hint="eastAsia" w:cs="宋体"/>
          <w:szCs w:val="30"/>
          <w:highlight w:val="none"/>
          <w:lang w:eastAsia="zh-CN"/>
        </w:rPr>
        <w:t>　</w:t>
      </w:r>
      <w:r>
        <w:rPr>
          <w:rFonts w:hint="eastAsia" w:cs="宋体"/>
          <w:szCs w:val="30"/>
          <w:highlight w:val="none"/>
        </w:rPr>
        <w:t>钻孔、灌浆和排水工程</w:t>
      </w:r>
      <w:r>
        <w:tab/>
      </w:r>
      <w:r>
        <w:fldChar w:fldCharType="begin"/>
      </w:r>
      <w:r>
        <w:instrText xml:space="preserve"> PAGEREF _Toc20167 \h </w:instrText>
      </w:r>
      <w:r>
        <w:fldChar w:fldCharType="separate"/>
      </w:r>
      <w:r>
        <w:t>344</w:t>
      </w:r>
      <w:r>
        <w:fldChar w:fldCharType="end"/>
      </w:r>
      <w:r>
        <w:rPr>
          <w:rFonts w:eastAsia="Arial"/>
          <w:color w:val="auto"/>
          <w:highlight w:val="none"/>
        </w:rPr>
        <w:fldChar w:fldCharType="end"/>
      </w:r>
    </w:p>
    <w:p w14:paraId="2996BF74">
      <w:pPr>
        <w:pStyle w:val="15"/>
        <w:tabs>
          <w:tab w:val="right" w:leader="dot" w:pos="9069"/>
        </w:tabs>
      </w:pPr>
      <w:r>
        <w:rPr>
          <w:rFonts w:eastAsia="Arial"/>
          <w:color w:val="auto"/>
          <w:highlight w:val="none"/>
        </w:rPr>
        <w:fldChar w:fldCharType="begin"/>
      </w:r>
      <w:r>
        <w:rPr>
          <w:rFonts w:eastAsia="Arial"/>
          <w:highlight w:val="none"/>
        </w:rPr>
        <w:instrText xml:space="preserve"> HYPERLINK \l _Toc5973 </w:instrText>
      </w:r>
      <w:r>
        <w:rPr>
          <w:rFonts w:eastAsia="Arial"/>
          <w:highlight w:val="none"/>
        </w:rPr>
        <w:fldChar w:fldCharType="separate"/>
      </w:r>
      <w:r>
        <w:rPr>
          <w:rFonts w:hint="eastAsia" w:cs="宋体"/>
          <w:szCs w:val="30"/>
          <w:highlight w:val="none"/>
        </w:rPr>
        <w:t>11</w:t>
      </w:r>
      <w:r>
        <w:rPr>
          <w:rFonts w:hint="eastAsia" w:cs="宋体"/>
          <w:szCs w:val="30"/>
          <w:highlight w:val="none"/>
          <w:lang w:eastAsia="zh-CN"/>
        </w:rPr>
        <w:t>　</w:t>
      </w:r>
      <w:r>
        <w:rPr>
          <w:rFonts w:hint="eastAsia" w:cs="宋体"/>
          <w:szCs w:val="30"/>
          <w:highlight w:val="none"/>
        </w:rPr>
        <w:t>基础防渗墙工程</w:t>
      </w:r>
      <w:r>
        <w:tab/>
      </w:r>
      <w:r>
        <w:fldChar w:fldCharType="begin"/>
      </w:r>
      <w:r>
        <w:instrText xml:space="preserve"> PAGEREF _Toc5973 \h </w:instrText>
      </w:r>
      <w:r>
        <w:fldChar w:fldCharType="separate"/>
      </w:r>
      <w:r>
        <w:t>379</w:t>
      </w:r>
      <w:r>
        <w:fldChar w:fldCharType="end"/>
      </w:r>
      <w:r>
        <w:rPr>
          <w:rFonts w:eastAsia="Arial"/>
          <w:color w:val="auto"/>
          <w:highlight w:val="none"/>
        </w:rPr>
        <w:fldChar w:fldCharType="end"/>
      </w:r>
    </w:p>
    <w:p w14:paraId="7EBA73FE">
      <w:pPr>
        <w:pStyle w:val="15"/>
        <w:tabs>
          <w:tab w:val="right" w:leader="dot" w:pos="9069"/>
        </w:tabs>
      </w:pPr>
      <w:r>
        <w:rPr>
          <w:rFonts w:eastAsia="Arial"/>
          <w:color w:val="auto"/>
          <w:highlight w:val="none"/>
        </w:rPr>
        <w:fldChar w:fldCharType="begin"/>
      </w:r>
      <w:r>
        <w:rPr>
          <w:rFonts w:eastAsia="Arial"/>
          <w:highlight w:val="none"/>
        </w:rPr>
        <w:instrText xml:space="preserve"> HYPERLINK \l _Toc31439 </w:instrText>
      </w:r>
      <w:r>
        <w:rPr>
          <w:rFonts w:eastAsia="Arial"/>
          <w:highlight w:val="none"/>
        </w:rPr>
        <w:fldChar w:fldCharType="separate"/>
      </w:r>
      <w:r>
        <w:rPr>
          <w:rFonts w:hint="eastAsia" w:cs="宋体"/>
          <w:szCs w:val="30"/>
          <w:highlight w:val="none"/>
        </w:rPr>
        <w:t>12</w:t>
      </w:r>
      <w:r>
        <w:rPr>
          <w:rFonts w:hint="eastAsia" w:cs="宋体"/>
          <w:szCs w:val="30"/>
          <w:highlight w:val="none"/>
          <w:lang w:eastAsia="zh-CN"/>
        </w:rPr>
        <w:t>　</w:t>
      </w:r>
      <w:r>
        <w:rPr>
          <w:rFonts w:hint="eastAsia" w:cs="宋体"/>
          <w:szCs w:val="30"/>
          <w:highlight w:val="none"/>
        </w:rPr>
        <w:t>地基及基础工程</w:t>
      </w:r>
      <w:r>
        <w:tab/>
      </w:r>
      <w:r>
        <w:fldChar w:fldCharType="begin"/>
      </w:r>
      <w:r>
        <w:instrText xml:space="preserve"> PAGEREF _Toc31439 \h </w:instrText>
      </w:r>
      <w:r>
        <w:fldChar w:fldCharType="separate"/>
      </w:r>
      <w:r>
        <w:t>380</w:t>
      </w:r>
      <w:r>
        <w:fldChar w:fldCharType="end"/>
      </w:r>
      <w:r>
        <w:rPr>
          <w:rFonts w:eastAsia="Arial"/>
          <w:color w:val="auto"/>
          <w:highlight w:val="none"/>
        </w:rPr>
        <w:fldChar w:fldCharType="end"/>
      </w:r>
    </w:p>
    <w:p w14:paraId="414B9564">
      <w:pPr>
        <w:pStyle w:val="15"/>
        <w:tabs>
          <w:tab w:val="right" w:leader="dot" w:pos="9069"/>
        </w:tabs>
      </w:pPr>
      <w:r>
        <w:rPr>
          <w:rFonts w:eastAsia="Arial"/>
          <w:color w:val="auto"/>
          <w:highlight w:val="none"/>
        </w:rPr>
        <w:fldChar w:fldCharType="begin"/>
      </w:r>
      <w:r>
        <w:rPr>
          <w:rFonts w:eastAsia="Arial"/>
          <w:highlight w:val="none"/>
        </w:rPr>
        <w:instrText xml:space="preserve"> HYPERLINK \l _Toc20517 </w:instrText>
      </w:r>
      <w:r>
        <w:rPr>
          <w:rFonts w:eastAsia="Arial"/>
          <w:highlight w:val="none"/>
        </w:rPr>
        <w:fldChar w:fldCharType="separate"/>
      </w:r>
      <w:r>
        <w:rPr>
          <w:rFonts w:hint="eastAsia" w:cs="宋体"/>
          <w:szCs w:val="30"/>
          <w:highlight w:val="none"/>
        </w:rPr>
        <w:t>13</w:t>
      </w:r>
      <w:r>
        <w:rPr>
          <w:rFonts w:hint="eastAsia" w:cs="宋体"/>
          <w:szCs w:val="30"/>
          <w:highlight w:val="none"/>
          <w:lang w:eastAsia="zh-CN"/>
        </w:rPr>
        <w:t>　</w:t>
      </w:r>
      <w:r>
        <w:rPr>
          <w:rFonts w:hint="eastAsia" w:cs="宋体"/>
          <w:szCs w:val="30"/>
          <w:highlight w:val="none"/>
        </w:rPr>
        <w:t>土石方填筑工程</w:t>
      </w:r>
      <w:r>
        <w:tab/>
      </w:r>
      <w:r>
        <w:fldChar w:fldCharType="begin"/>
      </w:r>
      <w:r>
        <w:instrText xml:space="preserve"> PAGEREF _Toc20517 \h </w:instrText>
      </w:r>
      <w:r>
        <w:fldChar w:fldCharType="separate"/>
      </w:r>
      <w:r>
        <w:t>380</w:t>
      </w:r>
      <w:r>
        <w:fldChar w:fldCharType="end"/>
      </w:r>
      <w:r>
        <w:rPr>
          <w:rFonts w:eastAsia="Arial"/>
          <w:color w:val="auto"/>
          <w:highlight w:val="none"/>
        </w:rPr>
        <w:fldChar w:fldCharType="end"/>
      </w:r>
    </w:p>
    <w:p w14:paraId="1400B869">
      <w:pPr>
        <w:pStyle w:val="15"/>
        <w:tabs>
          <w:tab w:val="right" w:leader="dot" w:pos="9069"/>
        </w:tabs>
      </w:pPr>
      <w:r>
        <w:rPr>
          <w:rFonts w:eastAsia="Arial"/>
          <w:color w:val="auto"/>
          <w:highlight w:val="none"/>
        </w:rPr>
        <w:fldChar w:fldCharType="begin"/>
      </w:r>
      <w:r>
        <w:rPr>
          <w:rFonts w:eastAsia="Arial"/>
          <w:highlight w:val="none"/>
        </w:rPr>
        <w:instrText xml:space="preserve"> HYPERLINK \l _Toc27464 </w:instrText>
      </w:r>
      <w:r>
        <w:rPr>
          <w:rFonts w:eastAsia="Arial"/>
          <w:highlight w:val="none"/>
        </w:rPr>
        <w:fldChar w:fldCharType="separate"/>
      </w:r>
      <w:r>
        <w:rPr>
          <w:rFonts w:hint="eastAsia" w:cs="宋体"/>
          <w:szCs w:val="30"/>
          <w:highlight w:val="none"/>
        </w:rPr>
        <w:t>14</w:t>
      </w:r>
      <w:r>
        <w:rPr>
          <w:rFonts w:hint="eastAsia" w:cs="宋体"/>
          <w:szCs w:val="30"/>
          <w:highlight w:val="none"/>
          <w:lang w:eastAsia="zh-CN"/>
        </w:rPr>
        <w:t>　</w:t>
      </w:r>
      <w:r>
        <w:rPr>
          <w:rFonts w:hint="eastAsia" w:cs="宋体"/>
          <w:szCs w:val="30"/>
          <w:highlight w:val="none"/>
        </w:rPr>
        <w:t>混凝土工程</w:t>
      </w:r>
      <w:r>
        <w:tab/>
      </w:r>
      <w:r>
        <w:fldChar w:fldCharType="begin"/>
      </w:r>
      <w:r>
        <w:instrText xml:space="preserve"> PAGEREF _Toc27464 \h </w:instrText>
      </w:r>
      <w:r>
        <w:fldChar w:fldCharType="separate"/>
      </w:r>
      <w:r>
        <w:t>388</w:t>
      </w:r>
      <w:r>
        <w:fldChar w:fldCharType="end"/>
      </w:r>
      <w:r>
        <w:rPr>
          <w:rFonts w:eastAsia="Arial"/>
          <w:color w:val="auto"/>
          <w:highlight w:val="none"/>
        </w:rPr>
        <w:fldChar w:fldCharType="end"/>
      </w:r>
    </w:p>
    <w:p w14:paraId="64AF7F7E">
      <w:pPr>
        <w:pStyle w:val="15"/>
        <w:tabs>
          <w:tab w:val="right" w:leader="dot" w:pos="9069"/>
        </w:tabs>
      </w:pPr>
      <w:r>
        <w:rPr>
          <w:rFonts w:eastAsia="Arial"/>
          <w:color w:val="auto"/>
          <w:highlight w:val="none"/>
        </w:rPr>
        <w:fldChar w:fldCharType="begin"/>
      </w:r>
      <w:r>
        <w:rPr>
          <w:rFonts w:eastAsia="Arial"/>
          <w:highlight w:val="none"/>
        </w:rPr>
        <w:instrText xml:space="preserve"> HYPERLINK \l _Toc14625 </w:instrText>
      </w:r>
      <w:r>
        <w:rPr>
          <w:rFonts w:eastAsia="Arial"/>
          <w:highlight w:val="none"/>
        </w:rPr>
        <w:fldChar w:fldCharType="separate"/>
      </w:r>
      <w:r>
        <w:rPr>
          <w:rFonts w:hint="eastAsia" w:cs="宋体"/>
          <w:szCs w:val="30"/>
          <w:highlight w:val="none"/>
        </w:rPr>
        <w:t>15</w:t>
      </w:r>
      <w:r>
        <w:rPr>
          <w:rFonts w:hint="eastAsia" w:cs="宋体"/>
          <w:szCs w:val="30"/>
          <w:highlight w:val="none"/>
          <w:lang w:eastAsia="zh-CN"/>
        </w:rPr>
        <w:t>　</w:t>
      </w:r>
      <w:r>
        <w:rPr>
          <w:rFonts w:hint="eastAsia" w:cs="宋体"/>
          <w:szCs w:val="30"/>
          <w:highlight w:val="none"/>
        </w:rPr>
        <w:t>沥青混凝土工程</w:t>
      </w:r>
      <w:r>
        <w:tab/>
      </w:r>
      <w:r>
        <w:fldChar w:fldCharType="begin"/>
      </w:r>
      <w:r>
        <w:instrText xml:space="preserve"> PAGEREF _Toc14625 \h </w:instrText>
      </w:r>
      <w:r>
        <w:fldChar w:fldCharType="separate"/>
      </w:r>
      <w:r>
        <w:t>414</w:t>
      </w:r>
      <w:r>
        <w:fldChar w:fldCharType="end"/>
      </w:r>
      <w:r>
        <w:rPr>
          <w:rFonts w:eastAsia="Arial"/>
          <w:color w:val="auto"/>
          <w:highlight w:val="none"/>
        </w:rPr>
        <w:fldChar w:fldCharType="end"/>
      </w:r>
    </w:p>
    <w:p w14:paraId="1D7DAF4E">
      <w:pPr>
        <w:pStyle w:val="15"/>
        <w:tabs>
          <w:tab w:val="right" w:leader="dot" w:pos="9069"/>
        </w:tabs>
      </w:pPr>
      <w:r>
        <w:rPr>
          <w:rFonts w:eastAsia="Arial"/>
          <w:color w:val="auto"/>
          <w:highlight w:val="none"/>
        </w:rPr>
        <w:fldChar w:fldCharType="begin"/>
      </w:r>
      <w:r>
        <w:rPr>
          <w:rFonts w:eastAsia="Arial"/>
          <w:highlight w:val="none"/>
        </w:rPr>
        <w:instrText xml:space="preserve"> HYPERLINK \l _Toc24509 </w:instrText>
      </w:r>
      <w:r>
        <w:rPr>
          <w:rFonts w:eastAsia="Arial"/>
          <w:highlight w:val="none"/>
        </w:rPr>
        <w:fldChar w:fldCharType="separate"/>
      </w:r>
      <w:r>
        <w:rPr>
          <w:rFonts w:hint="eastAsia" w:cs="宋体"/>
          <w:szCs w:val="30"/>
          <w:highlight w:val="none"/>
        </w:rPr>
        <w:t>16</w:t>
      </w:r>
      <w:r>
        <w:rPr>
          <w:rFonts w:hint="eastAsia" w:cs="宋体"/>
          <w:szCs w:val="30"/>
          <w:highlight w:val="none"/>
          <w:lang w:eastAsia="zh-CN"/>
        </w:rPr>
        <w:t>　</w:t>
      </w:r>
      <w:r>
        <w:rPr>
          <w:rFonts w:hint="eastAsia" w:cs="宋体"/>
          <w:szCs w:val="30"/>
          <w:highlight w:val="none"/>
        </w:rPr>
        <w:t>砌体工程</w:t>
      </w:r>
      <w:r>
        <w:tab/>
      </w:r>
      <w:r>
        <w:fldChar w:fldCharType="begin"/>
      </w:r>
      <w:r>
        <w:instrText xml:space="preserve"> PAGEREF _Toc24509 \h </w:instrText>
      </w:r>
      <w:r>
        <w:fldChar w:fldCharType="separate"/>
      </w:r>
      <w:r>
        <w:t>414</w:t>
      </w:r>
      <w:r>
        <w:fldChar w:fldCharType="end"/>
      </w:r>
      <w:r>
        <w:rPr>
          <w:rFonts w:eastAsia="Arial"/>
          <w:color w:val="auto"/>
          <w:highlight w:val="none"/>
        </w:rPr>
        <w:fldChar w:fldCharType="end"/>
      </w:r>
    </w:p>
    <w:p w14:paraId="383947D7">
      <w:pPr>
        <w:pStyle w:val="15"/>
        <w:tabs>
          <w:tab w:val="right" w:leader="dot" w:pos="9069"/>
        </w:tabs>
      </w:pPr>
      <w:r>
        <w:rPr>
          <w:rFonts w:eastAsia="Arial"/>
          <w:color w:val="auto"/>
          <w:highlight w:val="none"/>
        </w:rPr>
        <w:fldChar w:fldCharType="begin"/>
      </w:r>
      <w:r>
        <w:rPr>
          <w:rFonts w:eastAsia="Arial"/>
          <w:highlight w:val="none"/>
        </w:rPr>
        <w:instrText xml:space="preserve"> HYPERLINK \l _Toc12707 </w:instrText>
      </w:r>
      <w:r>
        <w:rPr>
          <w:rFonts w:eastAsia="Arial"/>
          <w:highlight w:val="none"/>
        </w:rPr>
        <w:fldChar w:fldCharType="separate"/>
      </w:r>
      <w:r>
        <w:rPr>
          <w:rFonts w:hint="eastAsia" w:cs="宋体"/>
          <w:szCs w:val="30"/>
          <w:highlight w:val="none"/>
        </w:rPr>
        <w:t>17</w:t>
      </w:r>
      <w:r>
        <w:rPr>
          <w:rFonts w:hint="eastAsia" w:cs="宋体"/>
          <w:szCs w:val="30"/>
          <w:highlight w:val="none"/>
          <w:lang w:eastAsia="zh-CN"/>
        </w:rPr>
        <w:t>　</w:t>
      </w:r>
      <w:r>
        <w:rPr>
          <w:rFonts w:hint="eastAsia" w:cs="宋体"/>
          <w:szCs w:val="30"/>
          <w:highlight w:val="none"/>
        </w:rPr>
        <w:t>疏浚和吹填工程</w:t>
      </w:r>
      <w:r>
        <w:tab/>
      </w:r>
      <w:r>
        <w:fldChar w:fldCharType="begin"/>
      </w:r>
      <w:r>
        <w:instrText xml:space="preserve"> PAGEREF _Toc12707 \h </w:instrText>
      </w:r>
      <w:r>
        <w:fldChar w:fldCharType="separate"/>
      </w:r>
      <w:r>
        <w:t>414</w:t>
      </w:r>
      <w:r>
        <w:fldChar w:fldCharType="end"/>
      </w:r>
      <w:r>
        <w:rPr>
          <w:rFonts w:eastAsia="Arial"/>
          <w:color w:val="auto"/>
          <w:highlight w:val="none"/>
        </w:rPr>
        <w:fldChar w:fldCharType="end"/>
      </w:r>
    </w:p>
    <w:p w14:paraId="7243F844">
      <w:pPr>
        <w:pStyle w:val="15"/>
        <w:tabs>
          <w:tab w:val="right" w:leader="dot" w:pos="9069"/>
        </w:tabs>
      </w:pPr>
      <w:r>
        <w:rPr>
          <w:rFonts w:eastAsia="Arial"/>
          <w:color w:val="auto"/>
          <w:highlight w:val="none"/>
        </w:rPr>
        <w:fldChar w:fldCharType="begin"/>
      </w:r>
      <w:r>
        <w:rPr>
          <w:rFonts w:eastAsia="Arial"/>
          <w:highlight w:val="none"/>
        </w:rPr>
        <w:instrText xml:space="preserve"> HYPERLINK \l _Toc18486 </w:instrText>
      </w:r>
      <w:r>
        <w:rPr>
          <w:rFonts w:eastAsia="Arial"/>
          <w:highlight w:val="none"/>
        </w:rPr>
        <w:fldChar w:fldCharType="separate"/>
      </w:r>
      <w:r>
        <w:rPr>
          <w:rFonts w:hint="eastAsia" w:cs="宋体"/>
          <w:szCs w:val="30"/>
          <w:highlight w:val="none"/>
        </w:rPr>
        <w:t>18</w:t>
      </w:r>
      <w:r>
        <w:rPr>
          <w:rFonts w:hint="eastAsia" w:cs="宋体"/>
          <w:szCs w:val="30"/>
          <w:highlight w:val="none"/>
          <w:lang w:eastAsia="zh-CN"/>
        </w:rPr>
        <w:t>　</w:t>
      </w:r>
      <w:r>
        <w:rPr>
          <w:rFonts w:hint="eastAsia" w:cs="宋体"/>
          <w:szCs w:val="30"/>
          <w:highlight w:val="none"/>
        </w:rPr>
        <w:t>屋面和地面建筑工程</w:t>
      </w:r>
      <w:r>
        <w:tab/>
      </w:r>
      <w:r>
        <w:fldChar w:fldCharType="begin"/>
      </w:r>
      <w:r>
        <w:instrText xml:space="preserve"> PAGEREF _Toc18486 \h </w:instrText>
      </w:r>
      <w:r>
        <w:fldChar w:fldCharType="separate"/>
      </w:r>
      <w:r>
        <w:t>414</w:t>
      </w:r>
      <w:r>
        <w:fldChar w:fldCharType="end"/>
      </w:r>
      <w:r>
        <w:rPr>
          <w:rFonts w:eastAsia="Arial"/>
          <w:color w:val="auto"/>
          <w:highlight w:val="none"/>
        </w:rPr>
        <w:fldChar w:fldCharType="end"/>
      </w:r>
    </w:p>
    <w:p w14:paraId="20143F00">
      <w:pPr>
        <w:pStyle w:val="15"/>
        <w:tabs>
          <w:tab w:val="right" w:leader="dot" w:pos="9069"/>
        </w:tabs>
      </w:pPr>
      <w:r>
        <w:rPr>
          <w:rFonts w:eastAsia="Arial"/>
          <w:color w:val="auto"/>
          <w:highlight w:val="none"/>
        </w:rPr>
        <w:fldChar w:fldCharType="begin"/>
      </w:r>
      <w:r>
        <w:rPr>
          <w:rFonts w:eastAsia="Arial"/>
          <w:highlight w:val="none"/>
        </w:rPr>
        <w:instrText xml:space="preserve"> HYPERLINK \l _Toc2634 </w:instrText>
      </w:r>
      <w:r>
        <w:rPr>
          <w:rFonts w:eastAsia="Arial"/>
          <w:highlight w:val="none"/>
        </w:rPr>
        <w:fldChar w:fldCharType="separate"/>
      </w:r>
      <w:r>
        <w:rPr>
          <w:rFonts w:hint="eastAsia"/>
          <w:highlight w:val="none"/>
          <w:lang w:bidi="ar-SA"/>
        </w:rPr>
        <w:t>19</w:t>
      </w:r>
      <w:r>
        <w:rPr>
          <w:rFonts w:hint="eastAsia" w:cs="宋体"/>
          <w:szCs w:val="30"/>
          <w:highlight w:val="none"/>
        </w:rPr>
        <w:t>　</w:t>
      </w:r>
      <w:r>
        <w:rPr>
          <w:rFonts w:hint="eastAsia"/>
          <w:highlight w:val="none"/>
          <w:lang w:bidi="ar-SA"/>
        </w:rPr>
        <w:t>压力钢管制造和安装</w:t>
      </w:r>
      <w:r>
        <w:tab/>
      </w:r>
      <w:r>
        <w:fldChar w:fldCharType="begin"/>
      </w:r>
      <w:r>
        <w:instrText xml:space="preserve"> PAGEREF _Toc2634 \h </w:instrText>
      </w:r>
      <w:r>
        <w:fldChar w:fldCharType="separate"/>
      </w:r>
      <w:r>
        <w:t>415</w:t>
      </w:r>
      <w:r>
        <w:fldChar w:fldCharType="end"/>
      </w:r>
      <w:r>
        <w:rPr>
          <w:rFonts w:eastAsia="Arial"/>
          <w:color w:val="auto"/>
          <w:highlight w:val="none"/>
        </w:rPr>
        <w:fldChar w:fldCharType="end"/>
      </w:r>
    </w:p>
    <w:p w14:paraId="0E6BE498">
      <w:pPr>
        <w:pStyle w:val="15"/>
        <w:tabs>
          <w:tab w:val="right" w:leader="dot" w:pos="9069"/>
        </w:tabs>
      </w:pPr>
      <w:r>
        <w:rPr>
          <w:rFonts w:eastAsia="Arial"/>
          <w:color w:val="auto"/>
          <w:highlight w:val="none"/>
        </w:rPr>
        <w:fldChar w:fldCharType="begin"/>
      </w:r>
      <w:r>
        <w:rPr>
          <w:rFonts w:eastAsia="Arial"/>
          <w:highlight w:val="none"/>
        </w:rPr>
        <w:instrText xml:space="preserve"> HYPERLINK \l _Toc9632 </w:instrText>
      </w:r>
      <w:r>
        <w:rPr>
          <w:rFonts w:eastAsia="Arial"/>
          <w:highlight w:val="none"/>
        </w:rPr>
        <w:fldChar w:fldCharType="separate"/>
      </w:r>
      <w:r>
        <w:rPr>
          <w:rFonts w:hint="eastAsia" w:cs="宋体"/>
          <w:szCs w:val="30"/>
          <w:highlight w:val="none"/>
        </w:rPr>
        <w:t>20</w:t>
      </w:r>
      <w:r>
        <w:rPr>
          <w:rFonts w:hint="eastAsia" w:cs="宋体"/>
          <w:szCs w:val="30"/>
          <w:highlight w:val="none"/>
          <w:lang w:eastAsia="zh-CN"/>
        </w:rPr>
        <w:t>　</w:t>
      </w:r>
      <w:r>
        <w:rPr>
          <w:rFonts w:hint="eastAsia" w:cs="宋体"/>
          <w:szCs w:val="30"/>
          <w:highlight w:val="none"/>
        </w:rPr>
        <w:t>钢结构的制作和安装</w:t>
      </w:r>
      <w:r>
        <w:tab/>
      </w:r>
      <w:r>
        <w:fldChar w:fldCharType="begin"/>
      </w:r>
      <w:r>
        <w:instrText xml:space="preserve"> PAGEREF _Toc9632 \h </w:instrText>
      </w:r>
      <w:r>
        <w:fldChar w:fldCharType="separate"/>
      </w:r>
      <w:r>
        <w:t>431</w:t>
      </w:r>
      <w:r>
        <w:fldChar w:fldCharType="end"/>
      </w:r>
      <w:r>
        <w:rPr>
          <w:rFonts w:eastAsia="Arial"/>
          <w:color w:val="auto"/>
          <w:highlight w:val="none"/>
        </w:rPr>
        <w:fldChar w:fldCharType="end"/>
      </w:r>
    </w:p>
    <w:p w14:paraId="42B30AB3">
      <w:pPr>
        <w:pStyle w:val="15"/>
        <w:tabs>
          <w:tab w:val="right" w:leader="dot" w:pos="9069"/>
        </w:tabs>
      </w:pPr>
      <w:r>
        <w:rPr>
          <w:rFonts w:eastAsia="Arial"/>
          <w:color w:val="auto"/>
          <w:highlight w:val="none"/>
        </w:rPr>
        <w:fldChar w:fldCharType="begin"/>
      </w:r>
      <w:r>
        <w:rPr>
          <w:rFonts w:eastAsia="Arial"/>
          <w:highlight w:val="none"/>
        </w:rPr>
        <w:instrText xml:space="preserve"> HYPERLINK \l _Toc30608 </w:instrText>
      </w:r>
      <w:r>
        <w:rPr>
          <w:rFonts w:eastAsia="Arial"/>
          <w:highlight w:val="none"/>
        </w:rPr>
        <w:fldChar w:fldCharType="separate"/>
      </w:r>
      <w:r>
        <w:rPr>
          <w:rFonts w:hint="eastAsia" w:cs="宋体"/>
          <w:szCs w:val="30"/>
          <w:highlight w:val="none"/>
        </w:rPr>
        <w:t>21</w:t>
      </w:r>
      <w:r>
        <w:rPr>
          <w:rFonts w:hint="eastAsia" w:cs="宋体"/>
          <w:szCs w:val="30"/>
          <w:highlight w:val="none"/>
          <w:lang w:eastAsia="zh-CN"/>
        </w:rPr>
        <w:t>　</w:t>
      </w:r>
      <w:r>
        <w:rPr>
          <w:rFonts w:hint="eastAsia" w:cs="宋体"/>
          <w:szCs w:val="30"/>
          <w:highlight w:val="none"/>
        </w:rPr>
        <w:t>钢闸门制作</w:t>
      </w:r>
      <w:r>
        <w:tab/>
      </w:r>
      <w:r>
        <w:fldChar w:fldCharType="begin"/>
      </w:r>
      <w:r>
        <w:instrText xml:space="preserve"> PAGEREF _Toc30608 \h </w:instrText>
      </w:r>
      <w:r>
        <w:fldChar w:fldCharType="separate"/>
      </w:r>
      <w:r>
        <w:t>431</w:t>
      </w:r>
      <w:r>
        <w:fldChar w:fldCharType="end"/>
      </w:r>
      <w:r>
        <w:rPr>
          <w:rFonts w:eastAsia="Arial"/>
          <w:color w:val="auto"/>
          <w:highlight w:val="none"/>
        </w:rPr>
        <w:fldChar w:fldCharType="end"/>
      </w:r>
    </w:p>
    <w:p w14:paraId="06970069">
      <w:pPr>
        <w:pStyle w:val="15"/>
        <w:tabs>
          <w:tab w:val="right" w:leader="dot" w:pos="9069"/>
        </w:tabs>
      </w:pPr>
      <w:r>
        <w:rPr>
          <w:rFonts w:eastAsia="Arial"/>
          <w:color w:val="auto"/>
          <w:highlight w:val="none"/>
        </w:rPr>
        <w:fldChar w:fldCharType="begin"/>
      </w:r>
      <w:r>
        <w:rPr>
          <w:rFonts w:eastAsia="Arial"/>
          <w:highlight w:val="none"/>
        </w:rPr>
        <w:instrText xml:space="preserve"> HYPERLINK \l _Toc9365 </w:instrText>
      </w:r>
      <w:r>
        <w:rPr>
          <w:rFonts w:eastAsia="Arial"/>
          <w:highlight w:val="none"/>
        </w:rPr>
        <w:fldChar w:fldCharType="separate"/>
      </w:r>
      <w:r>
        <w:rPr>
          <w:rFonts w:hint="eastAsia" w:cs="宋体"/>
          <w:szCs w:val="30"/>
          <w:highlight w:val="none"/>
        </w:rPr>
        <w:t>22</w:t>
      </w:r>
      <w:r>
        <w:rPr>
          <w:rFonts w:hint="eastAsia" w:cs="宋体"/>
          <w:szCs w:val="30"/>
          <w:highlight w:val="none"/>
          <w:lang w:eastAsia="zh-CN"/>
        </w:rPr>
        <w:t>　</w:t>
      </w:r>
      <w:r>
        <w:rPr>
          <w:rFonts w:hint="eastAsia" w:cs="宋体"/>
          <w:szCs w:val="30"/>
          <w:highlight w:val="none"/>
        </w:rPr>
        <w:t>钢闸门及启闭机安装</w:t>
      </w:r>
      <w:r>
        <w:tab/>
      </w:r>
      <w:r>
        <w:fldChar w:fldCharType="begin"/>
      </w:r>
      <w:r>
        <w:instrText xml:space="preserve"> PAGEREF _Toc9365 \h </w:instrText>
      </w:r>
      <w:r>
        <w:fldChar w:fldCharType="separate"/>
      </w:r>
      <w:r>
        <w:t>431</w:t>
      </w:r>
      <w:r>
        <w:fldChar w:fldCharType="end"/>
      </w:r>
      <w:r>
        <w:rPr>
          <w:rFonts w:eastAsia="Arial"/>
          <w:color w:val="auto"/>
          <w:highlight w:val="none"/>
        </w:rPr>
        <w:fldChar w:fldCharType="end"/>
      </w:r>
    </w:p>
    <w:p w14:paraId="59B37EDE">
      <w:pPr>
        <w:pStyle w:val="15"/>
        <w:tabs>
          <w:tab w:val="right" w:leader="dot" w:pos="9069"/>
        </w:tabs>
      </w:pPr>
      <w:r>
        <w:rPr>
          <w:rFonts w:eastAsia="Arial"/>
          <w:color w:val="auto"/>
          <w:highlight w:val="none"/>
        </w:rPr>
        <w:fldChar w:fldCharType="begin"/>
      </w:r>
      <w:r>
        <w:rPr>
          <w:rFonts w:eastAsia="Arial"/>
          <w:highlight w:val="none"/>
        </w:rPr>
        <w:instrText xml:space="preserve"> HYPERLINK \l _Toc18682 </w:instrText>
      </w:r>
      <w:r>
        <w:rPr>
          <w:rFonts w:eastAsia="Arial"/>
          <w:highlight w:val="none"/>
        </w:rPr>
        <w:fldChar w:fldCharType="separate"/>
      </w:r>
      <w:r>
        <w:rPr>
          <w:rFonts w:hint="eastAsia" w:cs="宋体"/>
          <w:szCs w:val="30"/>
          <w:highlight w:val="none"/>
        </w:rPr>
        <w:t>23</w:t>
      </w:r>
      <w:r>
        <w:rPr>
          <w:rFonts w:hint="eastAsia" w:cs="宋体"/>
          <w:szCs w:val="30"/>
          <w:highlight w:val="none"/>
          <w:lang w:eastAsia="zh-CN"/>
        </w:rPr>
        <w:t>　</w:t>
      </w:r>
      <w:r>
        <w:rPr>
          <w:rFonts w:hint="eastAsia" w:cs="宋体"/>
          <w:szCs w:val="30"/>
          <w:highlight w:val="none"/>
        </w:rPr>
        <w:t>预埋件埋设</w:t>
      </w:r>
      <w:r>
        <w:tab/>
      </w:r>
      <w:r>
        <w:fldChar w:fldCharType="begin"/>
      </w:r>
      <w:r>
        <w:instrText xml:space="preserve"> PAGEREF _Toc18682 \h </w:instrText>
      </w:r>
      <w:r>
        <w:fldChar w:fldCharType="separate"/>
      </w:r>
      <w:r>
        <w:t>431</w:t>
      </w:r>
      <w:r>
        <w:fldChar w:fldCharType="end"/>
      </w:r>
      <w:r>
        <w:rPr>
          <w:rFonts w:eastAsia="Arial"/>
          <w:color w:val="auto"/>
          <w:highlight w:val="none"/>
        </w:rPr>
        <w:fldChar w:fldCharType="end"/>
      </w:r>
    </w:p>
    <w:p w14:paraId="34533923">
      <w:pPr>
        <w:pStyle w:val="15"/>
        <w:tabs>
          <w:tab w:val="right" w:leader="dot" w:pos="9069"/>
        </w:tabs>
      </w:pPr>
      <w:r>
        <w:rPr>
          <w:rFonts w:eastAsia="Arial"/>
          <w:color w:val="auto"/>
          <w:highlight w:val="none"/>
        </w:rPr>
        <w:fldChar w:fldCharType="begin"/>
      </w:r>
      <w:r>
        <w:rPr>
          <w:rFonts w:eastAsia="Arial"/>
          <w:highlight w:val="none"/>
        </w:rPr>
        <w:instrText xml:space="preserve"> HYPERLINK \l _Toc23969 </w:instrText>
      </w:r>
      <w:r>
        <w:rPr>
          <w:rFonts w:eastAsia="Arial"/>
          <w:highlight w:val="none"/>
        </w:rPr>
        <w:fldChar w:fldCharType="separate"/>
      </w:r>
      <w:r>
        <w:rPr>
          <w:rFonts w:hint="eastAsia" w:cs="宋体"/>
          <w:szCs w:val="30"/>
          <w:highlight w:val="none"/>
        </w:rPr>
        <w:t>24</w:t>
      </w:r>
      <w:r>
        <w:rPr>
          <w:rFonts w:hint="eastAsia" w:cs="宋体"/>
          <w:szCs w:val="30"/>
          <w:highlight w:val="none"/>
          <w:lang w:eastAsia="zh-CN"/>
        </w:rPr>
        <w:t>　</w:t>
      </w:r>
      <w:r>
        <w:rPr>
          <w:rFonts w:hint="eastAsia" w:cs="宋体"/>
          <w:szCs w:val="30"/>
          <w:highlight w:val="none"/>
        </w:rPr>
        <w:t>机电设备安装</w:t>
      </w:r>
      <w:r>
        <w:tab/>
      </w:r>
      <w:r>
        <w:fldChar w:fldCharType="begin"/>
      </w:r>
      <w:r>
        <w:instrText xml:space="preserve"> PAGEREF _Toc23969 \h </w:instrText>
      </w:r>
      <w:r>
        <w:fldChar w:fldCharType="separate"/>
      </w:r>
      <w:r>
        <w:t>431</w:t>
      </w:r>
      <w:r>
        <w:fldChar w:fldCharType="end"/>
      </w:r>
      <w:r>
        <w:rPr>
          <w:rFonts w:eastAsia="Arial"/>
          <w:color w:val="auto"/>
          <w:highlight w:val="none"/>
        </w:rPr>
        <w:fldChar w:fldCharType="end"/>
      </w:r>
    </w:p>
    <w:p w14:paraId="45C1B491">
      <w:pPr>
        <w:pStyle w:val="15"/>
        <w:tabs>
          <w:tab w:val="right" w:leader="dot" w:pos="9069"/>
        </w:tabs>
      </w:pPr>
      <w:r>
        <w:rPr>
          <w:rFonts w:eastAsia="Arial"/>
          <w:color w:val="auto"/>
          <w:highlight w:val="none"/>
        </w:rPr>
        <w:fldChar w:fldCharType="begin"/>
      </w:r>
      <w:r>
        <w:rPr>
          <w:rFonts w:eastAsia="Arial"/>
          <w:highlight w:val="none"/>
        </w:rPr>
        <w:instrText xml:space="preserve"> HYPERLINK \l _Toc19865 </w:instrText>
      </w:r>
      <w:r>
        <w:rPr>
          <w:rFonts w:eastAsia="Arial"/>
          <w:highlight w:val="none"/>
        </w:rPr>
        <w:fldChar w:fldCharType="separate"/>
      </w:r>
      <w:r>
        <w:rPr>
          <w:rFonts w:hint="eastAsia" w:cs="宋体"/>
          <w:szCs w:val="30"/>
          <w:highlight w:val="none"/>
        </w:rPr>
        <w:t>25</w:t>
      </w:r>
      <w:r>
        <w:rPr>
          <w:rFonts w:hint="eastAsia" w:cs="宋体"/>
          <w:szCs w:val="30"/>
          <w:highlight w:val="none"/>
          <w:lang w:eastAsia="zh-CN"/>
        </w:rPr>
        <w:t>　</w:t>
      </w:r>
      <w:r>
        <w:rPr>
          <w:rFonts w:hint="eastAsia" w:cs="宋体"/>
          <w:szCs w:val="30"/>
          <w:highlight w:val="none"/>
        </w:rPr>
        <w:t>工程安全监测</w:t>
      </w:r>
      <w:r>
        <w:tab/>
      </w:r>
      <w:r>
        <w:fldChar w:fldCharType="begin"/>
      </w:r>
      <w:r>
        <w:instrText xml:space="preserve"> PAGEREF _Toc19865 \h </w:instrText>
      </w:r>
      <w:r>
        <w:fldChar w:fldCharType="separate"/>
      </w:r>
      <w:r>
        <w:t>431</w:t>
      </w:r>
      <w:r>
        <w:fldChar w:fldCharType="end"/>
      </w:r>
      <w:r>
        <w:rPr>
          <w:rFonts w:eastAsia="Arial"/>
          <w:color w:val="auto"/>
          <w:highlight w:val="none"/>
        </w:rPr>
        <w:fldChar w:fldCharType="end"/>
      </w:r>
    </w:p>
    <w:p w14:paraId="36B964AE">
      <w:pPr>
        <w:pStyle w:val="15"/>
        <w:tabs>
          <w:tab w:val="right" w:leader="dot" w:pos="9069"/>
        </w:tabs>
      </w:pPr>
      <w:r>
        <w:rPr>
          <w:rFonts w:eastAsia="Arial"/>
          <w:color w:val="auto"/>
          <w:highlight w:val="none"/>
        </w:rPr>
        <w:fldChar w:fldCharType="begin"/>
      </w:r>
      <w:r>
        <w:rPr>
          <w:rFonts w:eastAsia="Arial"/>
          <w:highlight w:val="none"/>
        </w:rPr>
        <w:instrText xml:space="preserve"> HYPERLINK \l _Toc12498 </w:instrText>
      </w:r>
      <w:r>
        <w:rPr>
          <w:rFonts w:eastAsia="Arial"/>
          <w:highlight w:val="none"/>
        </w:rPr>
        <w:fldChar w:fldCharType="separate"/>
      </w:r>
      <w:r>
        <w:rPr>
          <w:rFonts w:hint="eastAsia" w:ascii="宋体" w:hAnsi="宋体" w:eastAsia="宋体" w:cs="宋体"/>
          <w:bCs/>
          <w:snapToGrid/>
          <w:szCs w:val="30"/>
          <w:highlight w:val="none"/>
          <w:lang w:val="en-US" w:eastAsia="zh-CN" w:bidi="en-US"/>
        </w:rPr>
        <w:t>26　</w:t>
      </w:r>
      <w:r>
        <w:rPr>
          <w:rFonts w:hint="eastAsia" w:cs="宋体"/>
          <w:bCs/>
          <w:snapToGrid/>
          <w:szCs w:val="30"/>
          <w:highlight w:val="none"/>
          <w:lang w:val="en-US" w:eastAsia="zh-CN" w:bidi="en-US"/>
        </w:rPr>
        <w:t>数字工地建设</w:t>
      </w:r>
      <w:r>
        <w:tab/>
      </w:r>
      <w:r>
        <w:fldChar w:fldCharType="begin"/>
      </w:r>
      <w:r>
        <w:instrText xml:space="preserve"> PAGEREF _Toc12498 \h </w:instrText>
      </w:r>
      <w:r>
        <w:fldChar w:fldCharType="separate"/>
      </w:r>
      <w:r>
        <w:t>439</w:t>
      </w:r>
      <w:r>
        <w:fldChar w:fldCharType="end"/>
      </w:r>
      <w:r>
        <w:rPr>
          <w:rFonts w:eastAsia="Arial"/>
          <w:color w:val="auto"/>
          <w:highlight w:val="none"/>
        </w:rPr>
        <w:fldChar w:fldCharType="end"/>
      </w:r>
    </w:p>
    <w:p w14:paraId="03254463">
      <w:pPr>
        <w:pStyle w:val="13"/>
        <w:tabs>
          <w:tab w:val="right" w:leader="dot" w:pos="9069"/>
        </w:tabs>
      </w:pPr>
      <w:r>
        <w:rPr>
          <w:rFonts w:eastAsia="Arial"/>
          <w:color w:val="auto"/>
          <w:highlight w:val="none"/>
        </w:rPr>
        <w:fldChar w:fldCharType="begin"/>
      </w:r>
      <w:r>
        <w:rPr>
          <w:rFonts w:eastAsia="Arial"/>
          <w:highlight w:val="none"/>
        </w:rPr>
        <w:instrText xml:space="preserve"> HYPERLINK \l _Toc19622 </w:instrText>
      </w:r>
      <w:r>
        <w:rPr>
          <w:rFonts w:eastAsia="Arial"/>
          <w:highlight w:val="none"/>
        </w:rPr>
        <w:fldChar w:fldCharType="separate"/>
      </w:r>
      <w:r>
        <w:rPr>
          <w:rFonts w:hint="eastAsia" w:ascii="宋体" w:hAnsi="宋体" w:eastAsia="宋体" w:cs="宋体"/>
          <w:bCs/>
          <w:snapToGrid w:val="0"/>
          <w:spacing w:val="0"/>
          <w:kern w:val="44"/>
          <w:szCs w:val="52"/>
          <w:highlight w:val="none"/>
          <w:lang w:val="en-US" w:eastAsia="en-US" w:bidi="ar-SA"/>
        </w:rPr>
        <w:t xml:space="preserve">第 </w:t>
      </w:r>
      <w:r>
        <w:rPr>
          <w:rFonts w:hint="eastAsia" w:ascii="宋体" w:hAnsi="宋体" w:eastAsia="宋体" w:cs="宋体"/>
          <w:bCs/>
          <w:snapToGrid w:val="0"/>
          <w:spacing w:val="0"/>
          <w:kern w:val="44"/>
          <w:szCs w:val="52"/>
          <w:highlight w:val="none"/>
          <w:lang w:val="en-US" w:eastAsia="zh-CN" w:bidi="ar-SA"/>
        </w:rPr>
        <w:t>四</w:t>
      </w:r>
      <w:r>
        <w:rPr>
          <w:rFonts w:hint="eastAsia" w:ascii="宋体" w:hAnsi="宋体" w:eastAsia="宋体" w:cs="宋体"/>
          <w:bCs/>
          <w:snapToGrid w:val="0"/>
          <w:spacing w:val="0"/>
          <w:kern w:val="44"/>
          <w:szCs w:val="52"/>
          <w:highlight w:val="none"/>
          <w:lang w:val="en-US" w:eastAsia="en-US" w:bidi="ar-SA"/>
        </w:rPr>
        <w:t xml:space="preserve"> 卷</w:t>
      </w:r>
      <w:r>
        <w:tab/>
      </w:r>
      <w:r>
        <w:fldChar w:fldCharType="begin"/>
      </w:r>
      <w:r>
        <w:instrText xml:space="preserve"> PAGEREF _Toc19622 \h </w:instrText>
      </w:r>
      <w:r>
        <w:fldChar w:fldCharType="separate"/>
      </w:r>
      <w:r>
        <w:t>471</w:t>
      </w:r>
      <w:r>
        <w:fldChar w:fldCharType="end"/>
      </w:r>
      <w:r>
        <w:rPr>
          <w:rFonts w:eastAsia="Arial"/>
          <w:color w:val="auto"/>
          <w:highlight w:val="none"/>
        </w:rPr>
        <w:fldChar w:fldCharType="end"/>
      </w:r>
    </w:p>
    <w:p w14:paraId="63EC25D2">
      <w:pPr>
        <w:pStyle w:val="13"/>
        <w:tabs>
          <w:tab w:val="right" w:leader="dot" w:pos="9069"/>
        </w:tabs>
      </w:pPr>
      <w:r>
        <w:rPr>
          <w:rFonts w:eastAsia="Arial"/>
          <w:color w:val="auto"/>
          <w:highlight w:val="none"/>
        </w:rPr>
        <w:fldChar w:fldCharType="begin"/>
      </w:r>
      <w:r>
        <w:rPr>
          <w:rFonts w:eastAsia="Arial"/>
          <w:highlight w:val="none"/>
        </w:rPr>
        <w:instrText xml:space="preserve"> HYPERLINK \l _Toc6944 </w:instrText>
      </w:r>
      <w:r>
        <w:rPr>
          <w:rFonts w:eastAsia="Arial"/>
          <w:highlight w:val="none"/>
        </w:rPr>
        <w:fldChar w:fldCharType="separate"/>
      </w:r>
      <w:r>
        <w:rPr>
          <w:rFonts w:hint="eastAsia" w:ascii="宋体" w:cs="Arial"/>
          <w:bCs w:val="0"/>
          <w:spacing w:val="0"/>
          <w:szCs w:val="21"/>
          <w:highlight w:val="none"/>
          <w:lang w:eastAsia="zh-CN"/>
        </w:rPr>
        <w:t>第八章  投标文件格式</w:t>
      </w:r>
      <w:r>
        <w:tab/>
      </w:r>
      <w:r>
        <w:fldChar w:fldCharType="begin"/>
      </w:r>
      <w:r>
        <w:instrText xml:space="preserve"> PAGEREF _Toc6944 \h </w:instrText>
      </w:r>
      <w:r>
        <w:fldChar w:fldCharType="separate"/>
      </w:r>
      <w:r>
        <w:t>472</w:t>
      </w:r>
      <w:r>
        <w:fldChar w:fldCharType="end"/>
      </w:r>
      <w:r>
        <w:rPr>
          <w:rFonts w:eastAsia="Arial"/>
          <w:color w:val="auto"/>
          <w:highlight w:val="none"/>
        </w:rPr>
        <w:fldChar w:fldCharType="end"/>
      </w:r>
    </w:p>
    <w:p w14:paraId="2E6CFBA4">
      <w:pPr>
        <w:pStyle w:val="15"/>
        <w:tabs>
          <w:tab w:val="right" w:leader="dot" w:pos="9069"/>
        </w:tabs>
      </w:pPr>
      <w:r>
        <w:rPr>
          <w:rFonts w:eastAsia="Arial"/>
          <w:color w:val="auto"/>
          <w:highlight w:val="none"/>
        </w:rPr>
        <w:fldChar w:fldCharType="begin"/>
      </w:r>
      <w:r>
        <w:rPr>
          <w:rFonts w:eastAsia="Arial"/>
          <w:highlight w:val="none"/>
        </w:rPr>
        <w:instrText xml:space="preserve"> HYPERLINK \l _Toc13960 </w:instrText>
      </w:r>
      <w:r>
        <w:rPr>
          <w:rFonts w:eastAsia="Arial"/>
          <w:highlight w:val="none"/>
        </w:rPr>
        <w:fldChar w:fldCharType="separate"/>
      </w:r>
      <w:r>
        <w:rPr>
          <w:rFonts w:hint="eastAsia" w:ascii="宋体" w:cs="Mongolian Baiti"/>
          <w:bCs/>
          <w:spacing w:val="0"/>
          <w:szCs w:val="30"/>
          <w:highlight w:val="none"/>
          <w:lang w:eastAsia="zh-CN"/>
        </w:rPr>
        <w:t>一、投标函及投标函附录</w:t>
      </w:r>
      <w:r>
        <w:tab/>
      </w:r>
      <w:r>
        <w:fldChar w:fldCharType="begin"/>
      </w:r>
      <w:r>
        <w:instrText xml:space="preserve"> PAGEREF _Toc13960 \h </w:instrText>
      </w:r>
      <w:r>
        <w:fldChar w:fldCharType="separate"/>
      </w:r>
      <w:r>
        <w:t>475</w:t>
      </w:r>
      <w:r>
        <w:fldChar w:fldCharType="end"/>
      </w:r>
      <w:r>
        <w:rPr>
          <w:rFonts w:eastAsia="Arial"/>
          <w:color w:val="auto"/>
          <w:highlight w:val="none"/>
        </w:rPr>
        <w:fldChar w:fldCharType="end"/>
      </w:r>
    </w:p>
    <w:p w14:paraId="25BB9C55">
      <w:pPr>
        <w:pStyle w:val="15"/>
        <w:tabs>
          <w:tab w:val="right" w:leader="dot" w:pos="9069"/>
        </w:tabs>
      </w:pPr>
      <w:r>
        <w:rPr>
          <w:rFonts w:eastAsia="Arial"/>
          <w:color w:val="auto"/>
          <w:highlight w:val="none"/>
        </w:rPr>
        <w:fldChar w:fldCharType="begin"/>
      </w:r>
      <w:r>
        <w:rPr>
          <w:rFonts w:eastAsia="Arial"/>
          <w:highlight w:val="none"/>
        </w:rPr>
        <w:instrText xml:space="preserve"> HYPERLINK \l _Toc18878 </w:instrText>
      </w:r>
      <w:r>
        <w:rPr>
          <w:rFonts w:eastAsia="Arial"/>
          <w:highlight w:val="none"/>
        </w:rPr>
        <w:fldChar w:fldCharType="separate"/>
      </w:r>
      <w:r>
        <w:rPr>
          <w:rFonts w:hint="eastAsia" w:ascii="宋体" w:cs="Arial"/>
          <w:bCs w:val="0"/>
          <w:spacing w:val="0"/>
          <w:szCs w:val="30"/>
          <w:highlight w:val="none"/>
          <w:lang w:eastAsia="zh-CN"/>
        </w:rPr>
        <w:t>二、法定代表人身份证明</w:t>
      </w:r>
      <w:r>
        <w:tab/>
      </w:r>
      <w:r>
        <w:fldChar w:fldCharType="begin"/>
      </w:r>
      <w:r>
        <w:instrText xml:space="preserve"> PAGEREF _Toc18878 \h </w:instrText>
      </w:r>
      <w:r>
        <w:fldChar w:fldCharType="separate"/>
      </w:r>
      <w:r>
        <w:t>477</w:t>
      </w:r>
      <w:r>
        <w:fldChar w:fldCharType="end"/>
      </w:r>
      <w:r>
        <w:rPr>
          <w:rFonts w:eastAsia="Arial"/>
          <w:color w:val="auto"/>
          <w:highlight w:val="none"/>
        </w:rPr>
        <w:fldChar w:fldCharType="end"/>
      </w:r>
    </w:p>
    <w:p w14:paraId="5CB99E56">
      <w:pPr>
        <w:pStyle w:val="15"/>
        <w:tabs>
          <w:tab w:val="right" w:leader="dot" w:pos="9069"/>
        </w:tabs>
      </w:pPr>
      <w:r>
        <w:rPr>
          <w:rFonts w:eastAsia="Arial"/>
          <w:color w:val="auto"/>
          <w:highlight w:val="none"/>
        </w:rPr>
        <w:fldChar w:fldCharType="begin"/>
      </w:r>
      <w:r>
        <w:rPr>
          <w:rFonts w:eastAsia="Arial"/>
          <w:highlight w:val="none"/>
        </w:rPr>
        <w:instrText xml:space="preserve"> HYPERLINK \l _Toc12798 </w:instrText>
      </w:r>
      <w:r>
        <w:rPr>
          <w:rFonts w:eastAsia="Arial"/>
          <w:highlight w:val="none"/>
        </w:rPr>
        <w:fldChar w:fldCharType="separate"/>
      </w:r>
      <w:r>
        <w:rPr>
          <w:rFonts w:hint="eastAsia" w:ascii="宋体" w:cs="宋体"/>
          <w:bCs/>
          <w:spacing w:val="0"/>
          <w:szCs w:val="30"/>
          <w:highlight w:val="none"/>
          <w:lang w:eastAsia="zh-CN"/>
        </w:rPr>
        <w:t>三</w:t>
      </w:r>
      <w:r>
        <w:rPr>
          <w:rFonts w:ascii="宋体" w:cs="宋体"/>
          <w:bCs/>
          <w:spacing w:val="0"/>
          <w:szCs w:val="30"/>
          <w:highlight w:val="none"/>
          <w:lang w:eastAsia="zh-CN"/>
        </w:rPr>
        <w:t>、授权委托书</w:t>
      </w:r>
      <w:r>
        <w:tab/>
      </w:r>
      <w:r>
        <w:fldChar w:fldCharType="begin"/>
      </w:r>
      <w:r>
        <w:instrText xml:space="preserve"> PAGEREF _Toc12798 \h </w:instrText>
      </w:r>
      <w:r>
        <w:fldChar w:fldCharType="separate"/>
      </w:r>
      <w:r>
        <w:t>478</w:t>
      </w:r>
      <w:r>
        <w:fldChar w:fldCharType="end"/>
      </w:r>
      <w:r>
        <w:rPr>
          <w:rFonts w:eastAsia="Arial"/>
          <w:color w:val="auto"/>
          <w:highlight w:val="none"/>
        </w:rPr>
        <w:fldChar w:fldCharType="end"/>
      </w:r>
    </w:p>
    <w:p w14:paraId="22E0B45B">
      <w:pPr>
        <w:pStyle w:val="15"/>
        <w:tabs>
          <w:tab w:val="right" w:leader="dot" w:pos="9069"/>
        </w:tabs>
      </w:pPr>
      <w:r>
        <w:rPr>
          <w:rFonts w:eastAsia="Arial"/>
          <w:color w:val="auto"/>
          <w:highlight w:val="none"/>
        </w:rPr>
        <w:fldChar w:fldCharType="begin"/>
      </w:r>
      <w:r>
        <w:rPr>
          <w:rFonts w:eastAsia="Arial"/>
          <w:highlight w:val="none"/>
        </w:rPr>
        <w:instrText xml:space="preserve"> HYPERLINK \l _Toc23811 </w:instrText>
      </w:r>
      <w:r>
        <w:rPr>
          <w:rFonts w:eastAsia="Arial"/>
          <w:highlight w:val="none"/>
        </w:rPr>
        <w:fldChar w:fldCharType="separate"/>
      </w:r>
      <w:r>
        <w:rPr>
          <w:rFonts w:hint="eastAsia" w:ascii="宋体" w:cs="宋体"/>
          <w:bCs/>
          <w:spacing w:val="0"/>
          <w:szCs w:val="30"/>
          <w:highlight w:val="none"/>
          <w:lang w:eastAsia="zh-CN"/>
        </w:rPr>
        <w:t>四</w:t>
      </w:r>
      <w:r>
        <w:rPr>
          <w:rFonts w:ascii="宋体" w:cs="宋体"/>
          <w:bCs/>
          <w:spacing w:val="0"/>
          <w:szCs w:val="30"/>
          <w:highlight w:val="none"/>
          <w:lang w:eastAsia="zh-CN"/>
        </w:rPr>
        <w:t>、联合体协议书</w:t>
      </w:r>
      <w:r>
        <w:tab/>
      </w:r>
      <w:r>
        <w:fldChar w:fldCharType="begin"/>
      </w:r>
      <w:r>
        <w:instrText xml:space="preserve"> PAGEREF _Toc23811 \h </w:instrText>
      </w:r>
      <w:r>
        <w:fldChar w:fldCharType="separate"/>
      </w:r>
      <w:r>
        <w:t>479</w:t>
      </w:r>
      <w:r>
        <w:fldChar w:fldCharType="end"/>
      </w:r>
      <w:r>
        <w:rPr>
          <w:rFonts w:eastAsia="Arial"/>
          <w:color w:val="auto"/>
          <w:highlight w:val="none"/>
        </w:rPr>
        <w:fldChar w:fldCharType="end"/>
      </w:r>
    </w:p>
    <w:p w14:paraId="425EC182">
      <w:pPr>
        <w:pStyle w:val="15"/>
        <w:tabs>
          <w:tab w:val="right" w:leader="dot" w:pos="9069"/>
        </w:tabs>
      </w:pPr>
      <w:r>
        <w:rPr>
          <w:rFonts w:eastAsia="Arial"/>
          <w:color w:val="auto"/>
          <w:highlight w:val="none"/>
        </w:rPr>
        <w:fldChar w:fldCharType="begin"/>
      </w:r>
      <w:r>
        <w:rPr>
          <w:rFonts w:eastAsia="Arial"/>
          <w:highlight w:val="none"/>
        </w:rPr>
        <w:instrText xml:space="preserve"> HYPERLINK \l _Toc5204 </w:instrText>
      </w:r>
      <w:r>
        <w:rPr>
          <w:rFonts w:eastAsia="Arial"/>
          <w:highlight w:val="none"/>
        </w:rPr>
        <w:fldChar w:fldCharType="separate"/>
      </w:r>
      <w:r>
        <w:rPr>
          <w:rFonts w:hint="eastAsia" w:ascii="宋体" w:cs="宋体"/>
          <w:bCs/>
          <w:spacing w:val="0"/>
          <w:szCs w:val="30"/>
          <w:highlight w:val="none"/>
          <w:lang w:eastAsia="zh-CN"/>
        </w:rPr>
        <w:t>五</w:t>
      </w:r>
      <w:r>
        <w:rPr>
          <w:rFonts w:ascii="宋体" w:cs="宋体"/>
          <w:bCs/>
          <w:spacing w:val="0"/>
          <w:szCs w:val="30"/>
          <w:highlight w:val="none"/>
          <w:lang w:eastAsia="zh-CN"/>
        </w:rPr>
        <w:t>、投标保证金</w:t>
      </w:r>
      <w:r>
        <w:tab/>
      </w:r>
      <w:r>
        <w:fldChar w:fldCharType="begin"/>
      </w:r>
      <w:r>
        <w:instrText xml:space="preserve"> PAGEREF _Toc5204 \h </w:instrText>
      </w:r>
      <w:r>
        <w:fldChar w:fldCharType="separate"/>
      </w:r>
      <w:r>
        <w:t>480</w:t>
      </w:r>
      <w:r>
        <w:fldChar w:fldCharType="end"/>
      </w:r>
      <w:r>
        <w:rPr>
          <w:rFonts w:eastAsia="Arial"/>
          <w:color w:val="auto"/>
          <w:highlight w:val="none"/>
        </w:rPr>
        <w:fldChar w:fldCharType="end"/>
      </w:r>
    </w:p>
    <w:p w14:paraId="79DB9C05">
      <w:pPr>
        <w:pStyle w:val="15"/>
        <w:tabs>
          <w:tab w:val="right" w:leader="dot" w:pos="9069"/>
        </w:tabs>
      </w:pPr>
      <w:r>
        <w:rPr>
          <w:rFonts w:eastAsia="Arial"/>
          <w:color w:val="auto"/>
          <w:highlight w:val="none"/>
        </w:rPr>
        <w:fldChar w:fldCharType="begin"/>
      </w:r>
      <w:r>
        <w:rPr>
          <w:rFonts w:eastAsia="Arial"/>
          <w:highlight w:val="none"/>
        </w:rPr>
        <w:instrText xml:space="preserve"> HYPERLINK \l _Toc23089 </w:instrText>
      </w:r>
      <w:r>
        <w:rPr>
          <w:rFonts w:eastAsia="Arial"/>
          <w:highlight w:val="none"/>
        </w:rPr>
        <w:fldChar w:fldCharType="separate"/>
      </w:r>
      <w:r>
        <w:rPr>
          <w:rFonts w:hint="eastAsia" w:ascii="宋体" w:cs="宋体"/>
          <w:bCs/>
          <w:spacing w:val="0"/>
          <w:szCs w:val="30"/>
          <w:highlight w:val="none"/>
          <w:lang w:eastAsia="zh-CN"/>
        </w:rPr>
        <w:t>六</w:t>
      </w:r>
      <w:r>
        <w:rPr>
          <w:rFonts w:ascii="宋体" w:cs="宋体"/>
          <w:bCs/>
          <w:spacing w:val="0"/>
          <w:szCs w:val="30"/>
          <w:highlight w:val="none"/>
          <w:lang w:eastAsia="zh-CN"/>
        </w:rPr>
        <w:t>、已标价工程量清单</w:t>
      </w:r>
      <w:r>
        <w:tab/>
      </w:r>
      <w:r>
        <w:fldChar w:fldCharType="begin"/>
      </w:r>
      <w:r>
        <w:instrText xml:space="preserve"> PAGEREF _Toc23089 \h </w:instrText>
      </w:r>
      <w:r>
        <w:fldChar w:fldCharType="separate"/>
      </w:r>
      <w:r>
        <w:t>481</w:t>
      </w:r>
      <w:r>
        <w:fldChar w:fldCharType="end"/>
      </w:r>
      <w:r>
        <w:rPr>
          <w:rFonts w:eastAsia="Arial"/>
          <w:color w:val="auto"/>
          <w:highlight w:val="none"/>
        </w:rPr>
        <w:fldChar w:fldCharType="end"/>
      </w:r>
    </w:p>
    <w:p w14:paraId="1E588F32">
      <w:pPr>
        <w:pStyle w:val="15"/>
        <w:tabs>
          <w:tab w:val="right" w:leader="dot" w:pos="9069"/>
        </w:tabs>
      </w:pPr>
      <w:r>
        <w:rPr>
          <w:rFonts w:eastAsia="Arial"/>
          <w:color w:val="auto"/>
          <w:highlight w:val="none"/>
        </w:rPr>
        <w:fldChar w:fldCharType="begin"/>
      </w:r>
      <w:r>
        <w:rPr>
          <w:rFonts w:eastAsia="Arial"/>
          <w:highlight w:val="none"/>
        </w:rPr>
        <w:instrText xml:space="preserve"> HYPERLINK \l _Toc18015 </w:instrText>
      </w:r>
      <w:r>
        <w:rPr>
          <w:rFonts w:eastAsia="Arial"/>
          <w:highlight w:val="none"/>
        </w:rPr>
        <w:fldChar w:fldCharType="separate"/>
      </w:r>
      <w:r>
        <w:rPr>
          <w:rFonts w:hint="eastAsia" w:ascii="宋体" w:cs="宋体"/>
          <w:bCs/>
          <w:spacing w:val="0"/>
          <w:szCs w:val="30"/>
          <w:highlight w:val="none"/>
          <w:lang w:eastAsia="zh-CN"/>
        </w:rPr>
        <w:t>七</w:t>
      </w:r>
      <w:r>
        <w:rPr>
          <w:rFonts w:ascii="宋体" w:cs="宋体"/>
          <w:bCs/>
          <w:spacing w:val="0"/>
          <w:szCs w:val="30"/>
          <w:highlight w:val="none"/>
          <w:lang w:eastAsia="zh-CN"/>
        </w:rPr>
        <w:t>、施工组织设计</w:t>
      </w:r>
      <w:r>
        <w:tab/>
      </w:r>
      <w:r>
        <w:fldChar w:fldCharType="begin"/>
      </w:r>
      <w:r>
        <w:instrText xml:space="preserve"> PAGEREF _Toc18015 \h </w:instrText>
      </w:r>
      <w:r>
        <w:fldChar w:fldCharType="separate"/>
      </w:r>
      <w:r>
        <w:t>497</w:t>
      </w:r>
      <w:r>
        <w:fldChar w:fldCharType="end"/>
      </w:r>
      <w:r>
        <w:rPr>
          <w:rFonts w:eastAsia="Arial"/>
          <w:color w:val="auto"/>
          <w:highlight w:val="none"/>
        </w:rPr>
        <w:fldChar w:fldCharType="end"/>
      </w:r>
    </w:p>
    <w:p w14:paraId="69BAF4EB">
      <w:pPr>
        <w:pStyle w:val="15"/>
        <w:tabs>
          <w:tab w:val="right" w:leader="dot" w:pos="9069"/>
        </w:tabs>
      </w:pPr>
      <w:r>
        <w:rPr>
          <w:rFonts w:eastAsia="Arial"/>
          <w:color w:val="auto"/>
          <w:highlight w:val="none"/>
        </w:rPr>
        <w:fldChar w:fldCharType="begin"/>
      </w:r>
      <w:r>
        <w:rPr>
          <w:rFonts w:eastAsia="Arial"/>
          <w:highlight w:val="none"/>
        </w:rPr>
        <w:instrText xml:space="preserve"> HYPERLINK \l _Toc1270 </w:instrText>
      </w:r>
      <w:r>
        <w:rPr>
          <w:rFonts w:eastAsia="Arial"/>
          <w:highlight w:val="none"/>
        </w:rPr>
        <w:fldChar w:fldCharType="separate"/>
      </w:r>
      <w:r>
        <w:rPr>
          <w:rFonts w:hint="eastAsia" w:ascii="宋体" w:cs="宋体"/>
          <w:bCs/>
          <w:spacing w:val="0"/>
          <w:szCs w:val="30"/>
          <w:highlight w:val="none"/>
          <w:lang w:eastAsia="zh-CN"/>
        </w:rPr>
        <w:t>八</w:t>
      </w:r>
      <w:r>
        <w:rPr>
          <w:rFonts w:ascii="宋体" w:cs="宋体"/>
          <w:bCs/>
          <w:spacing w:val="0"/>
          <w:szCs w:val="30"/>
          <w:highlight w:val="none"/>
          <w:lang w:eastAsia="zh-CN"/>
        </w:rPr>
        <w:t>、项目管理机构</w:t>
      </w:r>
      <w:r>
        <w:tab/>
      </w:r>
      <w:r>
        <w:fldChar w:fldCharType="begin"/>
      </w:r>
      <w:r>
        <w:instrText xml:space="preserve"> PAGEREF _Toc1270 \h </w:instrText>
      </w:r>
      <w:r>
        <w:fldChar w:fldCharType="separate"/>
      </w:r>
      <w:r>
        <w:t>505</w:t>
      </w:r>
      <w:r>
        <w:fldChar w:fldCharType="end"/>
      </w:r>
      <w:r>
        <w:rPr>
          <w:rFonts w:eastAsia="Arial"/>
          <w:color w:val="auto"/>
          <w:highlight w:val="none"/>
        </w:rPr>
        <w:fldChar w:fldCharType="end"/>
      </w:r>
    </w:p>
    <w:p w14:paraId="3E682276">
      <w:pPr>
        <w:pStyle w:val="15"/>
        <w:tabs>
          <w:tab w:val="right" w:leader="dot" w:pos="9069"/>
        </w:tabs>
      </w:pPr>
      <w:r>
        <w:rPr>
          <w:rFonts w:eastAsia="Arial"/>
          <w:color w:val="auto"/>
          <w:highlight w:val="none"/>
        </w:rPr>
        <w:fldChar w:fldCharType="begin"/>
      </w:r>
      <w:r>
        <w:rPr>
          <w:rFonts w:eastAsia="Arial"/>
          <w:highlight w:val="none"/>
        </w:rPr>
        <w:instrText xml:space="preserve"> HYPERLINK \l _Toc19065 </w:instrText>
      </w:r>
      <w:r>
        <w:rPr>
          <w:rFonts w:eastAsia="Arial"/>
          <w:highlight w:val="none"/>
        </w:rPr>
        <w:fldChar w:fldCharType="separate"/>
      </w:r>
      <w:r>
        <w:rPr>
          <w:rFonts w:hint="eastAsia" w:ascii="宋体" w:cs="宋体"/>
          <w:bCs/>
          <w:spacing w:val="0"/>
          <w:szCs w:val="30"/>
          <w:highlight w:val="none"/>
          <w:lang w:eastAsia="zh-CN"/>
        </w:rPr>
        <w:t>九</w:t>
      </w:r>
      <w:r>
        <w:rPr>
          <w:rFonts w:ascii="宋体" w:cs="宋体"/>
          <w:bCs/>
          <w:spacing w:val="0"/>
          <w:szCs w:val="30"/>
          <w:highlight w:val="none"/>
          <w:lang w:eastAsia="zh-CN"/>
        </w:rPr>
        <w:t>、拟分包项目情况表</w:t>
      </w:r>
      <w:r>
        <w:tab/>
      </w:r>
      <w:r>
        <w:fldChar w:fldCharType="begin"/>
      </w:r>
      <w:r>
        <w:instrText xml:space="preserve"> PAGEREF _Toc19065 \h </w:instrText>
      </w:r>
      <w:r>
        <w:fldChar w:fldCharType="separate"/>
      </w:r>
      <w:r>
        <w:t>507</w:t>
      </w:r>
      <w:r>
        <w:fldChar w:fldCharType="end"/>
      </w:r>
      <w:r>
        <w:rPr>
          <w:rFonts w:eastAsia="Arial"/>
          <w:color w:val="auto"/>
          <w:highlight w:val="none"/>
        </w:rPr>
        <w:fldChar w:fldCharType="end"/>
      </w:r>
    </w:p>
    <w:p w14:paraId="4C045895">
      <w:pPr>
        <w:pStyle w:val="15"/>
        <w:tabs>
          <w:tab w:val="right" w:leader="dot" w:pos="9069"/>
        </w:tabs>
      </w:pPr>
      <w:r>
        <w:rPr>
          <w:rFonts w:eastAsia="Arial"/>
          <w:color w:val="auto"/>
          <w:highlight w:val="none"/>
        </w:rPr>
        <w:fldChar w:fldCharType="begin"/>
      </w:r>
      <w:r>
        <w:rPr>
          <w:rFonts w:eastAsia="Arial"/>
          <w:highlight w:val="none"/>
        </w:rPr>
        <w:instrText xml:space="preserve"> HYPERLINK \l _Toc5643 </w:instrText>
      </w:r>
      <w:r>
        <w:rPr>
          <w:rFonts w:eastAsia="Arial"/>
          <w:highlight w:val="none"/>
        </w:rPr>
        <w:fldChar w:fldCharType="separate"/>
      </w:r>
      <w:r>
        <w:rPr>
          <w:rFonts w:hint="eastAsia" w:ascii="宋体" w:cs="宋体"/>
          <w:bCs/>
          <w:spacing w:val="0"/>
          <w:szCs w:val="30"/>
          <w:highlight w:val="none"/>
          <w:lang w:eastAsia="zh-CN"/>
        </w:rPr>
        <w:t>十</w:t>
      </w:r>
      <w:r>
        <w:rPr>
          <w:rFonts w:ascii="宋体" w:cs="宋体"/>
          <w:bCs/>
          <w:spacing w:val="0"/>
          <w:szCs w:val="30"/>
          <w:highlight w:val="none"/>
          <w:lang w:eastAsia="zh-CN"/>
        </w:rPr>
        <w:t>、资格审查资料</w:t>
      </w:r>
      <w:r>
        <w:tab/>
      </w:r>
      <w:r>
        <w:fldChar w:fldCharType="begin"/>
      </w:r>
      <w:r>
        <w:instrText xml:space="preserve"> PAGEREF _Toc5643 \h </w:instrText>
      </w:r>
      <w:r>
        <w:fldChar w:fldCharType="separate"/>
      </w:r>
      <w:r>
        <w:t>508</w:t>
      </w:r>
      <w:r>
        <w:fldChar w:fldCharType="end"/>
      </w:r>
      <w:r>
        <w:rPr>
          <w:rFonts w:eastAsia="Arial"/>
          <w:color w:val="auto"/>
          <w:highlight w:val="none"/>
        </w:rPr>
        <w:fldChar w:fldCharType="end"/>
      </w:r>
    </w:p>
    <w:p w14:paraId="7C113BBA">
      <w:pPr>
        <w:pStyle w:val="15"/>
        <w:tabs>
          <w:tab w:val="right" w:leader="dot" w:pos="9069"/>
        </w:tabs>
      </w:pPr>
      <w:r>
        <w:rPr>
          <w:rFonts w:eastAsia="Arial"/>
          <w:color w:val="auto"/>
          <w:highlight w:val="none"/>
        </w:rPr>
        <w:fldChar w:fldCharType="begin"/>
      </w:r>
      <w:r>
        <w:rPr>
          <w:rFonts w:eastAsia="Arial"/>
          <w:highlight w:val="none"/>
        </w:rPr>
        <w:instrText xml:space="preserve"> HYPERLINK \l _Toc16182 </w:instrText>
      </w:r>
      <w:r>
        <w:rPr>
          <w:rFonts w:eastAsia="Arial"/>
          <w:highlight w:val="none"/>
        </w:rPr>
        <w:fldChar w:fldCharType="separate"/>
      </w:r>
      <w:r>
        <w:rPr>
          <w:rFonts w:ascii="宋体" w:cs="宋体"/>
          <w:bCs/>
          <w:spacing w:val="0"/>
          <w:szCs w:val="30"/>
          <w:highlight w:val="none"/>
          <w:lang w:eastAsia="zh-CN"/>
        </w:rPr>
        <w:t>十</w:t>
      </w:r>
      <w:r>
        <w:rPr>
          <w:rFonts w:hint="eastAsia" w:ascii="宋体" w:cs="宋体"/>
          <w:bCs/>
          <w:spacing w:val="0"/>
          <w:szCs w:val="30"/>
          <w:highlight w:val="none"/>
          <w:lang w:eastAsia="zh-CN"/>
        </w:rPr>
        <w:t>一</w:t>
      </w:r>
      <w:r>
        <w:rPr>
          <w:rFonts w:ascii="宋体" w:cs="宋体"/>
          <w:bCs/>
          <w:spacing w:val="0"/>
          <w:szCs w:val="30"/>
          <w:highlight w:val="none"/>
          <w:lang w:eastAsia="zh-CN"/>
        </w:rPr>
        <w:t>、原件的复制件</w:t>
      </w:r>
      <w:r>
        <w:tab/>
      </w:r>
      <w:r>
        <w:fldChar w:fldCharType="begin"/>
      </w:r>
      <w:r>
        <w:instrText xml:space="preserve"> PAGEREF _Toc16182 \h </w:instrText>
      </w:r>
      <w:r>
        <w:fldChar w:fldCharType="separate"/>
      </w:r>
      <w:r>
        <w:t>514</w:t>
      </w:r>
      <w:r>
        <w:fldChar w:fldCharType="end"/>
      </w:r>
      <w:r>
        <w:rPr>
          <w:rFonts w:eastAsia="Arial"/>
          <w:color w:val="auto"/>
          <w:highlight w:val="none"/>
        </w:rPr>
        <w:fldChar w:fldCharType="end"/>
      </w:r>
    </w:p>
    <w:p w14:paraId="6FFE683B">
      <w:pPr>
        <w:pStyle w:val="15"/>
        <w:tabs>
          <w:tab w:val="right" w:leader="dot" w:pos="9069"/>
        </w:tabs>
      </w:pPr>
      <w:r>
        <w:rPr>
          <w:rFonts w:eastAsia="Arial"/>
          <w:color w:val="auto"/>
          <w:highlight w:val="none"/>
        </w:rPr>
        <w:fldChar w:fldCharType="begin"/>
      </w:r>
      <w:r>
        <w:rPr>
          <w:rFonts w:eastAsia="Arial"/>
          <w:highlight w:val="none"/>
        </w:rPr>
        <w:instrText xml:space="preserve"> HYPERLINK \l _Toc16257 </w:instrText>
      </w:r>
      <w:r>
        <w:rPr>
          <w:rFonts w:eastAsia="Arial"/>
          <w:highlight w:val="none"/>
        </w:rPr>
        <w:fldChar w:fldCharType="separate"/>
      </w:r>
      <w:r>
        <w:rPr>
          <w:rFonts w:ascii="宋体" w:eastAsia="宋体" w:cs="宋体"/>
          <w:bCs/>
          <w:spacing w:val="0"/>
          <w:szCs w:val="30"/>
          <w:highlight w:val="none"/>
          <w:lang w:eastAsia="zh-CN"/>
        </w:rPr>
        <w:t>十</w:t>
      </w:r>
      <w:r>
        <w:rPr>
          <w:rFonts w:hint="eastAsia" w:ascii="宋体" w:eastAsia="宋体" w:cs="宋体"/>
          <w:bCs/>
          <w:spacing w:val="0"/>
          <w:szCs w:val="30"/>
          <w:highlight w:val="none"/>
          <w:lang w:eastAsia="zh-CN"/>
        </w:rPr>
        <w:t>二</w:t>
      </w:r>
      <w:r>
        <w:rPr>
          <w:rFonts w:ascii="宋体" w:eastAsia="宋体" w:cs="宋体"/>
          <w:bCs/>
          <w:spacing w:val="0"/>
          <w:szCs w:val="30"/>
          <w:highlight w:val="none"/>
          <w:lang w:eastAsia="zh-CN"/>
        </w:rPr>
        <w:t>、其他材料</w:t>
      </w:r>
      <w:r>
        <w:tab/>
      </w:r>
      <w:r>
        <w:fldChar w:fldCharType="begin"/>
      </w:r>
      <w:r>
        <w:instrText xml:space="preserve"> PAGEREF _Toc16257 \h </w:instrText>
      </w:r>
      <w:r>
        <w:fldChar w:fldCharType="separate"/>
      </w:r>
      <w:r>
        <w:t>515</w:t>
      </w:r>
      <w:r>
        <w:fldChar w:fldCharType="end"/>
      </w:r>
      <w:r>
        <w:rPr>
          <w:rFonts w:eastAsia="Arial"/>
          <w:color w:val="auto"/>
          <w:highlight w:val="none"/>
        </w:rPr>
        <w:fldChar w:fldCharType="end"/>
      </w:r>
    </w:p>
    <w:p w14:paraId="58CDC4B9">
      <w:pPr>
        <w:kinsoku/>
        <w:spacing w:beforeLines="0" w:afterLines="0"/>
        <w:ind w:left="480" w:leftChars="200" w:firstLine="0" w:firstLineChars="0"/>
        <w:rPr>
          <w:rFonts w:eastAsia="Arial"/>
          <w:b/>
          <w:color w:val="auto"/>
          <w:highlight w:val="none"/>
        </w:rPr>
      </w:pPr>
      <w:r>
        <w:rPr>
          <w:rFonts w:eastAsia="Arial"/>
          <w:color w:val="auto"/>
          <w:highlight w:val="none"/>
        </w:rPr>
        <w:fldChar w:fldCharType="end"/>
      </w:r>
    </w:p>
    <w:p w14:paraId="123221C9">
      <w:pPr>
        <w:pStyle w:val="2"/>
        <w:kinsoku/>
        <w:adjustRightInd/>
        <w:snapToGrid/>
        <w:spacing w:beforeLines="0" w:afterLines="0" w:line="360" w:lineRule="auto"/>
        <w:jc w:val="center"/>
        <w:textAlignment w:val="auto"/>
        <w:outlineLvl w:val="0"/>
        <w:rPr>
          <w:rFonts w:hint="eastAsia" w:cs="宋体"/>
          <w:b/>
          <w:bCs w:val="0"/>
          <w:snapToGrid w:val="0"/>
          <w:color w:val="auto"/>
          <w:kern w:val="44"/>
          <w:szCs w:val="32"/>
          <w:highlight w:val="none"/>
          <w:lang w:eastAsia="zh-CN"/>
        </w:rPr>
      </w:pPr>
      <w:bookmarkStart w:id="2" w:name="_Toc27967"/>
      <w:bookmarkStart w:id="3" w:name="_Toc13252"/>
      <w:bookmarkStart w:id="4" w:name="_Toc19082"/>
      <w:bookmarkStart w:id="5" w:name="_Toc18516"/>
      <w:bookmarkStart w:id="6" w:name="_Toc121329340"/>
      <w:bookmarkStart w:id="7" w:name="_Toc16118"/>
      <w:bookmarkStart w:id="8" w:name="_Toc4678"/>
      <w:bookmarkStart w:id="9" w:name="_Toc24920"/>
      <w:bookmarkStart w:id="10" w:name="_Toc1267"/>
      <w:bookmarkStart w:id="11" w:name="_Toc741"/>
      <w:bookmarkStart w:id="12" w:name="_Toc18850"/>
      <w:bookmarkStart w:id="13" w:name="_Toc32230"/>
      <w:bookmarkStart w:id="14" w:name="_Toc23422"/>
      <w:bookmarkStart w:id="15" w:name="_Toc12328"/>
      <w:bookmarkStart w:id="16" w:name="_Toc27969"/>
      <w:r>
        <w:rPr>
          <w:rFonts w:hint="eastAsia" w:ascii="宋体" w:hAnsi="宋体" w:cs="宋体"/>
          <w:b/>
          <w:bCs w:val="0"/>
          <w:snapToGrid w:val="0"/>
          <w:color w:val="auto"/>
          <w:sz w:val="32"/>
          <w:szCs w:val="32"/>
          <w:highlight w:val="none"/>
          <w:lang w:eastAsia="zh-CN"/>
        </w:rPr>
        <w:t>重要提示</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7D87C99">
      <w:pPr>
        <w:kinsoku/>
        <w:spacing w:line="248" w:lineRule="auto"/>
        <w:rPr>
          <w:color w:val="auto"/>
          <w:highlight w:val="none"/>
          <w:lang w:eastAsia="zh-CN"/>
        </w:rPr>
      </w:pPr>
    </w:p>
    <w:p w14:paraId="508F1821">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color w:val="auto"/>
          <w:highlight w:val="none"/>
          <w:lang w:eastAsia="zh-CN"/>
        </w:rPr>
      </w:pPr>
      <w:r>
        <w:rPr>
          <w:rFonts w:hint="eastAsia"/>
          <w:color w:val="auto"/>
          <w:highlight w:val="none"/>
          <w:lang w:eastAsia="zh-CN"/>
        </w:rPr>
        <w:t>1.浙江镜岭水库工程输水工程土建2标、土建3标、土建4标、土建6标、土建7标、土建8标、土建9标、土建10标、土建11标等9个标段概算金额为：土建2标23300万元、土建3标21000万元、土建4标29100万元、土建6标16300万元、土建7标14200万元、土建8标14100万元、土建9标13500万元、土建10标15600万元、土建11标27900万元，各标段具体概算金额以审定金额为准。投标人可选择其中任意1个或多个标段投标，但最多只能中标其中1个标段。前面开标标段的中标人或中标候选人或因故被取消中标资格的中标人及中标候选人递交的后续标段的投标文件将被拒收。</w:t>
      </w:r>
    </w:p>
    <w:p w14:paraId="5EDE3405">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color w:val="auto"/>
          <w:highlight w:val="none"/>
          <w:lang w:eastAsia="zh-CN"/>
        </w:rPr>
      </w:pPr>
      <w:r>
        <w:rPr>
          <w:rFonts w:hint="eastAsia"/>
          <w:color w:val="auto"/>
          <w:highlight w:val="none"/>
          <w:lang w:eastAsia="zh-CN"/>
        </w:rPr>
        <w:t>2.上述各投标人如为联合体的，则同时包含联合体各方。</w:t>
      </w:r>
    </w:p>
    <w:p w14:paraId="182C9E11">
      <w:pPr>
        <w:rPr>
          <w:rFonts w:hint="eastAsia"/>
          <w:color w:val="auto"/>
          <w:highlight w:val="none"/>
          <w:lang w:eastAsia="zh-CN"/>
        </w:rPr>
      </w:pPr>
      <w:r>
        <w:rPr>
          <w:rFonts w:hint="eastAsia"/>
          <w:color w:val="auto"/>
          <w:highlight w:val="none"/>
          <w:lang w:eastAsia="zh-CN"/>
        </w:rPr>
        <w:br w:type="page"/>
      </w:r>
    </w:p>
    <w:p w14:paraId="3B3E5D89">
      <w:pPr>
        <w:kinsoku/>
        <w:spacing w:line="248" w:lineRule="auto"/>
        <w:rPr>
          <w:rFonts w:hint="eastAsia"/>
          <w:color w:val="auto"/>
          <w:highlight w:val="none"/>
          <w:lang w:eastAsia="zh-CN"/>
        </w:rPr>
      </w:pPr>
    </w:p>
    <w:p w14:paraId="6808A015">
      <w:pPr>
        <w:kinsoku/>
        <w:spacing w:line="248" w:lineRule="auto"/>
        <w:rPr>
          <w:color w:val="auto"/>
          <w:highlight w:val="none"/>
          <w:lang w:eastAsia="zh-CN"/>
        </w:rPr>
      </w:pPr>
    </w:p>
    <w:p w14:paraId="7ADB176F">
      <w:pPr>
        <w:kinsoku/>
        <w:spacing w:line="248" w:lineRule="auto"/>
        <w:rPr>
          <w:color w:val="auto"/>
          <w:highlight w:val="none"/>
          <w:lang w:eastAsia="zh-CN"/>
        </w:rPr>
      </w:pPr>
    </w:p>
    <w:p w14:paraId="2B91F5E8">
      <w:pPr>
        <w:kinsoku/>
        <w:spacing w:line="248" w:lineRule="auto"/>
        <w:rPr>
          <w:color w:val="auto"/>
          <w:highlight w:val="none"/>
          <w:lang w:eastAsia="zh-CN"/>
        </w:rPr>
      </w:pPr>
    </w:p>
    <w:p w14:paraId="200FB79B">
      <w:pPr>
        <w:pStyle w:val="2"/>
        <w:kinsoku/>
        <w:spacing w:before="0" w:beforeLines="0" w:afterLines="0" w:line="360" w:lineRule="auto"/>
        <w:ind w:left="0" w:firstLine="0"/>
        <w:jc w:val="center"/>
        <w:outlineLvl w:val="0"/>
        <w:rPr>
          <w:rFonts w:hint="eastAsia" w:ascii="宋体" w:hAnsi="宋体" w:eastAsia="宋体" w:cs="宋体"/>
          <w:b/>
          <w:bCs w:val="0"/>
          <w:snapToGrid/>
          <w:color w:val="auto"/>
          <w:sz w:val="52"/>
          <w:szCs w:val="52"/>
          <w:highlight w:val="none"/>
          <w:lang w:eastAsia="zh-CN"/>
        </w:rPr>
      </w:pPr>
      <w:bookmarkStart w:id="17" w:name="bookmark6"/>
      <w:bookmarkEnd w:id="17"/>
      <w:bookmarkStart w:id="18" w:name="bookmark5"/>
      <w:bookmarkEnd w:id="18"/>
      <w:bookmarkStart w:id="19" w:name="bookmark3"/>
      <w:bookmarkEnd w:id="19"/>
      <w:bookmarkStart w:id="20" w:name="bookmark4"/>
      <w:bookmarkEnd w:id="20"/>
      <w:bookmarkStart w:id="21" w:name="_Toc22059"/>
      <w:bookmarkStart w:id="22" w:name="_Toc14902"/>
      <w:bookmarkStart w:id="23" w:name="_Toc25732"/>
      <w:bookmarkStart w:id="24" w:name="_Toc6648"/>
      <w:bookmarkStart w:id="25" w:name="_Toc23400"/>
      <w:bookmarkStart w:id="26" w:name="_Toc16612"/>
      <w:bookmarkStart w:id="27" w:name="_Toc14927"/>
      <w:bookmarkStart w:id="28" w:name="_Toc31340"/>
      <w:bookmarkStart w:id="29" w:name="_Toc14060"/>
      <w:bookmarkStart w:id="30" w:name="_Toc2460"/>
      <w:bookmarkStart w:id="31" w:name="_Toc11563"/>
      <w:bookmarkStart w:id="32" w:name="_Toc23628"/>
      <w:bookmarkStart w:id="33" w:name="_Toc16950"/>
      <w:bookmarkStart w:id="34" w:name="_Toc7719"/>
      <w:bookmarkStart w:id="35" w:name="_Toc19136"/>
      <w:r>
        <w:rPr>
          <w:rFonts w:hint="eastAsia" w:ascii="宋体" w:hAnsi="宋体" w:eastAsia="宋体" w:cs="宋体"/>
          <w:b/>
          <w:bCs w:val="0"/>
          <w:snapToGrid/>
          <w:color w:val="auto"/>
          <w:spacing w:val="-21"/>
          <w:sz w:val="52"/>
          <w:szCs w:val="52"/>
          <w:highlight w:val="none"/>
          <w:lang w:eastAsia="zh-CN"/>
        </w:rPr>
        <w:t>第</w:t>
      </w:r>
      <w:r>
        <w:rPr>
          <w:rFonts w:hint="eastAsia" w:ascii="宋体" w:hAnsi="宋体" w:eastAsia="宋体" w:cs="宋体"/>
          <w:b/>
          <w:bCs w:val="0"/>
          <w:snapToGrid/>
          <w:color w:val="auto"/>
          <w:spacing w:val="30"/>
          <w:sz w:val="52"/>
          <w:szCs w:val="52"/>
          <w:highlight w:val="none"/>
          <w:lang w:eastAsia="zh-CN"/>
        </w:rPr>
        <w:t xml:space="preserve"> </w:t>
      </w:r>
      <w:r>
        <w:rPr>
          <w:rFonts w:hint="eastAsia" w:ascii="宋体" w:hAnsi="宋体" w:eastAsia="宋体" w:cs="宋体"/>
          <w:b/>
          <w:bCs w:val="0"/>
          <w:snapToGrid/>
          <w:color w:val="auto"/>
          <w:spacing w:val="-21"/>
          <w:sz w:val="52"/>
          <w:szCs w:val="52"/>
          <w:highlight w:val="none"/>
          <w:lang w:eastAsia="zh-CN"/>
        </w:rPr>
        <w:t>一</w:t>
      </w:r>
      <w:r>
        <w:rPr>
          <w:rFonts w:hint="eastAsia" w:ascii="宋体" w:hAnsi="宋体" w:eastAsia="宋体" w:cs="宋体"/>
          <w:b/>
          <w:bCs w:val="0"/>
          <w:snapToGrid/>
          <w:color w:val="auto"/>
          <w:spacing w:val="30"/>
          <w:sz w:val="52"/>
          <w:szCs w:val="52"/>
          <w:highlight w:val="none"/>
          <w:lang w:eastAsia="zh-CN"/>
        </w:rPr>
        <w:t xml:space="preserve"> </w:t>
      </w:r>
      <w:r>
        <w:rPr>
          <w:rFonts w:hint="eastAsia" w:ascii="宋体" w:hAnsi="宋体" w:eastAsia="宋体" w:cs="宋体"/>
          <w:b/>
          <w:bCs w:val="0"/>
          <w:snapToGrid/>
          <w:color w:val="auto"/>
          <w:spacing w:val="-21"/>
          <w:sz w:val="52"/>
          <w:szCs w:val="52"/>
          <w:highlight w:val="none"/>
          <w:lang w:eastAsia="zh-CN"/>
        </w:rPr>
        <w:t>卷</w:t>
      </w:r>
      <w:bookmarkEnd w:id="21"/>
      <w:bookmarkEnd w:id="22"/>
      <w:bookmarkEnd w:id="23"/>
      <w:bookmarkEnd w:id="24"/>
      <w:bookmarkEnd w:id="25"/>
    </w:p>
    <w:p w14:paraId="1AA64653">
      <w:pPr>
        <w:pStyle w:val="7"/>
        <w:kinsoku/>
        <w:spacing w:beforeLines="0" w:afterLines="0" w:line="245" w:lineRule="auto"/>
        <w:ind w:firstLine="420"/>
        <w:jc w:val="left"/>
        <w:rPr>
          <w:color w:val="auto"/>
          <w:highlight w:val="none"/>
          <w:lang w:eastAsia="zh-CN"/>
        </w:rPr>
      </w:pPr>
    </w:p>
    <w:p w14:paraId="5A7A956F">
      <w:pPr>
        <w:pStyle w:val="7"/>
        <w:kinsoku/>
        <w:spacing w:beforeLines="0" w:afterLines="0" w:line="245" w:lineRule="auto"/>
        <w:ind w:firstLine="420"/>
        <w:jc w:val="left"/>
        <w:rPr>
          <w:color w:val="auto"/>
          <w:highlight w:val="none"/>
          <w:lang w:eastAsia="zh-CN"/>
        </w:rPr>
      </w:pPr>
    </w:p>
    <w:p w14:paraId="4D9781D1">
      <w:pPr>
        <w:pStyle w:val="7"/>
        <w:kinsoku/>
        <w:spacing w:beforeLines="0" w:afterLines="0" w:line="245" w:lineRule="auto"/>
        <w:ind w:firstLine="420"/>
        <w:jc w:val="left"/>
        <w:rPr>
          <w:color w:val="auto"/>
          <w:highlight w:val="none"/>
          <w:lang w:eastAsia="zh-CN"/>
        </w:rPr>
      </w:pPr>
    </w:p>
    <w:p w14:paraId="17D89654">
      <w:pPr>
        <w:pStyle w:val="7"/>
        <w:kinsoku/>
        <w:spacing w:beforeLines="0" w:afterLines="0" w:line="245" w:lineRule="auto"/>
        <w:ind w:firstLine="420"/>
        <w:jc w:val="left"/>
        <w:rPr>
          <w:color w:val="auto"/>
          <w:highlight w:val="none"/>
          <w:lang w:eastAsia="zh-CN"/>
        </w:rPr>
      </w:pPr>
    </w:p>
    <w:p w14:paraId="34D9E474">
      <w:pPr>
        <w:pStyle w:val="7"/>
        <w:kinsoku/>
        <w:spacing w:beforeLines="0" w:afterLines="0" w:line="245" w:lineRule="auto"/>
        <w:ind w:firstLine="420"/>
        <w:jc w:val="left"/>
        <w:rPr>
          <w:color w:val="auto"/>
          <w:highlight w:val="none"/>
          <w:lang w:eastAsia="zh-CN"/>
        </w:rPr>
      </w:pPr>
    </w:p>
    <w:p w14:paraId="615CC758">
      <w:pPr>
        <w:pStyle w:val="7"/>
        <w:kinsoku/>
        <w:spacing w:beforeLines="0" w:afterLines="0" w:line="245" w:lineRule="auto"/>
        <w:ind w:firstLine="420"/>
        <w:jc w:val="left"/>
        <w:rPr>
          <w:color w:val="auto"/>
          <w:highlight w:val="none"/>
          <w:lang w:eastAsia="zh-CN"/>
        </w:rPr>
      </w:pPr>
    </w:p>
    <w:p w14:paraId="2229046B">
      <w:pPr>
        <w:kinsoku/>
        <w:spacing w:beforeLines="0" w:afterLines="0"/>
        <w:ind w:firstLine="964"/>
        <w:jc w:val="left"/>
        <w:rPr>
          <w:rFonts w:ascii="黑体" w:hAnsi="黑体" w:eastAsia="黑体" w:cs="黑体"/>
          <w:b/>
          <w:bCs/>
          <w:color w:val="auto"/>
          <w:spacing w:val="0"/>
          <w:sz w:val="48"/>
          <w:szCs w:val="48"/>
          <w:highlight w:val="none"/>
          <w:lang w:eastAsia="zh-CN"/>
        </w:rPr>
      </w:pPr>
      <w:r>
        <w:rPr>
          <w:rFonts w:ascii="黑体" w:hAnsi="黑体" w:eastAsia="黑体" w:cs="黑体"/>
          <w:b/>
          <w:bCs/>
          <w:color w:val="auto"/>
          <w:spacing w:val="0"/>
          <w:sz w:val="48"/>
          <w:szCs w:val="48"/>
          <w:highlight w:val="none"/>
          <w:lang w:eastAsia="zh-CN"/>
        </w:rPr>
        <w:br w:type="page"/>
      </w:r>
    </w:p>
    <w:bookmarkEnd w:id="26"/>
    <w:bookmarkEnd w:id="27"/>
    <w:bookmarkEnd w:id="28"/>
    <w:bookmarkEnd w:id="29"/>
    <w:bookmarkEnd w:id="30"/>
    <w:bookmarkEnd w:id="31"/>
    <w:bookmarkEnd w:id="32"/>
    <w:bookmarkEnd w:id="33"/>
    <w:bookmarkEnd w:id="34"/>
    <w:bookmarkEnd w:id="35"/>
    <w:p w14:paraId="7FBB4E16">
      <w:pPr>
        <w:keepNext/>
        <w:keepLines/>
        <w:widowControl w:val="0"/>
        <w:kinsoku/>
        <w:adjustRightInd w:val="0"/>
        <w:snapToGrid w:val="0"/>
        <w:spacing w:before="0" w:beforeLines="0" w:afterLines="0" w:line="360" w:lineRule="auto"/>
        <w:ind w:left="0" w:firstLine="0" w:firstLineChars="0"/>
        <w:jc w:val="center"/>
        <w:textAlignment w:val="baseline"/>
        <w:outlineLvl w:val="0"/>
        <w:rPr>
          <w:rFonts w:hint="eastAsia" w:ascii="宋体" w:hAnsi="宋体" w:eastAsia="宋体" w:cs="宋体"/>
          <w:b/>
          <w:bCs w:val="0"/>
          <w:snapToGrid w:val="0"/>
          <w:color w:val="auto"/>
          <w:kern w:val="44"/>
          <w:sz w:val="36"/>
          <w:szCs w:val="32"/>
          <w:highlight w:val="none"/>
          <w:lang w:val="en-US" w:eastAsia="zh-CN" w:bidi="ar-SA"/>
        </w:rPr>
      </w:pPr>
      <w:bookmarkStart w:id="36" w:name="_Toc9858"/>
      <w:bookmarkStart w:id="37" w:name="_Toc8410"/>
      <w:bookmarkStart w:id="38" w:name="_Toc23697"/>
      <w:bookmarkStart w:id="39" w:name="_Toc11885"/>
      <w:bookmarkStart w:id="40" w:name="_Toc8426"/>
      <w:r>
        <w:rPr>
          <w:rFonts w:hint="eastAsia" w:ascii="宋体" w:hAnsi="宋体" w:eastAsia="宋体" w:cs="宋体"/>
          <w:b/>
          <w:bCs w:val="0"/>
          <w:snapToGrid w:val="0"/>
          <w:color w:val="auto"/>
          <w:kern w:val="44"/>
          <w:sz w:val="36"/>
          <w:szCs w:val="32"/>
          <w:highlight w:val="none"/>
          <w:lang w:val="en-US" w:eastAsia="zh-CN" w:bidi="ar-SA"/>
        </w:rPr>
        <w:t>第一章  招标公告</w:t>
      </w:r>
      <w:bookmarkEnd w:id="36"/>
      <w:bookmarkEnd w:id="37"/>
      <w:bookmarkEnd w:id="38"/>
      <w:bookmarkEnd w:id="39"/>
      <w:bookmarkEnd w:id="40"/>
    </w:p>
    <w:p w14:paraId="29BCFFB0">
      <w:pPr>
        <w:kinsoku/>
        <w:spacing w:before="0" w:beforeLines="0" w:afterLines="0"/>
        <w:ind w:left="0" w:firstLine="0" w:firstLineChars="0"/>
        <w:jc w:val="center"/>
        <w:outlineLvl w:val="9"/>
        <w:rPr>
          <w:rFonts w:cs="宋体"/>
          <w:b/>
          <w:bCs/>
          <w:color w:val="auto"/>
          <w:spacing w:val="0"/>
          <w:sz w:val="36"/>
          <w:szCs w:val="36"/>
          <w:highlight w:val="none"/>
          <w:lang w:eastAsia="zh-CN"/>
        </w:rPr>
      </w:pPr>
      <w:r>
        <w:rPr>
          <w:rFonts w:hint="eastAsia" w:cs="宋体"/>
          <w:color w:val="auto"/>
          <w:spacing w:val="0"/>
          <w:sz w:val="36"/>
          <w:szCs w:val="36"/>
          <w:highlight w:val="none"/>
          <w:u w:val="single"/>
          <w:lang w:val="en-US" w:eastAsia="zh-CN"/>
        </w:rPr>
        <w:t xml:space="preserve"> </w:t>
      </w:r>
      <w:r>
        <w:rPr>
          <w:rFonts w:hint="eastAsia" w:cs="宋体"/>
          <w:color w:val="auto"/>
          <w:spacing w:val="0"/>
          <w:sz w:val="36"/>
          <w:szCs w:val="36"/>
          <w:highlight w:val="none"/>
          <w:u w:val="single"/>
          <w:lang w:eastAsia="zh-CN"/>
        </w:rPr>
        <w:t xml:space="preserve">浙江镜岭水库工程输水工程土建10标 </w:t>
      </w:r>
      <w:r>
        <w:rPr>
          <w:rFonts w:cs="宋体"/>
          <w:color w:val="auto"/>
          <w:spacing w:val="0"/>
          <w:sz w:val="36"/>
          <w:szCs w:val="36"/>
          <w:highlight w:val="none"/>
          <w:lang w:eastAsia="zh-CN"/>
        </w:rPr>
        <w:t>招标公告</w:t>
      </w:r>
    </w:p>
    <w:p w14:paraId="23557AD2">
      <w:pPr>
        <w:keepNext/>
        <w:keepLines/>
        <w:widowControl w:val="0"/>
        <w:kinsoku/>
        <w:wordWrap w:val="0"/>
        <w:adjustRightInd/>
        <w:snapToGrid/>
        <w:spacing w:before="0" w:beforeLines="0" w:afterLines="0" w:line="360" w:lineRule="auto"/>
        <w:ind w:left="0" w:firstLine="0" w:firstLineChars="0"/>
        <w:jc w:val="both"/>
        <w:textAlignment w:val="auto"/>
        <w:outlineLvl w:val="1"/>
        <w:rPr>
          <w:rFonts w:hint="eastAsia" w:ascii="宋体" w:hAnsi="宋体" w:eastAsia="宋体" w:cs="宋体"/>
          <w:b/>
          <w:bCs/>
          <w:snapToGrid/>
          <w:color w:val="auto"/>
          <w:sz w:val="30"/>
          <w:szCs w:val="30"/>
          <w:highlight w:val="none"/>
          <w:lang w:val="en-US" w:eastAsia="zh-CN" w:bidi="en-US"/>
        </w:rPr>
      </w:pPr>
      <w:bookmarkStart w:id="41" w:name="_Toc12228"/>
      <w:bookmarkStart w:id="42" w:name="_Toc15014"/>
      <w:bookmarkStart w:id="43" w:name="_Toc18152"/>
      <w:bookmarkStart w:id="44" w:name="_Toc22038"/>
      <w:bookmarkStart w:id="45" w:name="_Toc9051"/>
      <w:r>
        <w:rPr>
          <w:rStyle w:val="60"/>
          <w:rFonts w:hint="eastAsia" w:ascii="宋体" w:hAnsi="宋体" w:eastAsia="宋体" w:cs="宋体"/>
          <w:b/>
          <w:bCs/>
          <w:color w:val="auto"/>
          <w:sz w:val="30"/>
          <w:szCs w:val="30"/>
          <w:highlight w:val="none"/>
          <w:lang w:val="en-US"/>
        </w:rPr>
        <w:t>1</w:t>
      </w:r>
      <w:r>
        <w:rPr>
          <w:rStyle w:val="60"/>
          <w:rFonts w:hint="eastAsia" w:ascii="宋体" w:cs="宋体"/>
          <w:b/>
          <w:bCs/>
          <w:color w:val="auto"/>
          <w:sz w:val="30"/>
          <w:szCs w:val="30"/>
          <w:highlight w:val="none"/>
          <w:lang w:val="en-US"/>
        </w:rPr>
        <w:t>　</w:t>
      </w:r>
      <w:r>
        <w:rPr>
          <w:rStyle w:val="60"/>
          <w:rFonts w:ascii="宋体" w:cs="宋体"/>
          <w:b/>
          <w:bCs/>
          <w:color w:val="auto"/>
          <w:sz w:val="30"/>
          <w:szCs w:val="30"/>
          <w:highlight w:val="none"/>
          <w:lang w:val="en-US"/>
        </w:rPr>
        <w:t>招标条件</w:t>
      </w:r>
      <w:bookmarkEnd w:id="41"/>
      <w:bookmarkEnd w:id="42"/>
      <w:bookmarkEnd w:id="43"/>
      <w:bookmarkEnd w:id="44"/>
      <w:bookmarkEnd w:id="45"/>
    </w:p>
    <w:p w14:paraId="76A2E4F3">
      <w:pPr>
        <w:pageBreakBefore w:val="0"/>
        <w:widowControl w:val="0"/>
        <w:kinsoku/>
        <w:overflowPunct/>
        <w:topLinePunct w:val="0"/>
        <w:autoSpaceDE/>
        <w:autoSpaceDN/>
        <w:bidi w:val="0"/>
        <w:spacing w:beforeLines="0" w:afterLines="0" w:line="384" w:lineRule="auto"/>
        <w:ind w:firstLine="420"/>
        <w:jc w:val="left"/>
        <w:rPr>
          <w:rFonts w:ascii="宋体" w:eastAsia="宋体" w:hAnsiTheme="minorEastAsia" w:cstheme="minorEastAsia"/>
          <w:color w:val="auto"/>
          <w:szCs w:val="21"/>
          <w:highlight w:val="none"/>
          <w:lang w:eastAsia="zh-CN"/>
        </w:rPr>
      </w:pPr>
      <w:r>
        <w:rPr>
          <w:rFonts w:hint="eastAsia" w:ascii="宋体" w:eastAsia="宋体" w:hAnsiTheme="minorEastAsia" w:cstheme="minorEastAsia"/>
          <w:color w:val="auto"/>
          <w:szCs w:val="21"/>
          <w:highlight w:val="none"/>
          <w:lang w:eastAsia="zh-CN"/>
        </w:rPr>
        <w:t>本招标项目</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浙江镜岭水库工程</w:t>
      </w:r>
      <w:r>
        <w:rPr>
          <w:rFonts w:hint="eastAsia" w:hAnsiTheme="minorEastAsia" w:cstheme="minorEastAsia"/>
          <w:color w:val="auto"/>
          <w:szCs w:val="21"/>
          <w:highlight w:val="none"/>
          <w:u w:val="single"/>
          <w:lang w:val="en-US" w:eastAsia="zh-CN"/>
        </w:rPr>
        <w:t xml:space="preserve"> </w:t>
      </w:r>
      <w:r>
        <w:rPr>
          <w:rFonts w:ascii="宋体" w:eastAsia="宋体" w:hAnsiTheme="minorEastAsia" w:cstheme="minorEastAsia"/>
          <w:color w:val="auto"/>
          <w:szCs w:val="21"/>
          <w:highlight w:val="none"/>
          <w:lang w:eastAsia="zh-CN"/>
        </w:rPr>
        <w:t>已由</w:t>
      </w:r>
      <w:r>
        <w:rPr>
          <w:rFonts w:hint="eastAsia" w:hAnsiTheme="minorEastAsia" w:cstheme="minorEastAsia"/>
          <w:color w:val="auto"/>
          <w:szCs w:val="21"/>
          <w:highlight w:val="none"/>
          <w:u w:val="single"/>
          <w:lang w:val="en-US" w:eastAsia="zh-CN"/>
        </w:rPr>
        <w:t xml:space="preserve"> 水利部 </w:t>
      </w:r>
      <w:r>
        <w:rPr>
          <w:rFonts w:ascii="宋体" w:eastAsia="宋体" w:hAnsiTheme="minorEastAsia" w:cstheme="minorEastAsia"/>
          <w:color w:val="auto"/>
          <w:szCs w:val="21"/>
          <w:highlight w:val="none"/>
          <w:lang w:eastAsia="zh-CN"/>
        </w:rPr>
        <w:t>以</w:t>
      </w:r>
      <w:r>
        <w:rPr>
          <w:rFonts w:hint="eastAsia" w:hAnsiTheme="minorEastAsia" w:cstheme="minorEastAsia"/>
          <w:color w:val="auto"/>
          <w:szCs w:val="21"/>
          <w:highlight w:val="none"/>
          <w:u w:val="single"/>
          <w:lang w:val="en-US" w:eastAsia="zh-CN"/>
        </w:rPr>
        <w:t xml:space="preserve"> </w:t>
      </w:r>
      <w:r>
        <w:rPr>
          <w:rFonts w:hint="eastAsia" w:hAnsiTheme="minorEastAsia" w:cstheme="minorEastAsia"/>
          <w:color w:val="auto"/>
          <w:highlight w:val="none"/>
          <w:u w:val="single"/>
          <w:lang w:eastAsia="zh-CN"/>
        </w:rPr>
        <w:t>浙江镜岭水库工程初步设计报告准予行政许可决定书（水许可决〔2024〕55号）</w:t>
      </w:r>
      <w:r>
        <w:rPr>
          <w:rFonts w:ascii="宋体" w:eastAsia="宋体" w:hAnsiTheme="minorEastAsia" w:cstheme="minorEastAsia"/>
          <w:color w:val="auto"/>
          <w:szCs w:val="21"/>
          <w:highlight w:val="none"/>
          <w:lang w:eastAsia="zh-CN"/>
        </w:rPr>
        <w:t>批准建设，建设资金来自</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政府投资、银行贷款及自筹</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，项目出资比例为</w:t>
      </w:r>
      <w:r>
        <w:rPr>
          <w:rFonts w:hint="eastAsia" w:hAnsiTheme="minorEastAsia" w:cstheme="minorEastAsia"/>
          <w:color w:val="auto"/>
          <w:szCs w:val="21"/>
          <w:highlight w:val="none"/>
          <w:u w:val="single"/>
          <w:lang w:val="en-US" w:eastAsia="zh-CN"/>
        </w:rPr>
        <w:t xml:space="preserve"> </w:t>
      </w:r>
      <w:r>
        <w:rPr>
          <w:rFonts w:ascii="宋体" w:eastAsia="宋体" w:hAnsiTheme="minorEastAsia" w:cstheme="minorEastAsia"/>
          <w:color w:val="auto"/>
          <w:szCs w:val="21"/>
          <w:highlight w:val="none"/>
          <w:u w:val="single"/>
          <w:lang w:eastAsia="zh-CN"/>
        </w:rPr>
        <w:t>100%</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，项目法人为</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浙江镜岭水库有限公司</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，招标人为</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浙江镜岭水库有限公司</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，招标代理机构为</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长江勘测规划设计研究有限责任公司</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。项目已具备招标条件，现对该项目</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输水工程</w:t>
      </w:r>
      <w:r>
        <w:rPr>
          <w:rFonts w:hint="eastAsia" w:hAnsiTheme="minorEastAsia" w:cstheme="minorEastAsia"/>
          <w:color w:val="auto"/>
          <w:szCs w:val="21"/>
          <w:highlight w:val="none"/>
          <w:u w:val="single"/>
          <w:lang w:eastAsia="zh-CN"/>
        </w:rPr>
        <w:t>土建10标</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施工进行公开招标。</w:t>
      </w:r>
    </w:p>
    <w:p w14:paraId="3D118D11">
      <w:pPr>
        <w:keepNext/>
        <w:keepLines/>
        <w:pageBreakBefore w:val="0"/>
        <w:widowControl w:val="0"/>
        <w:kinsoku/>
        <w:wordWrap w:val="0"/>
        <w:overflowPunct/>
        <w:topLinePunct w:val="0"/>
        <w:autoSpaceDE/>
        <w:autoSpaceDN/>
        <w:bidi w:val="0"/>
        <w:adjustRightInd/>
        <w:snapToGrid/>
        <w:spacing w:beforeLines="0" w:afterLines="0" w:line="384" w:lineRule="auto"/>
        <w:ind w:firstLine="0" w:firstLineChars="0"/>
        <w:jc w:val="both"/>
        <w:textAlignment w:val="auto"/>
        <w:outlineLvl w:val="1"/>
        <w:rPr>
          <w:rStyle w:val="60"/>
          <w:rFonts w:hint="eastAsia" w:ascii="宋体" w:hAnsi="宋体" w:eastAsia="宋体" w:cs="宋体"/>
          <w:b/>
          <w:bCs/>
          <w:snapToGrid w:val="0"/>
          <w:color w:val="auto"/>
          <w:sz w:val="30"/>
          <w:szCs w:val="30"/>
          <w:highlight w:val="none"/>
          <w:lang w:val="en-US" w:eastAsia="en-US" w:bidi="ar-SA"/>
        </w:rPr>
      </w:pPr>
      <w:bookmarkStart w:id="46" w:name="_Toc10966"/>
      <w:bookmarkStart w:id="47" w:name="_Toc10437"/>
      <w:bookmarkStart w:id="48" w:name="_Toc22007"/>
      <w:bookmarkStart w:id="49" w:name="_Toc29833"/>
      <w:bookmarkStart w:id="50" w:name="_Toc810"/>
      <w:r>
        <w:rPr>
          <w:rStyle w:val="60"/>
          <w:rFonts w:hint="eastAsia" w:ascii="宋体" w:hAnsi="宋体" w:eastAsia="宋体" w:cs="宋体"/>
          <w:b/>
          <w:bCs/>
          <w:snapToGrid w:val="0"/>
          <w:color w:val="auto"/>
          <w:sz w:val="30"/>
          <w:szCs w:val="30"/>
          <w:highlight w:val="none"/>
          <w:lang w:val="en-US" w:eastAsia="en-US" w:bidi="ar-SA"/>
        </w:rPr>
        <w:t>2</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项目概况与招标范围</w:t>
      </w:r>
      <w:bookmarkEnd w:id="46"/>
      <w:bookmarkEnd w:id="47"/>
      <w:bookmarkEnd w:id="48"/>
      <w:bookmarkEnd w:id="49"/>
      <w:bookmarkEnd w:id="50"/>
    </w:p>
    <w:p w14:paraId="3A2DAFFE">
      <w:pPr>
        <w:pageBreakBefore w:val="0"/>
        <w:widowControl w:val="0"/>
        <w:kinsoku/>
        <w:overflowPunct/>
        <w:topLinePunct w:val="0"/>
        <w:autoSpaceDE/>
        <w:autoSpaceDN/>
        <w:bidi w:val="0"/>
        <w:spacing w:beforeLines="0" w:afterLines="0" w:line="384" w:lineRule="auto"/>
        <w:ind w:firstLine="420"/>
        <w:jc w:val="left"/>
        <w:rPr>
          <w:rFonts w:hint="eastAsia" w:hAnsiTheme="minorEastAsia" w:cstheme="minorEastAsia"/>
          <w:color w:val="auto"/>
          <w:highlight w:val="none"/>
          <w:lang w:eastAsia="zh-CN"/>
        </w:rPr>
      </w:pPr>
      <w:r>
        <w:rPr>
          <w:rFonts w:ascii="宋体" w:eastAsia="宋体" w:hAnsiTheme="minorEastAsia" w:cstheme="minorEastAsia"/>
          <w:color w:val="auto"/>
          <w:szCs w:val="21"/>
          <w:highlight w:val="none"/>
          <w:lang w:eastAsia="zh-CN"/>
        </w:rPr>
        <w:t>项目概况：</w:t>
      </w:r>
      <w:r>
        <w:rPr>
          <w:rFonts w:hint="eastAsia" w:ascii="宋体" w:eastAsia="宋体" w:hAnsiTheme="minorEastAsia" w:cstheme="minorEastAsia"/>
          <w:color w:val="auto"/>
          <w:szCs w:val="21"/>
          <w:highlight w:val="none"/>
          <w:lang w:eastAsia="zh-CN"/>
        </w:rPr>
        <w:t>镜岭水库位于曹娥江主源澄潭江上，坝址距新昌县城区约30km，距浙江省绍兴市区约90km</w:t>
      </w:r>
      <w:r>
        <w:rPr>
          <w:rFonts w:hint="eastAsia" w:hAnsiTheme="minorEastAsia" w:cstheme="minorEastAsia"/>
          <w:color w:val="auto"/>
          <w:szCs w:val="21"/>
          <w:highlight w:val="none"/>
          <w:lang w:eastAsia="zh-CN"/>
        </w:rPr>
        <w:t>。</w:t>
      </w:r>
      <w:r>
        <w:rPr>
          <w:rFonts w:hint="eastAsia" w:ascii="宋体" w:eastAsia="宋体" w:hAnsiTheme="minorEastAsia" w:cstheme="minorEastAsia"/>
          <w:color w:val="auto"/>
          <w:szCs w:val="21"/>
          <w:highlight w:val="none"/>
          <w:lang w:eastAsia="zh-CN"/>
        </w:rPr>
        <w:t>工程任务以防洪、供水为主，结合灌溉、发电，为改善流域水生态环境创造条件。水库正常蓄水位128.00m，水库总库容3.13亿m</w:t>
      </w:r>
      <w:r>
        <w:rPr>
          <w:rFonts w:hint="eastAsia" w:ascii="宋体" w:eastAsia="宋体" w:hAnsiTheme="minorEastAsia" w:cstheme="minorEastAsia"/>
          <w:color w:val="auto"/>
          <w:szCs w:val="21"/>
          <w:highlight w:val="none"/>
          <w:vertAlign w:val="superscript"/>
          <w:lang w:eastAsia="zh-CN"/>
        </w:rPr>
        <w:t>3</w:t>
      </w:r>
      <w:r>
        <w:rPr>
          <w:rFonts w:hint="eastAsia" w:ascii="宋体" w:eastAsia="宋体" w:hAnsiTheme="minorEastAsia" w:cstheme="minorEastAsia"/>
          <w:color w:val="auto"/>
          <w:szCs w:val="21"/>
          <w:highlight w:val="none"/>
          <w:lang w:eastAsia="zh-CN"/>
        </w:rPr>
        <w:t>，年引水量1.09亿m</w:t>
      </w:r>
      <w:r>
        <w:rPr>
          <w:rFonts w:hint="eastAsia" w:ascii="宋体" w:eastAsia="宋体" w:hAnsiTheme="minorEastAsia" w:cstheme="minorEastAsia"/>
          <w:color w:val="auto"/>
          <w:szCs w:val="21"/>
          <w:highlight w:val="none"/>
          <w:vertAlign w:val="superscript"/>
          <w:lang w:eastAsia="zh-CN"/>
        </w:rPr>
        <w:t>3</w:t>
      </w:r>
      <w:r>
        <w:rPr>
          <w:rFonts w:hint="eastAsia" w:ascii="宋体" w:eastAsia="宋体" w:hAnsiTheme="minorEastAsia" w:cstheme="minorEastAsia"/>
          <w:color w:val="auto"/>
          <w:szCs w:val="21"/>
          <w:highlight w:val="none"/>
          <w:lang w:eastAsia="zh-CN"/>
        </w:rPr>
        <w:t>，设计引水流量为8.0m</w:t>
      </w:r>
      <w:r>
        <w:rPr>
          <w:rFonts w:hint="eastAsia" w:ascii="宋体" w:eastAsia="宋体" w:hAnsiTheme="minorEastAsia" w:cstheme="minorEastAsia"/>
          <w:color w:val="auto"/>
          <w:szCs w:val="21"/>
          <w:highlight w:val="none"/>
          <w:vertAlign w:val="superscript"/>
          <w:lang w:eastAsia="zh-CN"/>
        </w:rPr>
        <w:t>3</w:t>
      </w:r>
      <w:r>
        <w:rPr>
          <w:rFonts w:hint="eastAsia" w:ascii="宋体" w:eastAsia="宋体" w:hAnsiTheme="minorEastAsia" w:cstheme="minorEastAsia"/>
          <w:color w:val="auto"/>
          <w:szCs w:val="21"/>
          <w:highlight w:val="none"/>
          <w:lang w:eastAsia="zh-CN"/>
        </w:rPr>
        <w:t>/s。镜岭水库为大（2）型Ⅱ等工程。</w:t>
      </w:r>
      <w:r>
        <w:rPr>
          <w:rFonts w:hint="eastAsia" w:hAnsiTheme="minorEastAsia" w:cstheme="minorEastAsia"/>
          <w:color w:val="auto"/>
          <w:highlight w:val="none"/>
          <w:lang w:eastAsia="zh-CN"/>
        </w:rPr>
        <w:t>工程由水库枢纽工程和输水工程两部分组成。</w:t>
      </w:r>
    </w:p>
    <w:p w14:paraId="2770CAB7">
      <w:pPr>
        <w:pageBreakBefore w:val="0"/>
        <w:widowControl w:val="0"/>
        <w:kinsoku/>
        <w:overflowPunct/>
        <w:topLinePunct w:val="0"/>
        <w:autoSpaceDE/>
        <w:autoSpaceDN/>
        <w:bidi w:val="0"/>
        <w:spacing w:beforeLines="0" w:afterLines="0" w:line="384" w:lineRule="auto"/>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水库枢纽工程主要由拦河主坝、副坝、坝后发电厂房及生态放水管、升鱼机及交通工程等组成。主坝为常态混凝土重力坝，包括挡水坝段、泄水坝段、引水坝段，坝轴线呈直线布置，坝顶长度265.0m，坝顶高程138.00m，最大坝高83.0m，坝顶宽度10.0m，泄水建筑物为溢流坝段，位于主河床右侧，由溢流表孔和泄水深孔下泄，表孔共3孔，单孔净宽为8.0m，泄水深孔共1孔。副坝共4座，均采用黏土心墙土石坝，坝顶高程均为139.50m，坝顶宽度均为8.0m；1#副坝坝高12.0m，坝长73.0m；2#副坝坝高9.0m，坝长58.0m；3#副坝坝高19.0m，坝长72.0m；4#副坝坝高7.5m，坝长36.0m。</w:t>
      </w:r>
    </w:p>
    <w:p w14:paraId="547FDABC">
      <w:pPr>
        <w:pageBreakBefore w:val="0"/>
        <w:widowControl w:val="0"/>
        <w:kinsoku/>
        <w:overflowPunct/>
        <w:topLinePunct w:val="0"/>
        <w:autoSpaceDE/>
        <w:autoSpaceDN/>
        <w:bidi w:val="0"/>
        <w:spacing w:beforeLines="0" w:afterLines="0" w:line="384" w:lineRule="auto"/>
        <w:ind w:firstLine="420"/>
        <w:jc w:val="left"/>
        <w:rPr>
          <w:rFonts w:ascii="宋体" w:eastAsia="宋体" w:hAnsiTheme="minorEastAsia" w:cstheme="minorEastAsia"/>
          <w:color w:val="auto"/>
          <w:szCs w:val="21"/>
          <w:highlight w:val="none"/>
          <w:lang w:eastAsia="zh-CN"/>
        </w:rPr>
      </w:pPr>
      <w:r>
        <w:rPr>
          <w:rFonts w:hint="eastAsia" w:hAnsiTheme="minorEastAsia" w:cstheme="minorEastAsia"/>
          <w:color w:val="auto"/>
          <w:highlight w:val="none"/>
          <w:lang w:eastAsia="zh-CN"/>
        </w:rPr>
        <w:t>输水工程采用有压重力流输水，由输水隧洞、输水管道、分水口、检修排水阀井、调压井、动能回收电站、调节池等建筑物组成。输水线路全长约76.30km，其中钻爆隧洞段长41.86km，TBM隧洞段长26.84km，管道段长7.60km；沿线设施工支洞12个，总长8.31km；沿线设分水口5个，检修排水阀井7座，调压井1座，动能回收电站1座，调节池1座。动能回收电站装机容量2×1200kW，调节池最低供水水位55.00m，洞池结合调蓄容积4.40万m</w:t>
      </w:r>
      <w:r>
        <w:rPr>
          <w:rFonts w:hint="eastAsia" w:hAnsiTheme="minorEastAsia" w:cstheme="minorEastAsia"/>
          <w:color w:val="auto"/>
          <w:highlight w:val="none"/>
          <w:vertAlign w:val="superscript"/>
          <w:lang w:eastAsia="zh-CN"/>
        </w:rPr>
        <w:t>3</w:t>
      </w:r>
      <w:r>
        <w:rPr>
          <w:rFonts w:hint="eastAsia" w:hAnsiTheme="minorEastAsia" w:cstheme="minorEastAsia"/>
          <w:color w:val="auto"/>
          <w:highlight w:val="none"/>
          <w:lang w:eastAsia="zh-CN"/>
        </w:rPr>
        <w:t>。</w:t>
      </w:r>
    </w:p>
    <w:p w14:paraId="7C5E3034">
      <w:pPr>
        <w:pageBreakBefore w:val="0"/>
        <w:widowControl w:val="0"/>
        <w:kinsoku/>
        <w:overflowPunct/>
        <w:topLinePunct w:val="0"/>
        <w:autoSpaceDE/>
        <w:autoSpaceDN/>
        <w:bidi w:val="0"/>
        <w:spacing w:beforeLines="0" w:afterLines="0" w:line="384" w:lineRule="auto"/>
        <w:ind w:firstLine="420"/>
        <w:jc w:val="left"/>
        <w:rPr>
          <w:rFonts w:hint="eastAsia" w:hAnsiTheme="minorEastAsia" w:cstheme="minorEastAsia"/>
          <w:color w:val="auto"/>
          <w:highlight w:val="none"/>
          <w:lang w:eastAsia="zh-CN"/>
        </w:rPr>
      </w:pPr>
      <w:r>
        <w:rPr>
          <w:rFonts w:ascii="宋体" w:eastAsia="宋体" w:hAnsiTheme="minorEastAsia" w:cstheme="minorEastAsia"/>
          <w:color w:val="auto"/>
          <w:szCs w:val="21"/>
          <w:highlight w:val="none"/>
          <w:lang w:eastAsia="zh-CN"/>
        </w:rPr>
        <w:t>本标段招标范围为</w:t>
      </w:r>
      <w:r>
        <w:rPr>
          <w:rFonts w:hint="eastAsia" w:ascii="宋体" w:eastAsia="宋体" w:hAnsiTheme="minorEastAsia" w:cstheme="minorEastAsia"/>
          <w:color w:val="auto"/>
          <w:szCs w:val="21"/>
          <w:highlight w:val="none"/>
          <w:lang w:eastAsia="zh-CN"/>
        </w:rPr>
        <w:t>：</w:t>
      </w:r>
      <w:r>
        <w:rPr>
          <w:rFonts w:hint="eastAsia" w:hAnsiTheme="minorEastAsia" w:cstheme="minorEastAsia"/>
          <w:color w:val="auto"/>
          <w:highlight w:val="none"/>
          <w:lang w:eastAsia="zh-CN"/>
        </w:rPr>
        <w:t>合心支洞施工段（会31+300.000～会35+880.000）主洞及合心支洞工程施工，其中输水主洞长约4580m，合心支洞长553.49m，包括：施工图范围内的所有工程内容以及完成上述工程所需的措施项目和其它项目，水土保持工程、环境保护工程、文明标化工地、施工临时用电、临时用地复垦等工程施工、缺陷责任修复，超前地质预报作业及配合第三方超前地质预报，工程安全监测、建设期信息化、验收、调研及科研项目等配合工作，合同约定的其他相关工作，具体详见工程量清单及图纸。</w:t>
      </w:r>
    </w:p>
    <w:p w14:paraId="3F0FE982">
      <w:pPr>
        <w:pageBreakBefore w:val="0"/>
        <w:widowControl w:val="0"/>
        <w:kinsoku/>
        <w:overflowPunct/>
        <w:topLinePunct w:val="0"/>
        <w:autoSpaceDE/>
        <w:autoSpaceDN/>
        <w:bidi w:val="0"/>
        <w:spacing w:beforeLines="0" w:afterLines="0" w:line="384" w:lineRule="auto"/>
        <w:ind w:firstLine="420"/>
        <w:jc w:val="left"/>
        <w:rPr>
          <w:rFonts w:ascii="宋体" w:eastAsia="宋体" w:hAnsiTheme="minorEastAsia" w:cstheme="minorEastAsia"/>
          <w:color w:val="auto"/>
          <w:szCs w:val="21"/>
          <w:highlight w:val="none"/>
          <w:lang w:eastAsia="zh-CN"/>
        </w:rPr>
      </w:pPr>
      <w:r>
        <w:rPr>
          <w:rFonts w:hint="eastAsia" w:hAnsiTheme="minorEastAsia" w:cstheme="minorEastAsia"/>
          <w:color w:val="auto"/>
          <w:highlight w:val="none"/>
          <w:lang w:eastAsia="zh-CN"/>
        </w:rPr>
        <w:t>本标段</w:t>
      </w:r>
      <w:r>
        <w:rPr>
          <w:rFonts w:hint="eastAsia" w:hAnsiTheme="minorEastAsia" w:cstheme="minorEastAsia"/>
          <w:color w:val="auto"/>
          <w:highlight w:val="none"/>
          <w:lang w:val="en-US" w:eastAsia="zh-CN"/>
        </w:rPr>
        <w:t>相应</w:t>
      </w:r>
      <w:r>
        <w:rPr>
          <w:rFonts w:hint="eastAsia" w:hAnsiTheme="minorEastAsia" w:cstheme="minorEastAsia"/>
          <w:color w:val="auto"/>
          <w:highlight w:val="none"/>
          <w:lang w:eastAsia="zh-CN"/>
        </w:rPr>
        <w:t>概算投资约</w:t>
      </w:r>
      <w:r>
        <w:rPr>
          <w:rFonts w:hint="eastAsia" w:hAnsiTheme="minorEastAsia" w:cstheme="minorEastAsia"/>
          <w:color w:val="auto"/>
          <w:highlight w:val="none"/>
          <w:u w:val="single"/>
          <w:lang w:val="en-US" w:eastAsia="zh-CN"/>
        </w:rPr>
        <w:t xml:space="preserve"> 15600 </w:t>
      </w:r>
      <w:r>
        <w:rPr>
          <w:rFonts w:hint="eastAsia" w:hAnsiTheme="minorEastAsia" w:cstheme="minorEastAsia"/>
          <w:color w:val="auto"/>
          <w:highlight w:val="none"/>
          <w:u w:val="none"/>
          <w:lang w:val="en-US" w:eastAsia="zh-CN"/>
        </w:rPr>
        <w:t>万</w:t>
      </w:r>
      <w:r>
        <w:rPr>
          <w:rFonts w:hint="eastAsia" w:hAnsiTheme="minorEastAsia" w:cstheme="minorEastAsia"/>
          <w:color w:val="auto"/>
          <w:highlight w:val="none"/>
          <w:lang w:eastAsia="zh-CN"/>
        </w:rPr>
        <w:t>元，计划总工期</w:t>
      </w:r>
      <w:r>
        <w:rPr>
          <w:rFonts w:hint="eastAsia" w:hAnsiTheme="minorEastAsia" w:cstheme="minorEastAsia"/>
          <w:color w:val="auto"/>
          <w:highlight w:val="none"/>
          <w:u w:val="single"/>
          <w:lang w:val="en-US" w:eastAsia="zh-CN"/>
        </w:rPr>
        <w:t xml:space="preserve"> 1380 </w:t>
      </w:r>
      <w:r>
        <w:rPr>
          <w:rFonts w:hint="eastAsia" w:hAnsiTheme="minorEastAsia" w:cstheme="minorEastAsia"/>
          <w:color w:val="auto"/>
          <w:highlight w:val="none"/>
          <w:lang w:eastAsia="zh-CN"/>
        </w:rPr>
        <w:t>日历天</w:t>
      </w:r>
      <w:r>
        <w:rPr>
          <w:rFonts w:hint="eastAsia" w:cs="宋体"/>
          <w:color w:val="auto"/>
          <w:highlight w:val="none"/>
          <w:lang w:eastAsia="zh-CN"/>
        </w:rPr>
        <w:t>。</w:t>
      </w:r>
    </w:p>
    <w:p w14:paraId="0862A197">
      <w:pPr>
        <w:pageBreakBefore w:val="0"/>
        <w:widowControl w:val="0"/>
        <w:kinsoku/>
        <w:overflowPunct/>
        <w:topLinePunct w:val="0"/>
        <w:autoSpaceDE/>
        <w:autoSpaceDN/>
        <w:bidi w:val="0"/>
        <w:spacing w:beforeLines="0" w:afterLines="0" w:line="384" w:lineRule="auto"/>
        <w:ind w:firstLine="420"/>
        <w:jc w:val="left"/>
        <w:rPr>
          <w:rFonts w:ascii="宋体" w:eastAsia="宋体" w:hAnsiTheme="minorEastAsia" w:cstheme="minorEastAsia"/>
          <w:color w:val="auto"/>
          <w:szCs w:val="21"/>
          <w:highlight w:val="none"/>
          <w:lang w:eastAsia="zh-CN"/>
        </w:rPr>
      </w:pPr>
      <w:r>
        <w:rPr>
          <w:rFonts w:ascii="宋体" w:eastAsia="宋体" w:hAnsiTheme="minorEastAsia" w:cstheme="minorEastAsia"/>
          <w:color w:val="auto"/>
          <w:szCs w:val="21"/>
          <w:highlight w:val="none"/>
          <w:lang w:eastAsia="zh-CN"/>
        </w:rPr>
        <w:t>是否属于政府采购工程    □是   ☑否</w:t>
      </w:r>
    </w:p>
    <w:p w14:paraId="7DFA6F60">
      <w:pPr>
        <w:pageBreakBefore w:val="0"/>
        <w:widowControl w:val="0"/>
        <w:kinsoku/>
        <w:overflowPunct/>
        <w:topLinePunct w:val="0"/>
        <w:autoSpaceDE/>
        <w:autoSpaceDN/>
        <w:bidi w:val="0"/>
        <w:spacing w:beforeLines="0" w:afterLines="0" w:line="384" w:lineRule="auto"/>
        <w:ind w:firstLine="420"/>
        <w:jc w:val="left"/>
        <w:rPr>
          <w:rFonts w:ascii="宋体" w:eastAsia="宋体" w:hAnsiTheme="minorEastAsia" w:cstheme="minorEastAsia"/>
          <w:color w:val="auto"/>
          <w:szCs w:val="21"/>
          <w:highlight w:val="none"/>
          <w:lang w:eastAsia="zh-CN"/>
        </w:rPr>
      </w:pPr>
      <w:r>
        <w:rPr>
          <w:rFonts w:ascii="宋体" w:eastAsia="宋体" w:hAnsiTheme="minorEastAsia" w:cstheme="minorEastAsia"/>
          <w:color w:val="auto"/>
          <w:szCs w:val="21"/>
          <w:highlight w:val="none"/>
          <w:lang w:eastAsia="zh-CN"/>
        </w:rPr>
        <w:t>是否专门面向中小企业预留    □是  ☑否 （不专门面向中小企业采购的原因及适用条款）</w:t>
      </w:r>
    </w:p>
    <w:p w14:paraId="71964F91">
      <w:pPr>
        <w:pageBreakBefore w:val="0"/>
        <w:widowControl w:val="0"/>
        <w:kinsoku/>
        <w:overflowPunct/>
        <w:topLinePunct w:val="0"/>
        <w:autoSpaceDE/>
        <w:autoSpaceDN/>
        <w:bidi w:val="0"/>
        <w:spacing w:beforeLines="0" w:afterLines="0" w:line="384" w:lineRule="auto"/>
        <w:ind w:firstLine="420"/>
        <w:jc w:val="left"/>
        <w:rPr>
          <w:rFonts w:ascii="宋体" w:eastAsia="宋体" w:hAnsiTheme="minorEastAsia" w:cstheme="minorEastAsia"/>
          <w:color w:val="auto"/>
          <w:szCs w:val="21"/>
          <w:highlight w:val="none"/>
          <w:lang w:eastAsia="zh-CN"/>
        </w:rPr>
      </w:pPr>
      <w:r>
        <w:rPr>
          <w:rFonts w:ascii="宋体" w:eastAsia="宋体" w:hAnsiTheme="minorEastAsia" w:cstheme="minorEastAsia"/>
          <w:color w:val="auto"/>
          <w:szCs w:val="21"/>
          <w:highlight w:val="none"/>
          <w:lang w:eastAsia="zh-CN"/>
        </w:rPr>
        <w:t>专门面向中小企业预留的实施方式</w:t>
      </w:r>
    </w:p>
    <w:p w14:paraId="43C7CD52">
      <w:pPr>
        <w:pageBreakBefore w:val="0"/>
        <w:widowControl w:val="0"/>
        <w:kinsoku/>
        <w:overflowPunct/>
        <w:topLinePunct w:val="0"/>
        <w:autoSpaceDE/>
        <w:autoSpaceDN/>
        <w:bidi w:val="0"/>
        <w:spacing w:beforeLines="0" w:afterLines="0" w:line="384" w:lineRule="auto"/>
        <w:ind w:firstLine="420"/>
        <w:jc w:val="left"/>
        <w:rPr>
          <w:color w:val="auto"/>
          <w:highlight w:val="none"/>
          <w:lang w:eastAsia="zh-CN"/>
        </w:rPr>
      </w:pPr>
      <w:r>
        <w:rPr>
          <w:rFonts w:hint="eastAsia" w:ascii="宋体" w:eastAsia="宋体" w:hAnsiTheme="minorEastAsia" w:cstheme="minorEastAsia"/>
          <w:color w:val="auto"/>
          <w:szCs w:val="21"/>
          <w:highlight w:val="none"/>
          <w:lang w:eastAsia="zh-CN"/>
        </w:rPr>
        <w:t>□</w:t>
      </w:r>
      <w:r>
        <w:rPr>
          <w:rFonts w:ascii="宋体" w:eastAsia="宋体" w:hAnsiTheme="minorEastAsia" w:cstheme="minorEastAsia"/>
          <w:color w:val="auto"/>
          <w:szCs w:val="21"/>
          <w:highlight w:val="none"/>
          <w:lang w:eastAsia="zh-CN"/>
        </w:rPr>
        <w:t>本标段整体面向中小企业；</w:t>
      </w:r>
    </w:p>
    <w:p w14:paraId="08B86256">
      <w:pPr>
        <w:pageBreakBefore w:val="0"/>
        <w:widowControl w:val="0"/>
        <w:kinsoku/>
        <w:overflowPunct/>
        <w:topLinePunct w:val="0"/>
        <w:autoSpaceDE/>
        <w:autoSpaceDN/>
        <w:bidi w:val="0"/>
        <w:spacing w:before="0" w:beforeLines="0" w:afterLines="0" w:line="384" w:lineRule="auto"/>
        <w:ind w:right="0" w:firstLine="420"/>
        <w:jc w:val="left"/>
        <w:rPr>
          <w:rFonts w:ascii="宋体" w:eastAsia="宋体" w:hAnsiTheme="minorEastAsia" w:cstheme="minorEastAsia"/>
          <w:color w:val="auto"/>
          <w:szCs w:val="21"/>
          <w:highlight w:val="none"/>
          <w:lang w:eastAsia="zh-CN"/>
        </w:rPr>
      </w:pPr>
      <w:r>
        <w:rPr>
          <w:rFonts w:ascii="宋体" w:eastAsia="宋体" w:hAnsiTheme="minorEastAsia" w:cstheme="minorEastAsia"/>
          <w:color w:val="auto"/>
          <w:szCs w:val="21"/>
          <w:highlight w:val="none"/>
          <w:lang w:eastAsia="zh-CN"/>
        </w:rPr>
        <w:t>□本标段联合体形式面向中小企业，以联合体形式参加本次投标的，联合体中中小企业承担的合同份额需达到（不低于40%）以上。</w:t>
      </w:r>
    </w:p>
    <w:p w14:paraId="13C7617F">
      <w:pPr>
        <w:keepNext/>
        <w:keepLines/>
        <w:pageBreakBefore w:val="0"/>
        <w:widowControl w:val="0"/>
        <w:kinsoku/>
        <w:wordWrap w:val="0"/>
        <w:overflowPunct/>
        <w:topLinePunct w:val="0"/>
        <w:autoSpaceDE/>
        <w:autoSpaceDN/>
        <w:bidi w:val="0"/>
        <w:adjustRightInd w:val="0"/>
        <w:snapToGrid w:val="0"/>
        <w:spacing w:beforeLines="0" w:afterLines="0" w:line="384" w:lineRule="auto"/>
        <w:ind w:firstLine="0" w:firstLineChars="0"/>
        <w:jc w:val="both"/>
        <w:textAlignment w:val="baseline"/>
        <w:outlineLvl w:val="1"/>
        <w:rPr>
          <w:rStyle w:val="60"/>
          <w:rFonts w:hint="eastAsia" w:ascii="宋体" w:hAnsi="宋体" w:eastAsia="宋体" w:cs="宋体"/>
          <w:b/>
          <w:bCs/>
          <w:snapToGrid w:val="0"/>
          <w:color w:val="auto"/>
          <w:sz w:val="30"/>
          <w:szCs w:val="30"/>
          <w:highlight w:val="none"/>
          <w:lang w:val="en-US" w:eastAsia="en-US" w:bidi="ar-SA"/>
        </w:rPr>
      </w:pPr>
      <w:bookmarkStart w:id="51" w:name="_Toc5977"/>
      <w:bookmarkStart w:id="52" w:name="_Toc2505"/>
      <w:bookmarkStart w:id="53" w:name="_Toc9248"/>
      <w:bookmarkStart w:id="54" w:name="_Toc17244"/>
      <w:bookmarkStart w:id="55" w:name="_Toc15569"/>
      <w:r>
        <w:rPr>
          <w:rStyle w:val="60"/>
          <w:rFonts w:hint="eastAsia" w:ascii="宋体" w:hAnsi="宋体" w:eastAsia="宋体" w:cs="宋体"/>
          <w:b/>
          <w:bCs/>
          <w:snapToGrid w:val="0"/>
          <w:color w:val="auto"/>
          <w:sz w:val="30"/>
          <w:szCs w:val="30"/>
          <w:highlight w:val="none"/>
          <w:lang w:val="en-US" w:eastAsia="en-US" w:bidi="ar-SA"/>
        </w:rPr>
        <w:t>3</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投标人资格要求</w:t>
      </w:r>
      <w:bookmarkEnd w:id="51"/>
      <w:bookmarkEnd w:id="52"/>
      <w:bookmarkEnd w:id="53"/>
      <w:bookmarkEnd w:id="54"/>
      <w:bookmarkEnd w:id="55"/>
    </w:p>
    <w:p w14:paraId="0631A3FB">
      <w:pPr>
        <w:keepNext/>
        <w:keepLines/>
        <w:pageBreakBefore w:val="0"/>
        <w:widowControl w:val="0"/>
        <w:kinsoku/>
        <w:overflowPunct/>
        <w:topLinePunct w:val="0"/>
        <w:autoSpaceDE/>
        <w:autoSpaceDN/>
        <w:bidi w:val="0"/>
        <w:adjustRightInd w:val="0"/>
        <w:snapToGrid w:val="0"/>
        <w:spacing w:beforeLines="0" w:afterLines="0" w:line="384" w:lineRule="auto"/>
        <w:ind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z w:val="24"/>
          <w:szCs w:val="24"/>
          <w:highlight w:val="none"/>
          <w:lang w:val="en-US" w:eastAsia="zh-CN" w:bidi="ar-SA"/>
        </w:rPr>
        <w:t>3.1　资质要求</w:t>
      </w:r>
    </w:p>
    <w:p w14:paraId="5AE59AC4">
      <w:pPr>
        <w:pageBreakBefore w:val="0"/>
        <w:widowControl w:val="0"/>
        <w:kinsoku/>
        <w:overflowPunct/>
        <w:topLinePunct w:val="0"/>
        <w:autoSpaceDE/>
        <w:autoSpaceDN/>
        <w:bidi w:val="0"/>
        <w:spacing w:beforeLines="0" w:afterLines="0" w:line="384" w:lineRule="auto"/>
        <w:ind w:firstLine="420"/>
        <w:jc w:val="left"/>
        <w:rPr>
          <w:rFonts w:ascii="宋体" w:eastAsia="宋体" w:cs="Times New Roman" w:hAnsiTheme="minorHAnsi"/>
          <w:color w:val="auto"/>
          <w:szCs w:val="21"/>
          <w:highlight w:val="none"/>
          <w:lang w:eastAsia="zh-CN"/>
        </w:rPr>
      </w:pPr>
      <w:r>
        <w:rPr>
          <w:rFonts w:ascii="宋体" w:eastAsia="宋体" w:cs="宋体"/>
          <w:color w:val="auto"/>
          <w:szCs w:val="21"/>
          <w:highlight w:val="none"/>
          <w:lang w:eastAsia="zh-CN"/>
        </w:rPr>
        <w:t>本次招标要求投标人具备</w:t>
      </w:r>
      <w:r>
        <w:rPr>
          <w:rFonts w:hint="eastAsia" w:cs="宋体"/>
          <w:color w:val="auto"/>
          <w:szCs w:val="21"/>
          <w:highlight w:val="none"/>
          <w:u w:val="single"/>
          <w:lang w:val="en-US" w:eastAsia="zh-CN"/>
        </w:rPr>
        <w:t xml:space="preserve"> </w:t>
      </w:r>
      <w:r>
        <w:rPr>
          <w:rFonts w:hint="eastAsia" w:ascii="宋体" w:eastAsia="宋体" w:hAnsiTheme="minorEastAsia" w:cstheme="minorEastAsia"/>
          <w:bCs/>
          <w:color w:val="auto"/>
          <w:szCs w:val="21"/>
          <w:highlight w:val="none"/>
          <w:u w:val="single"/>
          <w:lang w:eastAsia="zh-CN"/>
        </w:rPr>
        <w:t>水利水电工程施工总承包一级及以上</w:t>
      </w:r>
      <w:r>
        <w:rPr>
          <w:rFonts w:hint="eastAsia" w:hAnsiTheme="minorEastAsia" w:cstheme="minorEastAsia"/>
          <w:bCs/>
          <w:color w:val="auto"/>
          <w:szCs w:val="21"/>
          <w:highlight w:val="none"/>
          <w:u w:val="single"/>
          <w:lang w:val="en-US" w:eastAsia="zh-CN"/>
        </w:rPr>
        <w:t xml:space="preserve"> </w:t>
      </w:r>
      <w:r>
        <w:rPr>
          <w:rFonts w:ascii="宋体" w:eastAsia="宋体" w:cs="宋体"/>
          <w:color w:val="auto"/>
          <w:szCs w:val="21"/>
          <w:highlight w:val="none"/>
          <w:lang w:eastAsia="zh-CN"/>
        </w:rPr>
        <w:t>资质，其它条件详见附表。</w:t>
      </w:r>
    </w:p>
    <w:p w14:paraId="18880DC2">
      <w:pPr>
        <w:pageBreakBefore w:val="0"/>
        <w:widowControl w:val="0"/>
        <w:kinsoku/>
        <w:overflowPunct/>
        <w:topLinePunct w:val="0"/>
        <w:autoSpaceDE/>
        <w:autoSpaceDN/>
        <w:bidi w:val="0"/>
        <w:spacing w:before="0" w:beforeLines="0" w:afterLines="0" w:line="384" w:lineRule="auto"/>
        <w:ind w:right="0" w:firstLine="420"/>
        <w:jc w:val="left"/>
        <w:rPr>
          <w:rFonts w:ascii="宋体" w:eastAsia="宋体" w:cs="宋体" w:hAnsiTheme="minorHAnsi"/>
          <w:color w:val="auto"/>
          <w:szCs w:val="21"/>
          <w:highlight w:val="none"/>
          <w:lang w:eastAsia="zh-CN"/>
        </w:rPr>
      </w:pPr>
      <w:r>
        <w:rPr>
          <w:rFonts w:ascii="宋体" w:eastAsia="宋体" w:cs="宋体"/>
          <w:color w:val="auto"/>
          <w:szCs w:val="21"/>
          <w:highlight w:val="none"/>
          <w:lang w:eastAsia="zh-CN"/>
        </w:rPr>
        <w:t>本次招标</w:t>
      </w:r>
      <w:r>
        <w:rPr>
          <w:rFonts w:hint="eastAsia" w:cs="宋体"/>
          <w:color w:val="auto"/>
          <w:szCs w:val="21"/>
          <w:highlight w:val="none"/>
          <w:u w:val="single"/>
          <w:lang w:val="en-US" w:eastAsia="zh-CN"/>
        </w:rPr>
        <w:t xml:space="preserve"> </w:t>
      </w:r>
      <w:r>
        <w:rPr>
          <w:rFonts w:hint="eastAsia" w:ascii="宋体" w:eastAsia="宋体" w:cs="宋体"/>
          <w:color w:val="auto"/>
          <w:szCs w:val="21"/>
          <w:highlight w:val="none"/>
          <w:u w:val="single"/>
          <w:lang w:eastAsia="zh-CN"/>
        </w:rPr>
        <w:t>接受</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联合体投标。接受联合体投标，应满足下列要求：</w:t>
      </w:r>
    </w:p>
    <w:p w14:paraId="78E8779D">
      <w:pPr>
        <w:pageBreakBefore w:val="0"/>
        <w:widowControl w:val="0"/>
        <w:kinsoku/>
        <w:overflowPunct/>
        <w:topLinePunct w:val="0"/>
        <w:autoSpaceDE/>
        <w:autoSpaceDN/>
        <w:bidi w:val="0"/>
        <w:spacing w:beforeLines="0" w:afterLines="0" w:line="384" w:lineRule="auto"/>
        <w:ind w:firstLine="420"/>
        <w:jc w:val="left"/>
        <w:rPr>
          <w:rFonts w:ascii="宋体" w:eastAsia="宋体" w:cs="宋体" w:hAnsiTheme="minorHAnsi"/>
          <w:color w:val="auto"/>
          <w:szCs w:val="21"/>
          <w:highlight w:val="none"/>
          <w:lang w:eastAsia="zh-CN"/>
        </w:rPr>
      </w:pPr>
      <w:r>
        <w:rPr>
          <w:rFonts w:hint="eastAsia" w:ascii="宋体" w:eastAsia="宋体" w:cs="宋体" w:hAnsiTheme="minorHAnsi"/>
          <w:color w:val="auto"/>
          <w:szCs w:val="21"/>
          <w:highlight w:val="none"/>
          <w:lang w:eastAsia="zh-CN"/>
        </w:rPr>
        <w:t>（1）</w:t>
      </w:r>
      <w:r>
        <w:rPr>
          <w:rFonts w:ascii="宋体" w:eastAsia="宋体" w:cs="宋体"/>
          <w:color w:val="auto"/>
          <w:szCs w:val="21"/>
          <w:highlight w:val="none"/>
          <w:lang w:eastAsia="zh-CN"/>
        </w:rPr>
        <w:t>联合体所有成员数量不得超过</w:t>
      </w:r>
      <w:r>
        <w:rPr>
          <w:rFonts w:hint="eastAsia" w:cs="宋体"/>
          <w:color w:val="auto"/>
          <w:szCs w:val="21"/>
          <w:highlight w:val="none"/>
          <w:u w:val="single"/>
          <w:lang w:val="en-US" w:eastAsia="zh-CN"/>
        </w:rPr>
        <w:t xml:space="preserve"> </w:t>
      </w:r>
      <w:r>
        <w:rPr>
          <w:rFonts w:ascii="宋体" w:eastAsia="宋体" w:cs="宋体" w:hAnsiTheme="minorHAnsi"/>
          <w:color w:val="auto"/>
          <w:szCs w:val="21"/>
          <w:highlight w:val="none"/>
          <w:u w:val="single"/>
          <w:lang w:eastAsia="zh-CN"/>
        </w:rPr>
        <w:t>2</w:t>
      </w:r>
      <w:r>
        <w:rPr>
          <w:rFonts w:hint="eastAsia" w:cs="宋体" w:hAnsiTheme="minorHAnsi"/>
          <w:color w:val="auto"/>
          <w:szCs w:val="21"/>
          <w:highlight w:val="none"/>
          <w:u w:val="single"/>
          <w:lang w:val="en-US" w:eastAsia="zh-CN"/>
        </w:rPr>
        <w:t xml:space="preserve"> </w:t>
      </w:r>
      <w:r>
        <w:rPr>
          <w:rFonts w:ascii="宋体" w:eastAsia="宋体" w:cs="宋体"/>
          <w:color w:val="auto"/>
          <w:szCs w:val="21"/>
          <w:highlight w:val="none"/>
          <w:lang w:eastAsia="zh-CN"/>
        </w:rPr>
        <w:t>个；</w:t>
      </w:r>
    </w:p>
    <w:p w14:paraId="0EC2D936">
      <w:pPr>
        <w:pageBreakBefore w:val="0"/>
        <w:widowControl w:val="0"/>
        <w:kinsoku/>
        <w:overflowPunct/>
        <w:topLinePunct w:val="0"/>
        <w:autoSpaceDE/>
        <w:autoSpaceDN/>
        <w:bidi w:val="0"/>
        <w:spacing w:beforeLines="0" w:afterLines="0" w:line="384" w:lineRule="auto"/>
        <w:ind w:firstLine="420"/>
        <w:jc w:val="left"/>
        <w:rPr>
          <w:rFonts w:ascii="宋体" w:eastAsia="宋体" w:cs="宋体" w:hAnsiTheme="minorHAnsi"/>
          <w:color w:val="auto"/>
          <w:szCs w:val="21"/>
          <w:highlight w:val="none"/>
          <w:lang w:eastAsia="zh-CN"/>
        </w:rPr>
      </w:pPr>
      <w:r>
        <w:rPr>
          <w:rFonts w:hint="eastAsia" w:ascii="宋体" w:eastAsia="宋体" w:cs="宋体" w:hAnsiTheme="minorHAnsi"/>
          <w:color w:val="auto"/>
          <w:szCs w:val="21"/>
          <w:highlight w:val="none"/>
          <w:lang w:eastAsia="zh-CN"/>
        </w:rPr>
        <w:t>（2）</w:t>
      </w:r>
      <w:r>
        <w:rPr>
          <w:rFonts w:hint="eastAsia" w:ascii="宋体" w:eastAsia="宋体" w:hAnsiTheme="minorEastAsia" w:cstheme="minorEastAsia"/>
          <w:color w:val="auto"/>
          <w:szCs w:val="21"/>
          <w:highlight w:val="none"/>
          <w:lang w:eastAsia="zh-CN"/>
        </w:rPr>
        <w:t>以</w:t>
      </w:r>
      <w:r>
        <w:rPr>
          <w:rFonts w:hint="eastAsia" w:hAnsiTheme="minorEastAsia" w:cstheme="minorEastAsia"/>
          <w:color w:val="auto"/>
          <w:szCs w:val="21"/>
          <w:highlight w:val="none"/>
          <w:u w:val="single"/>
          <w:lang w:val="en-US" w:eastAsia="zh-CN"/>
        </w:rPr>
        <w:t xml:space="preserve">  </w:t>
      </w:r>
      <w:r>
        <w:rPr>
          <w:rFonts w:hint="eastAsia" w:hAnsiTheme="minorEastAsia" w:cstheme="minorEastAsia"/>
          <w:strike w:val="0"/>
          <w:color w:val="auto"/>
          <w:highlight w:val="none"/>
          <w:u w:val="single"/>
          <w:lang w:eastAsia="zh-CN"/>
        </w:rPr>
        <w:t>/</w:t>
      </w:r>
      <w:r>
        <w:rPr>
          <w:rFonts w:hint="eastAsia" w:hAnsiTheme="minorEastAsia" w:cstheme="minorEastAsia"/>
          <w:strike w:val="0"/>
          <w:color w:val="auto"/>
          <w:highlight w:val="none"/>
          <w:u w:val="single"/>
          <w:lang w:val="en-US" w:eastAsia="zh-CN"/>
        </w:rPr>
        <w:t xml:space="preserve">  </w:t>
      </w:r>
      <w:r>
        <w:rPr>
          <w:rFonts w:hint="eastAsia" w:ascii="宋体" w:eastAsia="宋体" w:hAnsiTheme="minorEastAsia" w:cstheme="minorEastAsia"/>
          <w:color w:val="auto"/>
          <w:szCs w:val="21"/>
          <w:highlight w:val="none"/>
          <w:lang w:eastAsia="zh-CN"/>
        </w:rPr>
        <w:t>方作为联合体牵头人；</w:t>
      </w:r>
    </w:p>
    <w:p w14:paraId="62E47654">
      <w:pPr>
        <w:pageBreakBefore w:val="0"/>
        <w:widowControl w:val="0"/>
        <w:kinsoku/>
        <w:overflowPunct/>
        <w:topLinePunct w:val="0"/>
        <w:autoSpaceDE/>
        <w:autoSpaceDN/>
        <w:bidi w:val="0"/>
        <w:spacing w:beforeLines="0" w:afterLines="0" w:line="384" w:lineRule="auto"/>
        <w:ind w:firstLine="420"/>
        <w:jc w:val="left"/>
        <w:rPr>
          <w:rFonts w:cs="宋体"/>
          <w:color w:val="auto"/>
          <w:sz w:val="24"/>
          <w:szCs w:val="24"/>
          <w:highlight w:val="none"/>
          <w:lang w:eastAsia="zh-CN"/>
        </w:rPr>
      </w:pPr>
      <w:r>
        <w:rPr>
          <w:rFonts w:hint="eastAsia" w:ascii="宋体" w:eastAsia="宋体" w:cs="宋体" w:hAnsiTheme="minorHAnsi"/>
          <w:color w:val="auto"/>
          <w:szCs w:val="21"/>
          <w:highlight w:val="none"/>
          <w:lang w:eastAsia="zh-CN"/>
        </w:rPr>
        <w:t>（3）</w:t>
      </w:r>
      <w:r>
        <w:rPr>
          <w:rFonts w:hint="eastAsia" w:ascii="宋体" w:eastAsia="宋体" w:hAnsiTheme="minorEastAsia" w:cstheme="minorEastAsia"/>
          <w:color w:val="auto"/>
          <w:szCs w:val="21"/>
          <w:highlight w:val="none"/>
          <w:lang w:eastAsia="zh-CN"/>
        </w:rPr>
        <w:t>拟派项目主要成员的委派要求</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u w:val="single"/>
          <w:lang w:eastAsia="zh-CN"/>
        </w:rPr>
        <w:t>拟派项目负责人由牵头人委派</w:t>
      </w:r>
      <w:r>
        <w:rPr>
          <w:rFonts w:hint="eastAsia" w:hAnsiTheme="minorEastAsia" w:cstheme="minorEastAsia"/>
          <w:color w:val="auto"/>
          <w:szCs w:val="21"/>
          <w:highlight w:val="none"/>
          <w:u w:val="single"/>
          <w:lang w:val="en-US" w:eastAsia="zh-CN"/>
        </w:rPr>
        <w:t xml:space="preserve"> </w:t>
      </w:r>
      <w:r>
        <w:rPr>
          <w:rFonts w:hint="eastAsia" w:ascii="宋体" w:eastAsia="宋体" w:hAnsiTheme="minorEastAsia" w:cstheme="minorEastAsia"/>
          <w:color w:val="auto"/>
          <w:szCs w:val="21"/>
          <w:highlight w:val="none"/>
          <w:lang w:eastAsia="zh-CN"/>
        </w:rPr>
        <w:t>；</w:t>
      </w:r>
    </w:p>
    <w:p w14:paraId="06B9066F">
      <w:pPr>
        <w:pageBreakBefore w:val="0"/>
        <w:widowControl w:val="0"/>
        <w:kinsoku/>
        <w:overflowPunct/>
        <w:topLinePunct w:val="0"/>
        <w:autoSpaceDE/>
        <w:autoSpaceDN/>
        <w:bidi w:val="0"/>
        <w:spacing w:beforeLines="0" w:afterLines="0" w:line="384" w:lineRule="auto"/>
        <w:ind w:firstLine="420"/>
        <w:jc w:val="left"/>
        <w:rPr>
          <w:rFonts w:cs="宋体"/>
          <w:color w:val="auto"/>
          <w:sz w:val="24"/>
          <w:szCs w:val="24"/>
          <w:highlight w:val="none"/>
          <w:lang w:eastAsia="zh-CN"/>
        </w:rPr>
      </w:pPr>
      <w:r>
        <w:rPr>
          <w:rFonts w:hint="eastAsia" w:ascii="宋体" w:eastAsia="宋体" w:cs="宋体" w:hAnsiTheme="minorHAnsi"/>
          <w:color w:val="auto"/>
          <w:szCs w:val="21"/>
          <w:highlight w:val="none"/>
          <w:lang w:eastAsia="zh-CN"/>
        </w:rPr>
        <w:t>（4）</w:t>
      </w:r>
      <w:r>
        <w:rPr>
          <w:rFonts w:hint="eastAsia" w:hAnsiTheme="minorHAnsi" w:cstheme="minorEastAsia"/>
          <w:color w:val="auto"/>
          <w:highlight w:val="none"/>
          <w:u w:val="single"/>
          <w:lang w:eastAsia="zh-CN"/>
        </w:rPr>
        <w:t>①联合体投标的，联合体各方应共同签订联合体协议书，并明确联合体牵头人、成员单位的责任分工、权利义务等事项；②联合体各方</w:t>
      </w:r>
      <w:r>
        <w:rPr>
          <w:rFonts w:hint="eastAsia" w:hAnsiTheme="minorHAnsi" w:cstheme="minorEastAsia"/>
          <w:color w:val="auto"/>
          <w:highlight w:val="none"/>
          <w:u w:val="single"/>
          <w:lang w:val="en-US" w:eastAsia="zh-CN"/>
        </w:rPr>
        <w:t>均</w:t>
      </w:r>
      <w:r>
        <w:rPr>
          <w:rFonts w:hint="eastAsia" w:hAnsiTheme="minorHAnsi" w:cstheme="minorEastAsia"/>
          <w:color w:val="auto"/>
          <w:highlight w:val="none"/>
          <w:u w:val="single"/>
          <w:lang w:eastAsia="zh-CN"/>
        </w:rPr>
        <w:t>需具备水利水电工程施工总承包一级及以上资质；③联合体各方不得再以自己的名义单独或组建新的联合体参与同一合同段投标；④单位负责人为同一人或者存在控股、管理关系的不同单位，不得同时参加本标段投标（组成同一联合体投标的除外）</w:t>
      </w:r>
      <w:r>
        <w:rPr>
          <w:rFonts w:hint="eastAsia" w:ascii="宋体" w:eastAsia="宋体" w:hAnsiTheme="minorEastAsia" w:cstheme="minorEastAsia"/>
          <w:color w:val="auto"/>
          <w:szCs w:val="21"/>
          <w:highlight w:val="none"/>
          <w:u w:val="single"/>
          <w:lang w:eastAsia="zh-CN"/>
        </w:rPr>
        <w:t>。</w:t>
      </w:r>
    </w:p>
    <w:p w14:paraId="5B350628">
      <w:pPr>
        <w:keepNext/>
        <w:keepLines/>
        <w:pageBreakBefore w:val="0"/>
        <w:widowControl w:val="0"/>
        <w:kinsoku/>
        <w:wordWrap w:val="0"/>
        <w:overflowPunct/>
        <w:topLinePunct w:val="0"/>
        <w:autoSpaceDE/>
        <w:autoSpaceDN/>
        <w:bidi w:val="0"/>
        <w:adjustRightInd w:val="0"/>
        <w:snapToGrid w:val="0"/>
        <w:spacing w:beforeLines="0" w:afterLines="0" w:line="384" w:lineRule="auto"/>
        <w:ind w:firstLine="0" w:firstLineChars="0"/>
        <w:jc w:val="both"/>
        <w:textAlignment w:val="baseline"/>
        <w:outlineLvl w:val="1"/>
        <w:rPr>
          <w:rStyle w:val="60"/>
          <w:rFonts w:hint="eastAsia" w:ascii="宋体" w:hAnsi="宋体" w:eastAsia="宋体" w:cs="宋体"/>
          <w:b/>
          <w:bCs/>
          <w:snapToGrid w:val="0"/>
          <w:color w:val="auto"/>
          <w:sz w:val="30"/>
          <w:szCs w:val="30"/>
          <w:highlight w:val="none"/>
          <w:lang w:val="en-US" w:eastAsia="en-US" w:bidi="ar-SA"/>
        </w:rPr>
      </w:pPr>
      <w:bookmarkStart w:id="56" w:name="_Toc6439"/>
      <w:bookmarkStart w:id="57" w:name="_Toc25725"/>
      <w:bookmarkStart w:id="58" w:name="_Toc4847"/>
      <w:bookmarkStart w:id="59" w:name="_Toc3281"/>
      <w:bookmarkStart w:id="60" w:name="_Toc26977"/>
      <w:r>
        <w:rPr>
          <w:rStyle w:val="60"/>
          <w:rFonts w:hint="eastAsia" w:ascii="宋体" w:hAnsi="宋体" w:eastAsia="宋体" w:cs="宋体"/>
          <w:b/>
          <w:bCs/>
          <w:snapToGrid w:val="0"/>
          <w:color w:val="auto"/>
          <w:sz w:val="30"/>
          <w:szCs w:val="30"/>
          <w:highlight w:val="none"/>
          <w:lang w:val="en-US" w:eastAsia="en-US" w:bidi="ar-SA"/>
        </w:rPr>
        <w:t>4</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招标文件的获取</w:t>
      </w:r>
      <w:bookmarkEnd w:id="56"/>
      <w:bookmarkEnd w:id="57"/>
      <w:bookmarkEnd w:id="58"/>
      <w:bookmarkEnd w:id="59"/>
      <w:bookmarkEnd w:id="60"/>
    </w:p>
    <w:p w14:paraId="2C253117">
      <w:pPr>
        <w:pageBreakBefore w:val="0"/>
        <w:widowControl w:val="0"/>
        <w:kinsoku/>
        <w:overflowPunct/>
        <w:topLinePunct w:val="0"/>
        <w:autoSpaceDE/>
        <w:autoSpaceDN/>
        <w:bidi w:val="0"/>
        <w:spacing w:beforeLines="0" w:afterLines="0" w:line="384"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凡有意参加投标者，请于</w:t>
      </w:r>
      <w:r>
        <w:rPr>
          <w:rFonts w:hint="eastAsia" w:cs="宋体"/>
          <w:color w:val="auto"/>
          <w:szCs w:val="21"/>
          <w:highlight w:val="none"/>
          <w:u w:val="single"/>
          <w:lang w:val="en-US" w:eastAsia="zh-CN"/>
        </w:rPr>
        <w:t xml:space="preserve"> </w:t>
      </w:r>
      <w:r>
        <w:rPr>
          <w:rFonts w:ascii="宋体" w:eastAsia="宋体" w:cs="宋体"/>
          <w:color w:val="auto"/>
          <w:szCs w:val="21"/>
          <w:highlight w:val="none"/>
          <w:u w:val="single"/>
          <w:lang w:eastAsia="zh-CN"/>
        </w:rPr>
        <w:t>2024</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年</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月</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日</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时至</w:t>
      </w:r>
      <w:r>
        <w:rPr>
          <w:rFonts w:hint="eastAsia" w:cs="宋体"/>
          <w:color w:val="auto"/>
          <w:szCs w:val="21"/>
          <w:highlight w:val="none"/>
          <w:u w:val="single"/>
          <w:lang w:val="en-US" w:eastAsia="zh-CN"/>
        </w:rPr>
        <w:t xml:space="preserve"> </w:t>
      </w:r>
      <w:r>
        <w:rPr>
          <w:rFonts w:ascii="宋体" w:eastAsia="宋体" w:cs="宋体"/>
          <w:color w:val="auto"/>
          <w:szCs w:val="21"/>
          <w:highlight w:val="none"/>
          <w:u w:val="single"/>
          <w:lang w:eastAsia="zh-CN"/>
        </w:rPr>
        <w:t>2024</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年</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月</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日</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时（北京时间，下同），登录</w:t>
      </w:r>
      <w:r>
        <w:rPr>
          <w:rFonts w:hint="eastAsia" w:ascii="宋体" w:eastAsia="宋体" w:cs="宋体"/>
          <w:color w:val="auto"/>
          <w:szCs w:val="21"/>
          <w:highlight w:val="none"/>
          <w:u w:val="none"/>
          <w:lang w:eastAsia="zh-CN"/>
        </w:rPr>
        <w:t>“绍兴市公共资源交易中心电子招投标交易平台”（以下简称“交易平台”，网址：</w:t>
      </w:r>
      <w:r>
        <w:rPr>
          <w:rFonts w:ascii="宋体" w:eastAsia="宋体" w:cs="宋体"/>
          <w:color w:val="auto"/>
          <w:szCs w:val="21"/>
          <w:highlight w:val="none"/>
          <w:u w:val="none"/>
          <w:lang w:eastAsia="zh-CN"/>
        </w:rPr>
        <w:t>http://p.ggb.sx.gov.cn:6081/TPBidder/）</w:t>
      </w:r>
      <w:r>
        <w:rPr>
          <w:rFonts w:ascii="宋体" w:eastAsia="宋体" w:cs="宋体"/>
          <w:color w:val="auto"/>
          <w:szCs w:val="21"/>
          <w:highlight w:val="none"/>
          <w:lang w:eastAsia="zh-CN"/>
        </w:rPr>
        <w:t xml:space="preserve"> （电子招标投标交易平台名称）下载电子招标文件。</w:t>
      </w:r>
    </w:p>
    <w:p w14:paraId="5ACE39A6">
      <w:pPr>
        <w:pageBreakBefore w:val="0"/>
        <w:widowControl w:val="0"/>
        <w:kinsoku/>
        <w:overflowPunct/>
        <w:topLinePunct w:val="0"/>
        <w:autoSpaceDE/>
        <w:autoSpaceDN/>
        <w:bidi w:val="0"/>
        <w:spacing w:beforeLines="0" w:afterLines="0" w:line="384" w:lineRule="auto"/>
        <w:ind w:firstLine="420"/>
        <w:jc w:val="left"/>
        <w:rPr>
          <w:rFonts w:hint="default" w:ascii="宋体" w:eastAsia="宋体" w:cs="宋体"/>
          <w:color w:val="auto"/>
          <w:szCs w:val="21"/>
          <w:highlight w:val="none"/>
          <w:lang w:val="en-US" w:eastAsia="zh-CN"/>
        </w:rPr>
      </w:pPr>
      <w:r>
        <w:rPr>
          <w:rFonts w:hint="eastAsia" w:cs="宋体"/>
          <w:color w:val="auto"/>
          <w:szCs w:val="21"/>
          <w:highlight w:val="none"/>
          <w:lang w:val="en-US" w:eastAsia="zh-CN"/>
        </w:rPr>
        <w:t>请各投标人在缴纳投标保证金前自行核对统一主体库内填写的基本账户信息，避免出现保证金缴纳后无法匹配的现象。</w:t>
      </w:r>
    </w:p>
    <w:p w14:paraId="7C9AAD63">
      <w:pPr>
        <w:keepNext/>
        <w:keepLines/>
        <w:pageBreakBefore w:val="0"/>
        <w:widowControl w:val="0"/>
        <w:kinsoku/>
        <w:wordWrap w:val="0"/>
        <w:overflowPunct/>
        <w:topLinePunct w:val="0"/>
        <w:autoSpaceDE/>
        <w:autoSpaceDN/>
        <w:bidi w:val="0"/>
        <w:adjustRightInd w:val="0"/>
        <w:snapToGrid w:val="0"/>
        <w:spacing w:beforeLines="0" w:afterLines="0" w:line="384" w:lineRule="auto"/>
        <w:ind w:firstLine="0" w:firstLineChars="0"/>
        <w:jc w:val="both"/>
        <w:textAlignment w:val="baseline"/>
        <w:outlineLvl w:val="1"/>
        <w:rPr>
          <w:rStyle w:val="60"/>
          <w:rFonts w:hint="eastAsia" w:ascii="宋体" w:hAnsi="宋体" w:eastAsia="宋体" w:cs="宋体"/>
          <w:b/>
          <w:bCs/>
          <w:snapToGrid w:val="0"/>
          <w:color w:val="auto"/>
          <w:sz w:val="30"/>
          <w:szCs w:val="30"/>
          <w:highlight w:val="none"/>
          <w:lang w:val="en-US" w:eastAsia="en-US" w:bidi="ar-SA"/>
        </w:rPr>
      </w:pPr>
      <w:bookmarkStart w:id="61" w:name="_Toc11568"/>
      <w:bookmarkStart w:id="62" w:name="_Toc17528"/>
      <w:bookmarkStart w:id="63" w:name="_Toc28603"/>
      <w:bookmarkStart w:id="64" w:name="_Toc10218"/>
      <w:bookmarkStart w:id="65" w:name="_Toc21983"/>
      <w:r>
        <w:rPr>
          <w:rStyle w:val="60"/>
          <w:rFonts w:hint="eastAsia" w:ascii="宋体" w:hAnsi="宋体" w:eastAsia="宋体" w:cs="宋体"/>
          <w:b/>
          <w:bCs/>
          <w:snapToGrid w:val="0"/>
          <w:color w:val="auto"/>
          <w:sz w:val="30"/>
          <w:szCs w:val="30"/>
          <w:highlight w:val="none"/>
          <w:lang w:val="en-US" w:eastAsia="en-US" w:bidi="ar-SA"/>
        </w:rPr>
        <w:t>5</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投标文件的递交</w:t>
      </w:r>
      <w:bookmarkEnd w:id="61"/>
      <w:bookmarkEnd w:id="62"/>
      <w:bookmarkEnd w:id="63"/>
      <w:bookmarkEnd w:id="64"/>
      <w:bookmarkEnd w:id="65"/>
    </w:p>
    <w:p w14:paraId="4BB3BF0A">
      <w:pPr>
        <w:pageBreakBefore w:val="0"/>
        <w:widowControl w:val="0"/>
        <w:kinsoku/>
        <w:overflowPunct/>
        <w:topLinePunct w:val="0"/>
        <w:autoSpaceDE/>
        <w:autoSpaceDN/>
        <w:bidi w:val="0"/>
        <w:adjustRightInd w:val="0"/>
        <w:snapToGrid w:val="0"/>
        <w:spacing w:before="0" w:beforeLines="0" w:afterLines="0" w:line="384" w:lineRule="auto"/>
        <w:ind w:left="0" w:right="0" w:firstLine="0" w:firstLineChars="0"/>
        <w:jc w:val="left"/>
        <w:textAlignment w:val="baseline"/>
        <w:rPr>
          <w:color w:val="auto"/>
          <w:highlight w:val="none"/>
          <w:lang w:eastAsia="zh-CN"/>
        </w:rPr>
      </w:pPr>
      <w:r>
        <w:rPr>
          <w:rFonts w:ascii="宋体" w:hAnsi="Times New Roman" w:eastAsia="宋体" w:cs="Times New Roman"/>
          <w:color w:val="auto"/>
          <w:szCs w:val="21"/>
          <w:highlight w:val="none"/>
          <w:lang w:eastAsia="zh-CN"/>
        </w:rPr>
        <w:t>5.1</w:t>
      </w:r>
      <w:r>
        <w:rPr>
          <w:rFonts w:hint="eastAsia" w:hAnsi="Times New Roman" w:cs="Times New Roman"/>
          <w:color w:val="auto"/>
          <w:highlight w:val="none"/>
          <w:lang w:eastAsia="zh-CN"/>
        </w:rPr>
        <w:t>　</w:t>
      </w:r>
      <w:r>
        <w:rPr>
          <w:rFonts w:ascii="宋体" w:eastAsia="宋体" w:cs="宋体"/>
          <w:color w:val="auto"/>
          <w:szCs w:val="21"/>
          <w:highlight w:val="none"/>
          <w:lang w:eastAsia="zh-CN"/>
        </w:rPr>
        <w:t>投标文件递交的截止时间（投标截止时间，下同）为</w:t>
      </w:r>
      <w:r>
        <w:rPr>
          <w:rFonts w:hint="eastAsia" w:cs="宋体"/>
          <w:color w:val="auto"/>
          <w:szCs w:val="21"/>
          <w:highlight w:val="none"/>
          <w:u w:val="single"/>
          <w:lang w:val="en-US" w:eastAsia="zh-CN"/>
        </w:rPr>
        <w:t xml:space="preserve"> </w:t>
      </w:r>
      <w:r>
        <w:rPr>
          <w:rFonts w:ascii="宋体" w:eastAsia="宋体" w:cs="宋体"/>
          <w:color w:val="auto"/>
          <w:szCs w:val="21"/>
          <w:highlight w:val="none"/>
          <w:u w:val="single"/>
          <w:lang w:eastAsia="zh-CN"/>
        </w:rPr>
        <w:t>2024</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年</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月</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日</w:t>
      </w:r>
      <w:r>
        <w:rPr>
          <w:rFonts w:hint="eastAsia" w:cs="宋体"/>
          <w:color w:val="auto"/>
          <w:szCs w:val="21"/>
          <w:highlight w:val="none"/>
          <w:u w:val="single"/>
          <w:lang w:val="en-US" w:eastAsia="zh-CN"/>
        </w:rPr>
        <w:t xml:space="preserve">    </w:t>
      </w:r>
      <w:r>
        <w:rPr>
          <w:rFonts w:ascii="宋体" w:eastAsia="宋体" w:cs="宋体"/>
          <w:color w:val="auto"/>
          <w:szCs w:val="21"/>
          <w:highlight w:val="none"/>
          <w:lang w:eastAsia="zh-CN"/>
        </w:rPr>
        <w:t>时，</w:t>
      </w:r>
      <w:r>
        <w:rPr>
          <w:rFonts w:hint="eastAsia" w:ascii="宋体" w:eastAsia="宋体" w:cs="宋体"/>
          <w:color w:val="auto"/>
          <w:szCs w:val="21"/>
          <w:highlight w:val="none"/>
          <w:lang w:eastAsia="zh-CN"/>
        </w:rPr>
        <w:t>地点为</w:t>
      </w:r>
      <w:r>
        <w:rPr>
          <w:rFonts w:hint="eastAsia" w:cs="宋体"/>
          <w:color w:val="auto"/>
          <w:szCs w:val="21"/>
          <w:highlight w:val="none"/>
          <w:u w:val="single"/>
          <w:lang w:val="en-US" w:eastAsia="zh-CN"/>
        </w:rPr>
        <w:t xml:space="preserve"> </w:t>
      </w:r>
      <w:r>
        <w:rPr>
          <w:rFonts w:hint="eastAsia" w:ascii="宋体" w:eastAsia="宋体" w:cs="宋体"/>
          <w:color w:val="auto"/>
          <w:szCs w:val="21"/>
          <w:highlight w:val="none"/>
          <w:u w:val="single"/>
          <w:lang w:eastAsia="zh-CN"/>
        </w:rPr>
        <w:t>绍兴市公共资源交易中心四楼指定开标室</w:t>
      </w:r>
      <w:r>
        <w:rPr>
          <w:rFonts w:hint="eastAsia" w:cs="宋体"/>
          <w:color w:val="auto"/>
          <w:szCs w:val="21"/>
          <w:highlight w:val="none"/>
          <w:u w:val="single"/>
          <w:lang w:val="en-US" w:eastAsia="zh-CN"/>
        </w:rPr>
        <w:t xml:space="preserve"> </w:t>
      </w:r>
      <w:r>
        <w:rPr>
          <w:rFonts w:hint="eastAsia" w:ascii="宋体" w:eastAsia="宋体" w:cs="宋体"/>
          <w:color w:val="auto"/>
          <w:szCs w:val="21"/>
          <w:highlight w:val="none"/>
          <w:lang w:eastAsia="zh-CN"/>
        </w:rPr>
        <w:t>。</w:t>
      </w:r>
    </w:p>
    <w:p w14:paraId="67B1638A">
      <w:pPr>
        <w:pageBreakBefore w:val="0"/>
        <w:widowControl w:val="0"/>
        <w:kinsoku/>
        <w:overflowPunct/>
        <w:topLinePunct w:val="0"/>
        <w:autoSpaceDE/>
        <w:autoSpaceDN/>
        <w:bidi w:val="0"/>
        <w:adjustRightInd w:val="0"/>
        <w:snapToGrid w:val="0"/>
        <w:spacing w:beforeLines="0" w:afterLines="0" w:line="384" w:lineRule="auto"/>
        <w:ind w:firstLine="0" w:firstLineChars="0"/>
        <w:jc w:val="left"/>
        <w:textAlignment w:val="baseline"/>
        <w:rPr>
          <w:rFonts w:ascii="宋体" w:hAnsi="宋体" w:eastAsia="宋体" w:cs="Arial"/>
          <w:snapToGrid w:val="0"/>
          <w:color w:val="auto"/>
          <w:sz w:val="24"/>
          <w:szCs w:val="21"/>
          <w:highlight w:val="none"/>
          <w:lang w:val="en-US" w:eastAsia="zh-CN" w:bidi="ar-SA"/>
        </w:rPr>
      </w:pPr>
      <w:r>
        <w:rPr>
          <w:rFonts w:hint="eastAsia" w:ascii="宋体" w:hAnsi="宋体" w:eastAsia="宋体" w:cs="Arial"/>
          <w:snapToGrid w:val="0"/>
          <w:color w:val="auto"/>
          <w:sz w:val="24"/>
          <w:szCs w:val="21"/>
          <w:highlight w:val="none"/>
          <w:lang w:val="en-US" w:eastAsia="zh-CN" w:bidi="ar-SA"/>
        </w:rPr>
        <w:t>5.2　本项目采用“不见面”开标方式，不强制要求投标人参加现场开标会。</w:t>
      </w:r>
    </w:p>
    <w:p w14:paraId="354A2B20">
      <w:pPr>
        <w:pageBreakBefore w:val="0"/>
        <w:widowControl w:val="0"/>
        <w:kinsoku/>
        <w:overflowPunct/>
        <w:topLinePunct w:val="0"/>
        <w:autoSpaceDE/>
        <w:autoSpaceDN/>
        <w:bidi w:val="0"/>
        <w:adjustRightInd w:val="0"/>
        <w:snapToGrid w:val="0"/>
        <w:spacing w:beforeLines="0" w:afterLines="0" w:line="384" w:lineRule="auto"/>
        <w:ind w:firstLine="0" w:firstLineChars="0"/>
        <w:jc w:val="left"/>
        <w:textAlignment w:val="baseline"/>
        <w:rPr>
          <w:rFonts w:ascii="宋体" w:hAnsi="宋体" w:eastAsia="宋体" w:cs="Arial"/>
          <w:snapToGrid w:val="0"/>
          <w:color w:val="auto"/>
          <w:sz w:val="24"/>
          <w:szCs w:val="21"/>
          <w:highlight w:val="none"/>
          <w:lang w:val="en-US" w:eastAsia="zh-CN" w:bidi="ar-SA"/>
        </w:rPr>
      </w:pPr>
      <w:r>
        <w:rPr>
          <w:rFonts w:hint="eastAsia" w:ascii="宋体" w:hAnsi="宋体" w:eastAsia="宋体" w:cs="Arial"/>
          <w:snapToGrid w:val="0"/>
          <w:color w:val="auto"/>
          <w:sz w:val="24"/>
          <w:szCs w:val="21"/>
          <w:highlight w:val="none"/>
          <w:lang w:val="en-US" w:eastAsia="zh-CN" w:bidi="ar-SA"/>
        </w:rPr>
        <w:t>5.3　项目资格预审文件和招标文件发布截止时间、递交资格预审申请文件截止时间、投标截止时间、有关公示（公告）截止时间、投诉有效期截止时间如遇国家法定休假日的，则自动顺延至法定休假日后第1个工作日。</w:t>
      </w:r>
    </w:p>
    <w:p w14:paraId="427FB1D8">
      <w:pPr>
        <w:keepNext/>
        <w:keepLines/>
        <w:pageBreakBefore w:val="0"/>
        <w:widowControl w:val="0"/>
        <w:kinsoku/>
        <w:wordWrap w:val="0"/>
        <w:overflowPunct/>
        <w:topLinePunct w:val="0"/>
        <w:autoSpaceDE/>
        <w:autoSpaceDN/>
        <w:bidi w:val="0"/>
        <w:adjustRightInd w:val="0"/>
        <w:snapToGrid w:val="0"/>
        <w:spacing w:beforeLines="0" w:afterLines="0" w:line="384" w:lineRule="auto"/>
        <w:ind w:firstLine="0" w:firstLineChars="0"/>
        <w:jc w:val="both"/>
        <w:textAlignment w:val="baseline"/>
        <w:outlineLvl w:val="1"/>
        <w:rPr>
          <w:rStyle w:val="60"/>
          <w:rFonts w:hint="eastAsia" w:ascii="宋体" w:hAnsi="宋体" w:eastAsia="宋体" w:cs="宋体"/>
          <w:b/>
          <w:bCs/>
          <w:snapToGrid w:val="0"/>
          <w:color w:val="auto"/>
          <w:sz w:val="30"/>
          <w:szCs w:val="30"/>
          <w:highlight w:val="none"/>
          <w:lang w:val="en-US" w:eastAsia="en-US" w:bidi="ar-SA"/>
        </w:rPr>
      </w:pPr>
      <w:bookmarkStart w:id="66" w:name="_Toc31750"/>
      <w:bookmarkStart w:id="67" w:name="_Toc10298"/>
      <w:bookmarkStart w:id="68" w:name="_Toc12103"/>
      <w:bookmarkStart w:id="69" w:name="_Toc24694"/>
      <w:bookmarkStart w:id="70" w:name="_Toc12405"/>
      <w:r>
        <w:rPr>
          <w:rStyle w:val="60"/>
          <w:rFonts w:hint="eastAsia" w:ascii="宋体" w:hAnsi="宋体" w:eastAsia="宋体" w:cs="宋体"/>
          <w:b/>
          <w:bCs/>
          <w:snapToGrid w:val="0"/>
          <w:color w:val="auto"/>
          <w:sz w:val="30"/>
          <w:szCs w:val="30"/>
          <w:highlight w:val="none"/>
          <w:lang w:val="en-US" w:eastAsia="en-US" w:bidi="ar-SA"/>
        </w:rPr>
        <w:t>6</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发布公告的媒介</w:t>
      </w:r>
      <w:bookmarkEnd w:id="66"/>
      <w:bookmarkEnd w:id="67"/>
      <w:bookmarkEnd w:id="68"/>
      <w:bookmarkEnd w:id="69"/>
      <w:bookmarkEnd w:id="70"/>
    </w:p>
    <w:p w14:paraId="6FEA807B">
      <w:pPr>
        <w:pageBreakBefore w:val="0"/>
        <w:widowControl w:val="0"/>
        <w:kinsoku/>
        <w:overflowPunct/>
        <w:topLinePunct w:val="0"/>
        <w:autoSpaceDE/>
        <w:autoSpaceDN/>
        <w:bidi w:val="0"/>
        <w:adjustRightInd w:val="0"/>
        <w:snapToGrid w:val="0"/>
        <w:spacing w:beforeLines="0" w:afterLines="0" w:line="384" w:lineRule="auto"/>
        <w:ind w:firstLine="420"/>
        <w:jc w:val="left"/>
        <w:textAlignment w:val="baseline"/>
        <w:rPr>
          <w:rFonts w:hint="eastAsia" w:ascii="宋体" w:hAnsi="Times New Roman" w:eastAsia="宋体" w:cs="Times New Roman"/>
          <w:color w:val="auto"/>
          <w:szCs w:val="21"/>
          <w:highlight w:val="none"/>
          <w:lang w:eastAsia="zh-CN"/>
        </w:rPr>
      </w:pPr>
      <w:r>
        <w:rPr>
          <w:rFonts w:hint="eastAsia" w:ascii="宋体" w:hAnsi="Times New Roman" w:eastAsia="宋体" w:cs="Times New Roman"/>
          <w:color w:val="auto"/>
          <w:szCs w:val="21"/>
          <w:highlight w:val="none"/>
          <w:lang w:eastAsia="zh-CN"/>
        </w:rPr>
        <w:t>本招标公告同时在</w:t>
      </w:r>
      <w:r>
        <w:rPr>
          <w:rFonts w:hint="eastAsia" w:ascii="宋体" w:hAnsi="Times New Roman" w:eastAsia="宋体" w:cs="Times New Roman"/>
          <w:color w:val="auto"/>
          <w:szCs w:val="21"/>
          <w:highlight w:val="none"/>
          <w:u w:val="single"/>
          <w:lang w:eastAsia="zh-CN"/>
        </w:rPr>
        <w:t>/</w:t>
      </w:r>
      <w:r>
        <w:rPr>
          <w:rFonts w:hint="eastAsia" w:ascii="宋体" w:hAnsi="Times New Roman" w:eastAsia="宋体" w:cs="Times New Roman"/>
          <w:strike w:val="0"/>
          <w:color w:val="auto"/>
          <w:szCs w:val="21"/>
          <w:highlight w:val="none"/>
          <w:lang w:eastAsia="zh-CN"/>
        </w:rPr>
        <w:t>（发布公告的媒介名称）</w:t>
      </w:r>
      <w:r>
        <w:rPr>
          <w:rFonts w:hint="eastAsia" w:ascii="宋体" w:hAnsi="Times New Roman" w:eastAsia="宋体" w:cs="Times New Roman"/>
          <w:color w:val="auto"/>
          <w:szCs w:val="21"/>
          <w:highlight w:val="none"/>
          <w:lang w:eastAsia="zh-CN"/>
        </w:rPr>
        <w:t>上发布。</w:t>
      </w:r>
    </w:p>
    <w:p w14:paraId="3D6BEBBF">
      <w:pPr>
        <w:pageBreakBefore w:val="0"/>
        <w:widowControl w:val="0"/>
        <w:kinsoku/>
        <w:overflowPunct/>
        <w:topLinePunct w:val="0"/>
        <w:autoSpaceDE/>
        <w:autoSpaceDN/>
        <w:bidi w:val="0"/>
        <w:adjustRightInd w:val="0"/>
        <w:snapToGrid w:val="0"/>
        <w:spacing w:beforeLines="0" w:afterLines="0" w:line="384" w:lineRule="auto"/>
        <w:ind w:firstLine="420"/>
        <w:jc w:val="left"/>
        <w:textAlignment w:val="baseline"/>
        <w:rPr>
          <w:rFonts w:hint="eastAsia" w:ascii="宋体" w:hAnsi="Times New Roman" w:eastAsia="宋体" w:cs="Times New Roman"/>
          <w:color w:val="auto"/>
          <w:szCs w:val="21"/>
          <w:highlight w:val="none"/>
          <w:lang w:eastAsia="zh-CN"/>
        </w:rPr>
      </w:pPr>
    </w:p>
    <w:p w14:paraId="35CC16DF">
      <w:pPr>
        <w:pageBreakBefore w:val="0"/>
        <w:widowControl w:val="0"/>
        <w:kinsoku/>
        <w:overflowPunct/>
        <w:topLinePunct w:val="0"/>
        <w:autoSpaceDE/>
        <w:autoSpaceDN/>
        <w:bidi w:val="0"/>
        <w:adjustRightInd w:val="0"/>
        <w:snapToGrid w:val="0"/>
        <w:spacing w:beforeLines="0" w:afterLines="0" w:line="384" w:lineRule="auto"/>
        <w:ind w:firstLine="420"/>
        <w:jc w:val="left"/>
        <w:textAlignment w:val="baseline"/>
        <w:rPr>
          <w:rFonts w:hint="eastAsia" w:ascii="宋体" w:hAnsi="Times New Roman" w:eastAsia="宋体" w:cs="Times New Roman"/>
          <w:color w:val="auto"/>
          <w:szCs w:val="21"/>
          <w:highlight w:val="none"/>
          <w:lang w:eastAsia="zh-CN"/>
        </w:rPr>
      </w:pPr>
    </w:p>
    <w:p w14:paraId="29D755AC">
      <w:pPr>
        <w:pageBreakBefore w:val="0"/>
        <w:widowControl w:val="0"/>
        <w:kinsoku/>
        <w:overflowPunct/>
        <w:topLinePunct w:val="0"/>
        <w:autoSpaceDE/>
        <w:autoSpaceDN/>
        <w:bidi w:val="0"/>
        <w:adjustRightInd w:val="0"/>
        <w:snapToGrid w:val="0"/>
        <w:spacing w:beforeLines="0" w:afterLines="0" w:line="384" w:lineRule="auto"/>
        <w:ind w:firstLine="420"/>
        <w:jc w:val="left"/>
        <w:textAlignment w:val="baseline"/>
        <w:rPr>
          <w:rFonts w:hint="eastAsia" w:ascii="宋体" w:hAnsi="Times New Roman" w:eastAsia="宋体" w:cs="Times New Roman"/>
          <w:color w:val="auto"/>
          <w:szCs w:val="21"/>
          <w:highlight w:val="none"/>
          <w:lang w:eastAsia="zh-CN"/>
        </w:rPr>
      </w:pPr>
    </w:p>
    <w:p w14:paraId="74BD6BBE">
      <w:pPr>
        <w:pageBreakBefore w:val="0"/>
        <w:widowControl w:val="0"/>
        <w:kinsoku/>
        <w:overflowPunct/>
        <w:topLinePunct w:val="0"/>
        <w:autoSpaceDE/>
        <w:autoSpaceDN/>
        <w:bidi w:val="0"/>
        <w:adjustRightInd w:val="0"/>
        <w:snapToGrid w:val="0"/>
        <w:spacing w:beforeLines="0" w:afterLines="0" w:line="384" w:lineRule="auto"/>
        <w:ind w:firstLine="420"/>
        <w:jc w:val="left"/>
        <w:textAlignment w:val="baseline"/>
        <w:rPr>
          <w:rFonts w:hint="eastAsia" w:ascii="宋体" w:hAnsi="Times New Roman" w:eastAsia="宋体" w:cs="Times New Roman"/>
          <w:color w:val="auto"/>
          <w:szCs w:val="21"/>
          <w:highlight w:val="none"/>
          <w:lang w:eastAsia="zh-CN"/>
        </w:rPr>
      </w:pPr>
    </w:p>
    <w:p w14:paraId="403A6D2D">
      <w:pPr>
        <w:pageBreakBefore w:val="0"/>
        <w:widowControl w:val="0"/>
        <w:kinsoku/>
        <w:overflowPunct/>
        <w:topLinePunct w:val="0"/>
        <w:autoSpaceDE/>
        <w:autoSpaceDN/>
        <w:bidi w:val="0"/>
        <w:adjustRightInd w:val="0"/>
        <w:snapToGrid w:val="0"/>
        <w:spacing w:beforeLines="0" w:afterLines="0" w:line="384" w:lineRule="auto"/>
        <w:ind w:firstLine="420"/>
        <w:jc w:val="left"/>
        <w:textAlignment w:val="baseline"/>
        <w:rPr>
          <w:rFonts w:hint="eastAsia" w:ascii="宋体" w:hAnsi="Times New Roman" w:eastAsia="宋体" w:cs="Times New Roman"/>
          <w:color w:val="auto"/>
          <w:szCs w:val="21"/>
          <w:highlight w:val="none"/>
          <w:lang w:eastAsia="zh-CN"/>
        </w:rPr>
      </w:pPr>
    </w:p>
    <w:p w14:paraId="4CBC3E4A">
      <w:pPr>
        <w:keepNext/>
        <w:keepLines/>
        <w:widowControl w:val="0"/>
        <w:kinsoku/>
        <w:wordWrap w:val="0"/>
        <w:autoSpaceDE/>
        <w:autoSpaceDN/>
        <w:adjustRightInd w:val="0"/>
        <w:snapToGrid w:val="0"/>
        <w:spacing w:beforeLines="0" w:afterLines="0" w:line="360" w:lineRule="auto"/>
        <w:ind w:firstLine="0" w:firstLineChars="0"/>
        <w:jc w:val="both"/>
        <w:textAlignment w:val="baseline"/>
        <w:outlineLvl w:val="1"/>
        <w:rPr>
          <w:rStyle w:val="60"/>
          <w:rFonts w:hint="eastAsia" w:ascii="宋体" w:hAnsi="宋体" w:eastAsia="宋体" w:cs="宋体"/>
          <w:b/>
          <w:bCs/>
          <w:snapToGrid w:val="0"/>
          <w:color w:val="auto"/>
          <w:sz w:val="30"/>
          <w:szCs w:val="30"/>
          <w:highlight w:val="none"/>
          <w:lang w:val="en-US" w:eastAsia="zh-CN" w:bidi="ar-SA"/>
        </w:rPr>
      </w:pPr>
      <w:bookmarkStart w:id="71" w:name="_Toc24154"/>
      <w:bookmarkStart w:id="72" w:name="_Toc6519"/>
      <w:bookmarkStart w:id="73" w:name="_Toc27753"/>
      <w:bookmarkStart w:id="74" w:name="_Toc32301"/>
      <w:bookmarkStart w:id="75" w:name="_Toc26926"/>
      <w:r>
        <w:rPr>
          <w:rStyle w:val="60"/>
          <w:rFonts w:hint="eastAsia" w:ascii="宋体" w:hAnsi="宋体" w:eastAsia="宋体" w:cs="宋体"/>
          <w:b/>
          <w:bCs/>
          <w:snapToGrid w:val="0"/>
          <w:color w:val="auto"/>
          <w:sz w:val="30"/>
          <w:szCs w:val="30"/>
          <w:highlight w:val="none"/>
          <w:lang w:val="en-US" w:eastAsia="en-US" w:bidi="ar-SA"/>
        </w:rPr>
        <w:t>7</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监管机构：</w:t>
      </w:r>
      <w:r>
        <w:rPr>
          <w:rStyle w:val="60"/>
          <w:rFonts w:hint="eastAsia" w:ascii="宋体" w:cs="宋体"/>
          <w:b/>
          <w:bCs/>
          <w:snapToGrid w:val="0"/>
          <w:color w:val="auto"/>
          <w:sz w:val="30"/>
          <w:szCs w:val="30"/>
          <w:highlight w:val="none"/>
          <w:u w:val="single"/>
          <w:lang w:val="en-US" w:eastAsia="zh-CN" w:bidi="ar-SA"/>
        </w:rPr>
        <w:t xml:space="preserve"> </w:t>
      </w:r>
      <w:r>
        <w:rPr>
          <w:rFonts w:hint="eastAsia" w:ascii="宋体" w:hAnsi="Times New Roman" w:eastAsia="宋体" w:cs="Times New Roman"/>
          <w:b w:val="0"/>
          <w:bCs w:val="0"/>
          <w:snapToGrid w:val="0"/>
          <w:color w:val="auto"/>
          <w:sz w:val="24"/>
          <w:szCs w:val="21"/>
          <w:highlight w:val="none"/>
          <w:u w:val="single"/>
          <w:lang w:val="en-US" w:eastAsia="en-US" w:bidi="ar-SA"/>
        </w:rPr>
        <w:t>绍兴市政务服务办公室</w:t>
      </w:r>
      <w:bookmarkEnd w:id="71"/>
      <w:bookmarkEnd w:id="72"/>
      <w:bookmarkEnd w:id="73"/>
      <w:bookmarkEnd w:id="74"/>
      <w:bookmarkEnd w:id="75"/>
      <w:r>
        <w:rPr>
          <w:rFonts w:hint="eastAsia" w:ascii="宋体" w:hAnsi="Times New Roman" w:eastAsia="宋体" w:cs="Times New Roman"/>
          <w:b w:val="0"/>
          <w:bCs w:val="0"/>
          <w:snapToGrid w:val="0"/>
          <w:color w:val="auto"/>
          <w:sz w:val="24"/>
          <w:szCs w:val="21"/>
          <w:highlight w:val="none"/>
          <w:u w:val="single"/>
          <w:lang w:val="en-US" w:eastAsia="zh-CN" w:bidi="ar-SA"/>
        </w:rPr>
        <w:t xml:space="preserve"> </w:t>
      </w:r>
    </w:p>
    <w:p w14:paraId="0D046BB7">
      <w:pPr>
        <w:keepNext/>
        <w:keepLines/>
        <w:widowControl w:val="0"/>
        <w:kinsoku/>
        <w:wordWrap w:val="0"/>
        <w:autoSpaceDE/>
        <w:autoSpaceDN/>
        <w:adjustRightInd w:val="0"/>
        <w:snapToGrid w:val="0"/>
        <w:spacing w:beforeLines="0" w:afterLines="0" w:line="360" w:lineRule="auto"/>
        <w:ind w:firstLine="0" w:firstLineChars="0"/>
        <w:jc w:val="both"/>
        <w:textAlignment w:val="baseline"/>
        <w:outlineLvl w:val="1"/>
        <w:rPr>
          <w:rStyle w:val="60"/>
          <w:rFonts w:hint="eastAsia" w:ascii="宋体" w:hAnsi="宋体" w:eastAsia="宋体" w:cs="宋体"/>
          <w:b/>
          <w:bCs/>
          <w:snapToGrid w:val="0"/>
          <w:color w:val="auto"/>
          <w:sz w:val="30"/>
          <w:szCs w:val="30"/>
          <w:highlight w:val="none"/>
          <w:lang w:val="en-US" w:eastAsia="en-US" w:bidi="ar-SA"/>
        </w:rPr>
      </w:pPr>
      <w:bookmarkStart w:id="76" w:name="_Toc8531"/>
      <w:bookmarkStart w:id="77" w:name="_Toc12787"/>
      <w:bookmarkStart w:id="78" w:name="_Toc14806"/>
      <w:bookmarkStart w:id="79" w:name="_Toc17036"/>
      <w:bookmarkStart w:id="80" w:name="_Toc31299"/>
      <w:r>
        <w:rPr>
          <w:rStyle w:val="60"/>
          <w:rFonts w:hint="eastAsia" w:ascii="宋体" w:hAnsi="宋体" w:eastAsia="宋体" w:cs="宋体"/>
          <w:b/>
          <w:bCs/>
          <w:snapToGrid w:val="0"/>
          <w:color w:val="auto"/>
          <w:sz w:val="30"/>
          <w:szCs w:val="30"/>
          <w:highlight w:val="none"/>
          <w:lang w:val="en-US" w:eastAsia="en-US" w:bidi="ar-SA"/>
        </w:rPr>
        <w:t>8</w:t>
      </w:r>
      <w:r>
        <w:rPr>
          <w:rStyle w:val="60"/>
          <w:rFonts w:hint="eastAsia" w:ascii="宋体" w:cs="宋体"/>
          <w:b/>
          <w:bCs/>
          <w:snapToGrid w:val="0"/>
          <w:color w:val="auto"/>
          <w:sz w:val="30"/>
          <w:szCs w:val="30"/>
          <w:highlight w:val="none"/>
          <w:lang w:val="en-US" w:eastAsia="zh-CN" w:bidi="ar-SA"/>
        </w:rPr>
        <w:t>　</w:t>
      </w:r>
      <w:r>
        <w:rPr>
          <w:rStyle w:val="60"/>
          <w:rFonts w:hint="eastAsia" w:ascii="宋体" w:hAnsi="宋体" w:eastAsia="宋体" w:cs="宋体"/>
          <w:b/>
          <w:bCs/>
          <w:snapToGrid w:val="0"/>
          <w:color w:val="auto"/>
          <w:sz w:val="30"/>
          <w:szCs w:val="30"/>
          <w:highlight w:val="none"/>
          <w:lang w:val="en-US" w:eastAsia="en-US" w:bidi="ar-SA"/>
        </w:rPr>
        <w:t>联系方式</w:t>
      </w:r>
      <w:bookmarkEnd w:id="76"/>
      <w:bookmarkEnd w:id="77"/>
      <w:bookmarkEnd w:id="78"/>
      <w:bookmarkEnd w:id="79"/>
      <w:bookmarkEnd w:id="80"/>
    </w:p>
    <w:p w14:paraId="5A5554FA">
      <w:pPr>
        <w:rPr>
          <w:color w:val="auto"/>
          <w:highlight w:val="none"/>
        </w:rPr>
      </w:pPr>
    </w:p>
    <w:p w14:paraId="12AAFEEB">
      <w:pPr>
        <w:kinsoku/>
        <w:spacing w:before="0" w:beforeLines="0" w:afterLines="0"/>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招标人：</w:t>
      </w:r>
      <w:r>
        <w:rPr>
          <w:rFonts w:hint="eastAsia" w:ascii="宋体" w:eastAsia="宋体" w:cs="宋体"/>
          <w:color w:val="auto"/>
          <w:szCs w:val="21"/>
          <w:highlight w:val="none"/>
          <w:u w:val="single"/>
          <w:lang w:eastAsia="zh-CN"/>
        </w:rPr>
        <w:t>浙江镜岭水库有限公司</w:t>
      </w:r>
    </w:p>
    <w:p w14:paraId="052A0638">
      <w:pPr>
        <w:kinsoku/>
        <w:spacing w:before="0" w:beforeLines="0" w:afterLines="0"/>
        <w:ind w:left="0"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地址：</w:t>
      </w:r>
      <w:r>
        <w:rPr>
          <w:rFonts w:hint="eastAsia" w:ascii="宋体" w:eastAsia="宋体" w:cs="宋体"/>
          <w:color w:val="auto"/>
          <w:szCs w:val="21"/>
          <w:highlight w:val="none"/>
          <w:u w:val="single"/>
          <w:lang w:eastAsia="zh-CN"/>
        </w:rPr>
        <w:t>绍兴市越城区</w:t>
      </w:r>
      <w:r>
        <w:rPr>
          <w:rFonts w:hint="eastAsia" w:cs="宋体"/>
          <w:color w:val="auto"/>
          <w:szCs w:val="21"/>
          <w:highlight w:val="none"/>
          <w:u w:val="single"/>
          <w:lang w:eastAsia="zh-CN"/>
        </w:rPr>
        <w:t>鑫洲国际商务大厦</w:t>
      </w:r>
      <w:r>
        <w:rPr>
          <w:rFonts w:ascii="宋体" w:eastAsia="宋体" w:cs="宋体"/>
          <w:color w:val="auto"/>
          <w:szCs w:val="21"/>
          <w:highlight w:val="none"/>
          <w:u w:val="single"/>
          <w:lang w:eastAsia="zh-CN"/>
        </w:rPr>
        <w:t>15楼</w:t>
      </w:r>
    </w:p>
    <w:p w14:paraId="4D177CAE">
      <w:pPr>
        <w:kinsoku/>
        <w:spacing w:before="0" w:beforeLines="0" w:afterLines="0" w:line="360"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邮编：</w:t>
      </w:r>
      <w:r>
        <w:rPr>
          <w:rFonts w:ascii="宋体" w:eastAsia="宋体" w:cs="宋体"/>
          <w:color w:val="auto"/>
          <w:szCs w:val="21"/>
          <w:highlight w:val="none"/>
          <w:u w:val="single"/>
          <w:lang w:eastAsia="zh-CN"/>
        </w:rPr>
        <w:t>312000</w:t>
      </w:r>
    </w:p>
    <w:p w14:paraId="29B0CD95">
      <w:pPr>
        <w:kinsoku/>
        <w:spacing w:before="0" w:beforeLines="0" w:afterLines="0" w:line="360" w:lineRule="auto"/>
        <w:ind w:firstLine="420"/>
        <w:jc w:val="left"/>
        <w:rPr>
          <w:rFonts w:ascii="宋体" w:eastAsia="宋体" w:cs="宋体"/>
          <w:color w:val="auto"/>
          <w:szCs w:val="21"/>
          <w:highlight w:val="none"/>
          <w:u w:val="single"/>
          <w:lang w:eastAsia="zh-CN"/>
        </w:rPr>
      </w:pPr>
      <w:r>
        <w:rPr>
          <w:rFonts w:ascii="宋体" w:eastAsia="宋体" w:cs="宋体"/>
          <w:color w:val="auto"/>
          <w:szCs w:val="21"/>
          <w:highlight w:val="none"/>
          <w:lang w:eastAsia="zh-CN"/>
        </w:rPr>
        <w:t>联系人：</w:t>
      </w:r>
      <w:r>
        <w:rPr>
          <w:rFonts w:hint="eastAsia" w:cs="宋体"/>
          <w:color w:val="auto"/>
          <w:szCs w:val="21"/>
          <w:highlight w:val="none"/>
          <w:u w:val="single"/>
          <w:lang w:val="en-US" w:eastAsia="zh-CN"/>
        </w:rPr>
        <w:t xml:space="preserve"> 周工      </w:t>
      </w:r>
    </w:p>
    <w:p w14:paraId="7057B545">
      <w:pPr>
        <w:kinsoku/>
        <w:spacing w:before="0" w:beforeLines="0" w:afterLines="0" w:line="360" w:lineRule="auto"/>
        <w:ind w:firstLine="420"/>
        <w:jc w:val="left"/>
        <w:rPr>
          <w:rFonts w:ascii="宋体" w:eastAsia="宋体" w:cs="宋体"/>
          <w:color w:val="auto"/>
          <w:szCs w:val="21"/>
          <w:highlight w:val="none"/>
          <w:u w:val="single"/>
          <w:lang w:eastAsia="zh-CN"/>
        </w:rPr>
      </w:pPr>
      <w:r>
        <w:rPr>
          <w:rFonts w:ascii="宋体" w:eastAsia="宋体" w:cs="宋体"/>
          <w:color w:val="auto"/>
          <w:szCs w:val="21"/>
          <w:highlight w:val="none"/>
          <w:lang w:eastAsia="zh-CN"/>
        </w:rPr>
        <w:t>电话：</w:t>
      </w:r>
      <w:r>
        <w:rPr>
          <w:rFonts w:hint="eastAsia" w:cs="宋体"/>
          <w:color w:val="auto"/>
          <w:szCs w:val="21"/>
          <w:highlight w:val="none"/>
          <w:u w:val="single"/>
          <w:lang w:val="en-US" w:eastAsia="zh-CN"/>
        </w:rPr>
        <w:t xml:space="preserve"> 0575-88264812</w:t>
      </w:r>
    </w:p>
    <w:p w14:paraId="06A5C100">
      <w:pPr>
        <w:kinsoku/>
        <w:spacing w:before="0" w:beforeLines="0" w:afterLines="0" w:line="360"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传真：</w:t>
      </w:r>
    </w:p>
    <w:p w14:paraId="3A4EC666">
      <w:pPr>
        <w:kinsoku/>
        <w:spacing w:before="0" w:beforeLines="0" w:afterLines="0" w:line="360" w:lineRule="auto"/>
        <w:ind w:firstLine="420"/>
        <w:jc w:val="left"/>
        <w:rPr>
          <w:rFonts w:ascii="宋体" w:eastAsia="宋体" w:cs="宋体"/>
          <w:color w:val="auto"/>
          <w:szCs w:val="21"/>
          <w:highlight w:val="none"/>
          <w:u w:val="single"/>
          <w:lang w:eastAsia="zh-CN"/>
        </w:rPr>
      </w:pPr>
      <w:r>
        <w:rPr>
          <w:rFonts w:ascii="宋体" w:eastAsia="宋体" w:cs="宋体"/>
          <w:color w:val="auto"/>
          <w:szCs w:val="21"/>
          <w:highlight w:val="none"/>
          <w:lang w:eastAsia="zh-CN"/>
        </w:rPr>
        <w:t>电子信箱：</w:t>
      </w:r>
      <w:r>
        <w:rPr>
          <w:rFonts w:hint="eastAsia" w:cs="宋体"/>
          <w:color w:val="auto"/>
          <w:szCs w:val="21"/>
          <w:highlight w:val="none"/>
          <w:u w:val="single"/>
          <w:lang w:val="en-US" w:eastAsia="zh-CN"/>
        </w:rPr>
        <w:t xml:space="preserve">               </w:t>
      </w:r>
    </w:p>
    <w:p w14:paraId="448B7C54">
      <w:pPr>
        <w:kinsoku/>
        <w:spacing w:before="0" w:beforeLines="0" w:afterLines="0"/>
        <w:ind w:firstLine="420"/>
        <w:jc w:val="left"/>
        <w:rPr>
          <w:rFonts w:ascii="宋体" w:eastAsia="宋体" w:cs="宋体"/>
          <w:color w:val="auto"/>
          <w:szCs w:val="21"/>
          <w:highlight w:val="none"/>
          <w:lang w:eastAsia="zh-CN"/>
        </w:rPr>
      </w:pPr>
    </w:p>
    <w:p w14:paraId="65F37694">
      <w:pPr>
        <w:kinsoku/>
        <w:spacing w:before="0" w:beforeLines="0" w:afterLines="0"/>
        <w:ind w:firstLine="420"/>
        <w:jc w:val="left"/>
        <w:rPr>
          <w:rFonts w:ascii="宋体" w:eastAsia="宋体" w:cs="宋体"/>
          <w:color w:val="auto"/>
          <w:sz w:val="24"/>
          <w:szCs w:val="24"/>
          <w:highlight w:val="none"/>
          <w:lang w:eastAsia="zh-CN"/>
        </w:rPr>
      </w:pPr>
    </w:p>
    <w:p w14:paraId="093DCF6F">
      <w:pPr>
        <w:kinsoku/>
        <w:spacing w:before="0" w:beforeLines="0" w:afterLines="0"/>
        <w:ind w:left="0"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招标代理机构：</w:t>
      </w:r>
      <w:r>
        <w:rPr>
          <w:rFonts w:hint="eastAsia" w:ascii="宋体" w:eastAsia="宋体" w:cs="宋体"/>
          <w:color w:val="auto"/>
          <w:szCs w:val="21"/>
          <w:highlight w:val="none"/>
          <w:u w:val="single"/>
          <w:lang w:eastAsia="zh-CN"/>
        </w:rPr>
        <w:t>长江勘测规划设计研究有限责任公司</w:t>
      </w:r>
    </w:p>
    <w:p w14:paraId="447AD670">
      <w:pPr>
        <w:kinsoku/>
        <w:spacing w:before="0" w:beforeLines="0" w:afterLines="0"/>
        <w:ind w:left="0"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地址：</w:t>
      </w:r>
      <w:r>
        <w:rPr>
          <w:rFonts w:hint="eastAsia" w:ascii="宋体" w:eastAsia="宋体" w:cs="宋体"/>
          <w:color w:val="auto"/>
          <w:szCs w:val="21"/>
          <w:highlight w:val="none"/>
          <w:u w:val="single"/>
          <w:lang w:eastAsia="zh-CN"/>
        </w:rPr>
        <w:t>绍兴市越城区</w:t>
      </w:r>
      <w:r>
        <w:rPr>
          <w:rFonts w:hint="eastAsia" w:cs="宋体"/>
          <w:color w:val="auto"/>
          <w:szCs w:val="21"/>
          <w:highlight w:val="none"/>
          <w:u w:val="single"/>
          <w:lang w:eastAsia="zh-CN"/>
        </w:rPr>
        <w:t>鑫洲国际商务大厦</w:t>
      </w:r>
      <w:r>
        <w:rPr>
          <w:rFonts w:ascii="宋体" w:eastAsia="宋体" w:cs="宋体"/>
          <w:color w:val="auto"/>
          <w:szCs w:val="21"/>
          <w:highlight w:val="none"/>
          <w:u w:val="single"/>
          <w:lang w:eastAsia="zh-CN"/>
        </w:rPr>
        <w:t>2105室</w:t>
      </w:r>
    </w:p>
    <w:p w14:paraId="5F59D16A">
      <w:pPr>
        <w:kinsoku/>
        <w:spacing w:before="0" w:beforeLines="0" w:afterLines="0" w:line="360"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邮编：</w:t>
      </w:r>
      <w:r>
        <w:rPr>
          <w:rFonts w:ascii="宋体" w:eastAsia="宋体" w:cs="宋体"/>
          <w:color w:val="auto"/>
          <w:szCs w:val="21"/>
          <w:highlight w:val="none"/>
          <w:u w:val="single"/>
          <w:lang w:eastAsia="zh-CN"/>
        </w:rPr>
        <w:t>312099</w:t>
      </w:r>
    </w:p>
    <w:p w14:paraId="4A80F5E2">
      <w:pPr>
        <w:kinsoku/>
        <w:spacing w:before="0" w:beforeLines="0" w:afterLines="0" w:line="360"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联系人：</w:t>
      </w:r>
      <w:r>
        <w:rPr>
          <w:rFonts w:hint="eastAsia" w:ascii="宋体" w:eastAsia="宋体" w:cs="宋体"/>
          <w:color w:val="auto"/>
          <w:szCs w:val="21"/>
          <w:highlight w:val="none"/>
          <w:u w:val="single"/>
          <w:lang w:eastAsia="zh-CN"/>
        </w:rPr>
        <w:t>高工</w:t>
      </w:r>
    </w:p>
    <w:p w14:paraId="6F499626">
      <w:pPr>
        <w:kinsoku/>
        <w:spacing w:before="0" w:beforeLines="0" w:afterLines="0" w:line="360"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电话：</w:t>
      </w:r>
      <w:r>
        <w:rPr>
          <w:rFonts w:ascii="宋体" w:eastAsia="宋体" w:cs="宋体"/>
          <w:color w:val="auto"/>
          <w:szCs w:val="21"/>
          <w:highlight w:val="none"/>
          <w:u w:val="single"/>
          <w:lang w:eastAsia="zh-CN"/>
        </w:rPr>
        <w:t>13806751365</w:t>
      </w:r>
    </w:p>
    <w:p w14:paraId="44327115">
      <w:pPr>
        <w:kinsoku/>
        <w:spacing w:before="0" w:beforeLines="0" w:afterLines="0" w:line="360" w:lineRule="auto"/>
        <w:ind w:firstLine="420"/>
        <w:jc w:val="left"/>
        <w:rPr>
          <w:rFonts w:ascii="宋体" w:eastAsia="宋体" w:cs="宋体"/>
          <w:color w:val="auto"/>
          <w:szCs w:val="21"/>
          <w:highlight w:val="none"/>
          <w:lang w:eastAsia="zh-CN"/>
        </w:rPr>
      </w:pPr>
      <w:r>
        <w:rPr>
          <w:rFonts w:ascii="宋体" w:eastAsia="宋体" w:cs="宋体"/>
          <w:color w:val="auto"/>
          <w:szCs w:val="21"/>
          <w:highlight w:val="none"/>
          <w:lang w:eastAsia="zh-CN"/>
        </w:rPr>
        <w:t>传真：</w:t>
      </w:r>
    </w:p>
    <w:p w14:paraId="1D0BB2FA">
      <w:pPr>
        <w:kinsoku/>
        <w:spacing w:before="0" w:beforeLines="0" w:afterLines="0" w:line="360" w:lineRule="auto"/>
        <w:ind w:firstLine="420"/>
        <w:jc w:val="left"/>
        <w:rPr>
          <w:rFonts w:ascii="宋体" w:eastAsia="宋体" w:cs="宋体"/>
          <w:color w:val="auto"/>
          <w:szCs w:val="21"/>
          <w:highlight w:val="none"/>
          <w:u w:val="single"/>
          <w:lang w:eastAsia="zh-CN"/>
        </w:rPr>
      </w:pPr>
      <w:r>
        <w:rPr>
          <w:rFonts w:ascii="宋体" w:eastAsia="宋体" w:cs="宋体"/>
          <w:color w:val="auto"/>
          <w:szCs w:val="21"/>
          <w:highlight w:val="none"/>
          <w:lang w:eastAsia="zh-CN"/>
        </w:rPr>
        <w:t>电子信箱：</w:t>
      </w:r>
      <w:r>
        <w:rPr>
          <w:rFonts w:hint="eastAsia" w:cs="宋体"/>
          <w:color w:val="auto"/>
          <w:highlight w:val="none"/>
          <w:u w:val="single"/>
          <w:lang w:eastAsia="zh-CN"/>
        </w:rPr>
        <w:t>284539594@qq.com</w:t>
      </w:r>
    </w:p>
    <w:p w14:paraId="49DAC890">
      <w:pPr>
        <w:kinsoku/>
        <w:spacing w:before="0" w:beforeLines="0" w:afterLines="0"/>
        <w:ind w:firstLine="420"/>
        <w:jc w:val="left"/>
        <w:rPr>
          <w:rFonts w:ascii="宋体" w:eastAsia="宋体" w:cs="宋体"/>
          <w:color w:val="auto"/>
          <w:szCs w:val="21"/>
          <w:highlight w:val="none"/>
          <w:lang w:eastAsia="zh-CN"/>
        </w:rPr>
      </w:pPr>
      <w:r>
        <w:rPr>
          <w:rFonts w:cs="宋体"/>
          <w:color w:val="auto"/>
          <w:highlight w:val="none"/>
          <w:lang w:eastAsia="zh-CN"/>
        </w:rPr>
        <w:t xml:space="preserve">    </w:t>
      </w:r>
      <w:r>
        <w:rPr>
          <w:rFonts w:hint="eastAsia" w:ascii="宋体" w:eastAsia="宋体" w:cs="宋体"/>
          <w:color w:val="auto"/>
          <w:szCs w:val="21"/>
          <w:highlight w:val="none"/>
          <w:lang w:eastAsia="zh-CN"/>
        </w:rPr>
        <w:t>年</w:t>
      </w:r>
      <w:r>
        <w:rPr>
          <w:rFonts w:ascii="宋体" w:eastAsia="宋体" w:cs="宋体"/>
          <w:color w:val="auto"/>
          <w:szCs w:val="21"/>
          <w:highlight w:val="none"/>
          <w:lang w:eastAsia="zh-CN"/>
        </w:rPr>
        <w:t xml:space="preserve">    </w:t>
      </w:r>
      <w:r>
        <w:rPr>
          <w:rFonts w:hint="eastAsia" w:ascii="宋体" w:eastAsia="宋体" w:cs="宋体"/>
          <w:color w:val="auto"/>
          <w:szCs w:val="21"/>
          <w:highlight w:val="none"/>
          <w:lang w:eastAsia="zh-CN"/>
        </w:rPr>
        <w:t>月</w:t>
      </w:r>
      <w:r>
        <w:rPr>
          <w:rFonts w:ascii="宋体" w:eastAsia="宋体" w:cs="宋体"/>
          <w:color w:val="auto"/>
          <w:szCs w:val="21"/>
          <w:highlight w:val="none"/>
          <w:lang w:eastAsia="zh-CN"/>
        </w:rPr>
        <w:t xml:space="preserve">    </w:t>
      </w:r>
      <w:r>
        <w:rPr>
          <w:rFonts w:hint="eastAsia" w:ascii="宋体" w:eastAsia="宋体" w:cs="宋体"/>
          <w:color w:val="auto"/>
          <w:szCs w:val="21"/>
          <w:highlight w:val="none"/>
          <w:lang w:eastAsia="zh-CN"/>
        </w:rPr>
        <w:t>日</w:t>
      </w:r>
    </w:p>
    <w:p w14:paraId="6218D7FE">
      <w:pPr>
        <w:kinsoku/>
        <w:spacing w:before="0" w:beforeLines="0" w:afterLines="0"/>
        <w:ind w:firstLine="420"/>
        <w:jc w:val="left"/>
        <w:rPr>
          <w:rFonts w:ascii="宋体" w:eastAsia="宋体" w:cs="宋体"/>
          <w:color w:val="auto"/>
          <w:szCs w:val="21"/>
          <w:highlight w:val="none"/>
          <w:lang w:eastAsia="zh-CN"/>
        </w:rPr>
      </w:pPr>
    </w:p>
    <w:p w14:paraId="09DE0A51">
      <w:pPr>
        <w:kinsoku/>
        <w:adjustRightInd/>
        <w:snapToGrid/>
        <w:spacing w:beforeLines="0" w:afterLines="0" w:line="360" w:lineRule="auto"/>
        <w:ind w:firstLine="420"/>
        <w:jc w:val="left"/>
        <w:textAlignment w:val="auto"/>
        <w:rPr>
          <w:rFonts w:ascii="宋体" w:eastAsia="宋体" w:cs="宋体"/>
          <w:color w:val="auto"/>
          <w:szCs w:val="21"/>
          <w:highlight w:val="none"/>
          <w:lang w:eastAsia="zh-CN"/>
        </w:rPr>
      </w:pPr>
      <w:r>
        <w:rPr>
          <w:rFonts w:ascii="宋体" w:eastAsia="宋体" w:cs="宋体"/>
          <w:color w:val="auto"/>
          <w:szCs w:val="21"/>
          <w:highlight w:val="none"/>
          <w:lang w:eastAsia="zh-CN"/>
        </w:rPr>
        <w:br w:type="page"/>
      </w:r>
    </w:p>
    <w:p w14:paraId="26264AD9">
      <w:pPr>
        <w:rPr>
          <w:color w:val="auto"/>
          <w:highlight w:val="none"/>
        </w:rPr>
      </w:pPr>
    </w:p>
    <w:p w14:paraId="5DFFCACE">
      <w:pPr>
        <w:keepNext/>
        <w:keepLines/>
        <w:widowControl w:val="0"/>
        <w:kinsoku/>
        <w:wordWrap w:val="0"/>
        <w:autoSpaceDE/>
        <w:autoSpaceDN/>
        <w:adjustRightInd w:val="0"/>
        <w:snapToGrid w:val="0"/>
        <w:spacing w:beforeLines="0" w:afterLines="0" w:line="360" w:lineRule="auto"/>
        <w:ind w:firstLine="0" w:firstLineChars="0"/>
        <w:jc w:val="center"/>
        <w:textAlignment w:val="baseline"/>
        <w:outlineLvl w:val="1"/>
        <w:rPr>
          <w:rFonts w:hint="eastAsia" w:ascii="宋体" w:hAnsi="宋体" w:eastAsia="宋体" w:cs="宋体"/>
          <w:b/>
          <w:bCs/>
          <w:snapToGrid/>
          <w:color w:val="auto"/>
          <w:sz w:val="30"/>
          <w:szCs w:val="30"/>
          <w:highlight w:val="none"/>
          <w:lang w:val="en-US" w:eastAsia="zh-CN" w:bidi="en-US"/>
        </w:rPr>
      </w:pPr>
      <w:bookmarkStart w:id="81" w:name="_Toc27717"/>
      <w:bookmarkStart w:id="82" w:name="_Toc4735"/>
      <w:bookmarkStart w:id="83" w:name="_Toc10403"/>
      <w:bookmarkStart w:id="84" w:name="_Toc7326"/>
      <w:bookmarkStart w:id="85" w:name="_Toc31910"/>
      <w:r>
        <w:rPr>
          <w:rFonts w:hint="eastAsia" w:ascii="宋体" w:hAnsi="宋体" w:eastAsia="宋体" w:cs="宋体"/>
          <w:b/>
          <w:bCs/>
          <w:snapToGrid w:val="0"/>
          <w:color w:val="auto"/>
          <w:sz w:val="30"/>
          <w:szCs w:val="30"/>
          <w:highlight w:val="none"/>
          <w:lang w:val="en-US" w:eastAsia="zh-CN" w:bidi="ar-SA"/>
        </w:rPr>
        <w:t>投标人资格条件要求附表</w:t>
      </w:r>
      <w:bookmarkEnd w:id="81"/>
      <w:bookmarkEnd w:id="82"/>
      <w:bookmarkEnd w:id="83"/>
      <w:bookmarkEnd w:id="84"/>
      <w:bookmarkEnd w:id="85"/>
    </w:p>
    <w:tbl>
      <w:tblPr>
        <w:tblStyle w:val="2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2"/>
        <w:gridCol w:w="8275"/>
      </w:tblGrid>
      <w:tr w14:paraId="1C38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732" w:type="dxa"/>
            <w:tcBorders>
              <w:tl2br w:val="nil"/>
              <w:tr2bl w:val="nil"/>
            </w:tcBorders>
            <w:vAlign w:val="center"/>
          </w:tcPr>
          <w:p w14:paraId="5ECCB8A9">
            <w:pPr>
              <w:widowControl w:val="0"/>
              <w:kinsoku/>
              <w:adjustRightInd w:val="0"/>
              <w:snapToGrid w:val="0"/>
              <w:spacing w:beforeLines="0" w:afterLines="0" w:line="360" w:lineRule="exact"/>
              <w:ind w:firstLine="0" w:firstLineChars="0"/>
              <w:jc w:val="center"/>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bCs/>
                <w:snapToGrid w:val="0"/>
                <w:color w:val="auto"/>
                <w:sz w:val="21"/>
                <w:szCs w:val="21"/>
                <w:highlight w:val="none"/>
                <w:lang w:val="en-US" w:eastAsia="en-US" w:bidi="ar-SA"/>
              </w:rPr>
              <w:t>序号</w:t>
            </w:r>
          </w:p>
        </w:tc>
        <w:tc>
          <w:tcPr>
            <w:tcW w:w="8275" w:type="dxa"/>
            <w:tcBorders>
              <w:tl2br w:val="nil"/>
              <w:tr2bl w:val="nil"/>
            </w:tcBorders>
            <w:vAlign w:val="center"/>
          </w:tcPr>
          <w:p w14:paraId="78F21041">
            <w:pPr>
              <w:widowControl w:val="0"/>
              <w:kinsoku/>
              <w:adjustRightInd w:val="0"/>
              <w:snapToGrid w:val="0"/>
              <w:spacing w:beforeLines="0" w:afterLines="0" w:line="360" w:lineRule="exact"/>
              <w:ind w:firstLine="0" w:firstLineChars="0"/>
              <w:jc w:val="center"/>
              <w:textAlignment w:val="baseline"/>
              <w:rPr>
                <w:rFonts w:ascii="宋体" w:eastAsia="宋体" w:cs="宋体" w:hAnsiTheme="minorEastAsia"/>
                <w:snapToGrid w:val="0"/>
                <w:color w:val="auto"/>
                <w:sz w:val="21"/>
                <w:szCs w:val="21"/>
                <w:highlight w:val="none"/>
                <w:lang w:val="en-US" w:eastAsia="en-US" w:bidi="ar-SA"/>
              </w:rPr>
            </w:pPr>
            <w:r>
              <w:rPr>
                <w:rFonts w:ascii="宋体" w:hAnsi="宋体" w:eastAsia="宋体" w:cs="宋体"/>
                <w:b/>
                <w:bCs/>
                <w:snapToGrid w:val="0"/>
                <w:color w:val="auto"/>
                <w:spacing w:val="0"/>
                <w:sz w:val="21"/>
                <w:szCs w:val="21"/>
                <w:highlight w:val="none"/>
                <w:lang w:val="en-US" w:eastAsia="en-US" w:bidi="ar-SA"/>
              </w:rPr>
              <w:t>资格条件内容</w:t>
            </w:r>
          </w:p>
        </w:tc>
      </w:tr>
      <w:tr w14:paraId="2A8CE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7478A2CC">
            <w:pPr>
              <w:widowControl w:val="0"/>
              <w:kinsoku/>
              <w:adjustRightInd w:val="0"/>
              <w:snapToGrid w:val="0"/>
              <w:spacing w:beforeLines="0" w:afterLines="0" w:line="360" w:lineRule="exact"/>
              <w:ind w:firstLine="0" w:firstLineChars="0"/>
              <w:jc w:val="center"/>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bCs/>
                <w:snapToGrid w:val="0"/>
                <w:color w:val="auto"/>
                <w:sz w:val="21"/>
                <w:szCs w:val="21"/>
                <w:highlight w:val="none"/>
                <w:lang w:val="en-US" w:eastAsia="en-US" w:bidi="ar-SA"/>
              </w:rPr>
              <w:t>一</w:t>
            </w:r>
          </w:p>
        </w:tc>
        <w:tc>
          <w:tcPr>
            <w:tcW w:w="8275" w:type="dxa"/>
            <w:tcBorders>
              <w:tl2br w:val="nil"/>
              <w:tr2bl w:val="nil"/>
            </w:tcBorders>
            <w:vAlign w:val="center"/>
          </w:tcPr>
          <w:p w14:paraId="457E262E">
            <w:pPr>
              <w:widowControl w:val="0"/>
              <w:kinsoku/>
              <w:adjustRightInd w:val="0"/>
              <w:snapToGrid w:val="0"/>
              <w:spacing w:beforeLines="0" w:afterLines="0" w:line="360" w:lineRule="exact"/>
              <w:ind w:firstLine="0" w:firstLineChars="0"/>
              <w:jc w:val="left"/>
              <w:textAlignment w:val="baseline"/>
              <w:rPr>
                <w:rFonts w:ascii="宋体" w:eastAsia="宋体" w:cs="宋体" w:hAnsiTheme="minorEastAsia"/>
                <w:snapToGrid w:val="0"/>
                <w:color w:val="auto"/>
                <w:sz w:val="21"/>
                <w:szCs w:val="21"/>
                <w:highlight w:val="none"/>
                <w:lang w:val="en-US" w:eastAsia="en-US" w:bidi="ar-SA"/>
              </w:rPr>
            </w:pPr>
            <w:r>
              <w:rPr>
                <w:rFonts w:ascii="宋体" w:hAnsi="宋体" w:eastAsia="宋体" w:cs="宋体"/>
                <w:b/>
                <w:bCs/>
                <w:snapToGrid w:val="0"/>
                <w:color w:val="auto"/>
                <w:spacing w:val="0"/>
                <w:sz w:val="21"/>
                <w:szCs w:val="21"/>
                <w:highlight w:val="none"/>
                <w:lang w:val="en-US" w:eastAsia="en-US" w:bidi="ar-SA"/>
              </w:rPr>
              <w:t>企业</w:t>
            </w:r>
          </w:p>
        </w:tc>
      </w:tr>
      <w:tr w14:paraId="5888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371E8788">
            <w:pPr>
              <w:rPr>
                <w:color w:val="auto"/>
                <w:highlight w:val="none"/>
              </w:rPr>
            </w:pPr>
          </w:p>
          <w:p w14:paraId="022613F0">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1</w:t>
            </w:r>
          </w:p>
        </w:tc>
        <w:tc>
          <w:tcPr>
            <w:tcW w:w="8275" w:type="dxa"/>
            <w:tcBorders>
              <w:tl2br w:val="nil"/>
              <w:tr2bl w:val="nil"/>
            </w:tcBorders>
            <w:vAlign w:val="center"/>
          </w:tcPr>
          <w:p w14:paraId="0C26A692">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应具备</w:t>
            </w:r>
            <w:r>
              <w:rPr>
                <w:rFonts w:hint="eastAsia" w:ascii="宋体" w:eastAsia="宋体" w:cs="宋体" w:hAnsiTheme="minorEastAsia"/>
                <w:snapToGrid w:val="0"/>
                <w:color w:val="auto"/>
                <w:sz w:val="21"/>
                <w:szCs w:val="21"/>
                <w:highlight w:val="none"/>
                <w:u w:val="single"/>
                <w:lang w:val="en-US" w:eastAsia="zh-CN" w:bidi="ar-SA"/>
              </w:rPr>
              <w:t>水利水电工程施工总承包一级及以上</w:t>
            </w:r>
            <w:r>
              <w:rPr>
                <w:rFonts w:ascii="宋体" w:eastAsia="宋体" w:cs="宋体" w:hAnsiTheme="minorEastAsia"/>
                <w:snapToGrid w:val="0"/>
                <w:color w:val="auto"/>
                <w:sz w:val="21"/>
                <w:szCs w:val="21"/>
                <w:highlight w:val="none"/>
                <w:lang w:val="en-US" w:eastAsia="zh-CN" w:bidi="ar-SA"/>
              </w:rPr>
              <w:t>资质（对应资质应在“浙江省建筑市场监管公共服务系统”上资质动态核查结果处于“合格”状态， 提供投标人</w:t>
            </w:r>
            <w:r>
              <w:rPr>
                <w:rFonts w:ascii="宋体" w:eastAsia="宋体" w:cs="宋体" w:hAnsiTheme="minorEastAsia"/>
                <w:snapToGrid w:val="0"/>
                <w:color w:val="auto"/>
                <w:sz w:val="21"/>
                <w:szCs w:val="21"/>
                <w:highlight w:val="none"/>
                <w:u w:val="single"/>
                <w:lang w:val="en-US" w:eastAsia="zh-CN" w:bidi="ar-SA"/>
              </w:rPr>
              <w:t>2024</w:t>
            </w:r>
            <w:r>
              <w:rPr>
                <w:rFonts w:ascii="宋体" w:eastAsia="宋体" w:cs="宋体" w:hAnsiTheme="minorEastAsia"/>
                <w:snapToGrid w:val="0"/>
                <w:color w:val="auto"/>
                <w:sz w:val="21"/>
                <w:szCs w:val="21"/>
                <w:highlight w:val="none"/>
                <w:lang w:val="en-US" w:eastAsia="zh-CN" w:bidi="ar-SA"/>
              </w:rPr>
              <w:t>年</w:t>
            </w:r>
            <w:r>
              <w:rPr>
                <w:rFonts w:hint="eastAsia" w:cs="宋体" w:hAnsiTheme="minorEastAsia"/>
                <w:snapToGrid w:val="0"/>
                <w:color w:val="auto"/>
                <w:sz w:val="21"/>
                <w:szCs w:val="21"/>
                <w:highlight w:val="none"/>
                <w:lang w:val="en-US" w:eastAsia="zh-CN" w:bidi="ar-SA"/>
              </w:rPr>
              <w:t xml:space="preserve">  </w:t>
            </w:r>
            <w:r>
              <w:rPr>
                <w:rFonts w:ascii="宋体" w:eastAsia="宋体" w:cs="宋体" w:hAnsiTheme="minorEastAsia"/>
                <w:snapToGrid w:val="0"/>
                <w:color w:val="auto"/>
                <w:sz w:val="21"/>
                <w:szCs w:val="21"/>
                <w:highlight w:val="none"/>
                <w:lang w:val="en-US" w:eastAsia="zh-CN" w:bidi="ar-SA"/>
              </w:rPr>
              <w:t>月</w:t>
            </w:r>
            <w:r>
              <w:rPr>
                <w:rFonts w:hint="eastAsia" w:cs="宋体" w:hAnsiTheme="minorEastAsia"/>
                <w:snapToGrid w:val="0"/>
                <w:color w:val="auto"/>
                <w:sz w:val="21"/>
                <w:szCs w:val="21"/>
                <w:highlight w:val="none"/>
                <w:lang w:val="en-US" w:eastAsia="zh-CN" w:bidi="ar-SA"/>
              </w:rPr>
              <w:t xml:space="preserve">  </w:t>
            </w:r>
            <w:r>
              <w:rPr>
                <w:rFonts w:ascii="宋体" w:eastAsia="宋体" w:cs="宋体" w:hAnsiTheme="minorEastAsia"/>
                <w:snapToGrid w:val="0"/>
                <w:color w:val="auto"/>
                <w:sz w:val="21"/>
                <w:szCs w:val="21"/>
                <w:highlight w:val="none"/>
                <w:lang w:val="en-US" w:eastAsia="zh-CN" w:bidi="ar-SA"/>
              </w:rPr>
              <w:t>日（自公告发布之日至投标截止日之间）在“浙江省建筑市场监管公共服务系统”上，参与投标资质的“资质动态核查结果证明”），具有有效的营业执照和安全生产许可证。</w:t>
            </w:r>
          </w:p>
        </w:tc>
      </w:tr>
      <w:tr w14:paraId="786A3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1AEEE911">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2</w:t>
            </w:r>
          </w:p>
        </w:tc>
        <w:tc>
          <w:tcPr>
            <w:tcW w:w="8275" w:type="dxa"/>
            <w:tcBorders>
              <w:tl2br w:val="nil"/>
              <w:tr2bl w:val="nil"/>
            </w:tcBorders>
            <w:vAlign w:val="center"/>
          </w:tcPr>
          <w:p w14:paraId="6A8D19B1">
            <w:pPr>
              <w:widowControl w:val="0"/>
              <w:tabs>
                <w:tab w:val="left" w:pos="790"/>
              </w:tabs>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hint="eastAsia" w:ascii="宋体" w:eastAsia="宋体" w:cs="宋体" w:hAnsiTheme="minorEastAsia"/>
                <w:snapToGrid w:val="0"/>
                <w:color w:val="auto"/>
                <w:sz w:val="21"/>
                <w:szCs w:val="21"/>
                <w:highlight w:val="none"/>
                <w:u w:val="single"/>
                <w:lang w:val="en-US" w:eastAsia="zh-CN" w:bidi="ar-SA"/>
              </w:rPr>
              <w:t>接受</w:t>
            </w:r>
            <w:r>
              <w:rPr>
                <w:rFonts w:ascii="宋体" w:eastAsia="宋体" w:cs="宋体" w:hAnsiTheme="minorEastAsia"/>
                <w:snapToGrid w:val="0"/>
                <w:color w:val="auto"/>
                <w:sz w:val="21"/>
                <w:szCs w:val="21"/>
                <w:highlight w:val="none"/>
                <w:lang w:val="en-US" w:eastAsia="zh-CN" w:bidi="ar-SA"/>
              </w:rPr>
              <w:t>（接受或不接受）联合体投标。</w:t>
            </w:r>
          </w:p>
        </w:tc>
      </w:tr>
      <w:tr w14:paraId="7A584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1CA66884">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3</w:t>
            </w:r>
          </w:p>
        </w:tc>
        <w:tc>
          <w:tcPr>
            <w:tcW w:w="8275" w:type="dxa"/>
            <w:tcBorders>
              <w:tl2br w:val="nil"/>
              <w:tr2bl w:val="nil"/>
            </w:tcBorders>
            <w:vAlign w:val="center"/>
          </w:tcPr>
          <w:p w14:paraId="540004C2">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snapToGrid w:val="0"/>
                <w:color w:val="auto"/>
                <w:sz w:val="21"/>
                <w:szCs w:val="21"/>
                <w:highlight w:val="none"/>
                <w:lang w:val="en-US" w:eastAsia="en-US" w:bidi="ar-SA"/>
              </w:rPr>
              <w:t>投标人及其法定代表人自</w:t>
            </w:r>
            <w:r>
              <w:rPr>
                <w:rFonts w:ascii="宋体" w:eastAsia="宋体" w:cs="宋体" w:hAnsiTheme="minorEastAsia"/>
                <w:snapToGrid w:val="0"/>
                <w:color w:val="auto"/>
                <w:sz w:val="21"/>
                <w:szCs w:val="21"/>
                <w:highlight w:val="none"/>
                <w:u w:val="single"/>
                <w:lang w:val="en-US" w:eastAsia="zh-CN" w:bidi="ar-SA"/>
              </w:rPr>
              <w:t>2021</w:t>
            </w:r>
            <w:r>
              <w:rPr>
                <w:rFonts w:ascii="宋体" w:eastAsia="宋体" w:cs="宋体" w:hAnsiTheme="minorEastAsia"/>
                <w:snapToGrid w:val="0"/>
                <w:color w:val="auto"/>
                <w:sz w:val="21"/>
                <w:szCs w:val="21"/>
                <w:highlight w:val="none"/>
                <w:lang w:val="en-US" w:eastAsia="en-US" w:bidi="ar-SA"/>
              </w:rPr>
              <w:t>年</w:t>
            </w:r>
            <w:r>
              <w:rPr>
                <w:rFonts w:hint="eastAsia" w:cs="宋体" w:hAnsiTheme="minorEastAsia"/>
                <w:snapToGrid w:val="0"/>
                <w:color w:val="auto"/>
                <w:sz w:val="21"/>
                <w:szCs w:val="21"/>
                <w:highlight w:val="none"/>
                <w:u w:val="single"/>
                <w:lang w:val="en-US" w:eastAsia="zh-CN" w:bidi="ar-SA"/>
              </w:rPr>
              <w:t>7</w:t>
            </w:r>
            <w:r>
              <w:rPr>
                <w:rFonts w:ascii="宋体" w:eastAsia="宋体" w:cs="宋体" w:hAnsiTheme="minorEastAsia"/>
                <w:snapToGrid w:val="0"/>
                <w:color w:val="auto"/>
                <w:sz w:val="21"/>
                <w:szCs w:val="21"/>
                <w:highlight w:val="none"/>
                <w:lang w:val="en-US" w:eastAsia="en-US" w:bidi="ar-SA"/>
              </w:rPr>
              <w:t>月</w:t>
            </w:r>
            <w:r>
              <w:rPr>
                <w:rFonts w:ascii="宋体" w:eastAsia="宋体" w:cs="宋体" w:hAnsiTheme="minorEastAsia"/>
                <w:snapToGrid w:val="0"/>
                <w:color w:val="auto"/>
                <w:sz w:val="21"/>
                <w:szCs w:val="21"/>
                <w:highlight w:val="none"/>
                <w:u w:val="single"/>
                <w:lang w:val="en-US" w:eastAsia="zh-CN" w:bidi="ar-SA"/>
              </w:rPr>
              <w:t>1</w:t>
            </w:r>
            <w:r>
              <w:rPr>
                <w:rFonts w:ascii="宋体" w:eastAsia="宋体" w:cs="宋体" w:hAnsiTheme="minorEastAsia"/>
                <w:snapToGrid w:val="0"/>
                <w:color w:val="auto"/>
                <w:sz w:val="21"/>
                <w:szCs w:val="21"/>
                <w:highlight w:val="none"/>
                <w:lang w:val="en-US" w:eastAsia="en-US" w:bidi="ar-SA"/>
              </w:rPr>
              <w:t>日至投标截止时间（不得少于</w:t>
            </w:r>
            <w:r>
              <w:rPr>
                <w:rFonts w:ascii="宋体" w:eastAsia="宋体" w:cs="Times New Roman" w:hAnsiTheme="minorEastAsia"/>
                <w:snapToGrid w:val="0"/>
                <w:color w:val="auto"/>
                <w:sz w:val="21"/>
                <w:szCs w:val="21"/>
                <w:highlight w:val="none"/>
                <w:lang w:val="en-US" w:eastAsia="en-US" w:bidi="ar-SA"/>
              </w:rPr>
              <w:t>3</w:t>
            </w:r>
            <w:r>
              <w:rPr>
                <w:rFonts w:ascii="宋体" w:eastAsia="宋体" w:cs="宋体" w:hAnsiTheme="minorEastAsia"/>
                <w:snapToGrid w:val="0"/>
                <w:color w:val="auto"/>
                <w:sz w:val="21"/>
                <w:szCs w:val="21"/>
                <w:highlight w:val="none"/>
                <w:lang w:val="en-US" w:eastAsia="en-US" w:bidi="ar-SA"/>
              </w:rPr>
              <w:t>年）无行贿犯罪记录（以中国裁判文书网（</w:t>
            </w:r>
            <w:r>
              <w:rPr>
                <w:rFonts w:ascii="宋体" w:hAnsi="宋体" w:eastAsia="宋体" w:cs="宋体"/>
                <w:snapToGrid w:val="0"/>
                <w:color w:val="auto"/>
                <w:sz w:val="21"/>
                <w:szCs w:val="21"/>
                <w:highlight w:val="none"/>
                <w:lang w:val="en-US" w:eastAsia="en-US" w:bidi="ar-SA"/>
              </w:rPr>
              <w:fldChar w:fldCharType="begin"/>
            </w:r>
            <w:r>
              <w:rPr>
                <w:rFonts w:ascii="宋体" w:hAnsi="宋体" w:eastAsia="宋体" w:cs="宋体"/>
                <w:snapToGrid w:val="0"/>
                <w:color w:val="auto"/>
                <w:sz w:val="21"/>
                <w:szCs w:val="21"/>
                <w:highlight w:val="none"/>
                <w:lang w:val="en-US" w:eastAsia="en-US" w:bidi="ar-SA"/>
              </w:rPr>
              <w:instrText xml:space="preserve">HYPERLINK "http://wenshu.court.gov.cn/"</w:instrText>
            </w:r>
            <w:r>
              <w:rPr>
                <w:rFonts w:ascii="宋体" w:hAnsi="宋体" w:eastAsia="宋体" w:cs="宋体"/>
                <w:snapToGrid w:val="0"/>
                <w:color w:val="auto"/>
                <w:sz w:val="21"/>
                <w:szCs w:val="21"/>
                <w:highlight w:val="none"/>
                <w:lang w:val="en-US" w:eastAsia="en-US" w:bidi="ar-SA"/>
              </w:rPr>
              <w:fldChar w:fldCharType="separate"/>
            </w:r>
            <w:r>
              <w:rPr>
                <w:rFonts w:ascii="宋体" w:eastAsia="宋体" w:cs="Times New Roman" w:hAnsiTheme="minorEastAsia"/>
                <w:snapToGrid w:val="0"/>
                <w:color w:val="auto"/>
                <w:sz w:val="21"/>
                <w:szCs w:val="21"/>
                <w:highlight w:val="none"/>
                <w:lang w:val="en-US" w:eastAsia="en-US" w:bidi="ar-SA"/>
              </w:rPr>
              <w:t>http://wenshu.court.gov.cn/</w:t>
            </w:r>
            <w:r>
              <w:rPr>
                <w:rFonts w:ascii="宋体" w:hAnsi="宋体" w:eastAsia="宋体" w:cs="宋体"/>
                <w:snapToGrid w:val="0"/>
                <w:color w:val="auto"/>
                <w:sz w:val="21"/>
                <w:szCs w:val="21"/>
                <w:highlight w:val="none"/>
                <w:lang w:val="en-US" w:eastAsia="en-US" w:bidi="ar-SA"/>
              </w:rPr>
              <w:fldChar w:fldCharType="end"/>
            </w:r>
            <w:r>
              <w:rPr>
                <w:rFonts w:ascii="宋体" w:eastAsia="宋体" w:cs="宋体" w:hAnsiTheme="minorEastAsia"/>
                <w:snapToGrid w:val="0"/>
                <w:color w:val="auto"/>
                <w:sz w:val="21"/>
                <w:szCs w:val="21"/>
                <w:highlight w:val="none"/>
                <w:lang w:val="en-US" w:eastAsia="en-US" w:bidi="ar-SA"/>
              </w:rPr>
              <w:t>）查询结果为准）。</w:t>
            </w:r>
          </w:p>
        </w:tc>
      </w:tr>
      <w:tr w14:paraId="0820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31BBB7D1">
            <w:pPr>
              <w:rPr>
                <w:color w:val="auto"/>
                <w:highlight w:val="none"/>
              </w:rPr>
            </w:pPr>
          </w:p>
          <w:p w14:paraId="0B952ECA">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4</w:t>
            </w:r>
          </w:p>
        </w:tc>
        <w:tc>
          <w:tcPr>
            <w:tcW w:w="8275" w:type="dxa"/>
            <w:tcBorders>
              <w:tl2br w:val="nil"/>
              <w:tr2bl w:val="nil"/>
            </w:tcBorders>
            <w:vAlign w:val="center"/>
          </w:tcPr>
          <w:p w14:paraId="4DAECFB8">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新宋体" w:hAnsiTheme="minorEastAsia"/>
                <w:snapToGrid w:val="0"/>
                <w:color w:val="auto"/>
                <w:sz w:val="21"/>
                <w:szCs w:val="21"/>
                <w:highlight w:val="none"/>
                <w:lang w:val="en-US" w:eastAsia="zh-CN" w:bidi="ar-SA"/>
              </w:rPr>
              <w:t>投标人自</w:t>
            </w:r>
            <w:r>
              <w:rPr>
                <w:rFonts w:ascii="宋体" w:eastAsia="宋体" w:cs="新宋体" w:hAnsiTheme="minorEastAsia"/>
                <w:snapToGrid w:val="0"/>
                <w:color w:val="auto"/>
                <w:sz w:val="21"/>
                <w:szCs w:val="21"/>
                <w:highlight w:val="none"/>
                <w:u w:val="single"/>
                <w:lang w:val="en-US" w:eastAsia="zh-CN" w:bidi="ar-SA"/>
              </w:rPr>
              <w:t>2019</w:t>
            </w:r>
            <w:r>
              <w:rPr>
                <w:rFonts w:ascii="宋体" w:eastAsia="宋体" w:cs="新宋体" w:hAnsiTheme="minorEastAsia"/>
                <w:snapToGrid w:val="0"/>
                <w:color w:val="auto"/>
                <w:sz w:val="21"/>
                <w:szCs w:val="21"/>
                <w:highlight w:val="none"/>
                <w:lang w:val="en-US" w:eastAsia="zh-CN" w:bidi="ar-SA"/>
              </w:rPr>
              <w:t>年</w:t>
            </w:r>
            <w:r>
              <w:rPr>
                <w:rFonts w:hint="eastAsia" w:cs="新宋体" w:hAnsiTheme="minorEastAsia"/>
                <w:snapToGrid w:val="0"/>
                <w:color w:val="auto"/>
                <w:sz w:val="21"/>
                <w:szCs w:val="21"/>
                <w:highlight w:val="none"/>
                <w:u w:val="single"/>
                <w:lang w:val="en-US" w:eastAsia="zh-CN" w:bidi="ar-SA"/>
              </w:rPr>
              <w:t>7</w:t>
            </w:r>
            <w:r>
              <w:rPr>
                <w:rFonts w:ascii="宋体" w:eastAsia="宋体" w:cs="新宋体" w:hAnsiTheme="minorEastAsia"/>
                <w:snapToGrid w:val="0"/>
                <w:color w:val="auto"/>
                <w:sz w:val="21"/>
                <w:szCs w:val="21"/>
                <w:highlight w:val="none"/>
                <w:lang w:val="en-US" w:eastAsia="zh-CN" w:bidi="ar-SA"/>
              </w:rPr>
              <w:t>月</w:t>
            </w:r>
            <w:r>
              <w:rPr>
                <w:rFonts w:ascii="宋体" w:eastAsia="宋体" w:cs="新宋体" w:hAnsiTheme="minorEastAsia"/>
                <w:snapToGrid w:val="0"/>
                <w:color w:val="auto"/>
                <w:sz w:val="21"/>
                <w:szCs w:val="21"/>
                <w:highlight w:val="none"/>
                <w:u w:val="single"/>
                <w:lang w:val="en-US" w:eastAsia="zh-CN" w:bidi="ar-SA"/>
              </w:rPr>
              <w:t>1</w:t>
            </w:r>
            <w:r>
              <w:rPr>
                <w:rFonts w:ascii="宋体" w:eastAsia="宋体" w:cs="新宋体" w:hAnsiTheme="minorEastAsia"/>
                <w:snapToGrid w:val="0"/>
                <w:color w:val="auto"/>
                <w:sz w:val="21"/>
                <w:szCs w:val="21"/>
                <w:highlight w:val="none"/>
                <w:lang w:val="en-US" w:eastAsia="zh-CN" w:bidi="ar-SA"/>
              </w:rPr>
              <w:t>日至投标截止时间〔日期以完工（竣工）验收鉴定书或工程质量（安全）监督报告中明确的完工（竣工）日期为准〕，完成过</w:t>
            </w:r>
            <w:r>
              <w:rPr>
                <w:rFonts w:hint="eastAsia" w:cs="新宋体" w:hAnsiTheme="minorEastAsia"/>
                <w:snapToGrid w:val="0"/>
                <w:color w:val="auto"/>
                <w:sz w:val="21"/>
                <w:szCs w:val="21"/>
                <w:highlight w:val="none"/>
                <w:u w:val="single"/>
                <w:lang w:val="en-US" w:eastAsia="zh-CN" w:bidi="ar-SA"/>
              </w:rPr>
              <w:t>中国境内长度</w:t>
            </w:r>
            <w:r>
              <w:rPr>
                <w:rFonts w:hint="eastAsia" w:cs="宋体"/>
                <w:snapToGrid w:val="0"/>
                <w:color w:val="auto"/>
                <w:sz w:val="21"/>
                <w:szCs w:val="21"/>
                <w:highlight w:val="none"/>
                <w:u w:val="single"/>
                <w:shd w:val="clear" w:color="auto" w:fill="FFFFFF"/>
                <w:lang w:val="en-US" w:eastAsia="zh-CN" w:bidi="ar-SA"/>
              </w:rPr>
              <w:t>2400m及以上</w:t>
            </w:r>
            <w:r>
              <w:rPr>
                <w:rFonts w:hint="eastAsia" w:ascii="宋体" w:eastAsia="宋体" w:cs="新宋体" w:hAnsiTheme="minorEastAsia"/>
                <w:snapToGrid w:val="0"/>
                <w:color w:val="auto"/>
                <w:sz w:val="21"/>
                <w:szCs w:val="21"/>
                <w:highlight w:val="none"/>
                <w:u w:val="single"/>
                <w:lang w:val="en-US" w:eastAsia="zh-CN" w:bidi="ar-SA"/>
              </w:rPr>
              <w:t>的新建水工隧洞</w:t>
            </w:r>
            <w:r>
              <w:rPr>
                <w:rFonts w:hint="eastAsia" w:ascii="宋体" w:hAnsi="宋体" w:eastAsia="宋体" w:cs="宋体"/>
                <w:snapToGrid w:val="0"/>
                <w:color w:val="auto"/>
                <w:sz w:val="21"/>
                <w:szCs w:val="21"/>
                <w:highlight w:val="none"/>
                <w:u w:val="single"/>
                <w:shd w:val="clear" w:color="auto" w:fill="FFFFFF"/>
                <w:lang w:val="en-US" w:eastAsia="zh-CN" w:bidi="ar-SA"/>
              </w:rPr>
              <w:t>工程</w:t>
            </w:r>
            <w:r>
              <w:rPr>
                <w:rFonts w:hint="eastAsia" w:cs="宋体"/>
                <w:color w:val="auto"/>
                <w:sz w:val="21"/>
                <w:highlight w:val="none"/>
                <w:u w:val="single"/>
                <w:shd w:val="clear" w:color="auto" w:fill="FFFFFF"/>
                <w:lang w:eastAsia="zh-CN"/>
              </w:rPr>
              <w:t>（“水工隧洞工程”定义按水工隧洞设计规范（SL 279-2016）执行，指在山体中或地下开挖的、具有封闭断面的过水通道）</w:t>
            </w:r>
            <w:r>
              <w:rPr>
                <w:rFonts w:hint="eastAsia" w:ascii="宋体" w:hAnsi="宋体" w:eastAsia="宋体" w:cs="宋体"/>
                <w:snapToGrid w:val="0"/>
                <w:color w:val="auto"/>
                <w:sz w:val="21"/>
                <w:szCs w:val="21"/>
                <w:highlight w:val="none"/>
                <w:u w:val="single"/>
                <w:shd w:val="clear" w:color="auto" w:fill="FFFFFF"/>
                <w:lang w:val="en-US" w:eastAsia="zh-CN" w:bidi="ar-SA"/>
              </w:rPr>
              <w:t>，</w:t>
            </w:r>
            <w:r>
              <w:rPr>
                <w:rFonts w:hint="eastAsia" w:ascii="宋体" w:eastAsia="宋体" w:cs="Times New Roman" w:hAnsiTheme="minorEastAsia"/>
                <w:snapToGrid w:val="0"/>
                <w:color w:val="auto"/>
                <w:kern w:val="2"/>
                <w:sz w:val="21"/>
                <w:szCs w:val="21"/>
                <w:highlight w:val="none"/>
                <w:u w:val="single"/>
                <w:lang w:val="en-US" w:eastAsia="zh-CN" w:bidi="ar-SA"/>
              </w:rPr>
              <w:t>【注：投标人如提供联合体业绩的，其承担的工作应与其在本次投标过程中承担的工作任务相匹配，提供相应业绩签约合同中的联合体协议书】</w:t>
            </w:r>
            <w:r>
              <w:rPr>
                <w:rFonts w:ascii="宋体" w:eastAsia="宋体" w:cs="新宋体" w:hAnsiTheme="minorEastAsia"/>
                <w:snapToGrid w:val="0"/>
                <w:color w:val="auto"/>
                <w:sz w:val="21"/>
                <w:szCs w:val="21"/>
                <w:highlight w:val="none"/>
                <w:lang w:val="en-US" w:eastAsia="zh-CN" w:bidi="ar-SA"/>
              </w:rPr>
              <w:t>业绩</w:t>
            </w:r>
            <w:r>
              <w:rPr>
                <w:rFonts w:ascii="宋体" w:eastAsia="宋体" w:cs="宋体" w:hAnsiTheme="minorEastAsia"/>
                <w:snapToGrid w:val="0"/>
                <w:color w:val="auto"/>
                <w:sz w:val="21"/>
                <w:szCs w:val="21"/>
                <w:highlight w:val="none"/>
                <w:lang w:val="en-US" w:eastAsia="zh-CN" w:bidi="ar-SA"/>
              </w:rPr>
              <w:t>。业绩证明材料见下文。</w:t>
            </w:r>
            <w:r>
              <w:rPr>
                <w:rFonts w:hint="eastAsia" w:ascii="宋体" w:eastAsia="宋体" w:cs="宋体" w:hAnsiTheme="minorEastAsia"/>
                <w:snapToGrid w:val="0"/>
                <w:color w:val="auto"/>
                <w:sz w:val="21"/>
                <w:szCs w:val="21"/>
                <w:highlight w:val="none"/>
                <w:lang w:val="en-US" w:eastAsia="zh-CN" w:bidi="ar-SA"/>
              </w:rPr>
              <w:t>若为联合体投标的，该业绩由牵头人提供。</w:t>
            </w:r>
          </w:p>
        </w:tc>
      </w:tr>
      <w:tr w14:paraId="4329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1A39B941">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5</w:t>
            </w:r>
          </w:p>
        </w:tc>
        <w:tc>
          <w:tcPr>
            <w:tcW w:w="8275" w:type="dxa"/>
            <w:tcBorders>
              <w:tl2br w:val="nil"/>
              <w:tr2bl w:val="nil"/>
            </w:tcBorders>
            <w:vAlign w:val="center"/>
          </w:tcPr>
          <w:p w14:paraId="2B6D858B">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hint="eastAsia" w:ascii="宋体" w:eastAsia="宋体" w:cs="宋体" w:hAnsiTheme="minorEastAsia"/>
                <w:snapToGrid w:val="0"/>
                <w:color w:val="auto"/>
                <w:sz w:val="21"/>
                <w:szCs w:val="21"/>
                <w:highlight w:val="none"/>
                <w:lang w:val="en-US" w:eastAsia="zh-CN" w:bidi="ar-SA"/>
              </w:rPr>
              <w:t>□</w:t>
            </w:r>
            <w:r>
              <w:rPr>
                <w:rFonts w:ascii="宋体" w:eastAsia="宋体" w:cs="宋体" w:hAnsiTheme="minorEastAsia"/>
                <w:snapToGrid w:val="0"/>
                <w:color w:val="auto"/>
                <w:sz w:val="21"/>
                <w:szCs w:val="21"/>
                <w:highlight w:val="none"/>
                <w:lang w:val="en-US" w:eastAsia="zh-CN" w:bidi="ar-SA"/>
              </w:rPr>
              <w:t>面向中小企业招标的，投标人（或联合体中的中小企业）应提交《中小企业声明函》。</w:t>
            </w:r>
          </w:p>
        </w:tc>
      </w:tr>
      <w:tr w14:paraId="59CA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287226B2">
            <w:pPr>
              <w:widowControl w:val="0"/>
              <w:kinsoku/>
              <w:adjustRightInd w:val="0"/>
              <w:snapToGrid w:val="0"/>
              <w:spacing w:beforeLines="0" w:afterLines="0" w:line="360" w:lineRule="exact"/>
              <w:ind w:firstLine="0" w:firstLineChars="0"/>
              <w:jc w:val="center"/>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bCs/>
                <w:snapToGrid w:val="0"/>
                <w:color w:val="auto"/>
                <w:sz w:val="21"/>
                <w:szCs w:val="21"/>
                <w:highlight w:val="none"/>
                <w:lang w:val="en-US" w:eastAsia="en-US" w:bidi="ar-SA"/>
              </w:rPr>
              <w:t>二</w:t>
            </w:r>
          </w:p>
        </w:tc>
        <w:tc>
          <w:tcPr>
            <w:tcW w:w="8275" w:type="dxa"/>
            <w:tcBorders>
              <w:tl2br w:val="nil"/>
              <w:tr2bl w:val="nil"/>
            </w:tcBorders>
            <w:vAlign w:val="center"/>
          </w:tcPr>
          <w:p w14:paraId="5FD8FB36">
            <w:pPr>
              <w:widowControl w:val="0"/>
              <w:kinsoku/>
              <w:adjustRightInd w:val="0"/>
              <w:snapToGrid w:val="0"/>
              <w:spacing w:beforeLines="0" w:afterLines="0" w:line="360" w:lineRule="exact"/>
              <w:ind w:firstLine="422" w:firstLineChars="200"/>
              <w:jc w:val="left"/>
              <w:textAlignment w:val="baseline"/>
              <w:rPr>
                <w:rFonts w:ascii="宋体" w:eastAsia="宋体" w:cs="宋体" w:hAnsiTheme="minorEastAsia"/>
                <w:snapToGrid w:val="0"/>
                <w:color w:val="auto"/>
                <w:sz w:val="21"/>
                <w:szCs w:val="21"/>
                <w:highlight w:val="none"/>
                <w:lang w:val="en-US" w:eastAsia="en-US" w:bidi="ar-SA"/>
              </w:rPr>
            </w:pPr>
            <w:r>
              <w:rPr>
                <w:rFonts w:ascii="宋体" w:hAnsi="宋体" w:eastAsia="宋体" w:cs="宋体"/>
                <w:b/>
                <w:bCs/>
                <w:snapToGrid w:val="0"/>
                <w:color w:val="auto"/>
                <w:spacing w:val="0"/>
                <w:sz w:val="21"/>
                <w:szCs w:val="21"/>
                <w:highlight w:val="none"/>
                <w:lang w:val="en-US" w:eastAsia="en-US" w:bidi="ar-SA"/>
              </w:rPr>
              <w:t>拟派项目组主要人员</w:t>
            </w:r>
          </w:p>
        </w:tc>
      </w:tr>
      <w:tr w14:paraId="2865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1897EEA0">
            <w:pPr>
              <w:rPr>
                <w:color w:val="auto"/>
                <w:highlight w:val="none"/>
              </w:rPr>
            </w:pPr>
          </w:p>
          <w:p w14:paraId="1507BF75">
            <w:pPr>
              <w:rPr>
                <w:color w:val="auto"/>
                <w:highlight w:val="none"/>
              </w:rPr>
            </w:pPr>
          </w:p>
          <w:p w14:paraId="29276102">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1</w:t>
            </w:r>
          </w:p>
        </w:tc>
        <w:tc>
          <w:tcPr>
            <w:tcW w:w="8275" w:type="dxa"/>
            <w:tcBorders>
              <w:tl2br w:val="nil"/>
              <w:tr2bl w:val="nil"/>
            </w:tcBorders>
            <w:vAlign w:val="center"/>
          </w:tcPr>
          <w:p w14:paraId="77FFDABB">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项目负责人应持有注册在投标人单位的</w:t>
            </w:r>
            <w:r>
              <w:rPr>
                <w:rFonts w:hint="eastAsia" w:ascii="宋体" w:eastAsia="宋体" w:cs="Times New Roman" w:hAnsiTheme="minorEastAsia"/>
                <w:bCs/>
                <w:snapToGrid w:val="0"/>
                <w:color w:val="auto"/>
                <w:kern w:val="2"/>
                <w:sz w:val="21"/>
                <w:szCs w:val="21"/>
                <w:highlight w:val="none"/>
                <w:u w:val="single"/>
                <w:lang w:val="en-US" w:eastAsia="zh-CN" w:bidi="ar-SA"/>
              </w:rPr>
              <w:t>水利水电工程专业一级建造师注册执业资格</w:t>
            </w:r>
            <w:r>
              <w:rPr>
                <w:rFonts w:ascii="宋体" w:eastAsia="宋体" w:cs="宋体" w:hAnsiTheme="minorEastAsia"/>
                <w:snapToGrid w:val="0"/>
                <w:color w:val="auto"/>
                <w:sz w:val="21"/>
                <w:szCs w:val="21"/>
                <w:highlight w:val="none"/>
                <w:lang w:val="en-US" w:eastAsia="zh-CN" w:bidi="ar-SA"/>
              </w:rPr>
              <w:t>证书。投标人拟派的项目负责人在投标截止时间不得在其他任何在建合同工程中担任项目负责人（包括工程总承包项目中的施工负责人）。在建合同工程的开始时间为合同工程中标通知书发出之日（不通过招标方式的，开始时间为合同签订之日），结束时间为该合同工程通过验收或合同解除之日。</w:t>
            </w:r>
          </w:p>
        </w:tc>
      </w:tr>
      <w:tr w14:paraId="5AE7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0DBF9A25">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2</w:t>
            </w:r>
          </w:p>
        </w:tc>
        <w:tc>
          <w:tcPr>
            <w:tcW w:w="8275" w:type="dxa"/>
            <w:tcBorders>
              <w:tl2br w:val="nil"/>
              <w:tr2bl w:val="nil"/>
            </w:tcBorders>
            <w:vAlign w:val="center"/>
          </w:tcPr>
          <w:p w14:paraId="1F9A6FF4">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snapToGrid w:val="0"/>
                <w:color w:val="auto"/>
                <w:sz w:val="21"/>
                <w:szCs w:val="21"/>
                <w:highlight w:val="none"/>
                <w:lang w:val="en-US" w:eastAsia="en-US" w:bidi="ar-SA"/>
              </w:rPr>
              <w:t>项目负责人自</w:t>
            </w:r>
            <w:r>
              <w:rPr>
                <w:rFonts w:ascii="宋体" w:eastAsia="宋体" w:cs="宋体" w:hAnsiTheme="minorEastAsia"/>
                <w:snapToGrid w:val="0"/>
                <w:color w:val="auto"/>
                <w:sz w:val="21"/>
                <w:szCs w:val="21"/>
                <w:highlight w:val="none"/>
                <w:u w:val="single"/>
                <w:lang w:val="en-US" w:eastAsia="zh-CN" w:bidi="ar-SA"/>
              </w:rPr>
              <w:t>2021</w:t>
            </w:r>
            <w:r>
              <w:rPr>
                <w:rFonts w:ascii="宋体" w:eastAsia="宋体" w:cs="宋体" w:hAnsiTheme="minorEastAsia"/>
                <w:snapToGrid w:val="0"/>
                <w:color w:val="auto"/>
                <w:sz w:val="21"/>
                <w:szCs w:val="21"/>
                <w:highlight w:val="none"/>
                <w:lang w:val="en-US" w:eastAsia="en-US" w:bidi="ar-SA"/>
              </w:rPr>
              <w:t>年</w:t>
            </w:r>
            <w:r>
              <w:rPr>
                <w:rFonts w:hint="eastAsia" w:cs="宋体" w:hAnsiTheme="minorEastAsia"/>
                <w:snapToGrid w:val="0"/>
                <w:color w:val="auto"/>
                <w:sz w:val="21"/>
                <w:szCs w:val="21"/>
                <w:highlight w:val="none"/>
                <w:u w:val="single"/>
                <w:lang w:val="en-US" w:eastAsia="zh-CN" w:bidi="ar-SA"/>
              </w:rPr>
              <w:t>7</w:t>
            </w:r>
            <w:r>
              <w:rPr>
                <w:rFonts w:ascii="宋体" w:eastAsia="宋体" w:cs="宋体" w:hAnsiTheme="minorEastAsia"/>
                <w:snapToGrid w:val="0"/>
                <w:color w:val="auto"/>
                <w:sz w:val="21"/>
                <w:szCs w:val="21"/>
                <w:highlight w:val="none"/>
                <w:lang w:val="en-US" w:eastAsia="en-US" w:bidi="ar-SA"/>
              </w:rPr>
              <w:t>月</w:t>
            </w:r>
            <w:r>
              <w:rPr>
                <w:rFonts w:ascii="宋体" w:eastAsia="宋体" w:cs="宋体" w:hAnsiTheme="minorEastAsia"/>
                <w:snapToGrid w:val="0"/>
                <w:color w:val="auto"/>
                <w:sz w:val="21"/>
                <w:szCs w:val="21"/>
                <w:highlight w:val="none"/>
                <w:u w:val="single"/>
                <w:lang w:val="en-US" w:eastAsia="zh-CN" w:bidi="ar-SA"/>
              </w:rPr>
              <w:t>1</w:t>
            </w:r>
            <w:r>
              <w:rPr>
                <w:rFonts w:ascii="宋体" w:eastAsia="宋体" w:cs="宋体" w:hAnsiTheme="minorEastAsia"/>
                <w:snapToGrid w:val="0"/>
                <w:color w:val="auto"/>
                <w:sz w:val="21"/>
                <w:szCs w:val="21"/>
                <w:highlight w:val="none"/>
                <w:lang w:val="en-US" w:eastAsia="en-US" w:bidi="ar-SA"/>
              </w:rPr>
              <w:t>日至投标截止时间</w:t>
            </w:r>
            <w:r>
              <w:rPr>
                <w:rFonts w:ascii="宋体" w:eastAsia="宋体" w:cs="宋体" w:hAnsiTheme="minorEastAsia"/>
                <w:i/>
                <w:iCs/>
                <w:snapToGrid w:val="0"/>
                <w:color w:val="auto"/>
                <w:sz w:val="21"/>
                <w:szCs w:val="21"/>
                <w:highlight w:val="none"/>
                <w:lang w:val="en-US" w:eastAsia="en-US" w:bidi="ar-SA"/>
              </w:rPr>
              <w:t>（不得少于</w:t>
            </w:r>
            <w:r>
              <w:rPr>
                <w:rFonts w:ascii="宋体" w:eastAsia="宋体" w:cs="Times New Roman" w:hAnsiTheme="minorEastAsia"/>
                <w:i/>
                <w:iCs/>
                <w:snapToGrid w:val="0"/>
                <w:color w:val="auto"/>
                <w:sz w:val="21"/>
                <w:szCs w:val="21"/>
                <w:highlight w:val="none"/>
                <w:lang w:val="en-US" w:eastAsia="en-US" w:bidi="ar-SA"/>
              </w:rPr>
              <w:t>3</w:t>
            </w:r>
            <w:r>
              <w:rPr>
                <w:rFonts w:ascii="宋体" w:eastAsia="宋体" w:cs="宋体" w:hAnsiTheme="minorEastAsia"/>
                <w:i/>
                <w:iCs/>
                <w:snapToGrid w:val="0"/>
                <w:color w:val="auto"/>
                <w:sz w:val="21"/>
                <w:szCs w:val="21"/>
                <w:highlight w:val="none"/>
                <w:lang w:val="en-US" w:eastAsia="en-US" w:bidi="ar-SA"/>
              </w:rPr>
              <w:t>年）</w:t>
            </w:r>
            <w:r>
              <w:rPr>
                <w:rFonts w:ascii="宋体" w:eastAsia="宋体" w:cs="宋体" w:hAnsiTheme="minorEastAsia"/>
                <w:snapToGrid w:val="0"/>
                <w:color w:val="auto"/>
                <w:sz w:val="21"/>
                <w:szCs w:val="21"/>
                <w:highlight w:val="none"/>
                <w:lang w:val="en-US" w:eastAsia="en-US" w:bidi="ar-SA"/>
              </w:rPr>
              <w:t>无行贿犯罪记录（以中国裁判文书网（</w:t>
            </w:r>
            <w:r>
              <w:rPr>
                <w:rFonts w:ascii="宋体" w:hAnsi="宋体" w:eastAsia="宋体" w:cs="宋体"/>
                <w:snapToGrid w:val="0"/>
                <w:color w:val="auto"/>
                <w:sz w:val="21"/>
                <w:szCs w:val="21"/>
                <w:highlight w:val="none"/>
                <w:lang w:val="en-US" w:eastAsia="en-US" w:bidi="ar-SA"/>
              </w:rPr>
              <w:fldChar w:fldCharType="begin"/>
            </w:r>
            <w:r>
              <w:rPr>
                <w:rFonts w:ascii="宋体" w:hAnsi="宋体" w:eastAsia="宋体" w:cs="宋体"/>
                <w:snapToGrid w:val="0"/>
                <w:color w:val="auto"/>
                <w:sz w:val="21"/>
                <w:szCs w:val="21"/>
                <w:highlight w:val="none"/>
                <w:lang w:val="en-US" w:eastAsia="en-US" w:bidi="ar-SA"/>
              </w:rPr>
              <w:instrText xml:space="preserve">HYPERLINK "http://wenshu.court.gov.cn/"</w:instrText>
            </w:r>
            <w:r>
              <w:rPr>
                <w:rFonts w:ascii="宋体" w:hAnsi="宋体" w:eastAsia="宋体" w:cs="宋体"/>
                <w:snapToGrid w:val="0"/>
                <w:color w:val="auto"/>
                <w:sz w:val="21"/>
                <w:szCs w:val="21"/>
                <w:highlight w:val="none"/>
                <w:lang w:val="en-US" w:eastAsia="en-US" w:bidi="ar-SA"/>
              </w:rPr>
              <w:fldChar w:fldCharType="separate"/>
            </w:r>
            <w:r>
              <w:rPr>
                <w:rFonts w:ascii="宋体" w:eastAsia="宋体" w:cs="Times New Roman" w:hAnsiTheme="minorEastAsia"/>
                <w:snapToGrid w:val="0"/>
                <w:color w:val="auto"/>
                <w:sz w:val="21"/>
                <w:szCs w:val="21"/>
                <w:highlight w:val="none"/>
                <w:lang w:val="en-US" w:eastAsia="en-US" w:bidi="ar-SA"/>
              </w:rPr>
              <w:t>http://wenshu.court.gov.cn/</w:t>
            </w:r>
            <w:r>
              <w:rPr>
                <w:rFonts w:ascii="宋体" w:hAnsi="宋体" w:eastAsia="宋体" w:cs="宋体"/>
                <w:snapToGrid w:val="0"/>
                <w:color w:val="auto"/>
                <w:sz w:val="21"/>
                <w:szCs w:val="21"/>
                <w:highlight w:val="none"/>
                <w:lang w:val="en-US" w:eastAsia="en-US" w:bidi="ar-SA"/>
              </w:rPr>
              <w:fldChar w:fldCharType="end"/>
            </w:r>
            <w:r>
              <w:rPr>
                <w:rFonts w:ascii="宋体" w:eastAsia="宋体" w:cs="宋体" w:hAnsiTheme="minorEastAsia"/>
                <w:snapToGrid w:val="0"/>
                <w:color w:val="auto"/>
                <w:sz w:val="21"/>
                <w:szCs w:val="21"/>
                <w:highlight w:val="none"/>
                <w:lang w:val="en-US" w:eastAsia="en-US" w:bidi="ar-SA"/>
              </w:rPr>
              <w:t>）查询结果为准）。</w:t>
            </w:r>
          </w:p>
        </w:tc>
      </w:tr>
      <w:tr w14:paraId="6ED2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7DBAC57B">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3</w:t>
            </w:r>
          </w:p>
        </w:tc>
        <w:tc>
          <w:tcPr>
            <w:tcW w:w="8275" w:type="dxa"/>
            <w:tcBorders>
              <w:tl2br w:val="nil"/>
              <w:tr2bl w:val="nil"/>
            </w:tcBorders>
            <w:vAlign w:val="center"/>
          </w:tcPr>
          <w:p w14:paraId="47EA72C4">
            <w:pPr>
              <w:widowControl w:val="0"/>
              <w:kinsoku/>
              <w:adjustRightInd w:val="0"/>
              <w:snapToGrid w:val="0"/>
              <w:spacing w:beforeLines="0" w:afterLines="0" w:line="360" w:lineRule="exact"/>
              <w:ind w:firstLine="420" w:firstLineChars="200"/>
              <w:jc w:val="left"/>
              <w:textAlignment w:val="baseline"/>
              <w:rPr>
                <w:rFonts w:ascii="宋体" w:eastAsia="宋体" w:cs="微软雅黑"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 xml:space="preserve">项目技术负责人应持有 </w:t>
            </w:r>
            <w:r>
              <w:rPr>
                <w:rFonts w:hint="eastAsia" w:ascii="宋体" w:eastAsia="宋体" w:cs="Times New Roman" w:hAnsiTheme="minorEastAsia"/>
                <w:bCs/>
                <w:snapToGrid w:val="0"/>
                <w:color w:val="auto"/>
                <w:kern w:val="2"/>
                <w:sz w:val="21"/>
                <w:szCs w:val="21"/>
                <w:highlight w:val="none"/>
                <w:u w:val="single"/>
                <w:lang w:val="en-US" w:eastAsia="zh-CN" w:bidi="ar-SA"/>
              </w:rPr>
              <w:t>水利水电工程专业一级建造师注册执业资格</w:t>
            </w:r>
            <w:r>
              <w:rPr>
                <w:rFonts w:hint="eastAsia" w:cs="Times New Roman" w:hAnsiTheme="minorEastAsia"/>
                <w:bCs/>
                <w:snapToGrid w:val="0"/>
                <w:color w:val="auto"/>
                <w:kern w:val="2"/>
                <w:sz w:val="21"/>
                <w:szCs w:val="21"/>
                <w:highlight w:val="none"/>
                <w:u w:val="single"/>
                <w:lang w:val="en-US" w:eastAsia="zh-CN" w:bidi="ar-SA"/>
              </w:rPr>
              <w:t>或</w:t>
            </w:r>
            <w:r>
              <w:rPr>
                <w:rFonts w:hint="eastAsia" w:ascii="宋体" w:eastAsia="宋体" w:cs="Times New Roman" w:hAnsiTheme="minorEastAsia"/>
                <w:bCs/>
                <w:snapToGrid w:val="0"/>
                <w:color w:val="auto"/>
                <w:kern w:val="2"/>
                <w:sz w:val="21"/>
                <w:szCs w:val="21"/>
                <w:highlight w:val="none"/>
                <w:u w:val="single"/>
                <w:lang w:val="en-US" w:eastAsia="zh-CN" w:bidi="ar-SA"/>
              </w:rPr>
              <w:t>水利水电工程专业高级工程师及以上职称</w:t>
            </w:r>
            <w:r>
              <w:rPr>
                <w:rFonts w:ascii="宋体" w:eastAsia="宋体" w:cs="宋体" w:hAnsiTheme="minorEastAsia"/>
                <w:snapToGrid w:val="0"/>
                <w:color w:val="auto"/>
                <w:sz w:val="21"/>
                <w:szCs w:val="21"/>
                <w:highlight w:val="none"/>
                <w:lang w:val="en-US" w:eastAsia="zh-CN" w:bidi="ar-SA"/>
              </w:rPr>
              <w:t>证书</w:t>
            </w:r>
            <w:r>
              <w:rPr>
                <w:rFonts w:ascii="宋体" w:eastAsia="宋体" w:cs="微软雅黑" w:hAnsiTheme="minorEastAsia"/>
                <w:snapToGrid w:val="0"/>
                <w:color w:val="auto"/>
                <w:sz w:val="21"/>
                <w:szCs w:val="21"/>
                <w:highlight w:val="none"/>
                <w:lang w:val="en-US" w:eastAsia="zh-CN" w:bidi="ar-SA"/>
              </w:rPr>
              <w:t>。</w:t>
            </w:r>
          </w:p>
        </w:tc>
      </w:tr>
      <w:tr w14:paraId="745C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3FB8F344">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4</w:t>
            </w:r>
          </w:p>
        </w:tc>
        <w:tc>
          <w:tcPr>
            <w:tcW w:w="8275" w:type="dxa"/>
            <w:tcBorders>
              <w:tl2br w:val="nil"/>
              <w:tr2bl w:val="nil"/>
            </w:tcBorders>
            <w:vAlign w:val="center"/>
          </w:tcPr>
          <w:p w14:paraId="09A1ECA6">
            <w:pPr>
              <w:widowControl w:val="0"/>
              <w:kinsoku/>
              <w:adjustRightInd w:val="0"/>
              <w:snapToGrid w:val="0"/>
              <w:spacing w:beforeLines="0" w:afterLines="0" w:line="360" w:lineRule="exact"/>
              <w:ind w:firstLine="420" w:firstLineChars="200"/>
              <w:jc w:val="left"/>
              <w:textAlignment w:val="baseline"/>
              <w:rPr>
                <w:rFonts w:hint="default"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项目安全员、质检员和施工员应持有中国水利工程协会或中国水利企业协会颁发的全国水利水电工程施工现场管理人员培训合格证书。</w:t>
            </w:r>
            <w:r>
              <w:rPr>
                <w:rFonts w:hint="eastAsia" w:cs="宋体" w:hAnsiTheme="minorEastAsia"/>
                <w:snapToGrid w:val="0"/>
                <w:color w:val="auto"/>
                <w:sz w:val="21"/>
                <w:szCs w:val="21"/>
                <w:highlight w:val="none"/>
                <w:lang w:val="en-US" w:eastAsia="zh-CN" w:bidi="ar-SA"/>
              </w:rPr>
              <w:t xml:space="preserve"> </w:t>
            </w:r>
          </w:p>
        </w:tc>
      </w:tr>
      <w:tr w14:paraId="667E2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608B64D7">
            <w:pPr>
              <w:rPr>
                <w:color w:val="auto"/>
                <w:highlight w:val="none"/>
              </w:rPr>
            </w:pPr>
          </w:p>
          <w:p w14:paraId="76DD766B">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5</w:t>
            </w:r>
          </w:p>
        </w:tc>
        <w:tc>
          <w:tcPr>
            <w:tcW w:w="8275" w:type="dxa"/>
            <w:tcBorders>
              <w:tl2br w:val="nil"/>
              <w:tr2bl w:val="nil"/>
            </w:tcBorders>
            <w:vAlign w:val="center"/>
          </w:tcPr>
          <w:p w14:paraId="25BCDB1F">
            <w:pPr>
              <w:kinsoku/>
              <w:spacing w:beforeLines="0" w:afterLines="0" w:line="360" w:lineRule="exact"/>
              <w:ind w:firstLine="420" w:firstLineChars="200"/>
              <w:jc w:val="left"/>
              <w:rPr>
                <w:rFonts w:ascii="宋体" w:eastAsia="宋体" w:hAnsiTheme="minorEastAsia"/>
                <w:color w:val="auto"/>
                <w:sz w:val="21"/>
                <w:highlight w:val="none"/>
              </w:rPr>
            </w:pPr>
            <w:r>
              <w:rPr>
                <w:rFonts w:ascii="宋体" w:eastAsia="宋体" w:cs="新宋体" w:hAnsiTheme="minorEastAsia"/>
                <w:color w:val="auto"/>
                <w:sz w:val="21"/>
                <w:highlight w:val="none"/>
                <w:lang w:eastAsia="zh-CN"/>
              </w:rPr>
              <w:t>项目负责人自</w:t>
            </w:r>
            <w:r>
              <w:rPr>
                <w:rFonts w:ascii="宋体" w:eastAsia="宋体" w:cs="新宋体" w:hAnsiTheme="minorEastAsia"/>
                <w:color w:val="auto"/>
                <w:sz w:val="21"/>
                <w:highlight w:val="none"/>
                <w:u w:val="single"/>
                <w:lang w:eastAsia="zh-CN"/>
              </w:rPr>
              <w:t>2019</w:t>
            </w:r>
            <w:r>
              <w:rPr>
                <w:rFonts w:ascii="宋体" w:eastAsia="宋体" w:cs="新宋体" w:hAnsiTheme="minorEastAsia"/>
                <w:color w:val="auto"/>
                <w:sz w:val="21"/>
                <w:highlight w:val="none"/>
                <w:lang w:eastAsia="zh-CN"/>
              </w:rPr>
              <w:t>年</w:t>
            </w:r>
            <w:r>
              <w:rPr>
                <w:rFonts w:hint="eastAsia" w:cs="新宋体" w:hAnsiTheme="minorEastAsia"/>
                <w:color w:val="auto"/>
                <w:sz w:val="21"/>
                <w:highlight w:val="none"/>
                <w:u w:val="single"/>
                <w:lang w:val="en-US" w:eastAsia="zh-CN"/>
              </w:rPr>
              <w:t>7</w:t>
            </w:r>
            <w:r>
              <w:rPr>
                <w:rFonts w:ascii="宋体" w:eastAsia="宋体" w:cs="新宋体" w:hAnsiTheme="minorEastAsia"/>
                <w:color w:val="auto"/>
                <w:sz w:val="21"/>
                <w:highlight w:val="none"/>
                <w:lang w:eastAsia="zh-CN"/>
              </w:rPr>
              <w:t>月</w:t>
            </w:r>
            <w:r>
              <w:rPr>
                <w:rFonts w:ascii="宋体" w:eastAsia="宋体" w:cs="新宋体" w:hAnsiTheme="minorEastAsia"/>
                <w:color w:val="auto"/>
                <w:sz w:val="21"/>
                <w:highlight w:val="none"/>
                <w:u w:val="single"/>
                <w:lang w:eastAsia="zh-CN"/>
              </w:rPr>
              <w:t>1</w:t>
            </w:r>
            <w:r>
              <w:rPr>
                <w:rFonts w:ascii="宋体" w:eastAsia="宋体" w:cs="新宋体" w:hAnsiTheme="minorEastAsia"/>
                <w:color w:val="auto"/>
                <w:sz w:val="21"/>
                <w:highlight w:val="none"/>
                <w:lang w:eastAsia="zh-CN"/>
              </w:rPr>
              <w:t>日至投标截止时间〔日期以完工（竣工）验收鉴定书或工程质量（安全）监督报告中明确的完工（竣工）日期为准〕，以项目负责人或技术负责人（包括工程总承包项目中的施工负责人或施工技术负责人）身份完成过</w:t>
            </w:r>
            <w:r>
              <w:rPr>
                <w:rFonts w:hint="eastAsia" w:cs="新宋体" w:hAnsiTheme="minorEastAsia"/>
                <w:color w:val="auto"/>
                <w:sz w:val="21"/>
                <w:highlight w:val="none"/>
                <w:lang w:eastAsia="zh-CN"/>
              </w:rPr>
              <w:t>中国境内长度2400m及以上的新建水工隧洞</w:t>
            </w:r>
            <w:r>
              <w:rPr>
                <w:rFonts w:ascii="宋体" w:eastAsia="宋体" w:cs="新宋体" w:hAnsiTheme="minorEastAsia"/>
                <w:color w:val="auto"/>
                <w:sz w:val="21"/>
                <w:highlight w:val="none"/>
                <w:lang w:eastAsia="zh-CN"/>
              </w:rPr>
              <w:t>工程业绩</w:t>
            </w:r>
            <w:r>
              <w:rPr>
                <w:rFonts w:hint="eastAsia" w:cs="宋体"/>
                <w:color w:val="auto"/>
                <w:sz w:val="21"/>
                <w:highlight w:val="none"/>
                <w:u w:val="single"/>
                <w:shd w:val="clear" w:color="auto" w:fill="FFFFFF"/>
                <w:lang w:eastAsia="zh-CN"/>
              </w:rPr>
              <w:t>（“水工隧洞工程”定义按水工隧洞设计规范（SL 279-2016）执行，指在山体中或地下开挖的、具有封闭断面的过水通道）</w:t>
            </w:r>
            <w:r>
              <w:rPr>
                <w:rFonts w:ascii="宋体" w:eastAsia="宋体" w:hAnsiTheme="minorEastAsia"/>
                <w:color w:val="auto"/>
                <w:sz w:val="21"/>
                <w:highlight w:val="none"/>
                <w:lang w:eastAsia="zh-CN"/>
              </w:rPr>
              <w:t>。</w:t>
            </w:r>
            <w:r>
              <w:rPr>
                <w:rFonts w:ascii="宋体" w:eastAsia="宋体" w:hAnsiTheme="minorEastAsia"/>
                <w:color w:val="auto"/>
                <w:sz w:val="21"/>
                <w:highlight w:val="none"/>
              </w:rPr>
              <w:t>业绩证明材料见下文。</w:t>
            </w:r>
          </w:p>
        </w:tc>
      </w:tr>
      <w:tr w14:paraId="06F0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5E92615E">
            <w:pPr>
              <w:widowControl w:val="0"/>
              <w:kinsoku/>
              <w:adjustRightInd w:val="0"/>
              <w:snapToGrid w:val="0"/>
              <w:spacing w:beforeLines="0" w:afterLines="0" w:line="360" w:lineRule="exact"/>
              <w:ind w:firstLine="0" w:firstLineChars="0"/>
              <w:jc w:val="center"/>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bCs/>
                <w:snapToGrid w:val="0"/>
                <w:color w:val="auto"/>
                <w:sz w:val="21"/>
                <w:szCs w:val="21"/>
                <w:highlight w:val="none"/>
                <w:lang w:val="en-US" w:eastAsia="en-US" w:bidi="ar-SA"/>
              </w:rPr>
              <w:t>三</w:t>
            </w:r>
          </w:p>
        </w:tc>
        <w:tc>
          <w:tcPr>
            <w:tcW w:w="8275" w:type="dxa"/>
            <w:tcBorders>
              <w:tl2br w:val="nil"/>
              <w:tr2bl w:val="nil"/>
            </w:tcBorders>
            <w:vAlign w:val="center"/>
          </w:tcPr>
          <w:p w14:paraId="59140C60">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bCs/>
                <w:snapToGrid w:val="0"/>
                <w:color w:val="auto"/>
                <w:sz w:val="21"/>
                <w:szCs w:val="21"/>
                <w:highlight w:val="none"/>
                <w:lang w:val="en-US" w:eastAsia="en-US" w:bidi="ar-SA"/>
              </w:rPr>
              <w:t>其它</w:t>
            </w:r>
          </w:p>
        </w:tc>
      </w:tr>
      <w:tr w14:paraId="4406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23A5558F">
            <w:pPr>
              <w:rPr>
                <w:color w:val="auto"/>
                <w:highlight w:val="none"/>
              </w:rPr>
            </w:pPr>
          </w:p>
          <w:p w14:paraId="7D068570">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1</w:t>
            </w:r>
          </w:p>
        </w:tc>
        <w:tc>
          <w:tcPr>
            <w:tcW w:w="8275" w:type="dxa"/>
            <w:tcBorders>
              <w:tl2br w:val="nil"/>
              <w:tr2bl w:val="nil"/>
            </w:tcBorders>
            <w:vAlign w:val="center"/>
          </w:tcPr>
          <w:p w14:paraId="163FBBF4">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投标人的“三类人员”（企业主要负责人、项目负责人、专职安全生产管理人员，下同）必须持有省级及以上水行政主管部门颁发的安全生产考核合格证书（</w:t>
            </w:r>
            <w:r>
              <w:rPr>
                <w:rFonts w:ascii="宋体" w:eastAsia="宋体" w:cs="Times New Roman" w:hAnsiTheme="minorEastAsia"/>
                <w:snapToGrid w:val="0"/>
                <w:color w:val="auto"/>
                <w:sz w:val="21"/>
                <w:szCs w:val="21"/>
                <w:highlight w:val="none"/>
                <w:lang w:val="en-US" w:eastAsia="zh-CN" w:bidi="ar-SA"/>
              </w:rPr>
              <w:t>A</w:t>
            </w:r>
            <w:r>
              <w:rPr>
                <w:rFonts w:ascii="宋体" w:eastAsia="宋体" w:cs="宋体" w:hAnsiTheme="minorEastAsia"/>
                <w:snapToGrid w:val="0"/>
                <w:color w:val="auto"/>
                <w:sz w:val="21"/>
                <w:szCs w:val="21"/>
                <w:highlight w:val="none"/>
                <w:lang w:val="en-US" w:eastAsia="zh-CN" w:bidi="ar-SA"/>
              </w:rPr>
              <w:t>、</w:t>
            </w:r>
            <w:r>
              <w:rPr>
                <w:rFonts w:ascii="宋体" w:eastAsia="宋体" w:cs="Times New Roman" w:hAnsiTheme="minorEastAsia"/>
                <w:snapToGrid w:val="0"/>
                <w:color w:val="auto"/>
                <w:sz w:val="21"/>
                <w:szCs w:val="21"/>
                <w:highlight w:val="none"/>
                <w:lang w:val="en-US" w:eastAsia="zh-CN" w:bidi="ar-SA"/>
              </w:rPr>
              <w:t>B</w:t>
            </w:r>
            <w:r>
              <w:rPr>
                <w:rFonts w:ascii="宋体" w:eastAsia="宋体" w:cs="宋体" w:hAnsiTheme="minorEastAsia"/>
                <w:snapToGrid w:val="0"/>
                <w:color w:val="auto"/>
                <w:sz w:val="21"/>
                <w:szCs w:val="21"/>
                <w:highlight w:val="none"/>
                <w:lang w:val="en-US" w:eastAsia="zh-CN" w:bidi="ar-SA"/>
              </w:rPr>
              <w:t>、</w:t>
            </w:r>
            <w:r>
              <w:rPr>
                <w:rFonts w:ascii="宋体" w:eastAsia="宋体" w:cs="Times New Roman" w:hAnsiTheme="minorEastAsia"/>
                <w:snapToGrid w:val="0"/>
                <w:color w:val="auto"/>
                <w:sz w:val="21"/>
                <w:szCs w:val="21"/>
                <w:highlight w:val="none"/>
                <w:lang w:val="en-US" w:eastAsia="zh-CN" w:bidi="ar-SA"/>
              </w:rPr>
              <w:t>C</w:t>
            </w:r>
            <w:r>
              <w:rPr>
                <w:rFonts w:ascii="宋体" w:eastAsia="宋体" w:cs="宋体" w:hAnsiTheme="minorEastAsia"/>
                <w:snapToGrid w:val="0"/>
                <w:color w:val="auto"/>
                <w:sz w:val="21"/>
                <w:szCs w:val="21"/>
                <w:highlight w:val="none"/>
                <w:lang w:val="en-US" w:eastAsia="zh-CN" w:bidi="ar-SA"/>
              </w:rPr>
              <w:t>证），其中企业经理、企业技术负责人、企业分管安全生产的副总经理应有任命文件；专职安全生产管理人员不少于</w:t>
            </w:r>
            <w:r>
              <w:rPr>
                <w:rFonts w:ascii="宋体" w:eastAsia="宋体" w:cs="宋体" w:hAnsiTheme="minorEastAsia"/>
                <w:snapToGrid w:val="0"/>
                <w:color w:val="auto"/>
                <w:sz w:val="21"/>
                <w:szCs w:val="21"/>
                <w:highlight w:val="none"/>
                <w:u w:val="single"/>
                <w:lang w:val="en-US" w:eastAsia="zh-CN" w:bidi="ar-SA"/>
              </w:rPr>
              <w:t>3</w:t>
            </w:r>
            <w:r>
              <w:rPr>
                <w:rFonts w:ascii="宋体" w:eastAsia="宋体" w:cs="宋体" w:hAnsiTheme="minorEastAsia"/>
                <w:snapToGrid w:val="0"/>
                <w:color w:val="auto"/>
                <w:sz w:val="21"/>
                <w:szCs w:val="21"/>
                <w:highlight w:val="none"/>
                <w:lang w:val="en-US" w:eastAsia="zh-CN" w:bidi="ar-SA"/>
              </w:rPr>
              <w:t>人,且不得与拟派项目组其他主要人员相互兼任。</w:t>
            </w:r>
          </w:p>
        </w:tc>
      </w:tr>
      <w:tr w14:paraId="4F7E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1A1A122D">
            <w:pPr>
              <w:rPr>
                <w:color w:val="auto"/>
                <w:highlight w:val="none"/>
              </w:rPr>
            </w:pPr>
          </w:p>
          <w:p w14:paraId="20D0CF04">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2</w:t>
            </w:r>
          </w:p>
        </w:tc>
        <w:tc>
          <w:tcPr>
            <w:tcW w:w="8275" w:type="dxa"/>
            <w:tcBorders>
              <w:tl2br w:val="nil"/>
              <w:tr2bl w:val="nil"/>
            </w:tcBorders>
            <w:vAlign w:val="center"/>
          </w:tcPr>
          <w:p w14:paraId="491CD2CE">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拟派项目组主要人员（指项目负责人、项目技术负责人、专职安全生产管理人员、安全员、质检员、施工员，下同）必须已在浙江省水利厅</w:t>
            </w:r>
            <w:r>
              <w:rPr>
                <w:rFonts w:ascii="宋体" w:hAnsi="宋体" w:eastAsia="宋体" w:cs="宋体"/>
                <w:b/>
                <w:bCs/>
                <w:snapToGrid w:val="0"/>
                <w:color w:val="auto"/>
                <w:sz w:val="21"/>
                <w:szCs w:val="21"/>
                <w:highlight w:val="none"/>
                <w:lang w:val="en-US" w:eastAsia="zh-CN" w:bidi="ar-SA"/>
              </w:rPr>
              <w:t>“浙江省水利建设市场信息”上公示</w:t>
            </w:r>
            <w:r>
              <w:rPr>
                <w:rFonts w:ascii="宋体" w:eastAsia="宋体" w:cs="宋体" w:hAnsiTheme="minorEastAsia"/>
                <w:snapToGrid w:val="0"/>
                <w:color w:val="auto"/>
                <w:sz w:val="21"/>
                <w:szCs w:val="21"/>
                <w:highlight w:val="none"/>
                <w:lang w:val="en-US" w:eastAsia="zh-CN" w:bidi="ar-SA"/>
              </w:rPr>
              <w:t>。</w:t>
            </w:r>
          </w:p>
        </w:tc>
      </w:tr>
      <w:tr w14:paraId="5BE2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4C0D26C3">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3</w:t>
            </w:r>
          </w:p>
        </w:tc>
        <w:tc>
          <w:tcPr>
            <w:tcW w:w="8275" w:type="dxa"/>
            <w:tcBorders>
              <w:tl2br w:val="nil"/>
              <w:tr2bl w:val="nil"/>
            </w:tcBorders>
            <w:vAlign w:val="center"/>
          </w:tcPr>
          <w:p w14:paraId="3F4B82D3">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法定代表人的委托代理人（如有）及拟派项目组主要人员应为投标人本单位正式员工。</w:t>
            </w:r>
          </w:p>
        </w:tc>
      </w:tr>
      <w:tr w14:paraId="1F5F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4676A60F">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4</w:t>
            </w:r>
          </w:p>
        </w:tc>
        <w:tc>
          <w:tcPr>
            <w:tcW w:w="8275" w:type="dxa"/>
            <w:tcBorders>
              <w:tl2br w:val="nil"/>
              <w:tr2bl w:val="nil"/>
            </w:tcBorders>
            <w:vAlign w:val="center"/>
          </w:tcPr>
          <w:p w14:paraId="3485209D">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en-US" w:bidi="ar-SA"/>
              </w:rPr>
            </w:pPr>
            <w:r>
              <w:rPr>
                <w:rFonts w:ascii="宋体" w:eastAsia="宋体" w:cs="宋体" w:hAnsiTheme="minorEastAsia"/>
                <w:snapToGrid w:val="0"/>
                <w:color w:val="auto"/>
                <w:sz w:val="21"/>
                <w:szCs w:val="21"/>
                <w:highlight w:val="none"/>
                <w:lang w:val="en-US" w:eastAsia="en-US" w:bidi="ar-SA"/>
              </w:rPr>
              <w:t>投标人及其法定代表人、拟派项目负责人未被列入失信被执行人名单（以“信用中国”网站（</w:t>
            </w:r>
            <w:r>
              <w:rPr>
                <w:rFonts w:ascii="宋体" w:eastAsia="宋体" w:cs="Times New Roman" w:hAnsiTheme="minorEastAsia"/>
                <w:snapToGrid w:val="0"/>
                <w:color w:val="auto"/>
                <w:sz w:val="21"/>
                <w:szCs w:val="21"/>
                <w:highlight w:val="none"/>
                <w:lang w:val="en-US" w:eastAsia="en-US" w:bidi="ar-SA"/>
              </w:rPr>
              <w:t>www.creditchina.gov.cn</w:t>
            </w:r>
            <w:r>
              <w:rPr>
                <w:rFonts w:ascii="宋体" w:eastAsia="宋体" w:cs="宋体" w:hAnsiTheme="minorEastAsia"/>
                <w:snapToGrid w:val="0"/>
                <w:color w:val="auto"/>
                <w:sz w:val="21"/>
                <w:szCs w:val="21"/>
                <w:highlight w:val="none"/>
                <w:lang w:val="en-US" w:eastAsia="en-US" w:bidi="ar-SA"/>
              </w:rPr>
              <w:t>）查询为准）</w:t>
            </w:r>
          </w:p>
        </w:tc>
      </w:tr>
      <w:tr w14:paraId="16E2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0514A9A6">
            <w:pPr>
              <w:kinsoku/>
              <w:spacing w:beforeLines="0" w:afterLines="0" w:line="360" w:lineRule="exact"/>
              <w:ind w:firstLine="0" w:firstLineChars="0"/>
              <w:jc w:val="center"/>
              <w:rPr>
                <w:rFonts w:ascii="宋体" w:eastAsia="宋体" w:cs="Times New Roman" w:hAnsiTheme="minorEastAsia"/>
                <w:color w:val="auto"/>
                <w:sz w:val="21"/>
                <w:highlight w:val="none"/>
              </w:rPr>
            </w:pPr>
            <w:r>
              <w:rPr>
                <w:rFonts w:ascii="宋体" w:eastAsia="宋体" w:cs="Times New Roman" w:hAnsiTheme="minorEastAsia"/>
                <w:color w:val="auto"/>
                <w:sz w:val="21"/>
                <w:highlight w:val="none"/>
              </w:rPr>
              <w:t>5</w:t>
            </w:r>
          </w:p>
        </w:tc>
        <w:tc>
          <w:tcPr>
            <w:tcW w:w="8275" w:type="dxa"/>
            <w:tcBorders>
              <w:tl2br w:val="nil"/>
              <w:tr2bl w:val="nil"/>
            </w:tcBorders>
            <w:vAlign w:val="center"/>
          </w:tcPr>
          <w:p w14:paraId="573B5E86">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ascii="宋体" w:eastAsia="宋体" w:cs="宋体" w:hAnsiTheme="minorEastAsia"/>
                <w:snapToGrid w:val="0"/>
                <w:color w:val="auto"/>
                <w:sz w:val="21"/>
                <w:szCs w:val="21"/>
                <w:highlight w:val="none"/>
                <w:lang w:val="en-US" w:eastAsia="zh-CN" w:bidi="ar-SA"/>
              </w:rPr>
              <w:t>投标人、投标人的“三类人员”、拟派项目组主要人员未被列入全国水利建设市场信用平台“黑名单”。</w:t>
            </w:r>
          </w:p>
        </w:tc>
      </w:tr>
      <w:tr w14:paraId="2E84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32" w:type="dxa"/>
            <w:tcBorders>
              <w:tl2br w:val="nil"/>
              <w:tr2bl w:val="nil"/>
            </w:tcBorders>
            <w:vAlign w:val="center"/>
          </w:tcPr>
          <w:p w14:paraId="75625F7A">
            <w:pPr>
              <w:kinsoku/>
              <w:spacing w:beforeLines="0" w:afterLines="0" w:line="360" w:lineRule="exact"/>
              <w:ind w:firstLine="0" w:firstLineChars="0"/>
              <w:jc w:val="center"/>
              <w:rPr>
                <w:rFonts w:ascii="宋体" w:eastAsia="宋体" w:cs="Times New Roman" w:hAnsiTheme="minorEastAsia"/>
                <w:color w:val="auto"/>
                <w:sz w:val="21"/>
                <w:highlight w:val="none"/>
                <w:lang w:eastAsia="zh-CN"/>
              </w:rPr>
            </w:pPr>
            <w:r>
              <w:rPr>
                <w:rFonts w:ascii="宋体" w:eastAsia="宋体" w:cs="Times New Roman" w:hAnsiTheme="minorEastAsia"/>
                <w:color w:val="auto"/>
                <w:sz w:val="21"/>
                <w:highlight w:val="none"/>
                <w:lang w:eastAsia="zh-CN"/>
              </w:rPr>
              <w:t>6</w:t>
            </w:r>
          </w:p>
        </w:tc>
        <w:tc>
          <w:tcPr>
            <w:tcW w:w="8275" w:type="dxa"/>
            <w:tcBorders>
              <w:tl2br w:val="nil"/>
              <w:tr2bl w:val="nil"/>
            </w:tcBorders>
            <w:vAlign w:val="center"/>
          </w:tcPr>
          <w:p w14:paraId="2417502F">
            <w:pPr>
              <w:widowControl w:val="0"/>
              <w:kinsoku/>
              <w:adjustRightInd w:val="0"/>
              <w:snapToGrid w:val="0"/>
              <w:spacing w:beforeLines="0" w:afterLines="0" w:line="360" w:lineRule="exact"/>
              <w:ind w:firstLine="420" w:firstLineChars="200"/>
              <w:jc w:val="left"/>
              <w:textAlignment w:val="baseline"/>
              <w:rPr>
                <w:rFonts w:ascii="宋体" w:eastAsia="宋体" w:cs="宋体" w:hAnsiTheme="minorEastAsia"/>
                <w:snapToGrid w:val="0"/>
                <w:color w:val="auto"/>
                <w:sz w:val="21"/>
                <w:szCs w:val="21"/>
                <w:highlight w:val="none"/>
                <w:lang w:val="en-US" w:eastAsia="zh-CN" w:bidi="ar-SA"/>
              </w:rPr>
            </w:pPr>
            <w:r>
              <w:rPr>
                <w:rFonts w:hint="eastAsia" w:ascii="宋体" w:eastAsia="宋体" w:cs="宋体" w:hAnsiTheme="minorEastAsia"/>
                <w:snapToGrid w:val="0"/>
                <w:color w:val="auto"/>
                <w:sz w:val="21"/>
                <w:szCs w:val="21"/>
                <w:highlight w:val="none"/>
                <w:lang w:val="en-US" w:eastAsia="zh-CN" w:bidi="ar-SA"/>
              </w:rPr>
              <w:t>……</w:t>
            </w:r>
          </w:p>
        </w:tc>
      </w:tr>
    </w:tbl>
    <w:p w14:paraId="527EC8B0">
      <w:pPr>
        <w:kinsoku/>
        <w:spacing w:before="0"/>
        <w:ind w:firstLine="0"/>
        <w:rPr>
          <w:rFonts w:ascii="宋体" w:hAnsi="新宋体" w:eastAsia="宋体" w:cs="新宋体"/>
          <w:color w:val="auto"/>
          <w:highlight w:val="none"/>
          <w:lang w:eastAsia="zh-CN"/>
        </w:rPr>
      </w:pPr>
    </w:p>
    <w:p w14:paraId="3F4ECE3D">
      <w:pPr>
        <w:kinsoku/>
        <w:spacing w:before="0" w:beforeLines="0" w:afterLines="0"/>
        <w:ind w:firstLine="420"/>
        <w:jc w:val="left"/>
        <w:rPr>
          <w:rFonts w:ascii="宋体" w:hAnsi="新宋体" w:eastAsia="宋体" w:cs="新宋体"/>
          <w:color w:val="auto"/>
          <w:highlight w:val="none"/>
          <w:lang w:eastAsia="zh-CN"/>
        </w:rPr>
      </w:pPr>
      <w:r>
        <w:rPr>
          <w:rFonts w:ascii="宋体" w:hAnsi="新宋体" w:eastAsia="宋体" w:cs="新宋体"/>
          <w:color w:val="auto"/>
          <w:highlight w:val="none"/>
          <w:lang w:eastAsia="zh-CN"/>
        </w:rPr>
        <w:t>投标人及其拟派项目负责人的类似项目业绩要求详见上表，该业绩须已在浙江省水利厅“浙江省水利建设市场信息”上公示。</w:t>
      </w:r>
    </w:p>
    <w:p w14:paraId="02CE2C7A">
      <w:pPr>
        <w:kinsoku/>
        <w:spacing w:before="0" w:beforeLines="0" w:afterLines="0"/>
        <w:ind w:firstLine="420"/>
        <w:jc w:val="left"/>
        <w:rPr>
          <w:rFonts w:ascii="宋体" w:hAnsi="新宋体" w:eastAsia="宋体" w:cs="新宋体"/>
          <w:color w:val="auto"/>
          <w:highlight w:val="none"/>
          <w:lang w:eastAsia="zh-CN"/>
        </w:rPr>
      </w:pPr>
      <w:r>
        <w:rPr>
          <w:rFonts w:ascii="宋体" w:hAnsi="新宋体" w:eastAsia="宋体" w:cs="新宋体"/>
          <w:color w:val="auto"/>
          <w:highlight w:val="none"/>
          <w:lang w:eastAsia="zh-CN"/>
        </w:rPr>
        <w:t>类似项目业绩证明材料指：（</w:t>
      </w:r>
      <w:r>
        <w:rPr>
          <w:rFonts w:ascii="宋体" w:hAnsi="Times New Roman" w:eastAsia="宋体" w:cs="Times New Roman"/>
          <w:color w:val="auto"/>
          <w:highlight w:val="none"/>
          <w:lang w:eastAsia="zh-CN"/>
        </w:rPr>
        <w:t>1</w:t>
      </w:r>
      <w:r>
        <w:rPr>
          <w:rFonts w:ascii="宋体" w:hAnsi="新宋体" w:eastAsia="宋体" w:cs="新宋体"/>
          <w:color w:val="auto"/>
          <w:highlight w:val="none"/>
          <w:lang w:eastAsia="zh-CN"/>
        </w:rPr>
        <w:t>）合同，以及由</w:t>
      </w:r>
      <w:r>
        <w:rPr>
          <w:rFonts w:hint="eastAsia" w:ascii="宋体" w:hAnsi="新宋体" w:eastAsia="宋体" w:cs="新宋体"/>
          <w:color w:val="auto"/>
          <w:highlight w:val="none"/>
          <w:lang w:eastAsia="zh-CN"/>
        </w:rPr>
        <w:t>项目法人或</w:t>
      </w:r>
      <w:r>
        <w:rPr>
          <w:rFonts w:ascii="宋体" w:hAnsi="新宋体" w:eastAsia="宋体" w:cs="新宋体"/>
          <w:color w:val="auto"/>
          <w:highlight w:val="none"/>
          <w:lang w:eastAsia="zh-CN"/>
        </w:rPr>
        <w:t>行政主管部门出具的完工（竣工）验收鉴定书〔或质量监督机构出具对应的完工（竣工）质量（安全）监督报告〕，若工程规模、特征等无法认定的，以初步设计批复（包括设计变更批复） 或施工图纸为依据；（</w:t>
      </w:r>
      <w:r>
        <w:rPr>
          <w:rFonts w:ascii="宋体" w:hAnsi="Times New Roman" w:eastAsia="宋体" w:cs="Times New Roman"/>
          <w:color w:val="auto"/>
          <w:highlight w:val="none"/>
          <w:lang w:eastAsia="zh-CN"/>
        </w:rPr>
        <w:t>2</w:t>
      </w:r>
      <w:r>
        <w:rPr>
          <w:rFonts w:ascii="宋体" w:hAnsi="新宋体" w:eastAsia="宋体" w:cs="新宋体"/>
          <w:color w:val="auto"/>
          <w:highlight w:val="none"/>
          <w:lang w:eastAsia="zh-CN"/>
        </w:rPr>
        <w:t>）浙江省水利厅</w:t>
      </w:r>
      <w:r>
        <w:rPr>
          <w:rFonts w:ascii="宋体" w:eastAsia="宋体" w:cs="宋体"/>
          <w:bCs/>
          <w:color w:val="auto"/>
          <w:highlight w:val="none"/>
          <w:lang w:eastAsia="zh-CN"/>
        </w:rPr>
        <w:t>“</w:t>
      </w:r>
      <w:r>
        <w:rPr>
          <w:rFonts w:ascii="宋体" w:hAnsi="新宋体" w:eastAsia="宋体" w:cs="新宋体"/>
          <w:color w:val="auto"/>
          <w:highlight w:val="none"/>
          <w:lang w:eastAsia="zh-CN"/>
        </w:rPr>
        <w:t>浙江省水利工程建设管理系统（透明工程）”下载业绩打印件，打印件应含有“浙江水利透明工程”水印。（上述（</w:t>
      </w:r>
      <w:r>
        <w:rPr>
          <w:rFonts w:ascii="宋体" w:hAnsi="Times New Roman" w:eastAsia="宋体" w:cs="Times New Roman"/>
          <w:color w:val="auto"/>
          <w:highlight w:val="none"/>
          <w:lang w:eastAsia="zh-CN"/>
        </w:rPr>
        <w:t>1</w:t>
      </w:r>
      <w:r>
        <w:rPr>
          <w:rFonts w:ascii="宋体" w:hAnsi="新宋体" w:eastAsia="宋体" w:cs="新宋体"/>
          <w:color w:val="auto"/>
          <w:highlight w:val="none"/>
          <w:lang w:eastAsia="zh-CN"/>
        </w:rPr>
        <w:t>）、（</w:t>
      </w:r>
      <w:r>
        <w:rPr>
          <w:rFonts w:ascii="宋体" w:hAnsi="Times New Roman" w:eastAsia="宋体" w:cs="Times New Roman"/>
          <w:color w:val="auto"/>
          <w:highlight w:val="none"/>
          <w:lang w:eastAsia="zh-CN"/>
        </w:rPr>
        <w:t>2</w:t>
      </w:r>
      <w:r>
        <w:rPr>
          <w:rFonts w:ascii="宋体" w:hAnsi="新宋体" w:eastAsia="宋体" w:cs="新宋体"/>
          <w:color w:val="auto"/>
          <w:highlight w:val="none"/>
          <w:lang w:eastAsia="zh-CN"/>
        </w:rPr>
        <w:t>）项须同时提供）</w:t>
      </w:r>
      <w:r>
        <w:rPr>
          <w:rFonts w:hint="eastAsia" w:hAnsi="新宋体" w:cs="新宋体"/>
          <w:color w:val="auto"/>
          <w:highlight w:val="none"/>
          <w:lang w:val="en-US" w:eastAsia="zh-CN"/>
        </w:rPr>
        <w:t>。</w:t>
      </w:r>
    </w:p>
    <w:p w14:paraId="74A891B6">
      <w:pPr>
        <w:kinsoku/>
        <w:spacing w:before="0" w:beforeLines="0" w:afterLines="0"/>
        <w:ind w:firstLine="420"/>
        <w:jc w:val="left"/>
        <w:rPr>
          <w:rFonts w:ascii="宋体" w:hAnsi="新宋体" w:eastAsia="宋体" w:cs="新宋体"/>
          <w:color w:val="auto"/>
          <w:highlight w:val="none"/>
          <w:lang w:eastAsia="zh-CN"/>
        </w:rPr>
      </w:pPr>
      <w:r>
        <w:rPr>
          <w:rFonts w:ascii="宋体" w:hAnsi="新宋体" w:eastAsia="宋体" w:cs="新宋体"/>
          <w:color w:val="auto"/>
          <w:highlight w:val="none"/>
          <w:lang w:eastAsia="zh-CN"/>
        </w:rPr>
        <w:t>业绩要求的项目负责人、技术负责人的身份以</w:t>
      </w:r>
      <w:r>
        <w:rPr>
          <w:rFonts w:ascii="宋体" w:eastAsia="宋体" w:cs="宋体"/>
          <w:bCs/>
          <w:color w:val="auto"/>
          <w:highlight w:val="none"/>
          <w:lang w:eastAsia="zh-CN"/>
        </w:rPr>
        <w:t>“</w:t>
      </w:r>
      <w:r>
        <w:rPr>
          <w:rFonts w:ascii="宋体" w:hAnsi="新宋体" w:eastAsia="宋体" w:cs="新宋体"/>
          <w:color w:val="auto"/>
          <w:highlight w:val="none"/>
          <w:lang w:eastAsia="zh-CN"/>
        </w:rPr>
        <w:t>浙江省水利工程建设管理系统（透明工程）”业绩打印件为准，业绩打印件与业绩证明材料（</w:t>
      </w:r>
      <w:r>
        <w:rPr>
          <w:rFonts w:ascii="宋体" w:hAnsi="Times New Roman" w:eastAsia="宋体" w:cs="Times New Roman"/>
          <w:color w:val="auto"/>
          <w:highlight w:val="none"/>
          <w:lang w:eastAsia="zh-CN"/>
        </w:rPr>
        <w:t>1</w:t>
      </w:r>
      <w:r>
        <w:rPr>
          <w:rFonts w:ascii="宋体" w:hAnsi="新宋体" w:eastAsia="宋体" w:cs="新宋体"/>
          <w:color w:val="auto"/>
          <w:highlight w:val="none"/>
          <w:lang w:eastAsia="zh-CN"/>
        </w:rPr>
        <w:t>）合同、</w:t>
      </w:r>
      <w:r>
        <w:rPr>
          <w:rFonts w:hint="eastAsia" w:ascii="宋体" w:hAnsi="新宋体" w:eastAsia="宋体" w:cs="新宋体"/>
          <w:color w:val="auto"/>
          <w:highlight w:val="none"/>
          <w:lang w:eastAsia="zh-CN"/>
        </w:rPr>
        <w:t>以及由项目法人出具的完工（竣工）验收鉴定书〔或质量监督机构出具对应的完工（竣工）质量（安全）监督报告〕的其中之一</w:t>
      </w:r>
      <w:r>
        <w:rPr>
          <w:rFonts w:ascii="宋体" w:hAnsi="新宋体" w:eastAsia="宋体" w:cs="新宋体"/>
          <w:color w:val="auto"/>
          <w:highlight w:val="none"/>
          <w:lang w:eastAsia="zh-CN"/>
        </w:rPr>
        <w:t>一致的，该业绩予以认可，均不一致的，该业绩不予</w:t>
      </w:r>
    </w:p>
    <w:p w14:paraId="241B22A1">
      <w:pPr>
        <w:kinsoku/>
        <w:spacing w:before="0" w:beforeLines="0" w:afterLines="0"/>
        <w:ind w:firstLine="0" w:firstLineChars="0"/>
        <w:jc w:val="left"/>
        <w:rPr>
          <w:rFonts w:ascii="宋体" w:hAnsi="新宋体" w:eastAsia="宋体" w:cs="新宋体"/>
          <w:color w:val="auto"/>
          <w:highlight w:val="none"/>
          <w:lang w:eastAsia="zh-CN"/>
        </w:rPr>
      </w:pPr>
      <w:r>
        <w:rPr>
          <w:rFonts w:ascii="宋体" w:hAnsi="新宋体" w:eastAsia="宋体" w:cs="新宋体"/>
          <w:color w:val="auto"/>
          <w:highlight w:val="none"/>
          <w:lang w:eastAsia="zh-CN"/>
        </w:rPr>
        <w:t>认可</w:t>
      </w:r>
      <w:r>
        <w:rPr>
          <w:rFonts w:hint="eastAsia" w:hAnsi="新宋体" w:cs="新宋体"/>
          <w:color w:val="auto"/>
          <w:highlight w:val="none"/>
          <w:lang w:eastAsia="zh-CN"/>
        </w:rPr>
        <w:t>。</w:t>
      </w:r>
    </w:p>
    <w:p w14:paraId="5E51710A">
      <w:pPr>
        <w:kinsoku/>
        <w:spacing w:before="0" w:beforeLines="0" w:afterLines="0"/>
        <w:ind w:firstLine="420"/>
        <w:jc w:val="left"/>
        <w:rPr>
          <w:rFonts w:ascii="宋体" w:hAnsi="新宋体" w:eastAsia="宋体" w:cs="新宋体"/>
          <w:color w:val="auto"/>
          <w:highlight w:val="none"/>
          <w:lang w:eastAsia="zh-CN"/>
        </w:rPr>
      </w:pPr>
      <w:r>
        <w:rPr>
          <w:rFonts w:ascii="宋体" w:hAnsi="新宋体" w:eastAsia="宋体" w:cs="新宋体"/>
          <w:color w:val="auto"/>
          <w:highlight w:val="none"/>
          <w:lang w:eastAsia="zh-CN"/>
        </w:rPr>
        <w:t>除业绩要求的项目负责人、技术负责人的身份外，</w:t>
      </w:r>
      <w:r>
        <w:rPr>
          <w:rFonts w:ascii="宋体" w:eastAsia="宋体" w:cs="宋体"/>
          <w:bCs/>
          <w:color w:val="auto"/>
          <w:highlight w:val="none"/>
          <w:lang w:eastAsia="zh-CN"/>
        </w:rPr>
        <w:t>“</w:t>
      </w:r>
      <w:r>
        <w:rPr>
          <w:rFonts w:ascii="宋体" w:hAnsi="新宋体" w:eastAsia="宋体" w:cs="新宋体"/>
          <w:color w:val="auto"/>
          <w:highlight w:val="none"/>
          <w:lang w:eastAsia="zh-CN"/>
        </w:rPr>
        <w:t>浙江省水利工程建设管理系统（透明工程）”业绩打印件与项目法人出具的完工（竣工） 验收鉴定书〔或质量监督机构出具对应的完工（竣工）质量（安全）监督报告〕中涉及资格审查的相关信息不一致的，该业绩不予认可。</w:t>
      </w:r>
    </w:p>
    <w:p w14:paraId="5B77B665">
      <w:pPr>
        <w:kinsoku/>
        <w:spacing w:before="0" w:beforeLines="0" w:afterLines="0"/>
        <w:ind w:firstLine="420"/>
        <w:jc w:val="left"/>
        <w:rPr>
          <w:rFonts w:ascii="宋体" w:hAnsi="新宋体" w:eastAsia="宋体" w:cs="新宋体"/>
          <w:color w:val="auto"/>
          <w:highlight w:val="none"/>
          <w:lang w:eastAsia="zh-CN"/>
        </w:rPr>
      </w:pPr>
    </w:p>
    <w:p w14:paraId="2D4287F1">
      <w:pPr>
        <w:kinsoku/>
        <w:adjustRightInd/>
        <w:snapToGrid/>
        <w:spacing w:beforeLines="0" w:afterLines="0" w:line="240" w:lineRule="auto"/>
        <w:ind w:firstLine="420"/>
        <w:jc w:val="left"/>
        <w:textAlignment w:val="auto"/>
        <w:rPr>
          <w:rFonts w:cs="宋体" w:asciiTheme="minorEastAsia" w:eastAsiaTheme="minorEastAsia"/>
          <w:color w:val="auto"/>
          <w:szCs w:val="22"/>
          <w:highlight w:val="none"/>
          <w:lang w:eastAsia="zh-CN"/>
        </w:rPr>
      </w:pPr>
      <w:r>
        <w:rPr>
          <w:rFonts w:cs="宋体" w:asciiTheme="minorEastAsia" w:eastAsiaTheme="minorEastAsia"/>
          <w:color w:val="auto"/>
          <w:szCs w:val="22"/>
          <w:highlight w:val="none"/>
          <w:lang w:eastAsia="zh-CN"/>
        </w:rPr>
        <w:br w:type="page"/>
      </w:r>
    </w:p>
    <w:p w14:paraId="662A2528">
      <w:pPr>
        <w:keepNext/>
        <w:keepLines/>
        <w:widowControl w:val="0"/>
        <w:kinsoku/>
        <w:adjustRightInd w:val="0"/>
        <w:snapToGrid w:val="0"/>
        <w:spacing w:before="0" w:beforeLines="0" w:afterLines="0" w:line="360" w:lineRule="auto"/>
        <w:ind w:left="0" w:firstLine="0" w:firstLineChars="0"/>
        <w:jc w:val="center"/>
        <w:textAlignment w:val="baseline"/>
        <w:outlineLvl w:val="0"/>
        <w:rPr>
          <w:rFonts w:hint="eastAsia" w:ascii="宋体" w:hAnsi="宋体" w:eastAsia="宋体" w:cs="宋体"/>
          <w:b/>
          <w:bCs w:val="0"/>
          <w:snapToGrid w:val="0"/>
          <w:color w:val="auto"/>
          <w:kern w:val="44"/>
          <w:sz w:val="36"/>
          <w:szCs w:val="32"/>
          <w:highlight w:val="none"/>
          <w:lang w:val="en-US" w:eastAsia="zh-CN" w:bidi="ar-SA"/>
        </w:rPr>
      </w:pPr>
      <w:bookmarkStart w:id="86" w:name="_Toc10450"/>
      <w:bookmarkStart w:id="87" w:name="_Toc17610"/>
      <w:bookmarkStart w:id="88" w:name="_Toc6024"/>
      <w:bookmarkStart w:id="89" w:name="_Toc2164"/>
      <w:bookmarkStart w:id="90" w:name="_Toc831"/>
      <w:r>
        <w:rPr>
          <w:rFonts w:hint="eastAsia" w:ascii="宋体" w:hAnsi="宋体" w:eastAsia="宋体" w:cs="宋体"/>
          <w:b/>
          <w:bCs w:val="0"/>
          <w:snapToGrid w:val="0"/>
          <w:color w:val="auto"/>
          <w:kern w:val="44"/>
          <w:sz w:val="36"/>
          <w:szCs w:val="32"/>
          <w:highlight w:val="none"/>
          <w:lang w:val="en-US" w:eastAsia="zh-CN" w:bidi="ar-SA"/>
        </w:rPr>
        <w:t>第二章  投标人须知</w:t>
      </w:r>
      <w:bookmarkEnd w:id="86"/>
      <w:bookmarkEnd w:id="87"/>
      <w:bookmarkEnd w:id="88"/>
      <w:bookmarkEnd w:id="89"/>
      <w:bookmarkEnd w:id="90"/>
    </w:p>
    <w:p w14:paraId="3554B460">
      <w:pPr>
        <w:keepNext/>
        <w:keepLines/>
        <w:widowControl w:val="0"/>
        <w:kinsoku/>
        <w:wordWrap w:val="0"/>
        <w:autoSpaceDE/>
        <w:autoSpaceDN/>
        <w:adjustRightInd w:val="0"/>
        <w:snapToGrid w:val="0"/>
        <w:spacing w:beforeLines="0" w:afterLines="0" w:line="360" w:lineRule="auto"/>
        <w:ind w:firstLine="0" w:firstLineChars="0"/>
        <w:jc w:val="center"/>
        <w:textAlignment w:val="baseline"/>
        <w:outlineLvl w:val="1"/>
        <w:rPr>
          <w:rStyle w:val="60"/>
          <w:rFonts w:hint="eastAsia" w:ascii="宋体" w:hAnsi="宋体" w:eastAsia="宋体" w:cs="宋体"/>
          <w:b/>
          <w:bCs/>
          <w:snapToGrid w:val="0"/>
          <w:color w:val="auto"/>
          <w:sz w:val="30"/>
          <w:szCs w:val="30"/>
          <w:highlight w:val="none"/>
          <w:lang w:val="en-US" w:eastAsia="en-US" w:bidi="ar-SA"/>
        </w:rPr>
      </w:pPr>
      <w:bookmarkStart w:id="91" w:name="_Toc15099"/>
      <w:bookmarkStart w:id="92" w:name="_Toc13906"/>
      <w:bookmarkStart w:id="93" w:name="_Toc9391"/>
      <w:bookmarkStart w:id="94" w:name="_Toc1424"/>
      <w:bookmarkStart w:id="95" w:name="_Toc19855"/>
      <w:r>
        <w:rPr>
          <w:rStyle w:val="60"/>
          <w:rFonts w:hint="eastAsia" w:ascii="宋体" w:hAnsi="宋体" w:eastAsia="宋体" w:cs="宋体"/>
          <w:b/>
          <w:bCs/>
          <w:snapToGrid w:val="0"/>
          <w:color w:val="auto"/>
          <w:sz w:val="30"/>
          <w:szCs w:val="30"/>
          <w:highlight w:val="none"/>
          <w:lang w:val="en-US" w:eastAsia="en-US" w:bidi="ar-SA"/>
        </w:rPr>
        <w:t>投标人须知前附表</w:t>
      </w:r>
      <w:bookmarkEnd w:id="91"/>
      <w:bookmarkEnd w:id="92"/>
      <w:bookmarkEnd w:id="93"/>
      <w:bookmarkEnd w:id="94"/>
      <w:bookmarkEnd w:id="95"/>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35"/>
        <w:gridCol w:w="1812"/>
        <w:gridCol w:w="6273"/>
      </w:tblGrid>
      <w:tr w14:paraId="7EBB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jc w:val="center"/>
        </w:trPr>
        <w:tc>
          <w:tcPr>
            <w:tcW w:w="567" w:type="pct"/>
            <w:tcBorders>
              <w:tl2br w:val="nil"/>
              <w:tr2bl w:val="nil"/>
            </w:tcBorders>
            <w:vAlign w:val="center"/>
          </w:tcPr>
          <w:p w14:paraId="046CA098">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b/>
                <w:snapToGrid w:val="0"/>
                <w:color w:val="auto"/>
                <w:sz w:val="21"/>
                <w:szCs w:val="21"/>
                <w:highlight w:val="none"/>
                <w:lang w:val="en-US" w:eastAsia="zh-CN" w:bidi="ar-SA"/>
              </w:rPr>
            </w:pPr>
            <w:r>
              <w:rPr>
                <w:rFonts w:hint="eastAsia" w:ascii="宋体" w:hAnsi="Times New Roman" w:eastAsia="宋体" w:cs="Times New Roman"/>
                <w:b/>
                <w:snapToGrid w:val="0"/>
                <w:color w:val="auto"/>
                <w:sz w:val="21"/>
                <w:szCs w:val="21"/>
                <w:highlight w:val="none"/>
                <w:lang w:val="en-US" w:eastAsia="en-US" w:bidi="ar-SA"/>
              </w:rPr>
              <w:t>条款号</w:t>
            </w:r>
          </w:p>
        </w:tc>
        <w:tc>
          <w:tcPr>
            <w:tcW w:w="993" w:type="pct"/>
            <w:tcBorders>
              <w:tl2br w:val="nil"/>
              <w:tr2bl w:val="nil"/>
            </w:tcBorders>
            <w:vAlign w:val="center"/>
          </w:tcPr>
          <w:p w14:paraId="1A16C45D">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b/>
                <w:snapToGrid w:val="0"/>
                <w:color w:val="auto"/>
                <w:sz w:val="21"/>
                <w:szCs w:val="21"/>
                <w:highlight w:val="none"/>
                <w:lang w:val="en-US" w:eastAsia="zh-CN" w:bidi="ar-SA"/>
              </w:rPr>
            </w:pPr>
            <w:r>
              <w:rPr>
                <w:rFonts w:hint="eastAsia" w:ascii="宋体" w:hAnsi="Times New Roman" w:eastAsia="宋体" w:cs="Times New Roman"/>
                <w:b/>
                <w:snapToGrid w:val="0"/>
                <w:color w:val="auto"/>
                <w:sz w:val="21"/>
                <w:szCs w:val="21"/>
                <w:highlight w:val="none"/>
                <w:lang w:val="en-US" w:eastAsia="en-US" w:bidi="ar-SA"/>
              </w:rPr>
              <w:t>条款名称</w:t>
            </w:r>
          </w:p>
        </w:tc>
        <w:tc>
          <w:tcPr>
            <w:tcW w:w="3439" w:type="pct"/>
            <w:tcBorders>
              <w:tl2br w:val="nil"/>
              <w:tr2bl w:val="nil"/>
            </w:tcBorders>
            <w:vAlign w:val="center"/>
          </w:tcPr>
          <w:p w14:paraId="3166606B">
            <w:pPr>
              <w:widowControl/>
              <w:kinsoku/>
              <w:adjustRightInd w:val="0"/>
              <w:snapToGrid w:val="0"/>
              <w:spacing w:beforeLines="0" w:afterLines="0" w:line="0" w:lineRule="atLeast"/>
              <w:ind w:left="0" w:right="0" w:firstLine="0" w:firstLineChars="0"/>
              <w:jc w:val="center"/>
              <w:textAlignment w:val="baseline"/>
              <w:rPr>
                <w:rFonts w:ascii="宋体" w:hAnsi="Times New Roman" w:eastAsia="宋体" w:cs="Times New Roman"/>
                <w:b/>
                <w:snapToGrid w:val="0"/>
                <w:color w:val="auto"/>
                <w:sz w:val="21"/>
                <w:szCs w:val="21"/>
                <w:highlight w:val="none"/>
                <w:lang w:val="en-US" w:eastAsia="zh-CN" w:bidi="ar-SA"/>
              </w:rPr>
            </w:pPr>
            <w:r>
              <w:rPr>
                <w:rFonts w:hint="eastAsia" w:ascii="宋体" w:hAnsi="Times New Roman" w:eastAsia="宋体" w:cs="Times New Roman"/>
                <w:b/>
                <w:snapToGrid w:val="0"/>
                <w:color w:val="auto"/>
                <w:sz w:val="21"/>
                <w:szCs w:val="21"/>
                <w:highlight w:val="none"/>
                <w:lang w:val="en-US" w:eastAsia="en-US" w:bidi="ar-SA"/>
              </w:rPr>
              <w:t>编列内容</w:t>
            </w:r>
          </w:p>
        </w:tc>
      </w:tr>
      <w:tr w14:paraId="6EDA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651DE492">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1.1.2</w:t>
            </w:r>
          </w:p>
        </w:tc>
        <w:tc>
          <w:tcPr>
            <w:tcW w:w="993" w:type="pct"/>
            <w:tcBorders>
              <w:tl2br w:val="nil"/>
              <w:tr2bl w:val="nil"/>
            </w:tcBorders>
            <w:vAlign w:val="center"/>
          </w:tcPr>
          <w:p w14:paraId="1FA8FA45">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招标人</w:t>
            </w:r>
          </w:p>
        </w:tc>
        <w:tc>
          <w:tcPr>
            <w:tcW w:w="3439" w:type="pct"/>
            <w:tcBorders>
              <w:tl2br w:val="nil"/>
              <w:tr2bl w:val="nil"/>
            </w:tcBorders>
            <w:vAlign w:val="center"/>
          </w:tcPr>
          <w:p w14:paraId="54B95F4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名称：浙江镜岭水库有限公司</w:t>
            </w:r>
          </w:p>
          <w:p w14:paraId="67991914">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地址：绍兴市越城区</w:t>
            </w:r>
            <w:r>
              <w:rPr>
                <w:rFonts w:hint="eastAsia" w:hAnsi="Times New Roman" w:cs="Times New Roman"/>
                <w:snapToGrid w:val="0"/>
                <w:color w:val="auto"/>
                <w:sz w:val="21"/>
                <w:szCs w:val="21"/>
                <w:highlight w:val="none"/>
                <w:lang w:val="en-US" w:eastAsia="zh-CN" w:bidi="ar-SA"/>
              </w:rPr>
              <w:t>鑫洲国际商务大厦</w:t>
            </w:r>
            <w:r>
              <w:rPr>
                <w:rFonts w:hint="eastAsia" w:ascii="宋体" w:hAnsi="Times New Roman" w:eastAsia="宋体" w:cs="Times New Roman"/>
                <w:snapToGrid w:val="0"/>
                <w:color w:val="auto"/>
                <w:sz w:val="21"/>
                <w:szCs w:val="21"/>
                <w:highlight w:val="none"/>
                <w:lang w:val="en-US" w:eastAsia="zh-CN" w:bidi="ar-SA"/>
              </w:rPr>
              <w:t>15楼</w:t>
            </w:r>
          </w:p>
          <w:p w14:paraId="566B194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联系人：</w:t>
            </w:r>
            <w:r>
              <w:rPr>
                <w:rFonts w:hint="eastAsia" w:hAnsi="Times New Roman" w:cs="Times New Roman"/>
                <w:snapToGrid w:val="0"/>
                <w:color w:val="auto"/>
                <w:sz w:val="21"/>
                <w:szCs w:val="21"/>
                <w:highlight w:val="none"/>
                <w:lang w:val="en-US" w:eastAsia="zh-CN" w:bidi="ar-SA"/>
              </w:rPr>
              <w:t>周工</w:t>
            </w:r>
          </w:p>
          <w:p w14:paraId="74CD5E4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电话：</w:t>
            </w:r>
            <w:r>
              <w:rPr>
                <w:rFonts w:ascii="宋体" w:hAnsi="Times New Roman" w:eastAsia="宋体" w:cs="Times New Roman"/>
                <w:snapToGrid w:val="0"/>
                <w:color w:val="auto"/>
                <w:sz w:val="21"/>
                <w:szCs w:val="21"/>
                <w:highlight w:val="none"/>
                <w:lang w:val="en-US" w:eastAsia="zh-CN" w:bidi="ar-SA"/>
              </w:rPr>
              <w:t>0575-88264812</w:t>
            </w:r>
          </w:p>
          <w:p w14:paraId="52A62DF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传真：</w:t>
            </w:r>
          </w:p>
          <w:p w14:paraId="5903A67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电子信箱：</w:t>
            </w:r>
          </w:p>
        </w:tc>
      </w:tr>
      <w:tr w14:paraId="6775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96A7696">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1.1.3</w:t>
            </w:r>
          </w:p>
        </w:tc>
        <w:tc>
          <w:tcPr>
            <w:tcW w:w="993" w:type="pct"/>
            <w:tcBorders>
              <w:tl2br w:val="nil"/>
              <w:tr2bl w:val="nil"/>
            </w:tcBorders>
            <w:vAlign w:val="center"/>
          </w:tcPr>
          <w:p w14:paraId="08253C9A">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招标代理机构</w:t>
            </w:r>
          </w:p>
        </w:tc>
        <w:tc>
          <w:tcPr>
            <w:tcW w:w="3439" w:type="pct"/>
            <w:tcBorders>
              <w:tl2br w:val="nil"/>
              <w:tr2bl w:val="nil"/>
            </w:tcBorders>
            <w:vAlign w:val="center"/>
          </w:tcPr>
          <w:p w14:paraId="0DB53EA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名称：长江勘测规划设计研究有限责任公司</w:t>
            </w:r>
          </w:p>
          <w:p w14:paraId="5478B79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地址：绍兴市越城区</w:t>
            </w:r>
            <w:r>
              <w:rPr>
                <w:rFonts w:hint="eastAsia" w:hAnsi="Times New Roman" w:cs="Times New Roman"/>
                <w:snapToGrid w:val="0"/>
                <w:color w:val="auto"/>
                <w:sz w:val="21"/>
                <w:szCs w:val="21"/>
                <w:highlight w:val="none"/>
                <w:lang w:val="en-US" w:eastAsia="zh-CN" w:bidi="ar-SA"/>
              </w:rPr>
              <w:t>鑫洲国际商务大厦</w:t>
            </w:r>
            <w:r>
              <w:rPr>
                <w:rFonts w:hint="eastAsia" w:ascii="宋体" w:hAnsi="Times New Roman" w:eastAsia="宋体" w:cs="Times New Roman"/>
                <w:snapToGrid w:val="0"/>
                <w:color w:val="auto"/>
                <w:sz w:val="21"/>
                <w:szCs w:val="21"/>
                <w:highlight w:val="none"/>
                <w:lang w:val="en-US" w:eastAsia="zh-CN" w:bidi="ar-SA"/>
              </w:rPr>
              <w:t>2105室</w:t>
            </w:r>
          </w:p>
          <w:p w14:paraId="163C8F3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联系人：高工</w:t>
            </w:r>
          </w:p>
          <w:p w14:paraId="1FD10EC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电话：</w:t>
            </w:r>
            <w:r>
              <w:rPr>
                <w:rFonts w:ascii="宋体" w:hAnsi="Times New Roman" w:eastAsia="宋体" w:cs="Times New Roman"/>
                <w:snapToGrid w:val="0"/>
                <w:color w:val="auto"/>
                <w:sz w:val="21"/>
                <w:szCs w:val="21"/>
                <w:highlight w:val="none"/>
                <w:lang w:val="en-US" w:eastAsia="zh-CN" w:bidi="ar-SA"/>
              </w:rPr>
              <w:t>13806751365</w:t>
            </w:r>
          </w:p>
          <w:p w14:paraId="1E12197F">
            <w:pPr>
              <w:widowControl/>
              <w:kinsoku/>
              <w:adjustRightInd w:val="0"/>
              <w:snapToGrid w:val="0"/>
              <w:spacing w:beforeLines="0" w:afterLines="0" w:line="0" w:lineRule="atLeast"/>
              <w:ind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传真：</w:t>
            </w:r>
          </w:p>
          <w:p w14:paraId="01C87D2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电子信箱：</w:t>
            </w:r>
            <w:r>
              <w:rPr>
                <w:rFonts w:ascii="宋体" w:hAnsi="Times New Roman" w:eastAsia="宋体" w:cs="Times New Roman"/>
                <w:snapToGrid w:val="0"/>
                <w:color w:val="auto"/>
                <w:sz w:val="21"/>
                <w:szCs w:val="21"/>
                <w:highlight w:val="none"/>
                <w:lang w:val="en-US" w:eastAsia="en-US" w:bidi="ar-SA"/>
              </w:rPr>
              <w:t>284539594@qq.com</w:t>
            </w:r>
          </w:p>
        </w:tc>
      </w:tr>
      <w:tr w14:paraId="2D2BA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1D5B6E0">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1.1.4</w:t>
            </w:r>
          </w:p>
        </w:tc>
        <w:tc>
          <w:tcPr>
            <w:tcW w:w="993" w:type="pct"/>
            <w:tcBorders>
              <w:tl2br w:val="nil"/>
              <w:tr2bl w:val="nil"/>
            </w:tcBorders>
            <w:vAlign w:val="center"/>
          </w:tcPr>
          <w:p w14:paraId="7251313B">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项目及标段名称</w:t>
            </w:r>
          </w:p>
        </w:tc>
        <w:tc>
          <w:tcPr>
            <w:tcW w:w="3439" w:type="pct"/>
            <w:tcBorders>
              <w:tl2br w:val="nil"/>
              <w:tr2bl w:val="nil"/>
            </w:tcBorders>
            <w:vAlign w:val="center"/>
          </w:tcPr>
          <w:p w14:paraId="4EF34019">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kern w:val="2"/>
                <w:sz w:val="21"/>
                <w:highlight w:val="none"/>
                <w:lang w:eastAsia="zh-CN"/>
              </w:rPr>
              <w:t>浙江镜岭水库工程（项目名称）输水工程</w:t>
            </w:r>
            <w:r>
              <w:rPr>
                <w:rFonts w:hint="eastAsia" w:hAnsi="Times New Roman" w:cs="Times New Roman"/>
                <w:color w:val="auto"/>
                <w:kern w:val="2"/>
                <w:sz w:val="21"/>
                <w:highlight w:val="none"/>
                <w:lang w:eastAsia="zh-CN"/>
              </w:rPr>
              <w:t>土建10标</w:t>
            </w:r>
          </w:p>
        </w:tc>
      </w:tr>
      <w:tr w14:paraId="3C03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0C944BE">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1.1.5</w:t>
            </w:r>
          </w:p>
        </w:tc>
        <w:tc>
          <w:tcPr>
            <w:tcW w:w="993" w:type="pct"/>
            <w:tcBorders>
              <w:tl2br w:val="nil"/>
              <w:tr2bl w:val="nil"/>
            </w:tcBorders>
            <w:vAlign w:val="center"/>
          </w:tcPr>
          <w:p w14:paraId="2D056F0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建设地点</w:t>
            </w:r>
          </w:p>
        </w:tc>
        <w:tc>
          <w:tcPr>
            <w:tcW w:w="3439" w:type="pct"/>
            <w:tcBorders>
              <w:tl2br w:val="nil"/>
              <w:tr2bl w:val="nil"/>
            </w:tcBorders>
            <w:vAlign w:val="center"/>
          </w:tcPr>
          <w:p w14:paraId="4BF88911">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sz w:val="21"/>
                <w:highlight w:val="none"/>
                <w:lang w:val="en-US" w:eastAsia="zh-CN"/>
              </w:rPr>
              <w:t>浙江省绍兴市</w:t>
            </w:r>
          </w:p>
        </w:tc>
      </w:tr>
      <w:tr w14:paraId="55C4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5C11DE9">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1.1.6</w:t>
            </w:r>
          </w:p>
        </w:tc>
        <w:tc>
          <w:tcPr>
            <w:tcW w:w="993" w:type="pct"/>
            <w:tcBorders>
              <w:tl2br w:val="nil"/>
              <w:tr2bl w:val="nil"/>
            </w:tcBorders>
            <w:vAlign w:val="center"/>
          </w:tcPr>
          <w:p w14:paraId="5EC517B1">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现场管理机构</w:t>
            </w:r>
          </w:p>
        </w:tc>
        <w:tc>
          <w:tcPr>
            <w:tcW w:w="3439" w:type="pct"/>
            <w:tcBorders>
              <w:tl2br w:val="nil"/>
              <w:tr2bl w:val="nil"/>
            </w:tcBorders>
            <w:vAlign w:val="center"/>
          </w:tcPr>
          <w:p w14:paraId="3C0F9A30">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kern w:val="2"/>
                <w:sz w:val="21"/>
                <w:highlight w:val="none"/>
                <w:lang w:eastAsia="zh-CN"/>
              </w:rPr>
              <w:t>浙江镜岭水库有限公司</w:t>
            </w:r>
          </w:p>
        </w:tc>
      </w:tr>
      <w:tr w14:paraId="0DA8E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F035E64">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1.1.7</w:t>
            </w:r>
          </w:p>
        </w:tc>
        <w:tc>
          <w:tcPr>
            <w:tcW w:w="993" w:type="pct"/>
            <w:tcBorders>
              <w:tl2br w:val="nil"/>
              <w:tr2bl w:val="nil"/>
            </w:tcBorders>
            <w:vAlign w:val="center"/>
          </w:tcPr>
          <w:p w14:paraId="59E5F82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设计人</w:t>
            </w:r>
          </w:p>
        </w:tc>
        <w:tc>
          <w:tcPr>
            <w:tcW w:w="3439" w:type="pct"/>
            <w:tcBorders>
              <w:tl2br w:val="nil"/>
              <w:tr2bl w:val="nil"/>
            </w:tcBorders>
            <w:vAlign w:val="center"/>
          </w:tcPr>
          <w:p w14:paraId="50494036">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kern w:val="2"/>
                <w:sz w:val="21"/>
                <w:highlight w:val="none"/>
                <w:lang w:eastAsia="zh-CN"/>
              </w:rPr>
              <w:t>浙江省水利水电勘测设计院有限责任公司</w:t>
            </w:r>
          </w:p>
        </w:tc>
      </w:tr>
      <w:tr w14:paraId="3426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8912E44">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1.1.8</w:t>
            </w:r>
          </w:p>
        </w:tc>
        <w:tc>
          <w:tcPr>
            <w:tcW w:w="993" w:type="pct"/>
            <w:tcBorders>
              <w:tl2br w:val="nil"/>
              <w:tr2bl w:val="nil"/>
            </w:tcBorders>
            <w:vAlign w:val="center"/>
          </w:tcPr>
          <w:p w14:paraId="74B0D6C4">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监理人</w:t>
            </w:r>
          </w:p>
        </w:tc>
        <w:tc>
          <w:tcPr>
            <w:tcW w:w="3439" w:type="pct"/>
            <w:tcBorders>
              <w:tl2br w:val="nil"/>
              <w:tr2bl w:val="nil"/>
            </w:tcBorders>
            <w:vAlign w:val="center"/>
          </w:tcPr>
          <w:p w14:paraId="2455CD69">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kern w:val="2"/>
                <w:sz w:val="21"/>
                <w:highlight w:val="none"/>
                <w:lang w:eastAsia="zh-CN"/>
              </w:rPr>
              <w:t>长江勘测规划设计研究有限责任公司</w:t>
            </w:r>
          </w:p>
        </w:tc>
      </w:tr>
      <w:tr w14:paraId="6A5B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90FC64C">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1.1.9</w:t>
            </w:r>
          </w:p>
        </w:tc>
        <w:tc>
          <w:tcPr>
            <w:tcW w:w="993" w:type="pct"/>
            <w:tcBorders>
              <w:tl2br w:val="nil"/>
              <w:tr2bl w:val="nil"/>
            </w:tcBorders>
            <w:vAlign w:val="center"/>
          </w:tcPr>
          <w:p w14:paraId="2885624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代建机构</w:t>
            </w:r>
          </w:p>
        </w:tc>
        <w:tc>
          <w:tcPr>
            <w:tcW w:w="3439" w:type="pct"/>
            <w:tcBorders>
              <w:tl2br w:val="nil"/>
              <w:tr2bl w:val="nil"/>
            </w:tcBorders>
            <w:vAlign w:val="center"/>
          </w:tcPr>
          <w:p w14:paraId="0A8246B9">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hAnsi="Times New Roman" w:cs="Times New Roman"/>
                <w:color w:val="auto"/>
                <w:sz w:val="21"/>
                <w:szCs w:val="21"/>
                <w:highlight w:val="none"/>
                <w:lang w:eastAsia="zh-CN"/>
              </w:rPr>
              <w:t xml:space="preserve"> </w:t>
            </w:r>
            <w:r>
              <w:rPr>
                <w:rFonts w:ascii="宋体" w:hAnsi="Times New Roman" w:cs="Times New Roman"/>
                <w:color w:val="auto"/>
                <w:sz w:val="21"/>
                <w:highlight w:val="none"/>
                <w:lang w:eastAsia="zh-CN"/>
              </w:rPr>
              <w:t>/</w:t>
            </w:r>
            <w:r>
              <w:rPr>
                <w:rFonts w:hint="eastAsia" w:hAnsi="Times New Roman" w:cs="Times New Roman"/>
                <w:color w:val="auto"/>
                <w:sz w:val="21"/>
                <w:szCs w:val="21"/>
                <w:highlight w:val="none"/>
                <w:lang w:eastAsia="zh-CN"/>
              </w:rPr>
              <w:t xml:space="preserve"> </w:t>
            </w:r>
          </w:p>
        </w:tc>
      </w:tr>
      <w:tr w14:paraId="2E00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6620F293">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1.2.1</w:t>
            </w:r>
          </w:p>
        </w:tc>
        <w:tc>
          <w:tcPr>
            <w:tcW w:w="993" w:type="pct"/>
            <w:tcBorders>
              <w:tl2br w:val="nil"/>
              <w:tr2bl w:val="nil"/>
            </w:tcBorders>
            <w:vAlign w:val="center"/>
          </w:tcPr>
          <w:p w14:paraId="21AC356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资金来源</w:t>
            </w:r>
          </w:p>
        </w:tc>
        <w:tc>
          <w:tcPr>
            <w:tcW w:w="3439" w:type="pct"/>
            <w:tcBorders>
              <w:tl2br w:val="nil"/>
              <w:tr2bl w:val="nil"/>
            </w:tcBorders>
            <w:vAlign w:val="center"/>
          </w:tcPr>
          <w:p w14:paraId="4A7016DD">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sz w:val="21"/>
                <w:highlight w:val="none"/>
                <w:lang w:eastAsia="zh-CN"/>
              </w:rPr>
              <w:t>政府投资、银行贷款及自筹</w:t>
            </w:r>
          </w:p>
        </w:tc>
      </w:tr>
      <w:tr w14:paraId="44E0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727A91E">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1.2.2</w:t>
            </w:r>
          </w:p>
        </w:tc>
        <w:tc>
          <w:tcPr>
            <w:tcW w:w="993" w:type="pct"/>
            <w:tcBorders>
              <w:tl2br w:val="nil"/>
              <w:tr2bl w:val="nil"/>
            </w:tcBorders>
            <w:vAlign w:val="center"/>
          </w:tcPr>
          <w:p w14:paraId="39377B56">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出资比例</w:t>
            </w:r>
          </w:p>
        </w:tc>
        <w:tc>
          <w:tcPr>
            <w:tcW w:w="3439" w:type="pct"/>
            <w:tcBorders>
              <w:tl2br w:val="nil"/>
              <w:tr2bl w:val="nil"/>
            </w:tcBorders>
            <w:vAlign w:val="center"/>
          </w:tcPr>
          <w:p w14:paraId="67946172">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ascii="宋体" w:hAnsi="Times New Roman" w:cs="Times New Roman"/>
                <w:color w:val="auto"/>
                <w:sz w:val="21"/>
                <w:highlight w:val="none"/>
                <w:lang w:eastAsia="zh-CN"/>
              </w:rPr>
              <w:t>100%</w:t>
            </w:r>
          </w:p>
        </w:tc>
      </w:tr>
      <w:tr w14:paraId="0923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0E6FC27">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1.2.3</w:t>
            </w:r>
          </w:p>
        </w:tc>
        <w:tc>
          <w:tcPr>
            <w:tcW w:w="993" w:type="pct"/>
            <w:tcBorders>
              <w:tl2br w:val="nil"/>
              <w:tr2bl w:val="nil"/>
            </w:tcBorders>
            <w:vAlign w:val="center"/>
          </w:tcPr>
          <w:p w14:paraId="4E128431">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资金落实情况</w:t>
            </w:r>
          </w:p>
        </w:tc>
        <w:tc>
          <w:tcPr>
            <w:tcW w:w="3439" w:type="pct"/>
            <w:tcBorders>
              <w:tl2br w:val="nil"/>
              <w:tr2bl w:val="nil"/>
            </w:tcBorders>
            <w:vAlign w:val="center"/>
          </w:tcPr>
          <w:p w14:paraId="26735FFE">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sz w:val="21"/>
                <w:highlight w:val="none"/>
              </w:rPr>
              <w:t>已到位</w:t>
            </w:r>
          </w:p>
        </w:tc>
      </w:tr>
      <w:tr w14:paraId="1404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6B4AC5F">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1.3.1</w:t>
            </w:r>
          </w:p>
        </w:tc>
        <w:tc>
          <w:tcPr>
            <w:tcW w:w="993" w:type="pct"/>
            <w:tcBorders>
              <w:tl2br w:val="nil"/>
              <w:tr2bl w:val="nil"/>
            </w:tcBorders>
            <w:vAlign w:val="center"/>
          </w:tcPr>
          <w:p w14:paraId="2DEEF2EF">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招标范围</w:t>
            </w:r>
          </w:p>
        </w:tc>
        <w:tc>
          <w:tcPr>
            <w:tcW w:w="3439" w:type="pct"/>
            <w:tcBorders>
              <w:tl2br w:val="nil"/>
              <w:tr2bl w:val="nil"/>
            </w:tcBorders>
            <w:vAlign w:val="center"/>
          </w:tcPr>
          <w:p w14:paraId="3DD0F313">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sz w:val="21"/>
                <w:highlight w:val="none"/>
              </w:rPr>
              <w:t>详见招标公告</w:t>
            </w:r>
          </w:p>
        </w:tc>
      </w:tr>
      <w:tr w14:paraId="4968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ED6181B">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1.3.2</w:t>
            </w:r>
          </w:p>
        </w:tc>
        <w:tc>
          <w:tcPr>
            <w:tcW w:w="993" w:type="pct"/>
            <w:tcBorders>
              <w:tl2br w:val="nil"/>
              <w:tr2bl w:val="nil"/>
            </w:tcBorders>
            <w:vAlign w:val="center"/>
          </w:tcPr>
          <w:p w14:paraId="1759520C">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计划工期</w:t>
            </w:r>
          </w:p>
        </w:tc>
        <w:tc>
          <w:tcPr>
            <w:tcW w:w="3439" w:type="pct"/>
            <w:tcBorders>
              <w:tl2br w:val="nil"/>
              <w:tr2bl w:val="nil"/>
            </w:tcBorders>
            <w:vAlign w:val="center"/>
          </w:tcPr>
          <w:p w14:paraId="4347A40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计划工期：总工期</w:t>
            </w:r>
            <w:r>
              <w:rPr>
                <w:rFonts w:hint="eastAsia" w:hAnsi="Times New Roman" w:cs="Times New Roman"/>
                <w:snapToGrid w:val="0"/>
                <w:color w:val="auto"/>
                <w:sz w:val="21"/>
                <w:szCs w:val="21"/>
                <w:highlight w:val="none"/>
                <w:lang w:val="en-US" w:eastAsia="zh-CN" w:bidi="ar-SA"/>
              </w:rPr>
              <w:t>1380</w:t>
            </w:r>
            <w:r>
              <w:rPr>
                <w:rFonts w:hint="eastAsia" w:ascii="宋体" w:hAnsi="Times New Roman" w:eastAsia="宋体" w:cs="Times New Roman"/>
                <w:snapToGrid w:val="0"/>
                <w:color w:val="auto"/>
                <w:sz w:val="21"/>
                <w:szCs w:val="21"/>
                <w:highlight w:val="none"/>
                <w:lang w:val="en-US" w:eastAsia="zh-CN" w:bidi="ar-SA"/>
              </w:rPr>
              <w:t>日历天。投标承诺工期不得超过该计划工期。</w:t>
            </w:r>
          </w:p>
          <w:p w14:paraId="4345CB7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计划开工日期：</w:t>
            </w:r>
            <w:r>
              <w:rPr>
                <w:rFonts w:ascii="宋体" w:hAnsi="Times New Roman" w:eastAsia="宋体" w:cs="Times New Roman"/>
                <w:snapToGrid w:val="0"/>
                <w:color w:val="auto"/>
                <w:sz w:val="21"/>
                <w:szCs w:val="21"/>
                <w:highlight w:val="none"/>
                <w:lang w:val="en-US" w:eastAsia="zh-CN" w:bidi="ar-SA"/>
              </w:rPr>
              <w:t>2024</w:t>
            </w:r>
            <w:r>
              <w:rPr>
                <w:rFonts w:hint="eastAsia" w:ascii="宋体" w:hAnsi="Times New Roman" w:eastAsia="宋体" w:cs="Times New Roman"/>
                <w:snapToGrid w:val="0"/>
                <w:color w:val="auto"/>
                <w:sz w:val="21"/>
                <w:szCs w:val="21"/>
                <w:highlight w:val="none"/>
                <w:lang w:val="en-US" w:eastAsia="zh-CN" w:bidi="ar-SA"/>
              </w:rPr>
              <w:t xml:space="preserve">年  月  日，计划完工日期：   年 </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 xml:space="preserve">月 </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日</w:t>
            </w:r>
          </w:p>
          <w:p w14:paraId="60F639C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节点工期： / 。</w:t>
            </w:r>
          </w:p>
          <w:p w14:paraId="103223C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实际开工日期以总监理工程师签发的开工通知为准。</w:t>
            </w:r>
          </w:p>
        </w:tc>
      </w:tr>
      <w:tr w14:paraId="21812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77042C22">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1.3.3</w:t>
            </w:r>
          </w:p>
        </w:tc>
        <w:tc>
          <w:tcPr>
            <w:tcW w:w="993" w:type="pct"/>
            <w:tcBorders>
              <w:tl2br w:val="nil"/>
              <w:tr2bl w:val="nil"/>
            </w:tcBorders>
            <w:vAlign w:val="center"/>
          </w:tcPr>
          <w:p w14:paraId="1D0855F9">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质量要求</w:t>
            </w:r>
          </w:p>
        </w:tc>
        <w:tc>
          <w:tcPr>
            <w:tcW w:w="3439" w:type="pct"/>
            <w:tcBorders>
              <w:tl2br w:val="nil"/>
              <w:tr2bl w:val="nil"/>
            </w:tcBorders>
            <w:vAlign w:val="center"/>
          </w:tcPr>
          <w:p w14:paraId="069D701A">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ascii="宋体" w:hAnsi="Times New Roman" w:cs="Times New Roman"/>
                <w:color w:val="auto"/>
                <w:kern w:val="2"/>
                <w:sz w:val="21"/>
                <w:highlight w:val="none"/>
                <w:lang w:eastAsia="zh-CN"/>
              </w:rPr>
              <w:t>优良</w:t>
            </w:r>
          </w:p>
        </w:tc>
      </w:tr>
      <w:tr w14:paraId="5131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79C2D593">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1.4.1</w:t>
            </w:r>
          </w:p>
        </w:tc>
        <w:tc>
          <w:tcPr>
            <w:tcW w:w="993" w:type="pct"/>
            <w:tcBorders>
              <w:tl2br w:val="nil"/>
              <w:tr2bl w:val="nil"/>
            </w:tcBorders>
            <w:vAlign w:val="center"/>
          </w:tcPr>
          <w:p w14:paraId="3D0483E9">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投标人资质条件、能力和信誉</w:t>
            </w:r>
          </w:p>
        </w:tc>
        <w:tc>
          <w:tcPr>
            <w:tcW w:w="3439" w:type="pct"/>
            <w:tcBorders>
              <w:tl2br w:val="nil"/>
              <w:tr2bl w:val="nil"/>
            </w:tcBorders>
            <w:vAlign w:val="center"/>
          </w:tcPr>
          <w:p w14:paraId="1FFAFE0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详见招标公告要求</w:t>
            </w:r>
          </w:p>
        </w:tc>
      </w:tr>
      <w:tr w14:paraId="53487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6B8788A">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1.4.2</w:t>
            </w:r>
          </w:p>
        </w:tc>
        <w:tc>
          <w:tcPr>
            <w:tcW w:w="993" w:type="pct"/>
            <w:tcBorders>
              <w:tl2br w:val="nil"/>
              <w:tr2bl w:val="nil"/>
            </w:tcBorders>
            <w:vAlign w:val="center"/>
          </w:tcPr>
          <w:p w14:paraId="747C87E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是否接受联合体投标</w:t>
            </w:r>
          </w:p>
        </w:tc>
        <w:tc>
          <w:tcPr>
            <w:tcW w:w="3439" w:type="pct"/>
            <w:tcBorders>
              <w:tl2br w:val="nil"/>
              <w:tr2bl w:val="nil"/>
            </w:tcBorders>
            <w:vAlign w:val="center"/>
          </w:tcPr>
          <w:p w14:paraId="203BDAF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□不接受</w:t>
            </w:r>
          </w:p>
          <w:p w14:paraId="10796CF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 xml:space="preserve"> 接受，应满足下列要求：</w:t>
            </w:r>
          </w:p>
          <w:p w14:paraId="11BF858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1．联合体所有成员数量不得超过</w:t>
            </w:r>
            <w:r>
              <w:rPr>
                <w:rFonts w:ascii="宋体" w:hAnsi="Times New Roman" w:eastAsia="宋体" w:cs="Times New Roman"/>
                <w:snapToGrid w:val="0"/>
                <w:color w:val="auto"/>
                <w:sz w:val="21"/>
                <w:szCs w:val="21"/>
                <w:highlight w:val="none"/>
                <w:lang w:val="en-US" w:eastAsia="zh-CN" w:bidi="ar-SA"/>
              </w:rPr>
              <w:t>2</w:t>
            </w:r>
            <w:r>
              <w:rPr>
                <w:rFonts w:hint="eastAsia" w:ascii="宋体" w:hAnsi="Times New Roman" w:eastAsia="宋体" w:cs="Times New Roman"/>
                <w:snapToGrid w:val="0"/>
                <w:color w:val="auto"/>
                <w:sz w:val="21"/>
                <w:szCs w:val="21"/>
                <w:highlight w:val="none"/>
                <w:lang w:val="en-US" w:eastAsia="zh-CN" w:bidi="ar-SA"/>
              </w:rPr>
              <w:t>个；</w:t>
            </w:r>
          </w:p>
          <w:p w14:paraId="16645B74">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2</w:t>
            </w:r>
            <w:r>
              <w:rPr>
                <w:rFonts w:hint="eastAsia" w:ascii="宋体" w:hAnsi="Times New Roman" w:eastAsia="宋体" w:cs="Times New Roman"/>
                <w:snapToGrid w:val="0"/>
                <w:color w:val="auto"/>
                <w:sz w:val="21"/>
                <w:szCs w:val="21"/>
                <w:highlight w:val="none"/>
                <w:lang w:val="en-US" w:eastAsia="zh-CN" w:bidi="ar-SA"/>
              </w:rPr>
              <w:t>．应以/方作为联合体牵头人；</w:t>
            </w:r>
          </w:p>
          <w:p w14:paraId="17C33E3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3</w:t>
            </w:r>
            <w:r>
              <w:rPr>
                <w:rFonts w:hint="eastAsia" w:ascii="宋体" w:hAnsi="Times New Roman" w:eastAsia="宋体" w:cs="Times New Roman"/>
                <w:snapToGrid w:val="0"/>
                <w:color w:val="auto"/>
                <w:sz w:val="21"/>
                <w:szCs w:val="21"/>
                <w:highlight w:val="none"/>
                <w:lang w:val="en-US" w:eastAsia="zh-CN" w:bidi="ar-SA"/>
              </w:rPr>
              <w:t>．拟派项目负责人由牵头人委派；</w:t>
            </w:r>
          </w:p>
          <w:p w14:paraId="32540FD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4.①联合体投标的，联合体各方应共同签订联合体协议书，并明确联合体牵头人、成员单位的责任分工、权利义务等事项；②</w:t>
            </w:r>
            <w:r>
              <w:rPr>
                <w:rFonts w:hint="eastAsia" w:hAnsi="Times New Roman" w:cs="Times New Roman"/>
                <w:color w:val="auto"/>
                <w:sz w:val="21"/>
                <w:highlight w:val="none"/>
                <w:lang w:eastAsia="zh-CN"/>
              </w:rPr>
              <w:t>联合体各方均需具备水利水电工程施工总承包一级及以上资质</w:t>
            </w:r>
            <w:r>
              <w:rPr>
                <w:rFonts w:hint="eastAsia" w:ascii="宋体" w:hAnsi="Times New Roman" w:eastAsia="宋体" w:cs="Times New Roman"/>
                <w:snapToGrid w:val="0"/>
                <w:color w:val="auto"/>
                <w:sz w:val="21"/>
                <w:szCs w:val="21"/>
                <w:highlight w:val="none"/>
                <w:lang w:val="en-US" w:eastAsia="zh-CN" w:bidi="ar-SA"/>
              </w:rPr>
              <w:t>；③联合体各方不得再以自己的名义单独或组建新的联合体参与同一合同段投标；④单位负责人为同一人或者存在控股、管理关系的不同单位，不得同时参加本标段投标（组成同一联合体投标的除外）</w:t>
            </w:r>
          </w:p>
        </w:tc>
      </w:tr>
      <w:tr w14:paraId="084F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8F4802E">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1.9.1</w:t>
            </w:r>
          </w:p>
        </w:tc>
        <w:tc>
          <w:tcPr>
            <w:tcW w:w="993" w:type="pct"/>
            <w:tcBorders>
              <w:tl2br w:val="nil"/>
              <w:tr2bl w:val="nil"/>
            </w:tcBorders>
            <w:vAlign w:val="center"/>
          </w:tcPr>
          <w:p w14:paraId="7B58DAE2">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踏勘现场</w:t>
            </w:r>
          </w:p>
        </w:tc>
        <w:tc>
          <w:tcPr>
            <w:tcW w:w="3439" w:type="pct"/>
            <w:tcBorders>
              <w:tl2br w:val="nil"/>
              <w:tr2bl w:val="nil"/>
            </w:tcBorders>
            <w:vAlign w:val="center"/>
          </w:tcPr>
          <w:p w14:paraId="45B2718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 xml:space="preserve">组织。投标人可自愿参加，除 / 外，交通工具及食宿均自理。踏勘现场联系人： / ，联系电话： / ，踏勘时间： / ，踏勘集中地点： / </w:t>
            </w:r>
          </w:p>
          <w:p w14:paraId="79B16E4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不组织</w:t>
            </w:r>
          </w:p>
        </w:tc>
      </w:tr>
      <w:tr w14:paraId="6667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E4F7B1D">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1.10.1</w:t>
            </w:r>
          </w:p>
        </w:tc>
        <w:tc>
          <w:tcPr>
            <w:tcW w:w="993" w:type="pct"/>
            <w:tcBorders>
              <w:tl2br w:val="nil"/>
              <w:tr2bl w:val="nil"/>
            </w:tcBorders>
            <w:vAlign w:val="center"/>
          </w:tcPr>
          <w:p w14:paraId="0A1A3CC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投标预备会</w:t>
            </w:r>
          </w:p>
        </w:tc>
        <w:tc>
          <w:tcPr>
            <w:tcW w:w="3439" w:type="pct"/>
            <w:tcBorders>
              <w:tl2br w:val="nil"/>
              <w:tr2bl w:val="nil"/>
            </w:tcBorders>
            <w:vAlign w:val="center"/>
          </w:tcPr>
          <w:p w14:paraId="4B91964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召开，定于 / （具体时间）在</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 （投标预备会地点）召开投标预备会，投标人可自愿参加，除外，交通工具及食宿均自理。</w:t>
            </w:r>
          </w:p>
          <w:p w14:paraId="56CE19F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不召开</w:t>
            </w:r>
          </w:p>
        </w:tc>
      </w:tr>
      <w:tr w14:paraId="1024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F5B7538">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1.10.3</w:t>
            </w:r>
          </w:p>
        </w:tc>
        <w:tc>
          <w:tcPr>
            <w:tcW w:w="993" w:type="pct"/>
            <w:tcBorders>
              <w:tl2br w:val="nil"/>
              <w:tr2bl w:val="nil"/>
            </w:tcBorders>
            <w:vAlign w:val="center"/>
          </w:tcPr>
          <w:p w14:paraId="7A0A3F6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投标截止时间</w:t>
            </w:r>
          </w:p>
        </w:tc>
        <w:tc>
          <w:tcPr>
            <w:tcW w:w="3439" w:type="pct"/>
            <w:tcBorders>
              <w:tl2br w:val="nil"/>
              <w:tr2bl w:val="nil"/>
            </w:tcBorders>
            <w:vAlign w:val="center"/>
          </w:tcPr>
          <w:p w14:paraId="417C9F2A">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p>
        </w:tc>
      </w:tr>
      <w:tr w14:paraId="5C4A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AA4F02F">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1.11</w:t>
            </w:r>
          </w:p>
        </w:tc>
        <w:tc>
          <w:tcPr>
            <w:tcW w:w="993" w:type="pct"/>
            <w:tcBorders>
              <w:tl2br w:val="nil"/>
              <w:tr2bl w:val="nil"/>
            </w:tcBorders>
            <w:vAlign w:val="center"/>
          </w:tcPr>
          <w:p w14:paraId="066B6A64">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分包</w:t>
            </w:r>
          </w:p>
        </w:tc>
        <w:tc>
          <w:tcPr>
            <w:tcW w:w="3439" w:type="pct"/>
            <w:tcBorders>
              <w:tl2br w:val="nil"/>
              <w:tr2bl w:val="nil"/>
            </w:tcBorders>
            <w:vAlign w:val="center"/>
          </w:tcPr>
          <w:p w14:paraId="785DEB1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允许，工程分包内容要求：本项目的部分非主体、非关键性工作经招标人同意允许分包，在人力、设备、资金等方面具有承担分包工程施工的能力。</w:t>
            </w:r>
          </w:p>
          <w:p w14:paraId="2799336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 xml:space="preserve">工程分包金额要求： / </w:t>
            </w:r>
          </w:p>
          <w:p w14:paraId="70D0527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接受工程分包的第三人资质要求：分包人应具备与分包工程的标准和规模相适应的资质和业绩。投标时应明确需分包内容，但无须提供分包人相关资料。</w:t>
            </w:r>
          </w:p>
          <w:p w14:paraId="72D1978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□不允许</w:t>
            </w:r>
          </w:p>
        </w:tc>
      </w:tr>
      <w:tr w14:paraId="3C91C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7ED8ACE4">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1.12</w:t>
            </w:r>
          </w:p>
        </w:tc>
        <w:tc>
          <w:tcPr>
            <w:tcW w:w="993" w:type="pct"/>
            <w:tcBorders>
              <w:tl2br w:val="nil"/>
              <w:tr2bl w:val="nil"/>
            </w:tcBorders>
            <w:vAlign w:val="center"/>
          </w:tcPr>
          <w:p w14:paraId="21C7D49F">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偏离</w:t>
            </w:r>
          </w:p>
        </w:tc>
        <w:tc>
          <w:tcPr>
            <w:tcW w:w="3439" w:type="pct"/>
            <w:tcBorders>
              <w:tl2br w:val="nil"/>
              <w:tr2bl w:val="nil"/>
            </w:tcBorders>
            <w:vAlign w:val="center"/>
          </w:tcPr>
          <w:p w14:paraId="39CD314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□不允许</w:t>
            </w:r>
          </w:p>
          <w:p w14:paraId="676BA64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允许偏离的内容、范围和幅度：允许细微偏差，不允许重大偏差。由评标委员会判断，细微偏差要求投标人在评标结束前予以补正，拒不补正的，投标将被拒绝。</w:t>
            </w:r>
          </w:p>
        </w:tc>
      </w:tr>
      <w:tr w14:paraId="069E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68E91600">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2.2.1</w:t>
            </w:r>
          </w:p>
        </w:tc>
        <w:tc>
          <w:tcPr>
            <w:tcW w:w="993" w:type="pct"/>
            <w:tcBorders>
              <w:tl2br w:val="nil"/>
              <w:tr2bl w:val="nil"/>
            </w:tcBorders>
            <w:vAlign w:val="center"/>
          </w:tcPr>
          <w:p w14:paraId="512B345F">
            <w:pPr>
              <w:widowControl/>
              <w:kinsoku/>
              <w:adjustRightInd w:val="0"/>
              <w:snapToGrid w:val="0"/>
              <w:spacing w:beforeLines="0" w:afterLines="0" w:line="0" w:lineRule="atLeast"/>
              <w:ind w:right="0" w:firstLine="0" w:firstLineChars="0"/>
              <w:jc w:val="center"/>
              <w:textAlignment w:val="baseline"/>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投标人提出澄清申请的时间</w:t>
            </w:r>
          </w:p>
          <w:p w14:paraId="51FC50AB">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及形式</w:t>
            </w:r>
          </w:p>
        </w:tc>
        <w:tc>
          <w:tcPr>
            <w:tcW w:w="3439" w:type="pct"/>
            <w:tcBorders>
              <w:tl2br w:val="nil"/>
              <w:tr2bl w:val="nil"/>
            </w:tcBorders>
            <w:vAlign w:val="center"/>
          </w:tcPr>
          <w:p w14:paraId="5353A66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时间：投标截止时间15日前。</w:t>
            </w:r>
          </w:p>
          <w:p w14:paraId="5C977C0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形式：</w:t>
            </w:r>
            <w:r>
              <w:rPr>
                <w:rFonts w:hint="eastAsia" w:ascii="宋体" w:hAnsi="Times New Roman" w:eastAsia="宋体" w:cs="Times New Roman"/>
                <w:snapToGrid w:val="0"/>
                <w:color w:val="auto"/>
                <w:sz w:val="21"/>
                <w:szCs w:val="21"/>
                <w:highlight w:val="none"/>
                <w:u w:val="single"/>
                <w:lang w:val="en-US" w:eastAsia="zh-CN" w:bidi="ar-SA"/>
              </w:rPr>
              <w:t>通过纸质版加盖投标单位公章扫描成PDF格式文件发送至邮箱：284539594@qq.com</w:t>
            </w:r>
            <w:r>
              <w:rPr>
                <w:rFonts w:hint="eastAsia" w:ascii="宋体" w:hAnsi="Times New Roman" w:eastAsia="宋体" w:cs="Times New Roman"/>
                <w:strike/>
                <w:snapToGrid w:val="0"/>
                <w:color w:val="auto"/>
                <w:sz w:val="21"/>
                <w:szCs w:val="21"/>
                <w:highlight w:val="none"/>
                <w:u w:val="single"/>
                <w:lang w:val="en-US" w:eastAsia="zh-CN" w:bidi="ar-SA"/>
              </w:rPr>
              <w:t>下载招标文件的电子招标投标交易平台</w:t>
            </w:r>
            <w:r>
              <w:rPr>
                <w:rFonts w:hint="eastAsia" w:ascii="宋体" w:hAnsi="Times New Roman" w:eastAsia="宋体" w:cs="Times New Roman"/>
                <w:snapToGrid w:val="0"/>
                <w:color w:val="auto"/>
                <w:sz w:val="21"/>
                <w:szCs w:val="21"/>
                <w:highlight w:val="none"/>
                <w:u w:val="single"/>
                <w:lang w:val="en-US" w:eastAsia="zh-CN" w:bidi="ar-SA"/>
              </w:rPr>
              <w:t>提出</w:t>
            </w:r>
            <w:r>
              <w:rPr>
                <w:rFonts w:hint="eastAsia" w:ascii="宋体" w:hAnsi="Times New Roman" w:eastAsia="宋体" w:cs="Times New Roman"/>
                <w:snapToGrid w:val="0"/>
                <w:color w:val="auto"/>
                <w:sz w:val="21"/>
                <w:szCs w:val="21"/>
                <w:highlight w:val="none"/>
                <w:lang w:val="en-US" w:eastAsia="zh-CN" w:bidi="ar-SA"/>
              </w:rPr>
              <w:t>。</w:t>
            </w:r>
          </w:p>
        </w:tc>
      </w:tr>
      <w:tr w14:paraId="5224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8D7A177">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2.2.2</w:t>
            </w:r>
          </w:p>
        </w:tc>
        <w:tc>
          <w:tcPr>
            <w:tcW w:w="993" w:type="pct"/>
            <w:tcBorders>
              <w:tl2br w:val="nil"/>
              <w:tr2bl w:val="nil"/>
            </w:tcBorders>
            <w:vAlign w:val="center"/>
          </w:tcPr>
          <w:p w14:paraId="2C1F586B">
            <w:pPr>
              <w:widowControl/>
              <w:kinsoku/>
              <w:adjustRightInd w:val="0"/>
              <w:snapToGrid w:val="0"/>
              <w:spacing w:beforeLines="0" w:afterLines="0" w:line="0" w:lineRule="atLeast"/>
              <w:ind w:right="0" w:firstLine="0" w:firstLineChars="0"/>
              <w:jc w:val="center"/>
              <w:textAlignment w:val="baseline"/>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招标人发出</w:t>
            </w:r>
          </w:p>
          <w:p w14:paraId="55C497D9">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澄清的形式</w:t>
            </w:r>
          </w:p>
        </w:tc>
        <w:tc>
          <w:tcPr>
            <w:tcW w:w="3439" w:type="pct"/>
            <w:tcBorders>
              <w:tl2br w:val="nil"/>
              <w:tr2bl w:val="nil"/>
            </w:tcBorders>
            <w:vAlign w:val="center"/>
          </w:tcPr>
          <w:p w14:paraId="137212B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潜在投标人应自行关注电子招标投标交易平台公告，招标人不再一一通知。投标人因自身原因导致投标失败的，责任自负。</w:t>
            </w:r>
          </w:p>
        </w:tc>
      </w:tr>
      <w:tr w14:paraId="319C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DF065F3">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2.3.1</w:t>
            </w:r>
          </w:p>
        </w:tc>
        <w:tc>
          <w:tcPr>
            <w:tcW w:w="993" w:type="pct"/>
            <w:tcBorders>
              <w:tl2br w:val="nil"/>
              <w:tr2bl w:val="nil"/>
            </w:tcBorders>
            <w:vAlign w:val="center"/>
          </w:tcPr>
          <w:p w14:paraId="596F4DD2">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招标人发出修改通知的形式</w:t>
            </w:r>
          </w:p>
        </w:tc>
        <w:tc>
          <w:tcPr>
            <w:tcW w:w="3439" w:type="pct"/>
            <w:tcBorders>
              <w:tl2br w:val="nil"/>
              <w:tr2bl w:val="nil"/>
            </w:tcBorders>
            <w:vAlign w:val="center"/>
          </w:tcPr>
          <w:p w14:paraId="2599C6F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修改的内容影响投标文件编制的，招标人将在投标截止时间</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15日前，在下载招标文件的电子招标投标交易平台发出修改通知，不足15日的，招标人将顺延递交投标文件的截止时间。</w:t>
            </w:r>
          </w:p>
          <w:p w14:paraId="0A452F5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修改的内容不影响投标文件编制的，将在投标文件递交截止时间7天前，以上款相同的形式发布。</w:t>
            </w:r>
          </w:p>
          <w:p w14:paraId="3BA0967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潜在投标人应自行关注电子招标投标交易平台公告，招标人不再一一通知。投标人因自身原因导致投标失败的，责任自负</w:t>
            </w:r>
          </w:p>
        </w:tc>
      </w:tr>
      <w:tr w14:paraId="06FB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F6D4FD9">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3.1.1</w:t>
            </w:r>
          </w:p>
        </w:tc>
        <w:tc>
          <w:tcPr>
            <w:tcW w:w="993" w:type="pct"/>
            <w:tcBorders>
              <w:tl2br w:val="nil"/>
              <w:tr2bl w:val="nil"/>
            </w:tcBorders>
            <w:vAlign w:val="center"/>
          </w:tcPr>
          <w:p w14:paraId="41A74C75">
            <w:pPr>
              <w:widowControl/>
              <w:kinsoku/>
              <w:adjustRightInd w:val="0"/>
              <w:snapToGrid w:val="0"/>
              <w:spacing w:beforeLines="0" w:afterLines="0" w:line="0" w:lineRule="atLeast"/>
              <w:ind w:right="0" w:firstLine="0" w:firstLineChars="0"/>
              <w:jc w:val="center"/>
              <w:textAlignment w:val="baseline"/>
              <w:rPr>
                <w:rFonts w:hint="eastAsia" w:ascii="宋体" w:hAnsi="Times New Roman" w:eastAsia="宋体" w:cs="Times New Roman"/>
                <w:snapToGrid w:val="0"/>
                <w:color w:val="auto"/>
                <w:sz w:val="21"/>
                <w:szCs w:val="21"/>
                <w:highlight w:val="none"/>
                <w:lang w:val="en-US" w:eastAsia="en-US" w:bidi="ar-SA"/>
              </w:rPr>
            </w:pPr>
            <w:r>
              <w:rPr>
                <w:rFonts w:hint="eastAsia" w:ascii="宋体" w:hAnsi="Times New Roman" w:eastAsia="宋体" w:cs="Times New Roman"/>
                <w:snapToGrid w:val="0"/>
                <w:color w:val="auto"/>
                <w:sz w:val="21"/>
                <w:szCs w:val="21"/>
                <w:highlight w:val="none"/>
                <w:lang w:val="en-US" w:eastAsia="en-US" w:bidi="ar-SA"/>
              </w:rPr>
              <w:t>投标文件成册</w:t>
            </w:r>
          </w:p>
          <w:p w14:paraId="7FA4BEA4">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要求</w:t>
            </w:r>
          </w:p>
        </w:tc>
        <w:tc>
          <w:tcPr>
            <w:tcW w:w="3439" w:type="pct"/>
            <w:tcBorders>
              <w:tl2br w:val="nil"/>
              <w:tr2bl w:val="nil"/>
            </w:tcBorders>
            <w:vAlign w:val="center"/>
          </w:tcPr>
          <w:p w14:paraId="1A671E3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不需要分别成册</w:t>
            </w:r>
          </w:p>
          <w:p w14:paraId="5D46539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需要分别成册，成册要求为：投标文件根据评标办法由资格审查、技术标、资信标、商务标资料组成，资格审查、技术标、资信标、商务标分别封装</w:t>
            </w:r>
          </w:p>
        </w:tc>
      </w:tr>
      <w:tr w14:paraId="5AED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8A59CED">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3.3.1</w:t>
            </w:r>
          </w:p>
        </w:tc>
        <w:tc>
          <w:tcPr>
            <w:tcW w:w="993" w:type="pct"/>
            <w:tcBorders>
              <w:tl2br w:val="nil"/>
              <w:tr2bl w:val="nil"/>
            </w:tcBorders>
            <w:vAlign w:val="center"/>
          </w:tcPr>
          <w:p w14:paraId="03DBF6C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投标有效期</w:t>
            </w:r>
          </w:p>
        </w:tc>
        <w:tc>
          <w:tcPr>
            <w:tcW w:w="3439" w:type="pct"/>
            <w:tcBorders>
              <w:tl2br w:val="nil"/>
              <w:tr2bl w:val="nil"/>
            </w:tcBorders>
            <w:vAlign w:val="center"/>
          </w:tcPr>
          <w:p w14:paraId="1DFD6E9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自投标截止时间起生效，有效期为90天。</w:t>
            </w:r>
          </w:p>
        </w:tc>
      </w:tr>
      <w:tr w14:paraId="6FFBA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7D84ED0">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3.4.1</w:t>
            </w:r>
          </w:p>
        </w:tc>
        <w:tc>
          <w:tcPr>
            <w:tcW w:w="993" w:type="pct"/>
            <w:tcBorders>
              <w:tl2br w:val="nil"/>
              <w:tr2bl w:val="nil"/>
            </w:tcBorders>
            <w:vAlign w:val="center"/>
          </w:tcPr>
          <w:p w14:paraId="6E8ABC4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投标保证金</w:t>
            </w:r>
          </w:p>
        </w:tc>
        <w:tc>
          <w:tcPr>
            <w:tcW w:w="3439" w:type="pct"/>
            <w:tcBorders>
              <w:tl2br w:val="nil"/>
              <w:tr2bl w:val="nil"/>
            </w:tcBorders>
            <w:vAlign w:val="center"/>
          </w:tcPr>
          <w:p w14:paraId="057C67E9">
            <w:pPr>
              <w:widowControl/>
              <w:kinsoku/>
              <w:adjustRightInd w:val="0"/>
              <w:snapToGrid w:val="0"/>
              <w:spacing w:beforeLines="0" w:afterLines="0" w:line="0" w:lineRule="atLeast"/>
              <w:ind w:left="0" w:right="0" w:firstLine="422" w:firstLineChars="200"/>
              <w:jc w:val="left"/>
              <w:textAlignment w:val="baseline"/>
              <w:rPr>
                <w:rFonts w:ascii="宋体" w:hAnsi="Times New Roman" w:eastAsia="宋体" w:cs="Times New Roman"/>
                <w:b/>
                <w:bCs/>
                <w:snapToGrid w:val="0"/>
                <w:color w:val="auto"/>
                <w:sz w:val="21"/>
                <w:szCs w:val="21"/>
                <w:highlight w:val="none"/>
                <w:lang w:val="en-US" w:eastAsia="zh-CN" w:bidi="ar-SA"/>
              </w:rPr>
            </w:pPr>
            <w:r>
              <w:rPr>
                <w:rFonts w:hint="eastAsia" w:ascii="宋体" w:hAnsi="Times New Roman" w:eastAsia="宋体" w:cs="Times New Roman"/>
                <w:b/>
                <w:bCs/>
                <w:snapToGrid w:val="0"/>
                <w:color w:val="auto"/>
                <w:sz w:val="21"/>
                <w:szCs w:val="21"/>
                <w:highlight w:val="none"/>
                <w:lang w:val="en-US" w:eastAsia="zh-CN" w:bidi="ar-SA"/>
              </w:rPr>
              <w:t>□不要求递交投标保证金。</w:t>
            </w:r>
          </w:p>
          <w:p w14:paraId="14270CC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b/>
                <w:bCs/>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b/>
                <w:bCs/>
                <w:snapToGrid w:val="0"/>
                <w:color w:val="auto"/>
                <w:sz w:val="21"/>
                <w:szCs w:val="21"/>
                <w:highlight w:val="none"/>
                <w:lang w:val="en-US" w:eastAsia="zh-CN" w:bidi="ar-SA"/>
              </w:rPr>
              <w:t>要求递交投标保证金。</w:t>
            </w:r>
          </w:p>
          <w:p w14:paraId="78128E1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□全国水利建设市场监管服务平台公布的企业信用评价</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等级（施工类）AAA</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□浙江省水利建设市场信用评价等级</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（施工类）A级的投标人（</w:t>
            </w:r>
            <w:r>
              <w:rPr>
                <w:rFonts w:hint="eastAsia" w:ascii="宋体" w:hAnsi="Times New Roman" w:eastAsia="宋体" w:cs="Times New Roman"/>
                <w:i/>
                <w:iCs/>
                <w:snapToGrid w:val="0"/>
                <w:color w:val="auto"/>
                <w:sz w:val="21"/>
                <w:szCs w:val="21"/>
                <w:highlight w:val="none"/>
                <w:lang w:val="en-US" w:eastAsia="zh-CN" w:bidi="ar-SA"/>
              </w:rPr>
              <w:t>与评标办法中资信评审选用的企</w:t>
            </w:r>
            <w:r>
              <w:rPr>
                <w:rFonts w:ascii="宋体" w:hAnsi="Times New Roman" w:eastAsia="宋体" w:cs="Times New Roman"/>
                <w:i/>
                <w:iCs/>
                <w:snapToGrid w:val="0"/>
                <w:color w:val="auto"/>
                <w:sz w:val="21"/>
                <w:szCs w:val="21"/>
                <w:highlight w:val="none"/>
                <w:lang w:val="en-US" w:eastAsia="zh-CN" w:bidi="ar-SA"/>
              </w:rPr>
              <w:t xml:space="preserve"> </w:t>
            </w:r>
            <w:r>
              <w:rPr>
                <w:rFonts w:hint="eastAsia" w:ascii="宋体" w:hAnsi="Times New Roman" w:eastAsia="宋体" w:cs="Times New Roman"/>
                <w:i/>
                <w:iCs/>
                <w:snapToGrid w:val="0"/>
                <w:color w:val="auto"/>
                <w:sz w:val="21"/>
                <w:szCs w:val="21"/>
                <w:highlight w:val="none"/>
                <w:lang w:val="en-US" w:eastAsia="zh-CN" w:bidi="ar-SA"/>
              </w:rPr>
              <w:t>业信用等级相对应）</w:t>
            </w:r>
            <w:r>
              <w:rPr>
                <w:rFonts w:hint="eastAsia" w:ascii="宋体" w:hAnsi="Times New Roman" w:eastAsia="宋体" w:cs="Times New Roman"/>
                <w:snapToGrid w:val="0"/>
                <w:color w:val="auto"/>
                <w:sz w:val="21"/>
                <w:szCs w:val="21"/>
                <w:highlight w:val="none"/>
                <w:lang w:val="en-US" w:eastAsia="zh-CN" w:bidi="ar-SA"/>
              </w:rPr>
              <w:t>，可免交投标保证金。</w:t>
            </w:r>
          </w:p>
          <w:p w14:paraId="0E01EAF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投标保证金的形式：现金或银行保函或保险机构保证保险保单或融资担保公司保函</w:t>
            </w:r>
          </w:p>
          <w:p w14:paraId="3FE5C34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投标保证金的金额：人民币（大写）50万元整（</w:t>
            </w:r>
            <w:r>
              <w:rPr>
                <w:rFonts w:hint="eastAsia" w:ascii="宋体" w:hAnsi="Times New Roman" w:eastAsia="宋体" w:cs="Times New Roman"/>
                <w:i/>
                <w:iCs/>
                <w:snapToGrid w:val="0"/>
                <w:color w:val="auto"/>
                <w:sz w:val="21"/>
                <w:szCs w:val="21"/>
                <w:highlight w:val="none"/>
                <w:lang w:val="en-US" w:eastAsia="zh-CN" w:bidi="ar-SA"/>
              </w:rPr>
              <w:t>最高不得超过50万元</w:t>
            </w:r>
            <w:r>
              <w:rPr>
                <w:rFonts w:hint="eastAsia" w:ascii="宋体" w:hAnsi="Times New Roman" w:eastAsia="宋体" w:cs="Times New Roman"/>
                <w:snapToGrid w:val="0"/>
                <w:color w:val="auto"/>
                <w:sz w:val="21"/>
                <w:szCs w:val="21"/>
                <w:highlight w:val="none"/>
                <w:lang w:val="en-US" w:eastAsia="zh-CN" w:bidi="ar-SA"/>
              </w:rPr>
              <w:t>）</w:t>
            </w:r>
          </w:p>
          <w:p w14:paraId="469B681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1.银行转账：柜面转账（电汇）、网银支付。</w:t>
            </w:r>
          </w:p>
          <w:p w14:paraId="54BAC2B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专户名称：绍兴市公共资源交易中心保证金专户</w:t>
            </w:r>
          </w:p>
          <w:p w14:paraId="76BC784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开户银行一：绍兴银行营业部</w:t>
            </w:r>
          </w:p>
          <w:p w14:paraId="1B20B3E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 xml:space="preserve">专户账号：6224861565799126644                                   </w:t>
            </w:r>
          </w:p>
          <w:p w14:paraId="3CF64E9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开户银行二：中信银行绍兴袍江支行</w:t>
            </w:r>
          </w:p>
          <w:p w14:paraId="6A63569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 xml:space="preserve">专户账号：3110810043370000646                                   </w:t>
            </w:r>
          </w:p>
          <w:p w14:paraId="34B8B39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注：银行转账形式缴存的投标保证金应当从其基本账户转出，</w:t>
            </w:r>
            <w:r>
              <w:rPr>
                <w:rFonts w:hint="eastAsia" w:ascii="宋体" w:hAnsi="宋体" w:eastAsia="宋体" w:cs="宋体"/>
                <w:snapToGrid w:val="0"/>
                <w:color w:val="auto"/>
                <w:sz w:val="21"/>
                <w:szCs w:val="21"/>
                <w:highlight w:val="none"/>
                <w:lang w:val="zh-CN" w:eastAsia="zh-CN" w:bidi="zh-CN"/>
              </w:rPr>
              <w:t>投标人可自主选择以上</w:t>
            </w:r>
            <w:r>
              <w:rPr>
                <w:rFonts w:hint="eastAsia" w:cs="宋体"/>
                <w:snapToGrid w:val="0"/>
                <w:color w:val="auto"/>
                <w:sz w:val="21"/>
                <w:szCs w:val="21"/>
                <w:highlight w:val="none"/>
                <w:lang w:val="zh-CN" w:eastAsia="zh-CN" w:bidi="zh-CN"/>
              </w:rPr>
              <w:t>账户</w:t>
            </w:r>
            <w:r>
              <w:rPr>
                <w:rFonts w:hint="eastAsia" w:ascii="宋体" w:hAnsi="宋体" w:eastAsia="宋体" w:cs="宋体"/>
                <w:snapToGrid w:val="0"/>
                <w:color w:val="auto"/>
                <w:sz w:val="21"/>
                <w:szCs w:val="21"/>
                <w:highlight w:val="none"/>
                <w:lang w:val="zh-CN" w:eastAsia="zh-CN" w:bidi="zh-CN"/>
              </w:rPr>
              <w:t>之一缴纳投标保证金</w:t>
            </w:r>
            <w:r>
              <w:rPr>
                <w:rFonts w:hint="eastAsia" w:ascii="宋体" w:hAnsi="Times New Roman" w:eastAsia="宋体" w:cs="Times New Roman"/>
                <w:snapToGrid w:val="0"/>
                <w:color w:val="auto"/>
                <w:sz w:val="21"/>
                <w:szCs w:val="21"/>
                <w:highlight w:val="none"/>
                <w:lang w:val="en-US" w:eastAsia="zh-CN" w:bidi="ar-SA"/>
              </w:rPr>
              <w:t>。</w:t>
            </w:r>
          </w:p>
          <w:p w14:paraId="31835EC9">
            <w:pPr>
              <w:widowControl w:val="0"/>
              <w:kinsoku/>
              <w:adjustRightInd w:val="0"/>
              <w:snapToGrid w:val="0"/>
              <w:spacing w:beforeLines="0" w:afterLines="0" w:line="0" w:lineRule="atLeast"/>
              <w:ind w:left="0" w:right="0" w:firstLine="420" w:firstLineChars="200"/>
              <w:jc w:val="left"/>
              <w:textAlignment w:val="baseline"/>
              <w:rPr>
                <w:rFonts w:ascii="宋体" w:hAnsi="宋体" w:eastAsia="宋体" w:cs="宋体"/>
                <w:snapToGrid w:val="0"/>
                <w:color w:val="auto"/>
                <w:sz w:val="21"/>
                <w:szCs w:val="21"/>
                <w:highlight w:val="none"/>
                <w:lang w:val="en-US" w:eastAsia="zh-CN" w:bidi="ar-SA"/>
              </w:rPr>
            </w:pPr>
            <w:r>
              <w:rPr>
                <w:rFonts w:ascii="宋体" w:hAnsi="宋体" w:eastAsia="宋体" w:cs="宋体"/>
                <w:snapToGrid w:val="0"/>
                <w:color w:val="auto"/>
                <w:spacing w:val="0"/>
                <w:sz w:val="21"/>
                <w:szCs w:val="21"/>
                <w:highlight w:val="none"/>
                <w:lang w:val="en-US" w:eastAsia="zh-CN" w:bidi="ar-SA"/>
              </w:rPr>
              <w:t>招标人接受省招标投标协会出具的“投标保证金联保证 明”作为投标保证金缴纳凭证。</w:t>
            </w:r>
          </w:p>
          <w:p w14:paraId="3D845ADF">
            <w:pPr>
              <w:widowControl w:val="0"/>
              <w:kinsoku/>
              <w:adjustRightInd w:val="0"/>
              <w:snapToGrid w:val="0"/>
              <w:spacing w:beforeLines="0" w:afterLines="0" w:line="0" w:lineRule="atLeast"/>
              <w:ind w:left="0" w:right="0" w:firstLine="420" w:firstLineChars="200"/>
              <w:jc w:val="left"/>
              <w:textAlignment w:val="baseline"/>
              <w:rPr>
                <w:rFonts w:ascii="宋体" w:hAnsi="宋体" w:eastAsia="宋体" w:cs="宋体"/>
                <w:snapToGrid w:val="0"/>
                <w:color w:val="auto"/>
                <w:sz w:val="21"/>
                <w:szCs w:val="21"/>
                <w:highlight w:val="none"/>
                <w:lang w:val="en-US" w:eastAsia="zh-CN" w:bidi="ar-SA"/>
              </w:rPr>
            </w:pPr>
            <w:r>
              <w:rPr>
                <w:rFonts w:ascii="宋体" w:hAnsi="宋体" w:eastAsia="宋体" w:cs="宋体"/>
                <w:snapToGrid w:val="0"/>
                <w:color w:val="auto"/>
                <w:spacing w:val="0"/>
                <w:sz w:val="21"/>
                <w:szCs w:val="21"/>
                <w:highlight w:val="none"/>
                <w:lang w:val="en-US" w:eastAsia="zh-CN" w:bidi="ar-SA"/>
              </w:rPr>
              <w:t>投标人不按上述要求提交投标保证金，或不是通过投标 人的基本账户缴纳的，其投标文件将被否决。</w:t>
            </w:r>
          </w:p>
          <w:p w14:paraId="2A9FA1B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宋体" w:eastAsia="宋体" w:cs="宋体"/>
                <w:i/>
                <w:iCs/>
                <w:snapToGrid w:val="0"/>
                <w:color w:val="auto"/>
                <w:spacing w:val="0"/>
                <w:sz w:val="21"/>
                <w:szCs w:val="21"/>
                <w:highlight w:val="none"/>
                <w:lang w:val="en-US" w:eastAsia="zh-CN" w:bidi="ar-SA"/>
              </w:rPr>
              <w:t>（上述内容应根据各交易平台具体规定进行编写）</w:t>
            </w:r>
          </w:p>
        </w:tc>
      </w:tr>
      <w:tr w14:paraId="620A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3179EBC">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3.4.4</w:t>
            </w:r>
          </w:p>
        </w:tc>
        <w:tc>
          <w:tcPr>
            <w:tcW w:w="993" w:type="pct"/>
            <w:tcBorders>
              <w:tl2br w:val="nil"/>
              <w:tr2bl w:val="nil"/>
            </w:tcBorders>
            <w:vAlign w:val="center"/>
          </w:tcPr>
          <w:p w14:paraId="170DA0B5">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不予退还投标保证金的情形</w:t>
            </w:r>
          </w:p>
        </w:tc>
        <w:tc>
          <w:tcPr>
            <w:tcW w:w="3439" w:type="pct"/>
            <w:tcBorders>
              <w:tl2br w:val="nil"/>
              <w:tr2bl w:val="nil"/>
            </w:tcBorders>
            <w:vAlign w:val="center"/>
          </w:tcPr>
          <w:p w14:paraId="4E908F9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1.投标人在规定的投标有效期内撤销或修改其投标文件。</w:t>
            </w:r>
          </w:p>
          <w:p w14:paraId="2EFCAA1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2.中标人在收到中标通知书后，无正当理由拒签合同协议书或未按招标文件规定提交履约担保。</w:t>
            </w:r>
          </w:p>
          <w:p w14:paraId="73FB924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 xml:space="preserve">3. </w:t>
            </w:r>
            <w:r>
              <w:rPr>
                <w:rFonts w:hint="eastAsia" w:ascii="宋体" w:hAnsi="Times New Roman" w:eastAsia="宋体" w:cs="Times New Roman"/>
                <w:snapToGrid w:val="0"/>
                <w:color w:val="auto"/>
                <w:sz w:val="21"/>
                <w:szCs w:val="21"/>
                <w:highlight w:val="none"/>
                <w:lang w:val="en-US" w:eastAsia="zh-CN" w:bidi="ar-SA"/>
              </w:rPr>
              <w:t>经查实，投标人在投标过程中存在串通投标或弄虚作假的。</w:t>
            </w:r>
          </w:p>
          <w:p w14:paraId="63748F0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4.☑</w:t>
            </w:r>
            <w:r>
              <w:rPr>
                <w:rFonts w:hint="eastAsia" w:ascii="宋体" w:hAnsi="Times New Roman" w:eastAsia="宋体" w:cs="Times New Roman"/>
                <w:snapToGrid w:val="0"/>
                <w:color w:val="auto"/>
                <w:sz w:val="21"/>
                <w:szCs w:val="21"/>
                <w:highlight w:val="none"/>
                <w:lang w:val="en-US" w:eastAsia="zh-CN" w:bidi="ar-SA"/>
              </w:rPr>
              <w:t>拟派项目负责人在投标截止时间有在其他在建合同工程上担任项目负责人（包括工程总承包项目中的施工负责人）的情形。</w:t>
            </w:r>
          </w:p>
          <w:p w14:paraId="275BFF3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5.其他： / 。</w:t>
            </w:r>
          </w:p>
          <w:p w14:paraId="375F695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注：本招标文件的</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投标保证金不予退还</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是指：</w:t>
            </w:r>
          </w:p>
          <w:p w14:paraId="72EF2F8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（1）以现金转账形式，转账现金不予退还。</w:t>
            </w:r>
          </w:p>
          <w:p w14:paraId="3B3E1FF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（2）以银行保函形式，招标人作为受益人向银行提起索赔。</w:t>
            </w:r>
          </w:p>
          <w:p w14:paraId="5BCD745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（3）以保证保险形式，招标人作为被保险人（受益人）向保险人提起索赔。</w:t>
            </w:r>
          </w:p>
          <w:p w14:paraId="407726D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（4）以担保公司担保形式，招标人作为受益人向担保人提起索赔。</w:t>
            </w:r>
          </w:p>
        </w:tc>
      </w:tr>
      <w:tr w14:paraId="7EE34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F7DA1BB">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3.5.2</w:t>
            </w:r>
          </w:p>
        </w:tc>
        <w:tc>
          <w:tcPr>
            <w:tcW w:w="993" w:type="pct"/>
            <w:tcBorders>
              <w:tl2br w:val="nil"/>
              <w:tr2bl w:val="nil"/>
            </w:tcBorders>
            <w:vAlign w:val="center"/>
          </w:tcPr>
          <w:p w14:paraId="3A9C9EF3">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近年财务状况的年份要求</w:t>
            </w:r>
          </w:p>
        </w:tc>
        <w:tc>
          <w:tcPr>
            <w:tcW w:w="3439" w:type="pct"/>
            <w:tcBorders>
              <w:tl2br w:val="nil"/>
              <w:tr2bl w:val="nil"/>
            </w:tcBorders>
            <w:vAlign w:val="center"/>
          </w:tcPr>
          <w:p w14:paraId="306D22EC">
            <w:pPr>
              <w:widowControl/>
              <w:tabs>
                <w:tab w:val="left" w:pos="839"/>
              </w:tabs>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u w:val="single"/>
                <w:lang w:val="en-US" w:eastAsia="zh-CN" w:bidi="ar-SA"/>
              </w:rPr>
              <w:t>3</w:t>
            </w:r>
            <w:r>
              <w:rPr>
                <w:rFonts w:hint="eastAsia" w:ascii="宋体" w:hAnsi="Times New Roman" w:eastAsia="宋体" w:cs="Times New Roman"/>
                <w:snapToGrid w:val="0"/>
                <w:color w:val="auto"/>
                <w:sz w:val="21"/>
                <w:szCs w:val="21"/>
                <w:highlight w:val="none"/>
                <w:lang w:val="en-US" w:eastAsia="en-US" w:bidi="ar-SA"/>
              </w:rPr>
              <w:t>年（</w:t>
            </w:r>
            <w:r>
              <w:rPr>
                <w:rFonts w:ascii="宋体" w:hAnsi="Times New Roman" w:eastAsia="宋体" w:cs="Times New Roman"/>
                <w:snapToGrid w:val="0"/>
                <w:color w:val="auto"/>
                <w:sz w:val="21"/>
                <w:szCs w:val="21"/>
                <w:highlight w:val="none"/>
                <w:lang w:val="en-US" w:eastAsia="zh-CN" w:bidi="ar-SA"/>
              </w:rPr>
              <w:t>2021</w:t>
            </w:r>
            <w:r>
              <w:rPr>
                <w:rFonts w:hint="eastAsia" w:ascii="宋体" w:hAnsi="Times New Roman" w:eastAsia="宋体" w:cs="Times New Roman"/>
                <w:snapToGrid w:val="0"/>
                <w:color w:val="auto"/>
                <w:sz w:val="21"/>
                <w:szCs w:val="21"/>
                <w:highlight w:val="none"/>
                <w:lang w:val="en-US" w:eastAsia="en-US" w:bidi="ar-SA"/>
              </w:rPr>
              <w:t>年至</w:t>
            </w:r>
            <w:r>
              <w:rPr>
                <w:rFonts w:ascii="宋体" w:hAnsi="Times New Roman" w:eastAsia="宋体" w:cs="Times New Roman"/>
                <w:snapToGrid w:val="0"/>
                <w:color w:val="auto"/>
                <w:sz w:val="21"/>
                <w:szCs w:val="21"/>
                <w:highlight w:val="none"/>
                <w:lang w:val="en-US" w:eastAsia="zh-CN" w:bidi="ar-SA"/>
              </w:rPr>
              <w:t>2023</w:t>
            </w:r>
            <w:r>
              <w:rPr>
                <w:rFonts w:hint="eastAsia" w:ascii="宋体" w:hAnsi="Times New Roman" w:eastAsia="宋体" w:cs="Times New Roman"/>
                <w:snapToGrid w:val="0"/>
                <w:color w:val="auto"/>
                <w:sz w:val="21"/>
                <w:szCs w:val="21"/>
                <w:highlight w:val="none"/>
                <w:lang w:val="en-US" w:eastAsia="en-US" w:bidi="ar-SA"/>
              </w:rPr>
              <w:t>年）</w:t>
            </w:r>
          </w:p>
        </w:tc>
      </w:tr>
      <w:tr w14:paraId="22C4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6164EC4">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3.5.3</w:t>
            </w:r>
          </w:p>
        </w:tc>
        <w:tc>
          <w:tcPr>
            <w:tcW w:w="993" w:type="pct"/>
            <w:tcBorders>
              <w:tl2br w:val="nil"/>
              <w:tr2bl w:val="nil"/>
            </w:tcBorders>
            <w:vAlign w:val="center"/>
          </w:tcPr>
          <w:p w14:paraId="66A91756">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近年完成的类似项目情况的年份要求</w:t>
            </w:r>
          </w:p>
        </w:tc>
        <w:tc>
          <w:tcPr>
            <w:tcW w:w="3439" w:type="pct"/>
            <w:tcBorders>
              <w:tl2br w:val="nil"/>
              <w:tr2bl w:val="nil"/>
            </w:tcBorders>
            <w:vAlign w:val="center"/>
          </w:tcPr>
          <w:p w14:paraId="23BCCBF5">
            <w:pPr>
              <w:widowControl/>
              <w:tabs>
                <w:tab w:val="left" w:pos="839"/>
              </w:tabs>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u w:val="single"/>
                <w:lang w:val="en-US" w:eastAsia="zh-CN" w:bidi="ar-SA"/>
              </w:rPr>
              <w:t>5</w:t>
            </w:r>
            <w:r>
              <w:rPr>
                <w:rFonts w:hint="eastAsia" w:ascii="宋体" w:hAnsi="Times New Roman" w:eastAsia="宋体" w:cs="Times New Roman"/>
                <w:snapToGrid w:val="0"/>
                <w:color w:val="auto"/>
                <w:sz w:val="21"/>
                <w:szCs w:val="21"/>
                <w:highlight w:val="none"/>
                <w:lang w:val="en-US" w:eastAsia="zh-CN" w:bidi="ar-SA"/>
              </w:rPr>
              <w:t>年（</w:t>
            </w:r>
            <w:r>
              <w:rPr>
                <w:rFonts w:ascii="宋体" w:hAnsi="Times New Roman" w:eastAsia="宋体" w:cs="Times New Roman"/>
                <w:snapToGrid w:val="0"/>
                <w:color w:val="auto"/>
                <w:sz w:val="21"/>
                <w:szCs w:val="21"/>
                <w:highlight w:val="none"/>
                <w:u w:val="single"/>
                <w:lang w:val="en-US" w:eastAsia="zh-CN" w:bidi="ar-SA"/>
              </w:rPr>
              <w:t>2019</w:t>
            </w:r>
            <w:r>
              <w:rPr>
                <w:rFonts w:hint="eastAsia" w:ascii="宋体" w:hAnsi="Times New Roman" w:eastAsia="宋体" w:cs="Times New Roman"/>
                <w:snapToGrid w:val="0"/>
                <w:color w:val="auto"/>
                <w:sz w:val="21"/>
                <w:szCs w:val="21"/>
                <w:highlight w:val="none"/>
                <w:lang w:val="en-US" w:eastAsia="zh-CN" w:bidi="ar-SA"/>
              </w:rPr>
              <w:t>年</w:t>
            </w:r>
            <w:r>
              <w:rPr>
                <w:rFonts w:hint="eastAsia" w:hAnsi="Times New Roman" w:cs="Times New Roman"/>
                <w:snapToGrid w:val="0"/>
                <w:color w:val="auto"/>
                <w:sz w:val="21"/>
                <w:szCs w:val="21"/>
                <w:highlight w:val="none"/>
                <w:u w:val="single"/>
                <w:lang w:val="en-US" w:eastAsia="zh-CN" w:bidi="ar-SA"/>
              </w:rPr>
              <w:t>7</w:t>
            </w:r>
            <w:r>
              <w:rPr>
                <w:rFonts w:hint="eastAsia" w:ascii="宋体" w:hAnsi="Times New Roman" w:eastAsia="宋体" w:cs="Times New Roman"/>
                <w:snapToGrid w:val="0"/>
                <w:color w:val="auto"/>
                <w:sz w:val="21"/>
                <w:szCs w:val="21"/>
                <w:highlight w:val="none"/>
                <w:lang w:val="en-US" w:eastAsia="zh-CN" w:bidi="ar-SA"/>
              </w:rPr>
              <w:t>月</w:t>
            </w:r>
            <w:r>
              <w:rPr>
                <w:rFonts w:ascii="宋体" w:hAnsi="Times New Roman" w:eastAsia="宋体" w:cs="Times New Roman"/>
                <w:snapToGrid w:val="0"/>
                <w:color w:val="auto"/>
                <w:sz w:val="21"/>
                <w:szCs w:val="21"/>
                <w:highlight w:val="none"/>
                <w:u w:val="single"/>
                <w:lang w:val="en-US" w:eastAsia="zh-CN" w:bidi="ar-SA"/>
              </w:rPr>
              <w:t>1</w:t>
            </w:r>
            <w:r>
              <w:rPr>
                <w:rFonts w:hint="eastAsia" w:ascii="宋体" w:hAnsi="Times New Roman" w:eastAsia="宋体" w:cs="Times New Roman"/>
                <w:snapToGrid w:val="0"/>
                <w:color w:val="auto"/>
                <w:sz w:val="21"/>
                <w:szCs w:val="21"/>
                <w:highlight w:val="none"/>
                <w:lang w:val="en-US" w:eastAsia="zh-CN" w:bidi="ar-SA"/>
              </w:rPr>
              <w:t>日至投标截止时间）</w:t>
            </w:r>
          </w:p>
        </w:tc>
      </w:tr>
      <w:tr w14:paraId="149D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4855BF0">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3.5.5</w:t>
            </w:r>
          </w:p>
        </w:tc>
        <w:tc>
          <w:tcPr>
            <w:tcW w:w="993" w:type="pct"/>
            <w:tcBorders>
              <w:tl2br w:val="nil"/>
              <w:tr2bl w:val="nil"/>
            </w:tcBorders>
            <w:vAlign w:val="center"/>
          </w:tcPr>
          <w:p w14:paraId="3D426E44">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近年发生的诉讼及仲裁情况的年份要求</w:t>
            </w:r>
          </w:p>
        </w:tc>
        <w:tc>
          <w:tcPr>
            <w:tcW w:w="3439" w:type="pct"/>
            <w:tcBorders>
              <w:tl2br w:val="nil"/>
              <w:tr2bl w:val="nil"/>
            </w:tcBorders>
            <w:vAlign w:val="center"/>
          </w:tcPr>
          <w:p w14:paraId="54959B06">
            <w:pPr>
              <w:widowControl/>
              <w:tabs>
                <w:tab w:val="left" w:pos="839"/>
              </w:tabs>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u w:val="single"/>
                <w:lang w:val="en-US" w:eastAsia="zh-CN" w:bidi="ar-SA"/>
              </w:rPr>
              <w:t xml:space="preserve">3 </w:t>
            </w:r>
            <w:r>
              <w:rPr>
                <w:rFonts w:hint="eastAsia" w:ascii="宋体" w:hAnsi="Times New Roman" w:eastAsia="宋体" w:cs="Times New Roman"/>
                <w:snapToGrid w:val="0"/>
                <w:color w:val="auto"/>
                <w:sz w:val="21"/>
                <w:szCs w:val="21"/>
                <w:highlight w:val="none"/>
                <w:lang w:val="en-US" w:eastAsia="zh-CN" w:bidi="ar-SA"/>
              </w:rPr>
              <w:t>年（</w:t>
            </w:r>
            <w:r>
              <w:rPr>
                <w:rFonts w:ascii="宋体" w:hAnsi="Times New Roman" w:eastAsia="宋体" w:cs="Times New Roman"/>
                <w:snapToGrid w:val="0"/>
                <w:color w:val="auto"/>
                <w:sz w:val="21"/>
                <w:szCs w:val="21"/>
                <w:highlight w:val="none"/>
                <w:lang w:val="en-US" w:eastAsia="zh-CN" w:bidi="ar-SA"/>
              </w:rPr>
              <w:t>2021</w:t>
            </w:r>
            <w:r>
              <w:rPr>
                <w:rFonts w:hint="eastAsia" w:ascii="宋体" w:hAnsi="Times New Roman" w:eastAsia="宋体" w:cs="Times New Roman"/>
                <w:snapToGrid w:val="0"/>
                <w:color w:val="auto"/>
                <w:sz w:val="21"/>
                <w:szCs w:val="21"/>
                <w:highlight w:val="none"/>
                <w:lang w:val="en-US" w:eastAsia="zh-CN" w:bidi="ar-SA"/>
              </w:rPr>
              <w:t>年</w:t>
            </w:r>
            <w:r>
              <w:rPr>
                <w:rFonts w:hint="eastAsia" w:hAnsi="Times New Roman" w:cs="Times New Roman"/>
                <w:snapToGrid w:val="0"/>
                <w:color w:val="auto"/>
                <w:sz w:val="21"/>
                <w:szCs w:val="21"/>
                <w:highlight w:val="none"/>
                <w:lang w:val="en-US" w:eastAsia="zh-CN" w:bidi="ar-SA"/>
              </w:rPr>
              <w:t>7</w:t>
            </w:r>
            <w:r>
              <w:rPr>
                <w:rFonts w:hint="eastAsia" w:ascii="宋体" w:hAnsi="Times New Roman" w:eastAsia="宋体" w:cs="Times New Roman"/>
                <w:snapToGrid w:val="0"/>
                <w:color w:val="auto"/>
                <w:sz w:val="21"/>
                <w:szCs w:val="21"/>
                <w:highlight w:val="none"/>
                <w:lang w:val="en-US" w:eastAsia="zh-CN" w:bidi="ar-SA"/>
              </w:rPr>
              <w:t>月</w:t>
            </w:r>
            <w:r>
              <w:rPr>
                <w:rFonts w:ascii="宋体" w:hAnsi="Times New Roman" w:eastAsia="宋体" w:cs="Times New Roman"/>
                <w:snapToGrid w:val="0"/>
                <w:color w:val="auto"/>
                <w:sz w:val="21"/>
                <w:szCs w:val="21"/>
                <w:highlight w:val="none"/>
                <w:lang w:val="en-US" w:eastAsia="zh-CN" w:bidi="ar-SA"/>
              </w:rPr>
              <w:t>1</w:t>
            </w:r>
            <w:r>
              <w:rPr>
                <w:rFonts w:hint="eastAsia" w:ascii="宋体" w:hAnsi="Times New Roman" w:eastAsia="宋体" w:cs="Times New Roman"/>
                <w:snapToGrid w:val="0"/>
                <w:color w:val="auto"/>
                <w:sz w:val="21"/>
                <w:szCs w:val="21"/>
                <w:highlight w:val="none"/>
                <w:lang w:val="en-US" w:eastAsia="zh-CN" w:bidi="ar-SA"/>
              </w:rPr>
              <w:t>日至投标截止时间）</w:t>
            </w:r>
          </w:p>
        </w:tc>
      </w:tr>
      <w:tr w14:paraId="3C0F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A041E51">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3.6</w:t>
            </w:r>
          </w:p>
        </w:tc>
        <w:tc>
          <w:tcPr>
            <w:tcW w:w="993" w:type="pct"/>
            <w:tcBorders>
              <w:tl2br w:val="nil"/>
              <w:tr2bl w:val="nil"/>
            </w:tcBorders>
            <w:vAlign w:val="center"/>
          </w:tcPr>
          <w:p w14:paraId="38180490">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是否允许递交备选投标方案</w:t>
            </w:r>
          </w:p>
        </w:tc>
        <w:tc>
          <w:tcPr>
            <w:tcW w:w="3439" w:type="pct"/>
            <w:tcBorders>
              <w:tl2br w:val="nil"/>
              <w:tr2bl w:val="nil"/>
            </w:tcBorders>
            <w:vAlign w:val="center"/>
          </w:tcPr>
          <w:p w14:paraId="0B6D217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en-US"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en-US" w:bidi="ar-SA"/>
              </w:rPr>
              <w:t>不允许。</w:t>
            </w:r>
          </w:p>
          <w:p w14:paraId="740DD80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□允许。</w:t>
            </w:r>
          </w:p>
        </w:tc>
      </w:tr>
      <w:tr w14:paraId="78F5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1195984">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3.7.3</w:t>
            </w:r>
          </w:p>
        </w:tc>
        <w:tc>
          <w:tcPr>
            <w:tcW w:w="993" w:type="pct"/>
            <w:tcBorders>
              <w:tl2br w:val="nil"/>
              <w:tr2bl w:val="nil"/>
            </w:tcBorders>
            <w:vAlign w:val="center"/>
          </w:tcPr>
          <w:p w14:paraId="6D5B432B">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签字或盖章要求</w:t>
            </w:r>
          </w:p>
        </w:tc>
        <w:tc>
          <w:tcPr>
            <w:tcW w:w="3439" w:type="pct"/>
            <w:tcBorders>
              <w:tl2br w:val="nil"/>
              <w:tr2bl w:val="nil"/>
            </w:tcBorders>
            <w:vAlign w:val="center"/>
          </w:tcPr>
          <w:p w14:paraId="5CDE8EA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ascii="宋体" w:hAnsi="Times New Roman" w:eastAsia="宋体" w:cs="Times New Roman"/>
                <w:strike/>
                <w:snapToGrid w:val="0"/>
                <w:color w:val="auto"/>
                <w:sz w:val="21"/>
                <w:szCs w:val="21"/>
                <w:highlight w:val="none"/>
                <w:lang w:val="en-US" w:eastAsia="zh-CN" w:bidi="ar-SA"/>
              </w:rPr>
              <w:t>1</w:t>
            </w:r>
            <w:r>
              <w:rPr>
                <w:rFonts w:ascii="宋体" w:hAnsi="Times New Roman" w:eastAsia="宋体" w:cs="Times New Roman"/>
                <w:b/>
                <w:bCs/>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投标文件格式文件要求法定代表人签字或盖章的,电子投标文件应使用</w:t>
            </w:r>
            <w:r>
              <w:rPr>
                <w:rFonts w:ascii="宋体" w:hAnsi="Times New Roman" w:eastAsia="宋体" w:cs="Times New Roman"/>
                <w:b/>
                <w:bCs/>
                <w:strike/>
                <w:snapToGrid w:val="0"/>
                <w:color w:val="auto"/>
                <w:sz w:val="21"/>
                <w:szCs w:val="21"/>
                <w:highlight w:val="none"/>
                <w:lang w:val="en-US" w:eastAsia="zh-CN" w:bidi="ar-SA"/>
              </w:rPr>
              <w:t>CA</w:t>
            </w:r>
            <w:r>
              <w:rPr>
                <w:rFonts w:hint="eastAsia" w:ascii="宋体" w:hAnsi="Times New Roman" w:eastAsia="宋体" w:cs="Times New Roman"/>
                <w:strike/>
                <w:snapToGrid w:val="0"/>
                <w:color w:val="auto"/>
                <w:sz w:val="21"/>
                <w:szCs w:val="21"/>
                <w:highlight w:val="none"/>
                <w:lang w:val="en-US" w:eastAsia="zh-CN" w:bidi="ar-SA"/>
              </w:rPr>
              <w:t>数字证书加盖法定代表人个人电子印章；投标格式文件中要求投标人单位盖章的，电子投标</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文件应使用</w:t>
            </w:r>
            <w:r>
              <w:rPr>
                <w:rFonts w:ascii="宋体" w:hAnsi="Times New Roman" w:eastAsia="宋体" w:cs="Times New Roman"/>
                <w:b/>
                <w:bCs/>
                <w:strike/>
                <w:snapToGrid w:val="0"/>
                <w:color w:val="auto"/>
                <w:sz w:val="21"/>
                <w:szCs w:val="21"/>
                <w:highlight w:val="none"/>
                <w:lang w:val="en-US" w:eastAsia="zh-CN" w:bidi="ar-SA"/>
              </w:rPr>
              <w:t>CA</w:t>
            </w:r>
            <w:r>
              <w:rPr>
                <w:rFonts w:hint="eastAsia" w:ascii="宋体" w:hAnsi="Times New Roman" w:eastAsia="宋体" w:cs="Times New Roman"/>
                <w:strike/>
                <w:snapToGrid w:val="0"/>
                <w:color w:val="auto"/>
                <w:sz w:val="21"/>
                <w:szCs w:val="21"/>
                <w:highlight w:val="none"/>
                <w:lang w:val="en-US" w:eastAsia="zh-CN" w:bidi="ar-SA"/>
              </w:rPr>
              <w:t>数字证书加盖投标人单位电子印章。联合体投标的，除联合体协议书之外，其余由联合体牵头人加盖</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单位电子印章、法定代表人个人电子印章即可。工程量清单报价表封面由注册一级造价工程师（水利工程）或浙江省二级造价工程师（水利工程）签字并加盖执业专用章。</w:t>
            </w:r>
          </w:p>
          <w:p w14:paraId="3F33169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2</w:t>
            </w:r>
            <w:r>
              <w:rPr>
                <w:rFonts w:ascii="宋体" w:hAnsi="Times New Roman" w:eastAsia="宋体" w:cs="Times New Roman"/>
                <w:b/>
                <w:bCs/>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其它要求：投标文件格式文件要求法定代表人签字或盖章的,加盖法定代表人个人印章；投标格式文件中要求投标人单位盖章的，加盖投标人单位公章。工程量清单报价表封面由注册一级造价工程师（水利工程）或浙江省二级造价工程师（水利工程）签字并加盖执业专用章。联合体投标的，除联合体协议书之外，其余由联合体牵头人加盖单位印章、法定代表人个人印章即可。</w:t>
            </w:r>
          </w:p>
        </w:tc>
      </w:tr>
      <w:tr w14:paraId="38670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D457481">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3.7.4</w:t>
            </w:r>
          </w:p>
        </w:tc>
        <w:tc>
          <w:tcPr>
            <w:tcW w:w="993" w:type="pct"/>
            <w:tcBorders>
              <w:tl2br w:val="nil"/>
              <w:tr2bl w:val="nil"/>
            </w:tcBorders>
            <w:vAlign w:val="center"/>
          </w:tcPr>
          <w:p w14:paraId="5A28732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投标文件的份数</w:t>
            </w:r>
          </w:p>
        </w:tc>
        <w:tc>
          <w:tcPr>
            <w:tcW w:w="3439" w:type="pct"/>
            <w:tcBorders>
              <w:tl2br w:val="nil"/>
              <w:tr2bl w:val="nil"/>
            </w:tcBorders>
            <w:vAlign w:val="center"/>
          </w:tcPr>
          <w:p w14:paraId="39E5F5C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加密电子投标文件（.ZJSTF）一份（上传至电子招投标交易平台），作为投标文件正本。</w:t>
            </w:r>
          </w:p>
          <w:p w14:paraId="0E05942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1、资格审查资料、技术标、资信标、商务标：1份正本，8份副本。</w:t>
            </w:r>
          </w:p>
        </w:tc>
      </w:tr>
      <w:tr w14:paraId="6296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D3E79CF">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4.1.1</w:t>
            </w:r>
          </w:p>
        </w:tc>
        <w:tc>
          <w:tcPr>
            <w:tcW w:w="993" w:type="pct"/>
            <w:tcBorders>
              <w:tl2br w:val="nil"/>
              <w:tr2bl w:val="nil"/>
            </w:tcBorders>
            <w:vAlign w:val="center"/>
          </w:tcPr>
          <w:p w14:paraId="091A3F65">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光盘、样品等材料的包装和标记</w:t>
            </w:r>
          </w:p>
        </w:tc>
        <w:tc>
          <w:tcPr>
            <w:tcW w:w="3439" w:type="pct"/>
            <w:tcBorders>
              <w:tl2br w:val="nil"/>
              <w:tr2bl w:val="nil"/>
            </w:tcBorders>
            <w:vAlign w:val="center"/>
          </w:tcPr>
          <w:p w14:paraId="71432F63">
            <w:pPr>
              <w:widowControl/>
              <w:kinsoku/>
              <w:spacing w:beforeLines="0" w:afterLines="0" w:line="0" w:lineRule="atLeast"/>
              <w:ind w:left="0" w:right="0" w:firstLine="420" w:firstLineChars="200"/>
              <w:jc w:val="left"/>
              <w:rPr>
                <w:rFonts w:ascii="宋体" w:hAnsi="Times New Roman" w:cs="Times New Roman"/>
                <w:color w:val="auto"/>
                <w:sz w:val="21"/>
                <w:highlight w:val="none"/>
                <w:lang w:eastAsia="zh-CN"/>
              </w:rPr>
            </w:pPr>
            <w:r>
              <w:rPr>
                <w:rFonts w:hint="eastAsia" w:hAnsi="Times New Roman" w:cs="Times New Roman"/>
                <w:color w:val="auto"/>
                <w:sz w:val="21"/>
                <w:szCs w:val="21"/>
                <w:highlight w:val="none"/>
                <w:lang w:eastAsia="zh-CN"/>
              </w:rPr>
              <w:t xml:space="preserve"> / </w:t>
            </w:r>
          </w:p>
        </w:tc>
      </w:tr>
      <w:tr w14:paraId="1739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FCAEA9D">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4.2.2</w:t>
            </w:r>
          </w:p>
        </w:tc>
        <w:tc>
          <w:tcPr>
            <w:tcW w:w="993" w:type="pct"/>
            <w:tcBorders>
              <w:tl2br w:val="nil"/>
              <w:tr2bl w:val="nil"/>
            </w:tcBorders>
            <w:vAlign w:val="center"/>
          </w:tcPr>
          <w:p w14:paraId="11EC5B52">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递交投标文件方式和地点</w:t>
            </w:r>
          </w:p>
        </w:tc>
        <w:tc>
          <w:tcPr>
            <w:tcW w:w="3439" w:type="pct"/>
            <w:tcBorders>
              <w:tl2br w:val="nil"/>
              <w:tr2bl w:val="nil"/>
            </w:tcBorders>
            <w:vAlign w:val="center"/>
          </w:tcPr>
          <w:p w14:paraId="11BD3BE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en-US" w:bidi="ar-SA"/>
              </w:rPr>
            </w:pPr>
            <w:r>
              <w:rPr>
                <w:rFonts w:ascii="宋体" w:hAnsi="Times New Roman" w:eastAsia="宋体" w:cs="Times New Roman"/>
                <w:strike/>
                <w:snapToGrid w:val="0"/>
                <w:color w:val="auto"/>
                <w:sz w:val="21"/>
                <w:szCs w:val="21"/>
                <w:highlight w:val="none"/>
                <w:lang w:val="en-US" w:eastAsia="en-US" w:bidi="ar-SA"/>
              </w:rPr>
              <w:t>1</w:t>
            </w:r>
            <w:r>
              <w:rPr>
                <w:rFonts w:ascii="宋体" w:hAnsi="Times New Roman" w:eastAsia="宋体" w:cs="Times New Roman"/>
                <w:b/>
                <w:bCs/>
                <w:strike/>
                <w:snapToGrid w:val="0"/>
                <w:color w:val="auto"/>
                <w:sz w:val="21"/>
                <w:szCs w:val="21"/>
                <w:highlight w:val="none"/>
                <w:lang w:val="en-US" w:eastAsia="en-US" w:bidi="ar-SA"/>
              </w:rPr>
              <w:t>.</w:t>
            </w:r>
            <w:r>
              <w:rPr>
                <w:rFonts w:hint="eastAsia" w:ascii="宋体" w:hAnsi="Times New Roman" w:eastAsia="宋体" w:cs="Times New Roman"/>
                <w:strike/>
                <w:snapToGrid w:val="0"/>
                <w:color w:val="auto"/>
                <w:sz w:val="21"/>
                <w:szCs w:val="21"/>
                <w:highlight w:val="none"/>
                <w:lang w:val="en-US" w:eastAsia="en-US" w:bidi="ar-SA"/>
              </w:rPr>
              <w:t>将由投标文件制作工具制作生成的加密投标文件在投标截止时间前（以上传完成时间为准）上传至</w:t>
            </w:r>
            <w:r>
              <w:rPr>
                <w:rFonts w:hint="eastAsia" w:ascii="宋体" w:hAnsi="Times New Roman" w:eastAsia="宋体" w:cs="Times New Roman"/>
                <w:strike/>
                <w:snapToGrid w:val="0"/>
                <w:color w:val="auto"/>
                <w:sz w:val="21"/>
                <w:szCs w:val="21"/>
                <w:highlight w:val="none"/>
                <w:u w:val="single"/>
                <w:lang w:val="en-US" w:eastAsia="en-US" w:bidi="ar-SA"/>
              </w:rPr>
              <w:t>“浙江省公共资源交易中心电子招投标交易平台（https://jyzt.zmctc.com/TPBidder/login.aspx）”</w:t>
            </w:r>
            <w:r>
              <w:rPr>
                <w:rFonts w:hint="eastAsia" w:ascii="宋体" w:hAnsi="Times New Roman" w:eastAsia="宋体" w:cs="Times New Roman"/>
                <w:strike/>
                <w:snapToGrid w:val="0"/>
                <w:color w:val="auto"/>
                <w:sz w:val="21"/>
                <w:szCs w:val="21"/>
                <w:highlight w:val="none"/>
                <w:lang w:val="en-US" w:eastAsia="en-US" w:bidi="ar-SA"/>
              </w:rPr>
              <w:t>（电子招标投标交易平台）。</w:t>
            </w:r>
          </w:p>
          <w:p w14:paraId="5479BFC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☑2</w:t>
            </w:r>
            <w:r>
              <w:rPr>
                <w:rFonts w:ascii="宋体" w:hAnsi="Times New Roman" w:eastAsia="宋体" w:cs="Times New Roman"/>
                <w:b/>
                <w:bCs/>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将</w:t>
            </w:r>
            <w:r>
              <w:rPr>
                <w:rFonts w:hint="eastAsia" w:ascii="宋体" w:hAnsi="Times New Roman" w:eastAsia="宋体" w:cs="Times New Roman"/>
                <w:snapToGrid w:val="0"/>
                <w:color w:val="auto"/>
                <w:sz w:val="21"/>
                <w:szCs w:val="21"/>
                <w:highlight w:val="none"/>
                <w:u w:val="single"/>
                <w:lang w:val="en-US" w:eastAsia="zh-CN" w:bidi="ar-SA"/>
              </w:rPr>
              <w:t xml:space="preserve"> / </w:t>
            </w:r>
            <w:r>
              <w:rPr>
                <w:rFonts w:hint="eastAsia" w:ascii="宋体" w:hAnsi="Times New Roman" w:eastAsia="宋体" w:cs="Times New Roman"/>
                <w:snapToGrid w:val="0"/>
                <w:color w:val="auto"/>
                <w:sz w:val="21"/>
                <w:szCs w:val="21"/>
                <w:highlight w:val="none"/>
                <w:lang w:val="en-US" w:eastAsia="zh-CN" w:bidi="ar-SA"/>
              </w:rPr>
              <w:t>在投标截止时间前按招标文件</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要求递交至以下地点：</w:t>
            </w:r>
            <w:r>
              <w:rPr>
                <w:rFonts w:hint="eastAsia" w:ascii="宋体" w:hAnsi="Times New Roman" w:eastAsia="宋体" w:cs="Times New Roman"/>
                <w:snapToGrid w:val="0"/>
                <w:color w:val="auto"/>
                <w:sz w:val="21"/>
                <w:szCs w:val="21"/>
                <w:highlight w:val="none"/>
                <w:u w:val="single"/>
                <w:lang w:val="en-US" w:eastAsia="zh-CN" w:bidi="ar-SA"/>
              </w:rPr>
              <w:t>绍兴市公共资源交易中心四楼指定开标室</w:t>
            </w:r>
            <w:r>
              <w:rPr>
                <w:rFonts w:hint="eastAsia" w:ascii="宋体" w:hAnsi="Times New Roman" w:eastAsia="宋体" w:cs="Times New Roman"/>
                <w:snapToGrid w:val="0"/>
                <w:color w:val="auto"/>
                <w:sz w:val="21"/>
                <w:szCs w:val="21"/>
                <w:highlight w:val="none"/>
                <w:lang w:val="en-US" w:eastAsia="zh-CN" w:bidi="ar-SA"/>
              </w:rPr>
              <w:t>（详细地址）。递交投标文件等材料时应同时携带递交人授权委托书及身份证原件。</w:t>
            </w:r>
          </w:p>
        </w:tc>
      </w:tr>
      <w:tr w14:paraId="06F3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B391ECF">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4.2.5</w:t>
            </w:r>
          </w:p>
        </w:tc>
        <w:tc>
          <w:tcPr>
            <w:tcW w:w="993" w:type="pct"/>
            <w:tcBorders>
              <w:tl2br w:val="nil"/>
              <w:tr2bl w:val="nil"/>
            </w:tcBorders>
            <w:vAlign w:val="center"/>
          </w:tcPr>
          <w:p w14:paraId="2B4DAB7C">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投标文件拒收的情形</w:t>
            </w:r>
          </w:p>
        </w:tc>
        <w:tc>
          <w:tcPr>
            <w:tcW w:w="3439" w:type="pct"/>
            <w:tcBorders>
              <w:tl2br w:val="nil"/>
              <w:tr2bl w:val="nil"/>
            </w:tcBorders>
            <w:vAlign w:val="center"/>
          </w:tcPr>
          <w:p w14:paraId="649C00D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1</w:t>
            </w:r>
            <w:r>
              <w:rPr>
                <w:rFonts w:ascii="宋体" w:hAnsi="Times New Roman" w:eastAsia="宋体" w:cs="Times New Roman"/>
                <w:b/>
                <w:bCs/>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投标文件未按招标文件要求上传或未按规定进行加密。</w:t>
            </w:r>
          </w:p>
          <w:p w14:paraId="12C3315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2</w:t>
            </w:r>
            <w:r>
              <w:rPr>
                <w:rFonts w:ascii="宋体" w:hAnsi="Times New Roman" w:eastAsia="宋体" w:cs="Times New Roman"/>
                <w:b/>
                <w:bCs/>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未通过资格预审的申请人提交投标文件的（资格预审方式招标的选用）。</w:t>
            </w:r>
          </w:p>
          <w:p w14:paraId="6F6E5D9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3.  </w:t>
            </w:r>
            <w:r>
              <w:rPr>
                <w:rFonts w:hint="eastAsia" w:ascii="宋体" w:hAnsi="Times New Roman" w:eastAsia="宋体" w:cs="Times New Roman"/>
                <w:snapToGrid w:val="0"/>
                <w:color w:val="auto"/>
                <w:sz w:val="21"/>
                <w:szCs w:val="21"/>
                <w:highlight w:val="none"/>
                <w:lang w:val="en-US" w:eastAsia="zh-CN" w:bidi="ar-SA"/>
              </w:rPr>
              <w:t>未在投标截止时间前递交光盘、样品等材料的</w:t>
            </w:r>
          </w:p>
          <w:p w14:paraId="0186FB5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4、未在投标截止时间前递交投标文件等材料的。</w:t>
            </w:r>
          </w:p>
        </w:tc>
      </w:tr>
      <w:tr w14:paraId="003B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F28D8FB">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5.1</w:t>
            </w:r>
          </w:p>
        </w:tc>
        <w:tc>
          <w:tcPr>
            <w:tcW w:w="993" w:type="pct"/>
            <w:tcBorders>
              <w:tl2br w:val="nil"/>
              <w:tr2bl w:val="nil"/>
            </w:tcBorders>
            <w:vAlign w:val="center"/>
          </w:tcPr>
          <w:p w14:paraId="5925D2AB">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开标时间和地点</w:t>
            </w:r>
          </w:p>
        </w:tc>
        <w:tc>
          <w:tcPr>
            <w:tcW w:w="3439" w:type="pct"/>
            <w:tcBorders>
              <w:tl2br w:val="nil"/>
              <w:tr2bl w:val="nil"/>
            </w:tcBorders>
            <w:vAlign w:val="center"/>
          </w:tcPr>
          <w:p w14:paraId="472BF0C8">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一、开标时间：同投标截止时间。</w:t>
            </w:r>
          </w:p>
          <w:p w14:paraId="266BD958">
            <w:pPr>
              <w:widowControl/>
              <w:numPr>
                <w:ilvl w:val="-1"/>
                <w:numId w:val="0"/>
              </w:numPr>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本项目</w:t>
            </w:r>
            <w:r>
              <w:rPr>
                <w:rFonts w:hint="eastAsia" w:ascii="宋体" w:hAnsi="Times New Roman" w:eastAsia="宋体" w:cs="Times New Roman"/>
                <w:strike/>
                <w:snapToGrid w:val="0"/>
                <w:color w:val="auto"/>
                <w:sz w:val="21"/>
                <w:szCs w:val="21"/>
                <w:highlight w:val="none"/>
                <w:lang w:val="en-US" w:eastAsia="zh-CN" w:bidi="ar-SA"/>
              </w:rPr>
              <w:t>采用网上远程开标方式，开标网址：（电子招标投标交易平台网址）</w:t>
            </w:r>
            <w:r>
              <w:rPr>
                <w:rFonts w:hint="eastAsia" w:ascii="宋体" w:hAnsi="Times New Roman" w:eastAsia="宋体" w:cs="Times New Roman"/>
                <w:snapToGrid w:val="0"/>
                <w:color w:val="auto"/>
                <w:sz w:val="21"/>
                <w:szCs w:val="21"/>
                <w:highlight w:val="none"/>
                <w:lang w:val="en-US" w:eastAsia="zh-CN" w:bidi="ar-SA"/>
              </w:rPr>
              <w:t>开标地点：绍兴市公共资源交易中心四楼指定开标室</w:t>
            </w:r>
          </w:p>
          <w:p w14:paraId="5A42EE4E">
            <w:pPr>
              <w:widowControl/>
              <w:numPr>
                <w:ilvl w:val="-1"/>
                <w:numId w:val="0"/>
              </w:numPr>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开始时间：2024年</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月</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日09时30分</w:t>
            </w:r>
          </w:p>
          <w:p w14:paraId="0F73F7AB">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cs="Times New Roman"/>
                <w:strike/>
                <w:color w:val="auto"/>
                <w:sz w:val="21"/>
                <w:szCs w:val="21"/>
                <w:highlight w:val="none"/>
                <w:lang w:eastAsia="zh-CN"/>
              </w:rPr>
              <w:t>三、参加开标会议的要求</w:t>
            </w:r>
          </w:p>
        </w:tc>
      </w:tr>
      <w:tr w14:paraId="755B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62787A68">
            <w:pPr>
              <w:widowControl/>
              <w:kinsoku/>
              <w:spacing w:beforeLines="0" w:afterLines="0" w:line="0" w:lineRule="atLeast"/>
              <w:ind w:firstLine="0" w:firstLineChars="0"/>
              <w:jc w:val="center"/>
              <w:rPr>
                <w:rFonts w:hAnsi="Times New Roman" w:cs="Times New Roman"/>
                <w:color w:val="auto"/>
                <w:sz w:val="21"/>
                <w:szCs w:val="21"/>
                <w:highlight w:val="none"/>
              </w:rPr>
            </w:pPr>
            <w:r>
              <w:rPr>
                <w:rFonts w:hAnsi="Times New Roman" w:cs="Times New Roman"/>
                <w:color w:val="auto"/>
                <w:sz w:val="21"/>
                <w:szCs w:val="21"/>
                <w:highlight w:val="none"/>
              </w:rPr>
              <w:t>5.1</w:t>
            </w:r>
          </w:p>
        </w:tc>
        <w:tc>
          <w:tcPr>
            <w:tcW w:w="993" w:type="pct"/>
            <w:tcBorders>
              <w:tl2br w:val="nil"/>
              <w:tr2bl w:val="nil"/>
            </w:tcBorders>
            <w:vAlign w:val="center"/>
          </w:tcPr>
          <w:p w14:paraId="2BDB4CE0">
            <w:pPr>
              <w:widowControl/>
              <w:kinsoku/>
              <w:adjustRightInd w:val="0"/>
              <w:snapToGrid w:val="0"/>
              <w:spacing w:beforeLines="0" w:afterLines="0" w:line="0" w:lineRule="atLeast"/>
              <w:ind w:firstLine="0" w:firstLineChars="0"/>
              <w:jc w:val="center"/>
              <w:textAlignment w:val="baseline"/>
              <w:rPr>
                <w:rFonts w:ascii="宋体" w:hAnsi="Times New Roman" w:eastAsia="宋体" w:cs="Times New Roman"/>
                <w:snapToGrid w:val="0"/>
                <w:color w:val="auto"/>
                <w:sz w:val="21"/>
                <w:szCs w:val="21"/>
                <w:highlight w:val="none"/>
                <w:lang w:val="en-US" w:eastAsia="en-US" w:bidi="ar-SA"/>
              </w:rPr>
            </w:pPr>
            <w:r>
              <w:rPr>
                <w:rFonts w:hint="eastAsia" w:ascii="宋体" w:hAnsi="Times New Roman" w:eastAsia="宋体" w:cs="Times New Roman"/>
                <w:snapToGrid w:val="0"/>
                <w:color w:val="auto"/>
                <w:sz w:val="21"/>
                <w:szCs w:val="21"/>
                <w:highlight w:val="none"/>
                <w:lang w:val="en-US" w:eastAsia="en-US" w:bidi="ar-SA"/>
              </w:rPr>
              <w:t>开标时间和地点</w:t>
            </w:r>
          </w:p>
        </w:tc>
        <w:tc>
          <w:tcPr>
            <w:tcW w:w="3439" w:type="pct"/>
            <w:tcBorders>
              <w:tl2br w:val="nil"/>
              <w:tr2bl w:val="nil"/>
            </w:tcBorders>
            <w:vAlign w:val="center"/>
          </w:tcPr>
          <w:p w14:paraId="6FA92258">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投标人应在投标截止时间之前使用数字证书（CA）自行登录不见面开标大厅，在线等待开标，并在开标期间保持通讯畅通。请各投标人务必使用IE11及以上浏览器访问（电子招标投标交易平台）</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不见面开标大厅，完成远程开标。投标人可全程在线观看开标过程，无需到现场开标。</w:t>
            </w:r>
          </w:p>
          <w:p w14:paraId="5CE5C123">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四、开标期间，各交易主体使用数字证书（CA）在各</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自的电脑终端上的所有操作、音视频及文字交互均被视为各交易主体的行为，并承担相应的法律责任。</w:t>
            </w:r>
          </w:p>
          <w:p w14:paraId="0EE5343D">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□一、开标时间：同投标截止时间。</w:t>
            </w:r>
          </w:p>
          <w:p w14:paraId="6C774FB5">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二、参加开标会议的要求</w:t>
            </w:r>
          </w:p>
          <w:p w14:paraId="4F2C7D03">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通过电子招标投标交易平台公开开标，并邀请所有投标人代表准时参加，投标人自行决定是否参加。</w:t>
            </w:r>
          </w:p>
        </w:tc>
      </w:tr>
      <w:tr w14:paraId="191F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vMerge w:val="restart"/>
            <w:tcBorders>
              <w:tl2br w:val="nil"/>
              <w:tr2bl w:val="nil"/>
            </w:tcBorders>
            <w:vAlign w:val="center"/>
          </w:tcPr>
          <w:p w14:paraId="5ACFFD89">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5.2</w:t>
            </w:r>
          </w:p>
        </w:tc>
        <w:tc>
          <w:tcPr>
            <w:tcW w:w="993" w:type="pct"/>
            <w:vMerge w:val="restart"/>
            <w:tcBorders>
              <w:tl2br w:val="nil"/>
              <w:tr2bl w:val="nil"/>
            </w:tcBorders>
            <w:vAlign w:val="center"/>
          </w:tcPr>
          <w:p w14:paraId="52058C2A">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开标程序</w:t>
            </w:r>
          </w:p>
        </w:tc>
        <w:tc>
          <w:tcPr>
            <w:tcW w:w="3439" w:type="pct"/>
            <w:tcBorders>
              <w:tl2br w:val="nil"/>
              <w:tr2bl w:val="nil"/>
            </w:tcBorders>
            <w:vAlign w:val="center"/>
          </w:tcPr>
          <w:p w14:paraId="3F192CCE">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本项目采用投标人现场递交方式：将密封的投标文件在开标当日09:00时至09:30时递交至绍兴市公共资源交易中心四楼指定开标室，投标文件递交后即交即走。</w:t>
            </w:r>
          </w:p>
          <w:p w14:paraId="5ABBCB56">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投标人在开标现场不需要书面签字确认等有关操作。</w:t>
            </w:r>
          </w:p>
          <w:p w14:paraId="041D1918">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一、如发现投标文件存在投标人前附表</w:t>
            </w:r>
            <w:r>
              <w:rPr>
                <w:rFonts w:ascii="宋体" w:hAnsi="Times New Roman" w:eastAsia="宋体" w:cs="Times New Roman"/>
                <w:strike/>
                <w:snapToGrid w:val="0"/>
                <w:color w:val="auto"/>
                <w:sz w:val="21"/>
                <w:szCs w:val="21"/>
                <w:highlight w:val="none"/>
                <w:lang w:val="en-US" w:eastAsia="zh-CN" w:bidi="ar-SA"/>
              </w:rPr>
              <w:t xml:space="preserve"> 4.2.5 </w:t>
            </w:r>
            <w:r>
              <w:rPr>
                <w:rFonts w:hint="eastAsia" w:ascii="宋体" w:hAnsi="Times New Roman" w:eastAsia="宋体" w:cs="Times New Roman"/>
                <w:strike/>
                <w:snapToGrid w:val="0"/>
                <w:color w:val="auto"/>
                <w:sz w:val="21"/>
                <w:szCs w:val="21"/>
                <w:highlight w:val="none"/>
                <w:lang w:val="en-US" w:eastAsia="zh-CN" w:bidi="ar-SA"/>
              </w:rPr>
              <w:t>条规定的投标文件拒收情形之一的，相应投标文件不予开标，招标人将投标文件退回投标人。</w:t>
            </w:r>
          </w:p>
          <w:p w14:paraId="524140D3">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二、开标程序</w:t>
            </w:r>
          </w:p>
          <w:p w14:paraId="566A6778">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（一）宣布开始</w:t>
            </w:r>
          </w:p>
          <w:p w14:paraId="66CE6084">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至投标截止时间，招标人宣布开始开标，宣布开标项目名称、招标人代表、交易中心见证代表、监标人等有关人员姓名。</w:t>
            </w:r>
          </w:p>
          <w:p w14:paraId="2433743C">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（二）公布投标人数量</w:t>
            </w:r>
          </w:p>
          <w:p w14:paraId="05C02F1E">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招标人公布投标人数量及投标保证金缴纳情况。若开标</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系统显示已递交投标文件的单位数量少于</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3家，招标人公布</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已递交投标文件单位名称，当场宣布招标失败，结束开标。</w:t>
            </w:r>
          </w:p>
          <w:p w14:paraId="4F355138">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（三）投标人解密</w:t>
            </w:r>
          </w:p>
          <w:p w14:paraId="779FCB20">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投标人数量大于等于</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3家，进入投标人解密环节。投标人解密时间：30</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分钟。投标人解密方式：</w:t>
            </w:r>
          </w:p>
          <w:p w14:paraId="343F2CC7">
            <w:pPr>
              <w:widowControl/>
              <w:kinsoku/>
              <w:adjustRightInd/>
              <w:snapToGrid/>
              <w:spacing w:beforeLines="-2147483648" w:afterLines="-2147483648" w:line="240" w:lineRule="auto"/>
              <w:ind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投标人使用</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IE11及以上浏览器自行登录不见面开标大厅：</w:t>
            </w:r>
            <w:r>
              <w:rPr>
                <w:rFonts w:ascii="宋体" w:hAnsi="Times New Roman" w:eastAsia="宋体" w:cs="Times New Roman"/>
                <w:strike/>
                <w:snapToGrid w:val="0"/>
                <w:color w:val="auto"/>
                <w:sz w:val="21"/>
                <w:szCs w:val="21"/>
                <w:highlight w:val="none"/>
                <w:u w:val="single"/>
                <w:lang w:val="en-US" w:eastAsia="zh-CN" w:bidi="ar-SA"/>
              </w:rPr>
              <w:t>http://kb.zmctc.com/BidOpening_new/bidopeninghallaction/hall/login</w:t>
            </w:r>
            <w:r>
              <w:rPr>
                <w:rFonts w:hint="eastAsia" w:ascii="宋体" w:hAnsi="Times New Roman" w:eastAsia="宋体" w:cs="Times New Roman"/>
                <w:strike/>
                <w:snapToGrid w:val="0"/>
                <w:color w:val="auto"/>
                <w:sz w:val="21"/>
                <w:szCs w:val="21"/>
                <w:highlight w:val="none"/>
                <w:lang w:val="en-US" w:eastAsia="zh-CN" w:bidi="ar-SA"/>
              </w:rPr>
              <w:t>（电子招标投标交易平台首页点击</w:t>
            </w:r>
            <w:r>
              <w:rPr>
                <w:rFonts w:ascii="宋体" w:hAnsi="Times New Roman" w:eastAsia="宋体" w:cs="Times New Roman"/>
                <w:strike/>
                <w:snapToGrid w:val="0"/>
                <w:color w:val="auto"/>
                <w:sz w:val="21"/>
                <w:szCs w:val="21"/>
                <w:highlight w:val="non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不见面开标大厅</w:t>
            </w:r>
            <w:r>
              <w:rPr>
                <w:rFonts w:ascii="宋体" w:hAnsi="Times New Roman" w:eastAsia="宋体" w:cs="Times New Roman"/>
                <w:strike/>
                <w:snapToGrid w:val="0"/>
                <w:color w:val="auto"/>
                <w:sz w:val="21"/>
                <w:szCs w:val="21"/>
                <w:highlight w:val="non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）。待招标人点击解密指令后，投标人使用生成投标文件的CA数字证书在线解密。</w:t>
            </w:r>
          </w:p>
          <w:p w14:paraId="498FF77E">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若成功解密的投标人少于</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3家，招标人宣布本次招标失败。</w:t>
            </w:r>
          </w:p>
          <w:p w14:paraId="1B0EF1FB">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（四）招标人解密</w:t>
            </w:r>
          </w:p>
          <w:p w14:paraId="08F087AB">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全部投标人解密完成后或投标人解密时间结束，招标人使用生成招标文件的CA数字证书解密投标文件。</w:t>
            </w:r>
          </w:p>
          <w:p w14:paraId="794993B9">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（五）抽取系数（若有）</w:t>
            </w:r>
          </w:p>
          <w:p w14:paraId="73369272">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（六）公布开标结果</w:t>
            </w:r>
          </w:p>
          <w:p w14:paraId="45E51C58">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招标解密完成后，开标系统公布投标单位、项目负责人、投标报价、工期、质量目标等内容。</w:t>
            </w:r>
          </w:p>
          <w:p w14:paraId="4DEFBA30">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（七）投标人确认</w:t>
            </w:r>
          </w:p>
          <w:p w14:paraId="7DE81C56">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开标结果公布后，投标人应在</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5分钟内对开标结果进行确认，未在规定时间内完成在线确认的视为自动确认。</w:t>
            </w:r>
          </w:p>
          <w:p w14:paraId="33541EFD">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（八）异议及回复</w:t>
            </w:r>
          </w:p>
          <w:p w14:paraId="6A0D8EFA">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投标人对开标有异议的，应在开标结果公布后</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5分钟内通过不见面开标大厅的</w:t>
            </w:r>
            <w:r>
              <w:rPr>
                <w:rFonts w:ascii="宋体" w:hAnsi="Times New Roman" w:eastAsia="宋体" w:cs="Times New Roman"/>
                <w:strike/>
                <w:snapToGrid w:val="0"/>
                <w:color w:val="auto"/>
                <w:sz w:val="21"/>
                <w:szCs w:val="21"/>
                <w:highlight w:val="non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我有异议</w:t>
            </w:r>
            <w:r>
              <w:rPr>
                <w:rFonts w:ascii="宋体" w:hAnsi="Times New Roman" w:eastAsia="宋体" w:cs="Times New Roman"/>
                <w:strike/>
                <w:snapToGrid w:val="0"/>
                <w:color w:val="auto"/>
                <w:sz w:val="21"/>
                <w:szCs w:val="21"/>
                <w:highlight w:val="non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按钮进行异议，招标人通过不见面开标大厅在线文字答复。</w:t>
            </w:r>
          </w:p>
          <w:p w14:paraId="57F523F6">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（九）开标结束</w:t>
            </w:r>
          </w:p>
          <w:p w14:paraId="69DE1E27">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招标人宣布本次开标结束。</w:t>
            </w:r>
          </w:p>
          <w:p w14:paraId="4F132398">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 xml:space="preserve">三、开标特别说明：               </w:t>
            </w:r>
          </w:p>
          <w:p w14:paraId="072FBEAE">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（一）因投标人原因造成其电子投标文件未解密的，视为撤销其投标文件；因投标人之外的原因造成电子投标文件未解密的，视为撤回其投标文件。</w:t>
            </w:r>
          </w:p>
          <w:p w14:paraId="6DE73ADE">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（二）部分投标人的电子投标文件无法解密的，其他投标文件的开标可以继续进行。</w:t>
            </w:r>
          </w:p>
          <w:p w14:paraId="27A3B59C">
            <w:pPr>
              <w:widowControl/>
              <w:kinsoku/>
              <w:adjustRightInd/>
              <w:snapToGrid/>
              <w:spacing w:beforeLines="-2147483648" w:afterLines="-2147483648" w:line="240" w:lineRule="auto"/>
              <w:ind w:left="0" w:right="0" w:firstLine="420" w:firstLineChars="20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cs="Times New Roman"/>
                <w:strike/>
                <w:color w:val="auto"/>
                <w:sz w:val="21"/>
                <w:szCs w:val="21"/>
                <w:highlight w:val="none"/>
                <w:lang w:eastAsia="zh-CN"/>
              </w:rPr>
              <w:t>（三）投标人必须使用生成电子投标文件的</w:t>
            </w:r>
            <w:r>
              <w:rPr>
                <w:rFonts w:ascii="宋体" w:hAnsi="Times New Roman" w:cs="Times New Roman"/>
                <w:strike/>
                <w:color w:val="auto"/>
                <w:sz w:val="21"/>
                <w:szCs w:val="21"/>
                <w:highlight w:val="none"/>
                <w:lang w:eastAsia="zh-CN"/>
              </w:rPr>
              <w:t xml:space="preserve"> CA </w:t>
            </w:r>
            <w:r>
              <w:rPr>
                <w:rFonts w:hint="eastAsia" w:ascii="宋体" w:hAnsi="Times New Roman" w:cs="Times New Roman"/>
                <w:strike/>
                <w:color w:val="auto"/>
                <w:sz w:val="21"/>
                <w:szCs w:val="21"/>
                <w:highlight w:val="none"/>
                <w:lang w:eastAsia="zh-CN"/>
              </w:rPr>
              <w:t>数字证书解密电子投标文件。</w:t>
            </w:r>
          </w:p>
        </w:tc>
      </w:tr>
      <w:tr w14:paraId="2569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vMerge w:val="continue"/>
            <w:tcBorders>
              <w:tl2br w:val="nil"/>
              <w:tr2bl w:val="nil"/>
            </w:tcBorders>
            <w:vAlign w:val="center"/>
          </w:tcPr>
          <w:p w14:paraId="63EA1E51">
            <w:pPr>
              <w:widowControl/>
              <w:kinsoku/>
              <w:spacing w:beforeLines="0" w:afterLines="0" w:line="0" w:lineRule="atLeast"/>
              <w:ind w:firstLine="0" w:firstLineChars="0"/>
              <w:jc w:val="center"/>
              <w:rPr>
                <w:rFonts w:hAnsi="Times New Roman" w:cs="Times New Roman"/>
                <w:color w:val="auto"/>
                <w:sz w:val="21"/>
                <w:szCs w:val="21"/>
                <w:highlight w:val="none"/>
                <w:lang w:eastAsia="zh-CN"/>
              </w:rPr>
            </w:pPr>
          </w:p>
        </w:tc>
        <w:tc>
          <w:tcPr>
            <w:tcW w:w="993" w:type="pct"/>
            <w:vMerge w:val="continue"/>
            <w:tcBorders>
              <w:tl2br w:val="nil"/>
              <w:tr2bl w:val="nil"/>
            </w:tcBorders>
            <w:vAlign w:val="center"/>
          </w:tcPr>
          <w:p w14:paraId="43018537">
            <w:pPr>
              <w:widowControl/>
              <w:kinsoku/>
              <w:adjustRightInd w:val="0"/>
              <w:snapToGrid w:val="0"/>
              <w:spacing w:beforeLines="0" w:afterLines="0" w:line="0" w:lineRule="atLeast"/>
              <w:ind w:firstLine="0" w:firstLineChars="0"/>
              <w:jc w:val="center"/>
              <w:textAlignment w:val="baseline"/>
              <w:rPr>
                <w:rFonts w:ascii="宋体" w:hAnsi="Times New Roman" w:eastAsia="宋体" w:cs="Times New Roman"/>
                <w:snapToGrid w:val="0"/>
                <w:color w:val="auto"/>
                <w:sz w:val="21"/>
                <w:szCs w:val="21"/>
                <w:highlight w:val="none"/>
                <w:lang w:val="en-US" w:eastAsia="en-US" w:bidi="ar-SA"/>
              </w:rPr>
            </w:pPr>
          </w:p>
        </w:tc>
        <w:tc>
          <w:tcPr>
            <w:tcW w:w="3439" w:type="pct"/>
            <w:tcBorders>
              <w:tl2br w:val="nil"/>
              <w:tr2bl w:val="nil"/>
            </w:tcBorders>
            <w:vAlign w:val="center"/>
          </w:tcPr>
          <w:p w14:paraId="6456A0A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（四）未在规定时间内完成投标文件解密的，造成投标失败的，投标人自行负责。</w:t>
            </w:r>
          </w:p>
          <w:p w14:paraId="15DA01AA">
            <w:pPr>
              <w:spacing w:line="0" w:lineRule="atLeast"/>
              <w:ind w:firstLine="420" w:firstLineChars="200"/>
              <w:rPr>
                <w:color w:val="auto"/>
                <w:highlight w:val="none"/>
              </w:rPr>
            </w:pPr>
            <w:r>
              <w:rPr>
                <w:rFonts w:hint="eastAsia" w:ascii="宋体" w:hAnsi="Times New Roman" w:cs="Times New Roman"/>
                <w:strike/>
                <w:color w:val="auto"/>
                <w:sz w:val="21"/>
                <w:szCs w:val="21"/>
                <w:highlight w:val="none"/>
                <w:lang w:eastAsia="zh-CN"/>
              </w:rPr>
              <w:t>四、特殊情况的处理</w:t>
            </w:r>
          </w:p>
          <w:p w14:paraId="6A12C351">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（一）如遇网络故障、网络安全问题等意外情况，所有投标人均无法解密，或因招标人</w:t>
            </w:r>
            <w:r>
              <w:rPr>
                <w:rFonts w:ascii="宋体" w:hAnsi="Times New Roman" w:eastAsia="宋体" w:cs="Times New Roman"/>
                <w:strike/>
                <w:snapToGrid w:val="0"/>
                <w:color w:val="auto"/>
                <w:sz w:val="21"/>
                <w:szCs w:val="21"/>
                <w:highlight w:val="none"/>
                <w:lang w:val="en-US" w:eastAsia="zh-CN" w:bidi="ar-SA"/>
              </w:rPr>
              <w:t xml:space="preserve"> CA </w:t>
            </w:r>
            <w:r>
              <w:rPr>
                <w:rFonts w:hint="eastAsia" w:ascii="宋体" w:hAnsi="Times New Roman" w:eastAsia="宋体" w:cs="Times New Roman"/>
                <w:strike/>
                <w:snapToGrid w:val="0"/>
                <w:color w:val="auto"/>
                <w:sz w:val="21"/>
                <w:szCs w:val="21"/>
                <w:highlight w:val="none"/>
                <w:lang w:val="en-US" w:eastAsia="zh-CN" w:bidi="ar-SA"/>
              </w:rPr>
              <w:t>锁原因导致招标人解密环节出现问题，招标人向监管部门申请并征得同意后可延长开标时间或推迟时间重新开标，具体安排另行通知。</w:t>
            </w:r>
          </w:p>
          <w:p w14:paraId="1828FD64">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（二）因电子交易系统故障、投标人数量过多等非投标人原因，导致投标文件不能在规定时间内完成解密的，招标人可向监管部门申请并征得同意后延长解密时间，并告知在线的投标人。</w:t>
            </w:r>
          </w:p>
          <w:p w14:paraId="3C1392CC">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五、不见面开标软硬件要求</w:t>
            </w:r>
          </w:p>
          <w:p w14:paraId="2B708B93">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投标人电脑终端的硬件设备和软件系统配置必须符合不见面开标技术要求并运行正常，否则投标人自行承担不利后果。</w:t>
            </w:r>
          </w:p>
          <w:p w14:paraId="41C1C75F">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en-US" w:bidi="ar-SA"/>
              </w:rPr>
            </w:pPr>
            <w:r>
              <w:rPr>
                <w:rFonts w:hint="eastAsia" w:ascii="宋体" w:hAnsi="Times New Roman" w:eastAsia="宋体" w:cs="Times New Roman"/>
                <w:strike/>
                <w:snapToGrid w:val="0"/>
                <w:color w:val="auto"/>
                <w:sz w:val="21"/>
                <w:szCs w:val="21"/>
                <w:highlight w:val="none"/>
                <w:lang w:val="en-US" w:eastAsia="en-US" w:bidi="ar-SA"/>
              </w:rPr>
              <w:t>（一）建议电脑配置：4G</w:t>
            </w:r>
            <w:r>
              <w:rPr>
                <w:rFonts w:ascii="宋体" w:hAnsi="Times New Roman" w:eastAsia="宋体" w:cs="Times New Roman"/>
                <w:strike/>
                <w:snapToGrid w:val="0"/>
                <w:color w:val="auto"/>
                <w:sz w:val="21"/>
                <w:szCs w:val="21"/>
                <w:highlight w:val="none"/>
                <w:lang w:val="en-US" w:eastAsia="en-US" w:bidi="ar-SA"/>
              </w:rPr>
              <w:t xml:space="preserve"> </w:t>
            </w:r>
            <w:r>
              <w:rPr>
                <w:rFonts w:hint="eastAsia" w:ascii="宋体" w:hAnsi="Times New Roman" w:eastAsia="宋体" w:cs="Times New Roman"/>
                <w:strike/>
                <w:snapToGrid w:val="0"/>
                <w:color w:val="auto"/>
                <w:sz w:val="21"/>
                <w:szCs w:val="21"/>
                <w:highlight w:val="none"/>
                <w:lang w:val="en-US" w:eastAsia="en-US" w:bidi="ar-SA"/>
              </w:rPr>
              <w:t>以上内存MicrosoftWindows7以上操作系统，正版</w:t>
            </w:r>
            <w:r>
              <w:rPr>
                <w:rFonts w:ascii="宋体" w:hAnsi="Times New Roman" w:eastAsia="宋体" w:cs="Times New Roman"/>
                <w:strike/>
                <w:snapToGrid w:val="0"/>
                <w:color w:val="auto"/>
                <w:sz w:val="21"/>
                <w:szCs w:val="21"/>
                <w:highlight w:val="none"/>
                <w:lang w:val="en-US" w:eastAsia="en-US" w:bidi="ar-SA"/>
              </w:rPr>
              <w:t xml:space="preserve"> office </w:t>
            </w:r>
            <w:r>
              <w:rPr>
                <w:rFonts w:hint="eastAsia" w:ascii="宋体" w:hAnsi="Times New Roman" w:eastAsia="宋体" w:cs="Times New Roman"/>
                <w:strike/>
                <w:snapToGrid w:val="0"/>
                <w:color w:val="auto"/>
                <w:sz w:val="21"/>
                <w:szCs w:val="21"/>
                <w:highlight w:val="none"/>
                <w:lang w:val="en-US" w:eastAsia="en-US" w:bidi="ar-SA"/>
              </w:rPr>
              <w:t>软件，耳机。</w:t>
            </w:r>
          </w:p>
          <w:p w14:paraId="6581E4A3">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en-US" w:bidi="ar-SA"/>
              </w:rPr>
            </w:pPr>
            <w:r>
              <w:rPr>
                <w:rFonts w:hint="eastAsia" w:ascii="宋体" w:hAnsi="Times New Roman" w:eastAsia="宋体" w:cs="Times New Roman"/>
                <w:strike/>
                <w:snapToGrid w:val="0"/>
                <w:color w:val="auto"/>
                <w:sz w:val="21"/>
                <w:szCs w:val="21"/>
                <w:highlight w:val="none"/>
                <w:lang w:val="en-US" w:eastAsia="en-US" w:bidi="ar-SA"/>
              </w:rPr>
              <w:t>（二）50M</w:t>
            </w:r>
            <w:r>
              <w:rPr>
                <w:rFonts w:ascii="宋体" w:hAnsi="Times New Roman" w:eastAsia="宋体" w:cs="Times New Roman"/>
                <w:strike/>
                <w:snapToGrid w:val="0"/>
                <w:color w:val="auto"/>
                <w:sz w:val="21"/>
                <w:szCs w:val="21"/>
                <w:highlight w:val="none"/>
                <w:lang w:val="en-US" w:eastAsia="en-US" w:bidi="ar-SA"/>
              </w:rPr>
              <w:t xml:space="preserve"> </w:t>
            </w:r>
            <w:r>
              <w:rPr>
                <w:rFonts w:hint="eastAsia" w:ascii="宋体" w:hAnsi="Times New Roman" w:eastAsia="宋体" w:cs="Times New Roman"/>
                <w:strike/>
                <w:snapToGrid w:val="0"/>
                <w:color w:val="auto"/>
                <w:sz w:val="21"/>
                <w:szCs w:val="21"/>
                <w:highlight w:val="none"/>
                <w:lang w:val="en-US" w:eastAsia="en-US" w:bidi="ar-SA"/>
              </w:rPr>
              <w:t>以上网络带宽连接。</w:t>
            </w:r>
          </w:p>
          <w:p w14:paraId="3FEFFE9F">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（三）安装新点驱动（浙江省版）。相关驱动可在不见面开标大厅登录界面的驱动下载页面下载。</w:t>
            </w:r>
          </w:p>
          <w:p w14:paraId="16B73A13">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en-US" w:bidi="ar-SA"/>
              </w:rPr>
            </w:pPr>
            <w:r>
              <w:rPr>
                <w:rFonts w:hint="eastAsia" w:ascii="宋体" w:hAnsi="Times New Roman" w:eastAsia="宋体" w:cs="Times New Roman"/>
                <w:strike/>
                <w:snapToGrid w:val="0"/>
                <w:color w:val="auto"/>
                <w:sz w:val="21"/>
                <w:szCs w:val="21"/>
                <w:highlight w:val="none"/>
                <w:lang w:val="en-US" w:eastAsia="en-US" w:bidi="ar-SA"/>
              </w:rPr>
              <w:t>（四）使用</w:t>
            </w:r>
            <w:r>
              <w:rPr>
                <w:rFonts w:ascii="宋体" w:hAnsi="Times New Roman" w:eastAsia="宋体" w:cs="Times New Roman"/>
                <w:strike/>
                <w:snapToGrid w:val="0"/>
                <w:color w:val="auto"/>
                <w:sz w:val="21"/>
                <w:szCs w:val="21"/>
                <w:highlight w:val="none"/>
                <w:lang w:val="en-US" w:eastAsia="en-US" w:bidi="ar-SA"/>
              </w:rPr>
              <w:t xml:space="preserve"> </w:t>
            </w:r>
            <w:r>
              <w:rPr>
                <w:rFonts w:hint="eastAsia" w:ascii="宋体" w:hAnsi="Times New Roman" w:eastAsia="宋体" w:cs="Times New Roman"/>
                <w:strike/>
                <w:snapToGrid w:val="0"/>
                <w:color w:val="auto"/>
                <w:sz w:val="21"/>
                <w:szCs w:val="21"/>
                <w:highlight w:val="none"/>
                <w:lang w:val="en-US" w:eastAsia="en-US" w:bidi="ar-SA"/>
              </w:rPr>
              <w:t>MicrosoftInternetExplorer11（IE11）及以上浏览器，加入可信任站点，添加兼容性视图设置，修改Activex</w:t>
            </w:r>
            <w:r>
              <w:rPr>
                <w:rFonts w:ascii="宋体" w:hAnsi="Times New Roman" w:eastAsia="宋体" w:cs="Times New Roman"/>
                <w:strike/>
                <w:snapToGrid w:val="0"/>
                <w:color w:val="auto"/>
                <w:sz w:val="21"/>
                <w:szCs w:val="21"/>
                <w:highlight w:val="none"/>
                <w:lang w:val="en-US" w:eastAsia="en-US" w:bidi="ar-SA"/>
              </w:rPr>
              <w:t xml:space="preserve"> </w:t>
            </w:r>
            <w:r>
              <w:rPr>
                <w:rFonts w:hint="eastAsia" w:ascii="宋体" w:hAnsi="Times New Roman" w:eastAsia="宋体" w:cs="Times New Roman"/>
                <w:strike/>
                <w:snapToGrid w:val="0"/>
                <w:color w:val="auto"/>
                <w:sz w:val="21"/>
                <w:szCs w:val="21"/>
                <w:highlight w:val="none"/>
                <w:lang w:val="en-US" w:eastAsia="en-US" w:bidi="ar-SA"/>
              </w:rPr>
              <w:t>控件和插件设置，关闭弹出窗口拦截。</w:t>
            </w:r>
          </w:p>
        </w:tc>
      </w:tr>
      <w:tr w14:paraId="3A5D2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6F4BC09">
            <w:pPr>
              <w:kinsoku/>
              <w:spacing w:beforeLines="0" w:afterLines="0" w:line="240" w:lineRule="auto"/>
              <w:ind w:left="0"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5.3</w:t>
            </w:r>
          </w:p>
        </w:tc>
        <w:tc>
          <w:tcPr>
            <w:tcW w:w="993" w:type="pct"/>
            <w:tcBorders>
              <w:tl2br w:val="nil"/>
              <w:tr2bl w:val="nil"/>
            </w:tcBorders>
            <w:vAlign w:val="center"/>
          </w:tcPr>
          <w:p w14:paraId="0C9FDE4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特殊情况处置</w:t>
            </w:r>
          </w:p>
        </w:tc>
        <w:tc>
          <w:tcPr>
            <w:tcW w:w="3439" w:type="pct"/>
            <w:tcBorders>
              <w:tl2br w:val="nil"/>
              <w:tr2bl w:val="nil"/>
            </w:tcBorders>
            <w:vAlign w:val="center"/>
          </w:tcPr>
          <w:p w14:paraId="11EC5CA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ascii="宋体" w:hAnsi="Times New Roman" w:eastAsia="宋体" w:cs="Times New Roman"/>
                <w:strike/>
                <w:snapToGrid w:val="0"/>
                <w:color w:val="auto"/>
                <w:sz w:val="21"/>
                <w:szCs w:val="21"/>
                <w:highlight w:val="none"/>
                <w:lang w:val="en-US" w:eastAsia="zh-CN" w:bidi="ar-SA"/>
              </w:rPr>
              <w:t>1</w:t>
            </w:r>
            <w:r>
              <w:rPr>
                <w:rFonts w:ascii="宋体" w:hAnsi="Times New Roman" w:eastAsia="宋体" w:cs="Times New Roman"/>
                <w:b/>
                <w:bCs/>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特殊情况的处置</w:t>
            </w:r>
          </w:p>
          <w:p w14:paraId="14FF8D6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（一）如遇网络故障、网络安全问题等意外情况，所有投标人均无法解密，或因招标人CA锁原因导致招标人解密环节出现问题，</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招标人应向监管部门申请并征得同意后可延长开标时间或推迟时间重新开标，具体安排另行通知。</w:t>
            </w:r>
          </w:p>
          <w:p w14:paraId="688CF42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（二）因电子交易系统故障、投标人数量过多等非投标人原因，导致投标文件不能在规定时间内完成解密的，招标人可向监管部门申请并征得同意后延长解密时间，并告知在线的投标人。</w:t>
            </w:r>
          </w:p>
          <w:p w14:paraId="59DD3D8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ascii="宋体" w:hAnsi="Times New Roman" w:eastAsia="宋体" w:cs="Times New Roman"/>
                <w:strike/>
                <w:snapToGrid w:val="0"/>
                <w:color w:val="auto"/>
                <w:sz w:val="21"/>
                <w:szCs w:val="21"/>
                <w:highlight w:val="none"/>
                <w:lang w:val="en-US" w:eastAsia="zh-CN" w:bidi="ar-SA"/>
              </w:rPr>
              <w:t>2</w:t>
            </w:r>
            <w:r>
              <w:rPr>
                <w:rFonts w:ascii="宋体" w:hAnsi="Times New Roman" w:eastAsia="宋体" w:cs="Times New Roman"/>
                <w:b/>
                <w:bCs/>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开标特别说明</w:t>
            </w:r>
          </w:p>
          <w:p w14:paraId="501F793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（一）开标解密使用投标人上传的电子投标文件。</w:t>
            </w:r>
          </w:p>
          <w:p w14:paraId="703F36F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（二）因投标人原因造成其电子投标文件未解密的，视为撤销其投标文件；因投标人之外的原因造成电子投标文件未解密的，视为撤回其投标文件。</w:t>
            </w:r>
          </w:p>
          <w:p w14:paraId="21287CB4">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（三）部分投标人的电子投标文件无法解密的，其他投标文件的开标可以继续进行。</w:t>
            </w:r>
          </w:p>
          <w:p w14:paraId="2A059A9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（四）投标人必须使用生成电子投标文件的</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CA数字证书解密电子投标文件。</w:t>
            </w:r>
          </w:p>
          <w:p w14:paraId="5C98EAE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en-US" w:bidi="ar-SA"/>
              </w:rPr>
              <w:t>（五）其他：</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b/>
                <w:bCs/>
                <w:strike/>
                <w:snapToGrid w:val="0"/>
                <w:color w:val="auto"/>
                <w:sz w:val="21"/>
                <w:szCs w:val="21"/>
                <w:highlight w:val="none"/>
                <w:lang w:val="en-US" w:eastAsia="en-US" w:bidi="ar-SA"/>
              </w:rPr>
              <w:t>。</w:t>
            </w:r>
          </w:p>
        </w:tc>
      </w:tr>
      <w:tr w14:paraId="3810D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2CE42C2">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6.1.1</w:t>
            </w:r>
          </w:p>
        </w:tc>
        <w:tc>
          <w:tcPr>
            <w:tcW w:w="993" w:type="pct"/>
            <w:tcBorders>
              <w:tl2br w:val="nil"/>
              <w:tr2bl w:val="nil"/>
            </w:tcBorders>
            <w:vAlign w:val="center"/>
          </w:tcPr>
          <w:p w14:paraId="6545451A">
            <w:pPr>
              <w:widowControl/>
              <w:kinsoku/>
              <w:adjustRightInd w:val="0"/>
              <w:snapToGrid w:val="0"/>
              <w:spacing w:beforeLines="0" w:afterLines="0" w:line="0" w:lineRule="atLeast"/>
              <w:ind w:right="0" w:firstLine="0" w:firstLineChars="0"/>
              <w:jc w:val="center"/>
              <w:textAlignment w:val="baseline"/>
              <w:rPr>
                <w:rFonts w:hint="eastAsia" w:ascii="宋体" w:hAnsi="Times New Roman" w:eastAsia="宋体" w:cs="Times New Roman"/>
                <w:snapToGrid w:val="0"/>
                <w:color w:val="auto"/>
                <w:sz w:val="21"/>
                <w:szCs w:val="21"/>
                <w:highlight w:val="none"/>
                <w:lang w:val="en-US" w:eastAsia="en-US" w:bidi="ar-SA"/>
              </w:rPr>
            </w:pPr>
            <w:r>
              <w:rPr>
                <w:rFonts w:hint="eastAsia" w:ascii="宋体" w:hAnsi="Times New Roman" w:eastAsia="宋体" w:cs="Times New Roman"/>
                <w:snapToGrid w:val="0"/>
                <w:color w:val="auto"/>
                <w:sz w:val="21"/>
                <w:szCs w:val="21"/>
                <w:highlight w:val="none"/>
                <w:lang w:val="en-US" w:eastAsia="en-US" w:bidi="ar-SA"/>
              </w:rPr>
              <w:t>评标委员会</w:t>
            </w:r>
          </w:p>
          <w:p w14:paraId="5826A845">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的组建</w:t>
            </w:r>
          </w:p>
        </w:tc>
        <w:tc>
          <w:tcPr>
            <w:tcW w:w="3439" w:type="pct"/>
            <w:tcBorders>
              <w:tl2br w:val="nil"/>
              <w:tr2bl w:val="nil"/>
            </w:tcBorders>
            <w:vAlign w:val="center"/>
          </w:tcPr>
          <w:p w14:paraId="0E3A83B4">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评标委员会成员人数：</w:t>
            </w:r>
            <w:r>
              <w:rPr>
                <w:rFonts w:hint="eastAsia" w:hAnsi="Times New Roman" w:cs="Times New Roman"/>
                <w:snapToGrid w:val="0"/>
                <w:color w:val="auto"/>
                <w:sz w:val="21"/>
                <w:szCs w:val="21"/>
                <w:highlight w:val="none"/>
                <w:u w:val="single"/>
                <w:lang w:val="en-US" w:eastAsia="zh-CN" w:bidi="ar-SA"/>
              </w:rPr>
              <w:t>7</w:t>
            </w:r>
            <w:r>
              <w:rPr>
                <w:rFonts w:hint="eastAsia" w:ascii="宋体" w:hAnsi="Times New Roman" w:eastAsia="宋体" w:cs="Times New Roman"/>
                <w:snapToGrid w:val="0"/>
                <w:color w:val="auto"/>
                <w:sz w:val="21"/>
                <w:szCs w:val="21"/>
                <w:highlight w:val="none"/>
                <w:u w:val="single"/>
                <w:lang w:val="en-US" w:eastAsia="zh-CN" w:bidi="ar-SA"/>
              </w:rPr>
              <w:t>人及以上单数</w:t>
            </w:r>
            <w:r>
              <w:rPr>
                <w:rFonts w:hint="eastAsia" w:ascii="宋体" w:hAnsi="Times New Roman" w:eastAsia="宋体" w:cs="Times New Roman"/>
                <w:snapToGrid w:val="0"/>
                <w:color w:val="auto"/>
                <w:sz w:val="21"/>
                <w:szCs w:val="21"/>
                <w:highlight w:val="none"/>
                <w:lang w:val="en-US" w:eastAsia="zh-CN" w:bidi="ar-SA"/>
              </w:rPr>
              <w:t>。</w:t>
            </w:r>
          </w:p>
          <w:p w14:paraId="5710761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评标委员会成员确定方式：依法组建</w:t>
            </w:r>
            <w:r>
              <w:rPr>
                <w:rFonts w:hint="eastAsia" w:ascii="宋体" w:hAnsi="Times New Roman" w:eastAsia="宋体" w:cs="Times New Roman"/>
                <w:strike/>
                <w:snapToGrid w:val="0"/>
                <w:color w:val="auto"/>
                <w:sz w:val="21"/>
                <w:szCs w:val="21"/>
                <w:highlight w:val="none"/>
                <w:lang w:val="en-US" w:eastAsia="zh-CN" w:bidi="ar-SA"/>
              </w:rPr>
              <w:t>招标人代表</w:t>
            </w:r>
            <w:r>
              <w:rPr>
                <w:rFonts w:hint="eastAsia" w:ascii="宋体" w:hAnsi="Times New Roman" w:eastAsia="宋体" w:cs="Times New Roman"/>
                <w:strike/>
                <w:snapToGrid w:val="0"/>
                <w:color w:val="auto"/>
                <w:sz w:val="21"/>
                <w:szCs w:val="21"/>
                <w:highlight w:val="none"/>
                <w:u w:val="singl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人，库选技术、</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经济专家</w:t>
            </w:r>
            <w:r>
              <w:rPr>
                <w:rFonts w:hint="eastAsia" w:ascii="宋体" w:hAnsi="Times New Roman" w:eastAsia="宋体" w:cs="Times New Roman"/>
                <w:strike/>
                <w:snapToGrid w:val="0"/>
                <w:color w:val="auto"/>
                <w:sz w:val="21"/>
                <w:szCs w:val="21"/>
                <w:highlight w:val="none"/>
                <w:u w:val="singl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人（库选经济、技术专家不得少于专家人数</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的2/3）</w:t>
            </w:r>
            <w:r>
              <w:rPr>
                <w:rFonts w:hint="eastAsia" w:ascii="宋体" w:hAnsi="Times New Roman" w:eastAsia="宋体" w:cs="Times New Roman"/>
                <w:snapToGrid w:val="0"/>
                <w:color w:val="auto"/>
                <w:sz w:val="21"/>
                <w:szCs w:val="21"/>
                <w:highlight w:val="none"/>
                <w:lang w:val="en-US" w:eastAsia="zh-CN" w:bidi="ar-SA"/>
              </w:rPr>
              <w:t>；</w:t>
            </w:r>
          </w:p>
          <w:p w14:paraId="4810D28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在保证评标委员会实际参与评标的成员符合5人及以上单数的前提下，如出现1位库选专家不能参与评标的，评标委员会自动取消1名招标人代表；2位库选专家不能参与评标的，不再补抽，由其余人员组成评标委员会进行评标。</w:t>
            </w:r>
          </w:p>
        </w:tc>
      </w:tr>
      <w:tr w14:paraId="7A29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7D8EA87">
            <w:pPr>
              <w:widowControl/>
              <w:kinsoku/>
              <w:spacing w:beforeLines="0" w:afterLines="0" w:line="0" w:lineRule="atLeast"/>
              <w:ind w:right="0" w:firstLine="0" w:firstLineChars="0"/>
              <w:jc w:val="center"/>
              <w:rPr>
                <w:rFonts w:ascii="宋体" w:hAnsi="Times New Roman" w:cs="Times New Roman"/>
                <w:color w:val="auto"/>
                <w:kern w:val="2"/>
                <w:sz w:val="21"/>
                <w:highlight w:val="none"/>
                <w:lang w:eastAsia="zh-CN"/>
              </w:rPr>
            </w:pPr>
            <w:r>
              <w:rPr>
                <w:rFonts w:ascii="宋体" w:hAnsi="Times New Roman" w:cs="Times New Roman"/>
                <w:color w:val="auto"/>
                <w:sz w:val="21"/>
                <w:highlight w:val="none"/>
              </w:rPr>
              <w:t>6.3</w:t>
            </w:r>
          </w:p>
        </w:tc>
        <w:tc>
          <w:tcPr>
            <w:tcW w:w="993" w:type="pct"/>
            <w:tcBorders>
              <w:tl2br w:val="nil"/>
              <w:tr2bl w:val="nil"/>
            </w:tcBorders>
            <w:vAlign w:val="center"/>
          </w:tcPr>
          <w:p w14:paraId="36D76271">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评标办法与中标候选人推荐</w:t>
            </w:r>
          </w:p>
        </w:tc>
        <w:tc>
          <w:tcPr>
            <w:tcW w:w="3439" w:type="pct"/>
            <w:tcBorders>
              <w:tl2br w:val="nil"/>
              <w:tr2bl w:val="nil"/>
            </w:tcBorders>
            <w:vAlign w:val="center"/>
          </w:tcPr>
          <w:p w14:paraId="12F0EAB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1.综合评估法</w:t>
            </w:r>
          </w:p>
          <w:p w14:paraId="16DD416A">
            <w:pPr>
              <w:widowControl/>
              <w:kinsoku/>
              <w:adjustRightInd w:val="0"/>
              <w:snapToGrid w:val="0"/>
              <w:spacing w:beforeLines="0" w:afterLines="0" w:line="0" w:lineRule="atLeast"/>
              <w:ind w:left="0" w:right="0" w:firstLine="420" w:firstLineChars="200"/>
              <w:jc w:val="left"/>
              <w:textAlignment w:val="baseline"/>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技术通过制的综合评估法：</w:t>
            </w:r>
          </w:p>
          <w:p w14:paraId="1A4B732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全评制</w:t>
            </w:r>
          </w:p>
          <w:p w14:paraId="4A79E44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□合理低价制</w:t>
            </w:r>
          </w:p>
          <w:p w14:paraId="5BDCC40F">
            <w:pPr>
              <w:widowControl/>
              <w:kinsoku/>
              <w:adjustRightInd w:val="0"/>
              <w:snapToGrid w:val="0"/>
              <w:spacing w:beforeLines="0" w:afterLines="0" w:line="0" w:lineRule="atLeast"/>
              <w:ind w:left="0" w:right="0" w:firstLine="420" w:firstLineChars="200"/>
              <w:jc w:val="left"/>
              <w:textAlignment w:val="baseline"/>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□有限数量制</w:t>
            </w:r>
          </w:p>
          <w:p w14:paraId="1E53EFF2">
            <w:pPr>
              <w:widowControl/>
              <w:kinsoku/>
              <w:adjustRightInd w:val="0"/>
              <w:snapToGrid w:val="0"/>
              <w:spacing w:beforeLines="0" w:afterLines="0" w:line="0" w:lineRule="atLeast"/>
              <w:ind w:left="0" w:right="0" w:firstLine="420" w:firstLineChars="200"/>
              <w:jc w:val="left"/>
              <w:textAlignment w:val="baseline"/>
              <w:rPr>
                <w:rFonts w:hint="eastAsia" w:ascii="宋体" w:hAnsi="Times New Roman" w:eastAsia="宋体" w:cs="Times New Roman"/>
                <w:snapToGrid w:val="0"/>
                <w:color w:val="auto"/>
                <w:sz w:val="21"/>
                <w:szCs w:val="21"/>
                <w:highlight w:val="none"/>
                <w:lang w:val="en-US" w:eastAsia="zh-CN" w:bidi="ar-SA"/>
              </w:rPr>
            </w:pPr>
          </w:p>
          <w:p w14:paraId="7A0ADDD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 xml:space="preserve"> 技术打分制的综合评估法</w:t>
            </w:r>
          </w:p>
          <w:p w14:paraId="189601C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定性和定量相结合评审法（适用于评定分离）</w:t>
            </w:r>
          </w:p>
          <w:p w14:paraId="7676F9B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定性评审法（适用于评定分离）</w:t>
            </w:r>
          </w:p>
          <w:p w14:paraId="005530E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2.</w:t>
            </w:r>
            <w:r>
              <w:rPr>
                <w:rFonts w:hint="eastAsia" w:ascii="宋体" w:hAnsi="Times New Roman" w:eastAsia="宋体" w:cs="Times New Roman"/>
                <w:snapToGrid w:val="0"/>
                <w:color w:val="auto"/>
                <w:sz w:val="21"/>
                <w:szCs w:val="21"/>
                <w:highlight w:val="none"/>
                <w:lang w:val="en-US" w:eastAsia="zh-CN" w:bidi="ar-SA"/>
              </w:rPr>
              <w:t>□经评审的最低投标价法</w:t>
            </w:r>
          </w:p>
          <w:p w14:paraId="2C2471D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 xml:space="preserve">3.  </w:t>
            </w:r>
            <w:r>
              <w:rPr>
                <w:rFonts w:hint="eastAsia" w:ascii="宋体" w:hAnsi="Times New Roman" w:eastAsia="宋体" w:cs="Times New Roman"/>
                <w:snapToGrid w:val="0"/>
                <w:color w:val="auto"/>
                <w:sz w:val="21"/>
                <w:szCs w:val="21"/>
                <w:highlight w:val="none"/>
                <w:lang w:val="en-US" w:eastAsia="zh-CN" w:bidi="ar-SA"/>
              </w:rPr>
              <w:t>评标委员会推荐的中标候选人数量：</w:t>
            </w:r>
          </w:p>
          <w:p w14:paraId="4FE98C8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评标委员会推荐</w:t>
            </w:r>
            <w:r>
              <w:rPr>
                <w:rFonts w:ascii="宋体" w:hAnsi="Times New Roman" w:eastAsia="宋体"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u w:val="single"/>
                <w:lang w:val="en-US" w:eastAsia="zh-CN" w:bidi="ar-SA"/>
              </w:rPr>
              <w:t>1</w:t>
            </w:r>
            <w:r>
              <w:rPr>
                <w:rFonts w:ascii="宋体" w:hAnsi="Times New Roman" w:eastAsia="宋体"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 xml:space="preserve">名中标候选人。  </w:t>
            </w:r>
          </w:p>
        </w:tc>
      </w:tr>
      <w:tr w14:paraId="71E8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E567E9C">
            <w:pPr>
              <w:widowControl/>
              <w:kinsoku/>
              <w:spacing w:beforeLines="0" w:afterLines="0" w:line="0" w:lineRule="atLeast"/>
              <w:ind w:right="0" w:firstLine="0" w:firstLineChars="0"/>
              <w:jc w:val="center"/>
              <w:rPr>
                <w:rFonts w:ascii="宋体" w:hAnsi="Times New Roman" w:cs="Times New Roman"/>
                <w:color w:val="auto"/>
                <w:kern w:val="2"/>
                <w:sz w:val="21"/>
                <w:highlight w:val="none"/>
                <w:lang w:eastAsia="zh-CN"/>
              </w:rPr>
            </w:pPr>
            <w:r>
              <w:rPr>
                <w:rFonts w:ascii="宋体" w:hAnsi="Times New Roman" w:cs="Times New Roman"/>
                <w:color w:val="auto"/>
                <w:sz w:val="21"/>
                <w:highlight w:val="none"/>
              </w:rPr>
              <w:t>6.4</w:t>
            </w:r>
          </w:p>
        </w:tc>
        <w:tc>
          <w:tcPr>
            <w:tcW w:w="993" w:type="pct"/>
            <w:tcBorders>
              <w:tl2br w:val="nil"/>
              <w:tr2bl w:val="nil"/>
            </w:tcBorders>
            <w:vAlign w:val="center"/>
          </w:tcPr>
          <w:p w14:paraId="445E151B">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中标候选人公示媒介</w:t>
            </w:r>
          </w:p>
        </w:tc>
        <w:tc>
          <w:tcPr>
            <w:tcW w:w="3439" w:type="pct"/>
            <w:tcBorders>
              <w:tl2br w:val="nil"/>
              <w:tr2bl w:val="nil"/>
            </w:tcBorders>
            <w:vAlign w:val="center"/>
          </w:tcPr>
          <w:p w14:paraId="1EA45D44">
            <w:pPr>
              <w:widowControl/>
              <w:tabs>
                <w:tab w:val="left" w:pos="2727"/>
              </w:tabs>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hAnsi="Times New Roman" w:cs="Times New Roman"/>
                <w:snapToGrid w:val="0"/>
                <w:color w:val="auto"/>
                <w:sz w:val="21"/>
                <w:szCs w:val="21"/>
                <w:highlight w:val="none"/>
                <w:u w:val="single"/>
                <w:lang w:val="en-US" w:eastAsia="zh-CN" w:bidi="ar-SA"/>
              </w:rPr>
              <w:t>绍兴公共资源交易网</w:t>
            </w:r>
            <w:r>
              <w:rPr>
                <w:rFonts w:hint="eastAsia" w:ascii="宋体" w:hAnsi="Times New Roman" w:eastAsia="宋体" w:cs="Times New Roman"/>
                <w:snapToGrid w:val="0"/>
                <w:color w:val="auto"/>
                <w:sz w:val="21"/>
                <w:szCs w:val="21"/>
                <w:highlight w:val="none"/>
                <w:lang w:val="en-US" w:eastAsia="zh-CN" w:bidi="ar-SA"/>
              </w:rPr>
              <w:t>（发布公告的媒介名称）</w:t>
            </w:r>
          </w:p>
          <w:p w14:paraId="67D3794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公示期限：不少于</w:t>
            </w:r>
            <w:r>
              <w:rPr>
                <w:rFonts w:ascii="宋体" w:hAnsi="Times New Roman" w:eastAsia="宋体" w:cs="Times New Roman"/>
                <w:b/>
                <w:bCs/>
                <w:snapToGrid w:val="0"/>
                <w:color w:val="auto"/>
                <w:sz w:val="21"/>
                <w:szCs w:val="21"/>
                <w:highlight w:val="none"/>
                <w:lang w:val="en-US" w:eastAsia="zh-CN" w:bidi="ar-SA"/>
              </w:rPr>
              <w:t>3</w:t>
            </w:r>
            <w:r>
              <w:rPr>
                <w:rFonts w:hint="eastAsia" w:ascii="宋体" w:hAnsi="Times New Roman" w:eastAsia="宋体" w:cs="Times New Roman"/>
                <w:snapToGrid w:val="0"/>
                <w:color w:val="auto"/>
                <w:sz w:val="21"/>
                <w:szCs w:val="21"/>
                <w:highlight w:val="none"/>
                <w:lang w:val="en-US" w:eastAsia="zh-CN" w:bidi="ar-SA"/>
              </w:rPr>
              <w:t>日。如遇国家法定休假日，应顺延至法定休假日后第一个工作日。</w:t>
            </w:r>
          </w:p>
          <w:p w14:paraId="03DA79D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注：项目有业绩要求的应公示中标候选人业绩。</w:t>
            </w:r>
          </w:p>
        </w:tc>
      </w:tr>
      <w:tr w14:paraId="383B3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553DECC">
            <w:pPr>
              <w:widowControl/>
              <w:kinsoku/>
              <w:spacing w:beforeLines="0" w:afterLines="0" w:line="0" w:lineRule="atLeast"/>
              <w:ind w:right="0" w:firstLine="0" w:firstLineChars="0"/>
              <w:jc w:val="center"/>
              <w:rPr>
                <w:rFonts w:ascii="宋体" w:hAnsi="Times New Roman" w:cs="Times New Roman"/>
                <w:color w:val="auto"/>
                <w:kern w:val="2"/>
                <w:sz w:val="21"/>
                <w:highlight w:val="none"/>
                <w:lang w:eastAsia="zh-CN"/>
              </w:rPr>
            </w:pPr>
            <w:r>
              <w:rPr>
                <w:rFonts w:ascii="宋体" w:hAnsi="Times New Roman" w:cs="Times New Roman"/>
                <w:color w:val="auto"/>
                <w:sz w:val="21"/>
                <w:highlight w:val="none"/>
              </w:rPr>
              <w:t>7.1.1</w:t>
            </w:r>
          </w:p>
        </w:tc>
        <w:tc>
          <w:tcPr>
            <w:tcW w:w="993" w:type="pct"/>
            <w:tcBorders>
              <w:tl2br w:val="nil"/>
              <w:tr2bl w:val="nil"/>
            </w:tcBorders>
            <w:vAlign w:val="center"/>
          </w:tcPr>
          <w:p w14:paraId="1FD00FFB">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是否授权评标委员会确定中标人</w:t>
            </w:r>
          </w:p>
        </w:tc>
        <w:tc>
          <w:tcPr>
            <w:tcW w:w="3439" w:type="pct"/>
            <w:tcBorders>
              <w:tl2br w:val="nil"/>
              <w:tr2bl w:val="nil"/>
            </w:tcBorders>
            <w:vAlign w:val="center"/>
          </w:tcPr>
          <w:p w14:paraId="7F638F1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 xml:space="preserve">是否授权评标委员会确定中标人  </w:t>
            </w:r>
            <w:r>
              <w:rPr>
                <w:rFonts w:hint="eastAsia" w:ascii="宋体" w:hAnsi="Times New Roman" w:eastAsia="宋体" w:cs="Times New Roman"/>
                <w:b/>
                <w:bCs/>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是</w:t>
            </w:r>
            <w:r>
              <w:rPr>
                <w:rFonts w:ascii="宋体" w:hAnsi="Times New Roman" w:eastAsia="宋体" w:cs="Times New Roman"/>
                <w:b/>
                <w:bCs/>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否</w:t>
            </w:r>
          </w:p>
          <w:p w14:paraId="7C4545F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是否评定分离</w:t>
            </w:r>
            <w:r>
              <w:rPr>
                <w:rFonts w:hint="eastAsia"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en-US" w:bidi="ar-SA"/>
              </w:rPr>
              <w:t>是</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en-US" w:bidi="ar-SA"/>
              </w:rPr>
              <w:t>否</w:t>
            </w:r>
          </w:p>
        </w:tc>
      </w:tr>
      <w:tr w14:paraId="5957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7927A68">
            <w:pPr>
              <w:widowControl/>
              <w:kinsoku/>
              <w:spacing w:beforeLines="0" w:afterLines="0" w:line="0" w:lineRule="atLeast"/>
              <w:ind w:right="0" w:firstLine="0" w:firstLineChars="0"/>
              <w:jc w:val="center"/>
              <w:rPr>
                <w:rFonts w:ascii="宋体" w:hAnsi="Times New Roman" w:cs="Times New Roman"/>
                <w:strike/>
                <w:color w:val="auto"/>
                <w:kern w:val="2"/>
                <w:sz w:val="21"/>
                <w:szCs w:val="21"/>
                <w:highlight w:val="none"/>
                <w:lang w:eastAsia="zh-CN"/>
              </w:rPr>
            </w:pPr>
            <w:r>
              <w:rPr>
                <w:rFonts w:ascii="宋体" w:hAnsi="Times New Roman" w:cs="Times New Roman"/>
                <w:strike/>
                <w:color w:val="auto"/>
                <w:sz w:val="21"/>
                <w:highlight w:val="none"/>
              </w:rPr>
              <w:t>7.1.8</w:t>
            </w:r>
          </w:p>
        </w:tc>
        <w:tc>
          <w:tcPr>
            <w:tcW w:w="993" w:type="pct"/>
            <w:tcBorders>
              <w:tl2br w:val="nil"/>
              <w:tr2bl w:val="nil"/>
            </w:tcBorders>
            <w:vAlign w:val="center"/>
          </w:tcPr>
          <w:p w14:paraId="113A435F">
            <w:pPr>
              <w:widowControl/>
              <w:kinsoku/>
              <w:adjustRightInd/>
              <w:snapToGrid/>
              <w:spacing w:beforeLines="0" w:afterLines="0" w:line="0" w:lineRule="atLeast"/>
              <w:ind w:right="0" w:firstLine="0" w:firstLineChars="0"/>
              <w:jc w:val="center"/>
              <w:textAlignment w:val="auto"/>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定标委员会组建</w:t>
            </w:r>
          </w:p>
          <w:p w14:paraId="4C69A6F7">
            <w:pPr>
              <w:widowControl/>
              <w:kinsoku/>
              <w:adjustRightInd/>
              <w:snapToGrid/>
              <w:spacing w:beforeLines="0" w:afterLines="0" w:line="0" w:lineRule="atLeast"/>
              <w:ind w:right="0" w:firstLine="0" w:firstLineChars="0"/>
              <w:jc w:val="center"/>
              <w:textAlignment w:val="auto"/>
              <w:rPr>
                <w:rFonts w:ascii="宋体" w:hAnsi="Times New Roman" w:eastAsia="宋体" w:cs="Times New Roman"/>
                <w:strike/>
                <w:snapToGrid w:val="0"/>
                <w:color w:val="auto"/>
                <w:kern w:val="2"/>
                <w:sz w:val="21"/>
                <w:szCs w:val="21"/>
                <w:highlight w:val="none"/>
                <w:lang w:val="en-US" w:eastAsia="zh-CN" w:bidi="ar-SA"/>
              </w:rPr>
            </w:pPr>
            <w:r>
              <w:rPr>
                <w:rFonts w:hint="eastAsia" w:ascii="宋体" w:hAnsi="Times New Roman" w:eastAsia="宋体" w:cs="Times New Roman"/>
                <w:strike/>
                <w:snapToGrid w:val="0"/>
                <w:color w:val="auto"/>
                <w:kern w:val="10"/>
                <w:sz w:val="21"/>
                <w:szCs w:val="21"/>
                <w:highlight w:val="none"/>
                <w:lang w:val="en-US" w:eastAsia="zh-CN" w:bidi="ar-SA"/>
              </w:rPr>
              <w:t>定标会议地点和时间</w:t>
            </w:r>
            <w:r>
              <w:rPr>
                <w:rFonts w:hint="eastAsia" w:ascii="宋体" w:hAnsi="Times New Roman" w:cs="Times New Roman"/>
                <w:strike/>
                <w:color w:val="auto"/>
                <w:sz w:val="21"/>
                <w:szCs w:val="21"/>
                <w:highlight w:val="none"/>
                <w:lang w:eastAsia="zh-CN"/>
              </w:rPr>
              <w:t>考察、质询定标现场面试</w:t>
            </w:r>
            <w:r>
              <w:rPr>
                <w:rFonts w:hint="eastAsia" w:ascii="宋体" w:hAnsi="Times New Roman" w:eastAsia="宋体" w:cs="Times New Roman"/>
                <w:strike/>
                <w:snapToGrid w:val="0"/>
                <w:color w:val="auto"/>
                <w:sz w:val="21"/>
                <w:szCs w:val="21"/>
                <w:highlight w:val="none"/>
                <w:lang w:val="en-US" w:eastAsia="zh-CN" w:bidi="ar-SA"/>
              </w:rPr>
              <w:t>定标要素及具体内容</w:t>
            </w:r>
            <w:r>
              <w:rPr>
                <w:rFonts w:hint="eastAsia" w:hAnsi="Times New Roman" w:cs="Times New Roman"/>
                <w:strike/>
                <w:snapToGrid w:val="0"/>
                <w:color w:val="auto"/>
                <w:sz w:val="21"/>
                <w:szCs w:val="21"/>
                <w:highlight w:val="non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定标方法</w:t>
            </w:r>
          </w:p>
        </w:tc>
        <w:tc>
          <w:tcPr>
            <w:tcW w:w="3439" w:type="pct"/>
            <w:tcBorders>
              <w:tl2br w:val="nil"/>
              <w:tr2bl w:val="nil"/>
            </w:tcBorders>
            <w:vAlign w:val="center"/>
          </w:tcPr>
          <w:p w14:paraId="124DE29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 xml:space="preserve">定标委员会由 </w:t>
            </w:r>
            <w:r>
              <w:rPr>
                <w:rFonts w:hint="eastAsia" w:ascii="宋体" w:hAnsi="Times New Roman" w:eastAsia="宋体" w:cs="Times New Roman"/>
                <w:strike/>
                <w:snapToGrid w:val="0"/>
                <w:color w:val="auto"/>
                <w:sz w:val="21"/>
                <w:szCs w:val="21"/>
                <w:highlight w:val="none"/>
                <w:u w:val="singl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人（不少于5人）组成。</w:t>
            </w:r>
          </w:p>
          <w:p w14:paraId="5DCECB8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1.定标时间：</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w:t>
            </w:r>
          </w:p>
          <w:p w14:paraId="598E866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2.定标地点：</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strike/>
                <w:snapToGrid w:val="0"/>
                <w:color w:val="auto"/>
                <w:sz w:val="21"/>
                <w:szCs w:val="21"/>
                <w:highlight w:val="none"/>
                <w:lang w:val="en-US" w:eastAsia="zh-CN" w:bidi="ar-SA"/>
              </w:rPr>
              <w:t>。</w:t>
            </w:r>
          </w:p>
          <w:p w14:paraId="6E2B057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（招标人根据相关规定在评标结果公示结束后10日内召开定标会议）</w:t>
            </w:r>
          </w:p>
          <w:p w14:paraId="36A2113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是否组织考察□是□否</w:t>
            </w:r>
          </w:p>
          <w:p w14:paraId="140A92E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是否组织质询□是□否</w:t>
            </w:r>
          </w:p>
          <w:p w14:paraId="7858355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考察、质询小组由</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strike/>
                <w:snapToGrid w:val="0"/>
                <w:color w:val="auto"/>
                <w:sz w:val="21"/>
                <w:szCs w:val="21"/>
                <w:highlight w:val="none"/>
                <w:lang w:val="en-US" w:eastAsia="zh-CN" w:bidi="ar-SA"/>
              </w:rPr>
              <w:t>人（3人及以上单数）组成。</w:t>
            </w:r>
          </w:p>
          <w:p w14:paraId="5C5D4C2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是否定标现场面试□是□否</w:t>
            </w:r>
          </w:p>
          <w:p w14:paraId="092274C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面试人员</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strike/>
                <w:snapToGrid w:val="0"/>
                <w:color w:val="auto"/>
                <w:sz w:val="21"/>
                <w:szCs w:val="21"/>
                <w:highlight w:val="none"/>
                <w:lang w:val="en-US" w:eastAsia="zh-CN" w:bidi="ar-SA"/>
              </w:rPr>
              <w:t>。</w:t>
            </w:r>
          </w:p>
          <w:p w14:paraId="09908A6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□1.价格因素；。</w:t>
            </w:r>
          </w:p>
          <w:p w14:paraId="4A9DF9A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□2.企业实力；。</w:t>
            </w:r>
          </w:p>
          <w:p w14:paraId="39E05AD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□3.企业信誉；。</w:t>
            </w:r>
          </w:p>
          <w:p w14:paraId="4F404A7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□4.投标方案；。</w:t>
            </w:r>
          </w:p>
          <w:p w14:paraId="1ED2D22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□5.拟派团队能力与水平；。</w:t>
            </w:r>
          </w:p>
          <w:p w14:paraId="1DEBF13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□6.招标人认为需要考量的其他因素：</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strike/>
                <w:snapToGrid w:val="0"/>
                <w:color w:val="auto"/>
                <w:sz w:val="21"/>
                <w:szCs w:val="21"/>
                <w:highlight w:val="none"/>
                <w:lang w:val="en-US" w:eastAsia="zh-CN" w:bidi="ar-SA"/>
              </w:rPr>
              <w:t>。</w:t>
            </w:r>
          </w:p>
          <w:p w14:paraId="668B564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□票决法：</w:t>
            </w:r>
          </w:p>
          <w:p w14:paraId="7057176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□集体议事法：</w:t>
            </w:r>
          </w:p>
          <w:p w14:paraId="5209A92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□其他定标办法：。</w:t>
            </w:r>
          </w:p>
          <w:p w14:paraId="4C3E303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按原定标方法确定中标人</w:t>
            </w:r>
          </w:p>
          <w:p w14:paraId="4286D1B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其他情形：</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strike/>
                <w:snapToGrid w:val="0"/>
                <w:color w:val="auto"/>
                <w:sz w:val="21"/>
                <w:szCs w:val="21"/>
                <w:highlight w:val="none"/>
                <w:lang w:val="en-US" w:eastAsia="zh-CN" w:bidi="ar-SA"/>
              </w:rPr>
              <w:t>。</w:t>
            </w:r>
          </w:p>
          <w:p w14:paraId="61DC5DC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重新定标</w:t>
            </w:r>
          </w:p>
          <w:p w14:paraId="270B49E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trike/>
                <w:snapToGrid w:val="0"/>
                <w:color w:val="auto"/>
                <w:sz w:val="21"/>
                <w:szCs w:val="21"/>
                <w:highlight w:val="none"/>
                <w:lang w:val="en-US" w:eastAsia="zh-CN" w:bidi="ar-SA"/>
              </w:rPr>
              <w:t>其他情形：</w:t>
            </w:r>
            <w:r>
              <w:rPr>
                <w:rFonts w:hint="eastAsia" w:ascii="宋体" w:hAnsi="Times New Roman" w:eastAsia="宋体" w:cs="Times New Roman"/>
                <w:strike/>
                <w:snapToGrid w:val="0"/>
                <w:color w:val="auto"/>
                <w:sz w:val="21"/>
                <w:szCs w:val="21"/>
                <w:highlight w:val="none"/>
                <w:u w:val="single"/>
                <w:lang w:val="en-US" w:eastAsia="zh-CN" w:bidi="ar-SA"/>
              </w:rPr>
              <w:t xml:space="preserve"> / </w:t>
            </w:r>
            <w:r>
              <w:rPr>
                <w:rFonts w:hint="eastAsia" w:ascii="宋体" w:hAnsi="Times New Roman" w:eastAsia="宋体" w:cs="Times New Roman"/>
                <w:strike/>
                <w:snapToGrid w:val="0"/>
                <w:color w:val="auto"/>
                <w:sz w:val="21"/>
                <w:szCs w:val="21"/>
                <w:highlight w:val="none"/>
                <w:lang w:val="en-US" w:eastAsia="zh-CN" w:bidi="ar-SA"/>
              </w:rPr>
              <w:t>。</w:t>
            </w:r>
          </w:p>
        </w:tc>
      </w:tr>
      <w:tr w14:paraId="3E62D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275D0A0">
            <w:pPr>
              <w:widowControl/>
              <w:kinsoku/>
              <w:adjustRightInd/>
              <w:snapToGrid/>
              <w:spacing w:beforeLines="0" w:afterLines="0" w:line="240" w:lineRule="auto"/>
              <w:ind w:left="0" w:right="0" w:firstLine="0" w:firstLineChars="0"/>
              <w:jc w:val="center"/>
              <w:textAlignment w:val="auto"/>
              <w:rPr>
                <w:rFonts w:ascii="Times New Roman" w:hAnsi="Times New Roman" w:eastAsia="宋体" w:cs="Times New Roman"/>
                <w:snapToGrid w:val="0"/>
                <w:color w:val="auto"/>
                <w:kern w:val="2"/>
                <w:sz w:val="21"/>
                <w:szCs w:val="21"/>
                <w:highlight w:val="none"/>
                <w:lang w:val="en-US" w:eastAsia="zh-CN" w:bidi="ar-SA"/>
              </w:rPr>
            </w:pPr>
            <w:r>
              <w:rPr>
                <w:rFonts w:ascii="宋体" w:hAnsi="Times New Roman" w:cs="Times New Roman"/>
                <w:color w:val="auto"/>
                <w:sz w:val="21"/>
                <w:highlight w:val="none"/>
              </w:rPr>
              <w:t>7.3.1</w:t>
            </w:r>
          </w:p>
        </w:tc>
        <w:tc>
          <w:tcPr>
            <w:tcW w:w="993" w:type="pct"/>
            <w:tcBorders>
              <w:tl2br w:val="nil"/>
              <w:tr2bl w:val="nil"/>
            </w:tcBorders>
            <w:vAlign w:val="center"/>
          </w:tcPr>
          <w:p w14:paraId="020DE348">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履约担保及民工工资支付担保</w:t>
            </w:r>
          </w:p>
        </w:tc>
        <w:tc>
          <w:tcPr>
            <w:tcW w:w="3439" w:type="pct"/>
            <w:tcBorders>
              <w:tl2br w:val="nil"/>
              <w:tr2bl w:val="nil"/>
            </w:tcBorders>
            <w:vAlign w:val="center"/>
          </w:tcPr>
          <w:p w14:paraId="7490FC9C">
            <w:pPr>
              <w:widowControl/>
              <w:kinsoku/>
              <w:adjustRightInd w:val="0"/>
              <w:snapToGrid w:val="0"/>
              <w:spacing w:beforeLines="0" w:afterLines="0" w:line="0" w:lineRule="atLeast"/>
              <w:ind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担保的形式：现金或银行保函或保险机构保证保险保单或融资担保公司保函。</w:t>
            </w:r>
          </w:p>
          <w:p w14:paraId="57134B35">
            <w:pPr>
              <w:widowControl/>
              <w:kinsoku/>
              <w:adjustRightInd w:val="0"/>
              <w:snapToGrid w:val="0"/>
              <w:spacing w:beforeLines="0" w:afterLines="0" w:line="0" w:lineRule="atLeast"/>
              <w:ind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履约担保的金额（不含民工工资支付担保）：合同价格（扣除预留金后）的</w:t>
            </w:r>
            <w:r>
              <w:rPr>
                <w:rFonts w:ascii="宋体" w:hAnsi="Times New Roman" w:eastAsia="宋体" w:cs="Times New Roman"/>
                <w:snapToGrid w:val="0"/>
                <w:color w:val="auto"/>
                <w:sz w:val="21"/>
                <w:szCs w:val="21"/>
                <w:highlight w:val="none"/>
                <w:u w:val="single"/>
                <w:lang w:val="en-US" w:eastAsia="zh-CN" w:bidi="ar-SA"/>
              </w:rPr>
              <w:t>2</w:t>
            </w:r>
            <w:r>
              <w:rPr>
                <w:rFonts w:hint="eastAsia" w:ascii="宋体" w:hAnsi="Times New Roman" w:eastAsia="宋体" w:cs="Times New Roman"/>
                <w:snapToGrid w:val="0"/>
                <w:color w:val="auto"/>
                <w:sz w:val="21"/>
                <w:szCs w:val="21"/>
                <w:highlight w:val="none"/>
                <w:lang w:val="en-US" w:eastAsia="zh-CN" w:bidi="ar-SA"/>
              </w:rPr>
              <w:t>%（不得大于2%）。</w:t>
            </w:r>
          </w:p>
          <w:p w14:paraId="0B69CADF">
            <w:pPr>
              <w:widowControl/>
              <w:kinsoku/>
              <w:adjustRightInd w:val="0"/>
              <w:snapToGrid w:val="0"/>
              <w:spacing w:beforeLines="0" w:afterLines="0" w:line="0" w:lineRule="atLeast"/>
              <w:ind w:right="0" w:firstLine="420" w:firstLineChars="200"/>
              <w:jc w:val="left"/>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民工工资支付担保的相关约定：</w:t>
            </w:r>
            <w:r>
              <w:rPr>
                <w:rFonts w:hint="eastAsia" w:ascii="宋体" w:hAnsi="Times New Roman" w:eastAsia="宋体" w:cs="Times New Roman"/>
                <w:snapToGrid w:val="0"/>
                <w:color w:val="auto"/>
                <w:sz w:val="21"/>
                <w:szCs w:val="21"/>
                <w:highlight w:val="none"/>
                <w:u w:val="single"/>
                <w:lang w:val="en-US" w:eastAsia="zh-CN" w:bidi="ar-SA"/>
              </w:rPr>
              <w:t>必须符合《浙江省工程建设领域农民工工资保证金管理实施细则》（浙人社发[2022]13号）以及绍兴市相关规定。</w:t>
            </w:r>
          </w:p>
        </w:tc>
      </w:tr>
      <w:tr w14:paraId="67006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4EC95AB">
            <w:pPr>
              <w:widowControl/>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9.2</w:t>
            </w:r>
          </w:p>
        </w:tc>
        <w:tc>
          <w:tcPr>
            <w:tcW w:w="993" w:type="pct"/>
            <w:tcBorders>
              <w:tl2br w:val="nil"/>
              <w:tr2bl w:val="nil"/>
            </w:tcBorders>
            <w:vAlign w:val="center"/>
          </w:tcPr>
          <w:p w14:paraId="2C265228">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对投标人的纪律要求</w:t>
            </w:r>
          </w:p>
        </w:tc>
        <w:tc>
          <w:tcPr>
            <w:tcW w:w="3439" w:type="pct"/>
            <w:tcBorders>
              <w:tl2br w:val="nil"/>
              <w:tr2bl w:val="nil"/>
            </w:tcBorders>
            <w:vAlign w:val="center"/>
          </w:tcPr>
          <w:p w14:paraId="798EF325">
            <w:pPr>
              <w:widowControl/>
              <w:kinsoku/>
              <w:adjustRightInd w:val="0"/>
              <w:snapToGrid w:val="0"/>
              <w:spacing w:beforeLines="0" w:afterLines="0" w:line="0" w:lineRule="atLeast"/>
              <w:ind w:left="0" w:right="0" w:firstLine="422"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b/>
                <w:bCs/>
                <w:snapToGrid w:val="0"/>
                <w:color w:val="auto"/>
                <w:sz w:val="21"/>
                <w:szCs w:val="21"/>
                <w:highlight w:val="none"/>
                <w:lang w:val="en-US" w:eastAsia="zh-CN" w:bidi="ar-SA"/>
              </w:rPr>
              <w:t xml:space="preserve">1.  </w:t>
            </w:r>
            <w:r>
              <w:rPr>
                <w:rFonts w:hint="eastAsia" w:ascii="宋体" w:hAnsi="Times New Roman" w:eastAsia="宋体" w:cs="Times New Roman"/>
                <w:b/>
                <w:bCs/>
                <w:snapToGrid w:val="0"/>
                <w:color w:val="auto"/>
                <w:sz w:val="21"/>
                <w:szCs w:val="21"/>
                <w:highlight w:val="none"/>
                <w:lang w:val="en-US" w:eastAsia="zh-CN" w:bidi="ar-SA"/>
              </w:rPr>
              <w:t>下列行为均属以他人名义投标</w:t>
            </w:r>
            <w:r>
              <w:rPr>
                <w:rFonts w:hint="eastAsia" w:ascii="宋体" w:hAnsi="Times New Roman" w:eastAsia="宋体" w:cs="Times New Roman"/>
                <w:snapToGrid w:val="0"/>
                <w:color w:val="auto"/>
                <w:sz w:val="21"/>
                <w:szCs w:val="21"/>
                <w:highlight w:val="none"/>
                <w:lang w:val="en-US" w:eastAsia="zh-CN" w:bidi="ar-SA"/>
              </w:rPr>
              <w:t>：</w:t>
            </w:r>
          </w:p>
          <w:p w14:paraId="29EE852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（1）投标人挂靠其它施工单位。</w:t>
            </w:r>
          </w:p>
          <w:p w14:paraId="44F009C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（2）投标人从其它施工单位通过受让或租借的方式获取资格或资质证书。</w:t>
            </w:r>
          </w:p>
          <w:p w14:paraId="40150AF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（3）由其它单位及法定代表人在自己编制的投标文件上加盖印章或签字的行为。</w:t>
            </w:r>
          </w:p>
          <w:p w14:paraId="3AE2AFCE">
            <w:pPr>
              <w:widowControl/>
              <w:kinsoku/>
              <w:adjustRightInd w:val="0"/>
              <w:snapToGrid w:val="0"/>
              <w:spacing w:beforeLines="0" w:afterLines="0" w:line="0" w:lineRule="atLeast"/>
              <w:ind w:left="0" w:right="0" w:firstLine="422" w:firstLineChars="200"/>
              <w:jc w:val="left"/>
              <w:textAlignment w:val="baseline"/>
              <w:rPr>
                <w:rFonts w:ascii="宋体" w:hAnsi="Times New Roman" w:eastAsia="宋体" w:cs="Times New Roman"/>
                <w:b/>
                <w:bCs/>
                <w:snapToGrid w:val="0"/>
                <w:color w:val="auto"/>
                <w:sz w:val="21"/>
                <w:szCs w:val="21"/>
                <w:highlight w:val="none"/>
                <w:lang w:val="en-US" w:eastAsia="zh-CN" w:bidi="ar-SA"/>
              </w:rPr>
            </w:pPr>
            <w:r>
              <w:rPr>
                <w:rFonts w:ascii="宋体" w:hAnsi="Times New Roman" w:eastAsia="宋体" w:cs="Times New Roman"/>
                <w:b/>
                <w:bCs/>
                <w:snapToGrid w:val="0"/>
                <w:color w:val="auto"/>
                <w:sz w:val="21"/>
                <w:szCs w:val="21"/>
                <w:highlight w:val="none"/>
                <w:lang w:val="en-US" w:eastAsia="zh-CN" w:bidi="ar-SA"/>
              </w:rPr>
              <w:t xml:space="preserve">2.  </w:t>
            </w:r>
            <w:r>
              <w:rPr>
                <w:rFonts w:hint="eastAsia" w:ascii="宋体" w:hAnsi="Times New Roman" w:eastAsia="宋体" w:cs="Times New Roman"/>
                <w:b/>
                <w:bCs/>
                <w:snapToGrid w:val="0"/>
                <w:color w:val="auto"/>
                <w:sz w:val="21"/>
                <w:szCs w:val="21"/>
                <w:highlight w:val="none"/>
                <w:lang w:val="en-US" w:eastAsia="zh-CN" w:bidi="ar-SA"/>
              </w:rPr>
              <w:t>下列行为，视为允许他人以本单位名义承揽工程：</w:t>
            </w:r>
          </w:p>
          <w:p w14:paraId="3229AB4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（1）投标人的法定代表人的委托代理人不是投标人本单位人员。</w:t>
            </w:r>
          </w:p>
          <w:p w14:paraId="16E8DC1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（2）投标人拟在施工现场所设项目管理机构的项目负责人、技术负责人、专职安全生产管理人员、施工员、质检员、安全员不是本单位人员。</w:t>
            </w:r>
          </w:p>
          <w:p w14:paraId="7247960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投标人本单位人员，必须同时满足以下条件：1）劳动合同必须由投标人单位与其签订。</w:t>
            </w:r>
          </w:p>
          <w:p w14:paraId="52ACEE4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2）与投标人单位有合法的工资关系。</w:t>
            </w:r>
          </w:p>
          <w:p w14:paraId="0FA3040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3）投标人单位为其办理社会保险关系，或具有其它有效证明其为本单位人员身份的文件。</w:t>
            </w:r>
          </w:p>
          <w:p w14:paraId="42CAAB0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备注：如拟派项目组主要人员所提供的安全生产考核合格证书、职称证书、注册证书、培训合格证书等</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资格条件证书</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中能显示其投标人单位的，视为投标人本单位人员，无须再提供劳动合同、工资关系证明、社保证明等证明资料，资格条件证书中不能显示其投标人单位的，应提供</w:t>
            </w:r>
            <w:r>
              <w:rPr>
                <w:rFonts w:ascii="宋体" w:hAnsi="Times New Roman" w:eastAsia="宋体" w:cs="Times New Roman"/>
                <w:snapToGrid w:val="0"/>
                <w:color w:val="auto"/>
                <w:sz w:val="21"/>
                <w:szCs w:val="21"/>
                <w:highlight w:val="none"/>
                <w:u w:val="single"/>
                <w:lang w:val="en-US" w:eastAsia="zh-CN" w:bidi="ar-SA"/>
              </w:rPr>
              <w:t>2024</w:t>
            </w:r>
            <w:r>
              <w:rPr>
                <w:rFonts w:hint="eastAsia" w:ascii="宋体" w:hAnsi="Times New Roman" w:eastAsia="宋体" w:cs="Times New Roman"/>
                <w:snapToGrid w:val="0"/>
                <w:color w:val="auto"/>
                <w:sz w:val="21"/>
                <w:szCs w:val="21"/>
                <w:highlight w:val="none"/>
                <w:lang w:val="en-US" w:eastAsia="zh-CN" w:bidi="ar-SA"/>
              </w:rPr>
              <w:t>年</w:t>
            </w:r>
            <w:r>
              <w:rPr>
                <w:rFonts w:hint="eastAsia" w:ascii="宋体" w:hAnsi="Times New Roman" w:eastAsia="宋体" w:cs="Times New Roman"/>
                <w:snapToGrid w:val="0"/>
                <w:color w:val="auto"/>
                <w:sz w:val="21"/>
                <w:szCs w:val="21"/>
                <w:highlight w:val="none"/>
                <w:u w:val="single"/>
                <w:lang w:val="en-US" w:eastAsia="zh-CN" w:bidi="ar-SA"/>
              </w:rPr>
              <w:t>5</w:t>
            </w:r>
            <w:r>
              <w:rPr>
                <w:rFonts w:hint="eastAsia" w:ascii="宋体" w:hAnsi="Times New Roman" w:eastAsia="宋体" w:cs="Times New Roman"/>
                <w:snapToGrid w:val="0"/>
                <w:color w:val="auto"/>
                <w:sz w:val="21"/>
                <w:szCs w:val="21"/>
                <w:highlight w:val="none"/>
                <w:lang w:val="en-US" w:eastAsia="zh-CN" w:bidi="ar-SA"/>
              </w:rPr>
              <w:t>月以来投标人为其缴纳的任意一个月的社保证明，否则视同不是本单位人员</w:t>
            </w:r>
            <w:r>
              <w:rPr>
                <w:rFonts w:hint="eastAsia" w:ascii="宋体" w:hAnsi="Times New Roman" w:eastAsia="宋体" w:cs="Times New Roman"/>
                <w:b/>
                <w:bCs/>
                <w:snapToGrid w:val="0"/>
                <w:color w:val="auto"/>
                <w:sz w:val="21"/>
                <w:szCs w:val="21"/>
                <w:highlight w:val="none"/>
                <w:lang w:val="en-US" w:eastAsia="zh-CN" w:bidi="ar-SA"/>
              </w:rPr>
              <w:t>。</w:t>
            </w:r>
          </w:p>
          <w:p w14:paraId="34DAAD59">
            <w:pPr>
              <w:widowControl/>
              <w:kinsoku/>
              <w:adjustRightInd w:val="0"/>
              <w:snapToGrid w:val="0"/>
              <w:spacing w:beforeLines="0" w:afterLines="0" w:line="0" w:lineRule="atLeast"/>
              <w:ind w:left="0" w:right="0" w:firstLine="422"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b/>
                <w:bCs/>
                <w:snapToGrid w:val="0"/>
                <w:color w:val="auto"/>
                <w:sz w:val="21"/>
                <w:szCs w:val="21"/>
                <w:highlight w:val="none"/>
                <w:lang w:val="en-US" w:eastAsia="zh-CN" w:bidi="ar-SA"/>
              </w:rPr>
              <w:t xml:space="preserve">3.  </w:t>
            </w:r>
            <w:r>
              <w:rPr>
                <w:rFonts w:hint="eastAsia" w:ascii="宋体" w:hAnsi="Times New Roman" w:eastAsia="宋体" w:cs="Times New Roman"/>
                <w:b/>
                <w:bCs/>
                <w:snapToGrid w:val="0"/>
                <w:color w:val="auto"/>
                <w:sz w:val="21"/>
                <w:szCs w:val="21"/>
                <w:highlight w:val="none"/>
                <w:lang w:val="en-US" w:eastAsia="zh-CN" w:bidi="ar-SA"/>
              </w:rPr>
              <w:t>下列行为均属于投标人相互串通投标：</w:t>
            </w:r>
          </w:p>
          <w:p w14:paraId="6091816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（1）投标人之间协商投标报价等投标文件的实质性内容。</w:t>
            </w:r>
          </w:p>
          <w:p w14:paraId="3ECB1C8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（2）投标人之间约定中标人。</w:t>
            </w:r>
          </w:p>
          <w:p w14:paraId="596ECD9F">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（3）投标人之间约定部分投标人放弃投标或者中标。</w:t>
            </w:r>
          </w:p>
          <w:p w14:paraId="355AC5F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（4）属于同一集团、协会、商会等组织成员的投标人按照该组织要求协同投标。</w:t>
            </w:r>
          </w:p>
          <w:p w14:paraId="060BC5C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（5）投标人之间为谋取中标或者排斥特定投标人而采取的其他联合行动。</w:t>
            </w:r>
          </w:p>
          <w:p w14:paraId="39584EB3">
            <w:pPr>
              <w:ind w:firstLine="420"/>
              <w:rPr>
                <w:color w:val="auto"/>
                <w:highlight w:val="none"/>
              </w:rPr>
            </w:pPr>
            <w:r>
              <w:rPr>
                <w:rFonts w:ascii="宋体" w:hAnsi="Times New Roman" w:cs="Times New Roman"/>
                <w:b/>
                <w:bCs/>
                <w:color w:val="auto"/>
                <w:sz w:val="21"/>
                <w:szCs w:val="21"/>
                <w:highlight w:val="none"/>
                <w:lang w:eastAsia="zh-CN"/>
              </w:rPr>
              <w:t xml:space="preserve">4.  </w:t>
            </w:r>
            <w:r>
              <w:rPr>
                <w:rFonts w:hint="eastAsia" w:ascii="宋体" w:hAnsi="Times New Roman" w:cs="Times New Roman"/>
                <w:b/>
                <w:bCs/>
                <w:color w:val="auto"/>
                <w:sz w:val="21"/>
                <w:szCs w:val="21"/>
                <w:highlight w:val="none"/>
                <w:lang w:eastAsia="zh-CN"/>
              </w:rPr>
              <w:t>下列行为均视为投标人相互串通投标：</w:t>
            </w:r>
          </w:p>
          <w:p w14:paraId="1A26D851">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trike/>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（1）不同投标人的投标文件由同一单位或者个人编制。</w:t>
            </w:r>
            <w:r>
              <w:rPr>
                <w:rFonts w:hint="eastAsia" w:ascii="宋体" w:hAnsi="Times New Roman" w:eastAsia="宋体" w:cs="Times New Roman"/>
                <w:strike/>
                <w:snapToGrid w:val="0"/>
                <w:color w:val="auto"/>
                <w:sz w:val="21"/>
                <w:szCs w:val="21"/>
                <w:highlight w:val="none"/>
                <w:lang w:val="en-US" w:eastAsia="zh-CN" w:bidi="ar-SA"/>
              </w:rPr>
              <w:t>电子招投标过程中不同投标人的投标文件制作机器码一致</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或文件创建标识码相同的。</w:t>
            </w:r>
          </w:p>
          <w:p w14:paraId="57BAEE1E">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（2）不同投标人委托同一单位或者个人办理投标事宜。</w:t>
            </w:r>
            <w:r>
              <w:rPr>
                <w:rFonts w:hint="eastAsia" w:ascii="宋体" w:hAnsi="Times New Roman" w:eastAsia="宋体" w:cs="Times New Roman"/>
                <w:strike/>
                <w:snapToGrid w:val="0"/>
                <w:color w:val="auto"/>
                <w:sz w:val="21"/>
                <w:szCs w:val="21"/>
                <w:highlight w:val="none"/>
                <w:lang w:val="en-US" w:eastAsia="zh-CN" w:bidi="ar-SA"/>
              </w:rPr>
              <w:t>电子招投标过程中不同投标人从同一投标单位或同一自然</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trike/>
                <w:snapToGrid w:val="0"/>
                <w:color w:val="auto"/>
                <w:sz w:val="21"/>
                <w:szCs w:val="21"/>
                <w:highlight w:val="none"/>
                <w:lang w:val="en-US" w:eastAsia="zh-CN" w:bidi="ar-SA"/>
              </w:rPr>
              <w:t>人的IP地址下载招标文件、上传投标文件、购买电子保函</w:t>
            </w:r>
            <w:r>
              <w:rPr>
                <w:rFonts w:ascii="宋体" w:hAnsi="Times New Roman" w:eastAsia="宋体" w:cs="Times New Roman"/>
                <w:strike/>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或参加投标活动的人员为同一标段其他投标人的在职人员的。</w:t>
            </w:r>
          </w:p>
          <w:p w14:paraId="64CB94AF">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（3）不同投标人的投标文件载明的项目管理成员为同一人。</w:t>
            </w:r>
          </w:p>
          <w:p w14:paraId="2E710F40">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（4）不同投标人的投标文件异常一致或者投标报价呈规律性差异。</w:t>
            </w:r>
          </w:p>
          <w:p w14:paraId="01DD03AF">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（5）不同投标人的投标文件相互混装。</w:t>
            </w:r>
          </w:p>
          <w:p w14:paraId="0800E681">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（6）不同投标人的投标保证金从同一单位或者个人的账户转出。</w:t>
            </w:r>
          </w:p>
          <w:p w14:paraId="44552769">
            <w:pPr>
              <w:widowControl/>
              <w:kinsoku/>
              <w:adjustRightInd w:val="0"/>
              <w:snapToGrid w:val="0"/>
              <w:spacing w:beforeLines="0" w:afterLines="0" w:line="0" w:lineRule="atLeast"/>
              <w:ind w:firstLine="422"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b/>
                <w:bCs/>
                <w:snapToGrid w:val="0"/>
                <w:color w:val="auto"/>
                <w:sz w:val="21"/>
                <w:szCs w:val="21"/>
                <w:highlight w:val="none"/>
                <w:lang w:val="en-US" w:eastAsia="zh-CN" w:bidi="ar-SA"/>
              </w:rPr>
              <w:t xml:space="preserve">5.  </w:t>
            </w:r>
            <w:r>
              <w:rPr>
                <w:rFonts w:hint="eastAsia" w:ascii="宋体" w:hAnsi="Times New Roman" w:eastAsia="宋体" w:cs="Times New Roman"/>
                <w:b/>
                <w:bCs/>
                <w:snapToGrid w:val="0"/>
                <w:color w:val="auto"/>
                <w:sz w:val="21"/>
                <w:szCs w:val="21"/>
                <w:highlight w:val="none"/>
                <w:lang w:val="en-US" w:eastAsia="zh-CN" w:bidi="ar-SA"/>
              </w:rPr>
              <w:t>下列行为均属于投标人弄虚作假的行为</w:t>
            </w:r>
            <w:r>
              <w:rPr>
                <w:rFonts w:hint="eastAsia" w:ascii="宋体" w:hAnsi="Times New Roman" w:eastAsia="宋体" w:cs="Times New Roman"/>
                <w:snapToGrid w:val="0"/>
                <w:color w:val="auto"/>
                <w:sz w:val="21"/>
                <w:szCs w:val="21"/>
                <w:highlight w:val="none"/>
                <w:lang w:val="en-US" w:eastAsia="zh-CN" w:bidi="ar-SA"/>
              </w:rPr>
              <w:t>：</w:t>
            </w:r>
          </w:p>
          <w:p w14:paraId="50CDC775">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（1）使用伪造、变造的许可证件。</w:t>
            </w:r>
          </w:p>
          <w:p w14:paraId="356B3C3D">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（2）提供虚假的财务状况或者业绩。</w:t>
            </w:r>
          </w:p>
          <w:p w14:paraId="55AEDA1D">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（3）提供虚假的项目负责人或者主要技术人员简历、劳动关系证明。</w:t>
            </w:r>
          </w:p>
          <w:p w14:paraId="38388F71">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（4）提供虚假的信用状况。</w:t>
            </w:r>
          </w:p>
          <w:p w14:paraId="403BFF4D">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（5）其他弄虚作假的行为。</w:t>
            </w:r>
          </w:p>
          <w:p w14:paraId="7EE0EC8D">
            <w:pPr>
              <w:widowControl/>
              <w:kinsoku/>
              <w:adjustRightInd w:val="0"/>
              <w:snapToGrid w:val="0"/>
              <w:spacing w:beforeLines="0" w:afterLines="0" w:line="0" w:lineRule="atLeast"/>
              <w:ind w:left="0" w:right="0" w:firstLine="422" w:firstLineChars="200"/>
              <w:jc w:val="left"/>
              <w:textAlignment w:val="baseline"/>
              <w:rPr>
                <w:rFonts w:ascii="宋体" w:hAnsi="Times New Roman" w:eastAsia="宋体" w:cs="Times New Roman"/>
                <w:snapToGrid w:val="0"/>
                <w:color w:val="auto"/>
                <w:kern w:val="2"/>
                <w:sz w:val="21"/>
                <w:szCs w:val="21"/>
                <w:highlight w:val="none"/>
                <w:lang w:val="en-US" w:eastAsia="zh-CN" w:bidi="ar-SA"/>
              </w:rPr>
            </w:pPr>
            <w:r>
              <w:rPr>
                <w:rFonts w:ascii="宋体" w:hAnsi="Times New Roman" w:eastAsia="宋体" w:cs="Times New Roman"/>
                <w:b/>
                <w:bCs/>
                <w:snapToGrid w:val="0"/>
                <w:color w:val="auto"/>
                <w:sz w:val="21"/>
                <w:szCs w:val="21"/>
                <w:highlight w:val="none"/>
                <w:lang w:val="en-US" w:eastAsia="zh-CN" w:bidi="ar-SA"/>
              </w:rPr>
              <w:t xml:space="preserve">6.  </w:t>
            </w:r>
            <w:r>
              <w:rPr>
                <w:rFonts w:hint="eastAsia" w:ascii="宋体" w:hAnsi="Times New Roman" w:eastAsia="宋体" w:cs="Times New Roman"/>
                <w:snapToGrid w:val="0"/>
                <w:color w:val="auto"/>
                <w:sz w:val="21"/>
                <w:szCs w:val="21"/>
                <w:highlight w:val="none"/>
                <w:lang w:val="en-US" w:eastAsia="zh-CN" w:bidi="ar-SA"/>
              </w:rPr>
              <w:t>投标人出现上述1～5项情形之一的，评标委员会应否决其投标。评标结束后，</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招标人将有上述1～5项嫌疑的投标文件送有关部门进行后续调查，即使最终无法认定串通投标行为成立，也不影响其按无效标处理的结果。</w:t>
            </w:r>
          </w:p>
        </w:tc>
      </w:tr>
      <w:tr w14:paraId="1A93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2B1DA8D1">
            <w:pPr>
              <w:kinsoku/>
              <w:spacing w:beforeLines="0" w:afterLines="0" w:line="0" w:lineRule="atLeast"/>
              <w:ind w:right="0" w:firstLine="0" w:firstLineChars="0"/>
              <w:jc w:val="center"/>
              <w:rPr>
                <w:rFonts w:ascii="宋体" w:hAnsi="Times New Roman" w:cs="Times New Roman"/>
                <w:color w:val="auto"/>
                <w:sz w:val="21"/>
                <w:szCs w:val="21"/>
                <w:highlight w:val="none"/>
                <w:lang w:eastAsia="zh-CN"/>
              </w:rPr>
            </w:pPr>
            <w:r>
              <w:rPr>
                <w:rFonts w:ascii="宋体" w:hAnsi="Times New Roman" w:cs="Times New Roman"/>
                <w:color w:val="auto"/>
                <w:sz w:val="21"/>
                <w:highlight w:val="none"/>
              </w:rPr>
              <w:t>9.5</w:t>
            </w:r>
          </w:p>
        </w:tc>
        <w:tc>
          <w:tcPr>
            <w:tcW w:w="993" w:type="pct"/>
            <w:tcBorders>
              <w:tl2br w:val="nil"/>
              <w:tr2bl w:val="nil"/>
            </w:tcBorders>
            <w:vAlign w:val="center"/>
          </w:tcPr>
          <w:p w14:paraId="001E1C01">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异议与投诉</w:t>
            </w:r>
          </w:p>
        </w:tc>
        <w:tc>
          <w:tcPr>
            <w:tcW w:w="3439" w:type="pct"/>
            <w:tcBorders>
              <w:tl2br w:val="nil"/>
              <w:tr2bl w:val="nil"/>
            </w:tcBorders>
            <w:vAlign w:val="center"/>
          </w:tcPr>
          <w:p w14:paraId="5AAF517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1．异议</w:t>
            </w:r>
          </w:p>
          <w:p w14:paraId="05C5283B">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（一）潜在投标人或者其他利害关系人对招标文件有异议的，应当在投标截止时间</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10日前以书面形式向招标人提出。招标人应在收到异议之日起3日内作出书面答复；作出答复前，暂停招标投标活动。</w:t>
            </w:r>
          </w:p>
          <w:p w14:paraId="5EBE2EA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二）投标人认为开标不符合有关规定的，应当在开标现场通过电子招投标交易平台向招标人提出异议。招标人将当场对异议给予处理或者告知处理的办法。异议和答复应记入开标记录或者制作专门记录以存档备查。</w:t>
            </w:r>
          </w:p>
          <w:p w14:paraId="0F0D6AD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（三）投标人及其他利害关系人对评标结果有异议的，应当在中标候选人公示期内以书面形式向招标人提出。招标人应在收到异议之日起</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3日内作出书面答复；</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作出答复前，暂停招标投标活动。</w:t>
            </w:r>
          </w:p>
          <w:p w14:paraId="0DFAAD6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（四）对招标文件、开标结果和评标结果的异议，提出和答复均应通过纸质版加盖投标单位公章扫描成PDF格式文件发送至邮箱：284539594@qq.com</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trike/>
                <w:snapToGrid w:val="0"/>
                <w:color w:val="auto"/>
                <w:sz w:val="21"/>
                <w:szCs w:val="21"/>
                <w:highlight w:val="none"/>
                <w:lang w:val="en-US" w:eastAsia="zh-CN" w:bidi="ar-SA"/>
              </w:rPr>
              <w:t>电子招投标交易平台</w:t>
            </w:r>
            <w:r>
              <w:rPr>
                <w:rFonts w:hint="eastAsia" w:ascii="宋体" w:hAnsi="Times New Roman" w:eastAsia="宋体" w:cs="Times New Roman"/>
                <w:snapToGrid w:val="0"/>
                <w:color w:val="auto"/>
                <w:sz w:val="21"/>
                <w:szCs w:val="21"/>
                <w:highlight w:val="none"/>
                <w:lang w:val="en-US" w:eastAsia="zh-CN" w:bidi="ar-SA"/>
              </w:rPr>
              <w:t>。</w:t>
            </w:r>
          </w:p>
          <w:p w14:paraId="03DBEC4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2．投诉</w:t>
            </w:r>
          </w:p>
          <w:p w14:paraId="1CB30D3A">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人或者其他利害关系人认为招标投标活动不符合法律、行政法规和招标文件规定的，可以自知道或者应当知道之日起10日内向有关行政监督部门投诉。投诉应当有明确的请求和必要的证明资料，具体要求应符合《工程建设项目招标投标活动投诉处理办法》（国家发改委等七部委2004年第11号令）规定。就招标文件、开标和评标结果投诉的，应当先向招标人提出异议，异议答复期不计算在前款规定的期限内。</w:t>
            </w:r>
          </w:p>
          <w:p w14:paraId="3F73862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3．上述时限最后一日如遇国家法定休假日的，顺延至法定休假日后的第一个工作日。</w:t>
            </w:r>
          </w:p>
          <w:p w14:paraId="358738F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kern w:val="2"/>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前款所提的应当知道起始时间界定为：1.对招标文件公告资格条件的投诉以下载招标文件的第一天为准；</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2.对除公告资格条件外招标文件其他内容的投诉以招标文件下载最后一天为准；</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3.对开标的投诉以开标时间为准；</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4.对评标结果的投诉以中标候选人公示期的起始时间为准（招标人发起的投诉除外）。</w:t>
            </w:r>
          </w:p>
        </w:tc>
      </w:tr>
      <w:tr w14:paraId="0A8C4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114F41AC">
            <w:pPr>
              <w:kinsoku/>
              <w:spacing w:beforeLines="0" w:afterLines="0" w:line="0" w:lineRule="atLeast"/>
              <w:ind w:left="0" w:right="0" w:firstLine="0" w:firstLineChars="0"/>
              <w:jc w:val="center"/>
              <w:rPr>
                <w:rFonts w:ascii="宋体" w:hAnsi="Times New Roman" w:cs="Times New Roman"/>
                <w:color w:val="auto"/>
                <w:sz w:val="21"/>
                <w:highlight w:val="none"/>
                <w:lang w:eastAsia="zh-CN"/>
              </w:rPr>
            </w:pPr>
          </w:p>
        </w:tc>
        <w:tc>
          <w:tcPr>
            <w:tcW w:w="993" w:type="pct"/>
            <w:tcBorders>
              <w:tl2br w:val="nil"/>
              <w:tr2bl w:val="nil"/>
            </w:tcBorders>
            <w:vAlign w:val="center"/>
          </w:tcPr>
          <w:p w14:paraId="12EA352C">
            <w:pPr>
              <w:widowControl/>
              <w:kinsoku/>
              <w:adjustRightInd w:val="0"/>
              <w:snapToGrid w:val="0"/>
              <w:spacing w:beforeLines="0" w:afterLines="0" w:line="0" w:lineRule="atLeast"/>
              <w:ind w:left="0"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p>
        </w:tc>
        <w:tc>
          <w:tcPr>
            <w:tcW w:w="3439" w:type="pct"/>
            <w:tcBorders>
              <w:tl2br w:val="nil"/>
              <w:tr2bl w:val="nil"/>
            </w:tcBorders>
            <w:vAlign w:val="center"/>
          </w:tcPr>
          <w:p w14:paraId="34C7AF4C">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投诉受理机构：</w:t>
            </w:r>
            <w:r>
              <w:rPr>
                <w:rFonts w:hint="eastAsia" w:ascii="宋体" w:hAnsi="Times New Roman" w:eastAsia="宋体" w:cs="Times New Roman"/>
                <w:snapToGrid w:val="0"/>
                <w:color w:val="auto"/>
                <w:sz w:val="21"/>
                <w:szCs w:val="21"/>
                <w:highlight w:val="none"/>
                <w:u w:val="single"/>
                <w:lang w:val="en-US" w:eastAsia="zh-CN" w:bidi="ar-SA"/>
              </w:rPr>
              <w:t>绍兴市政务服务办公室</w:t>
            </w:r>
            <w:r>
              <w:rPr>
                <w:rFonts w:hint="eastAsia" w:hAnsi="Times New Roman" w:cs="Times New Roman"/>
                <w:snapToGrid w:val="0"/>
                <w:color w:val="auto"/>
                <w:sz w:val="21"/>
                <w:szCs w:val="21"/>
                <w:highlight w:val="none"/>
                <w:u w:val="single"/>
                <w:lang w:val="en-US" w:eastAsia="zh-CN" w:bidi="ar-SA"/>
              </w:rPr>
              <w:t>，</w:t>
            </w:r>
            <w:r>
              <w:rPr>
                <w:rFonts w:hint="eastAsia" w:hAnsi="Times New Roman" w:cs="Times New Roman"/>
                <w:color w:val="auto"/>
                <w:sz w:val="21"/>
                <w:highlight w:val="none"/>
                <w:u w:val="single"/>
                <w:lang w:eastAsia="zh-CN"/>
              </w:rPr>
              <w:t>0575-88012108/0575-88207195</w:t>
            </w:r>
            <w:r>
              <w:rPr>
                <w:rFonts w:hint="eastAsia" w:ascii="宋体" w:hAnsi="Times New Roman" w:eastAsia="宋体" w:cs="Times New Roman"/>
                <w:snapToGrid w:val="0"/>
                <w:color w:val="auto"/>
                <w:sz w:val="21"/>
                <w:szCs w:val="21"/>
                <w:highlight w:val="none"/>
                <w:lang w:val="en-US" w:eastAsia="zh-CN" w:bidi="ar-SA"/>
              </w:rPr>
              <w:t>。</w:t>
            </w:r>
          </w:p>
        </w:tc>
      </w:tr>
      <w:tr w14:paraId="39B7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01021DE">
            <w:pPr>
              <w:kinsoku/>
              <w:spacing w:beforeLines="0" w:afterLines="0" w:line="0" w:lineRule="atLeast"/>
              <w:ind w:right="0" w:firstLine="0" w:firstLineChars="0"/>
              <w:jc w:val="center"/>
              <w:textAlignment w:val="auto"/>
              <w:rPr>
                <w:rFonts w:ascii="宋体" w:hAnsi="Times New Roman" w:cs="Times New Roman"/>
                <w:color w:val="auto"/>
                <w:sz w:val="21"/>
                <w:highlight w:val="none"/>
                <w:lang w:eastAsia="zh-CN"/>
              </w:rPr>
            </w:pPr>
            <w:r>
              <w:rPr>
                <w:rFonts w:ascii="宋体" w:hAnsi="Times New Roman" w:cs="Times New Roman"/>
                <w:color w:val="auto"/>
                <w:sz w:val="21"/>
                <w:highlight w:val="none"/>
                <w:lang w:eastAsia="zh-CN"/>
              </w:rPr>
              <w:t>10</w:t>
            </w:r>
          </w:p>
        </w:tc>
        <w:tc>
          <w:tcPr>
            <w:tcW w:w="993" w:type="pct"/>
            <w:tcBorders>
              <w:tl2br w:val="nil"/>
              <w:tr2bl w:val="nil"/>
            </w:tcBorders>
            <w:vAlign w:val="center"/>
          </w:tcPr>
          <w:p w14:paraId="10AA5206">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ascii="宋体" w:hAnsi="宋体" w:eastAsia="宋体" w:cs="Times New Roman"/>
                <w:snapToGrid w:val="0"/>
                <w:color w:val="auto"/>
                <w:sz w:val="21"/>
                <w:szCs w:val="21"/>
                <w:highlight w:val="none"/>
                <w:lang w:val="en-US" w:eastAsia="zh-CN" w:bidi="ar-SA"/>
              </w:rPr>
              <w:t>其他内容</w:t>
            </w:r>
          </w:p>
        </w:tc>
        <w:tc>
          <w:tcPr>
            <w:tcW w:w="3439" w:type="pct"/>
            <w:tcBorders>
              <w:tl2br w:val="nil"/>
              <w:tr2bl w:val="nil"/>
            </w:tcBorders>
            <w:vAlign w:val="center"/>
          </w:tcPr>
          <w:p w14:paraId="41F303D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p>
        </w:tc>
      </w:tr>
      <w:tr w14:paraId="6D2B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44B17D9">
            <w:pPr>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lang w:eastAsia="zh-CN"/>
              </w:rPr>
              <w:t>10.1</w:t>
            </w:r>
          </w:p>
        </w:tc>
        <w:tc>
          <w:tcPr>
            <w:tcW w:w="993" w:type="pct"/>
            <w:tcBorders>
              <w:tl2br w:val="nil"/>
              <w:tr2bl w:val="nil"/>
            </w:tcBorders>
            <w:vAlign w:val="center"/>
          </w:tcPr>
          <w:p w14:paraId="5F07E5CD">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类似项目</w:t>
            </w:r>
          </w:p>
        </w:tc>
        <w:tc>
          <w:tcPr>
            <w:tcW w:w="3439" w:type="pct"/>
            <w:tcBorders>
              <w:tl2br w:val="nil"/>
              <w:tr2bl w:val="nil"/>
            </w:tcBorders>
            <w:vAlign w:val="center"/>
          </w:tcPr>
          <w:p w14:paraId="13CA172E">
            <w:pPr>
              <w:kinsoku/>
              <w:spacing w:beforeLines="0" w:afterLines="0" w:line="0" w:lineRule="atLeast"/>
              <w:ind w:firstLine="420" w:firstLineChars="200"/>
              <w:jc w:val="left"/>
              <w:rPr>
                <w:color w:val="auto"/>
                <w:sz w:val="21"/>
                <w:highlight w:val="none"/>
                <w:lang w:eastAsia="zh-CN"/>
              </w:rPr>
            </w:pPr>
            <w:r>
              <w:rPr>
                <w:rFonts w:hint="eastAsia" w:ascii="宋体" w:hAnsi="Times New Roman" w:cs="Times New Roman"/>
                <w:color w:val="auto"/>
                <w:sz w:val="21"/>
                <w:highlight w:val="none"/>
                <w:lang w:eastAsia="zh-CN"/>
              </w:rPr>
              <w:t>详见招标公告</w:t>
            </w:r>
          </w:p>
        </w:tc>
      </w:tr>
      <w:tr w14:paraId="332B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47CAD609">
            <w:pPr>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10.2</w:t>
            </w:r>
          </w:p>
        </w:tc>
        <w:tc>
          <w:tcPr>
            <w:tcW w:w="993" w:type="pct"/>
            <w:tcBorders>
              <w:tl2br w:val="nil"/>
              <w:tr2bl w:val="nil"/>
            </w:tcBorders>
            <w:vAlign w:val="center"/>
          </w:tcPr>
          <w:p w14:paraId="4602D35F">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投标文件的澄清、</w:t>
            </w:r>
          </w:p>
          <w:p w14:paraId="261AF768">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说明</w:t>
            </w:r>
          </w:p>
        </w:tc>
        <w:tc>
          <w:tcPr>
            <w:tcW w:w="3439" w:type="pct"/>
            <w:tcBorders>
              <w:tl2br w:val="nil"/>
              <w:tr2bl w:val="nil"/>
            </w:tcBorders>
            <w:vAlign w:val="center"/>
          </w:tcPr>
          <w:p w14:paraId="1C7221C6">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1．若评标委员会对投标文件进行询标时，投标人逾期或未按要求澄清回复的，将视为不予回复或确认。</w:t>
            </w:r>
          </w:p>
          <w:p w14:paraId="1A03184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评标委员会对投标人提交的澄清、说明或补正有疑问的，可以要求投标人进一步澄清、说明或补正，直至满足评标委员会的要求。投标人的澄清、说明不得超过投标文件的范围或者改变投标文件的实质性内容。评标委员会不得暗示或者诱导投标人作出澄清、说明，不得接受投标人主动提出的澄清、说明。</w:t>
            </w:r>
          </w:p>
        </w:tc>
      </w:tr>
      <w:tr w14:paraId="4AC9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vMerge w:val="restart"/>
            <w:tcBorders>
              <w:tl2br w:val="nil"/>
              <w:tr2bl w:val="nil"/>
            </w:tcBorders>
            <w:vAlign w:val="center"/>
          </w:tcPr>
          <w:p w14:paraId="0464867E">
            <w:pPr>
              <w:widowControl w:val="0"/>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en-US" w:bidi="ar-SA"/>
              </w:rPr>
              <w:t>10.3</w:t>
            </w:r>
          </w:p>
        </w:tc>
        <w:tc>
          <w:tcPr>
            <w:tcW w:w="993" w:type="pct"/>
            <w:vMerge w:val="restart"/>
            <w:tcBorders>
              <w:tl2br w:val="nil"/>
              <w:tr2bl w:val="nil"/>
            </w:tcBorders>
            <w:vAlign w:val="center"/>
          </w:tcPr>
          <w:p w14:paraId="65849F4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实质性响应招标文件资料及评审打分资料</w:t>
            </w:r>
          </w:p>
        </w:tc>
        <w:tc>
          <w:tcPr>
            <w:tcW w:w="3439" w:type="pct"/>
            <w:tcBorders>
              <w:tl2br w:val="nil"/>
              <w:tr2bl w:val="nil"/>
            </w:tcBorders>
            <w:vAlign w:val="center"/>
          </w:tcPr>
          <w:p w14:paraId="472E3CF1">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一、实质性响应招标文件资料</w:t>
            </w:r>
          </w:p>
          <w:p w14:paraId="4E6A2716">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1．企业法人营业执照（联合体投标的，联合体各方均应提供）；</w:t>
            </w:r>
          </w:p>
          <w:p w14:paraId="64FEECD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2．有效的法定代表人授权委托书（投标文件委托代理人签字的提供，联合体投标的，应由联合体牵头人授权委托）；</w:t>
            </w:r>
          </w:p>
          <w:p w14:paraId="7E6DC053">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3．联合体各方签订的共同投标协议（联合体投标的提供）；</w:t>
            </w:r>
          </w:p>
          <w:p w14:paraId="507336E3">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4．建筑业企业资质证书；提供投标人</w:t>
            </w:r>
            <w:r>
              <w:rPr>
                <w:rFonts w:ascii="宋体" w:hAnsi="Times New Roman" w:eastAsia="宋体" w:cs="Times New Roman"/>
                <w:snapToGrid w:val="0"/>
                <w:color w:val="auto"/>
                <w:sz w:val="21"/>
                <w:szCs w:val="21"/>
                <w:highlight w:val="none"/>
                <w:u w:val="single"/>
                <w:lang w:val="en-US" w:eastAsia="zh-CN" w:bidi="ar-SA"/>
              </w:rPr>
              <w:t>2024</w:t>
            </w:r>
            <w:r>
              <w:rPr>
                <w:rFonts w:hint="eastAsia" w:ascii="宋体" w:hAnsi="Times New Roman" w:eastAsia="宋体" w:cs="Times New Roman"/>
                <w:snapToGrid w:val="0"/>
                <w:color w:val="auto"/>
                <w:sz w:val="21"/>
                <w:szCs w:val="21"/>
                <w:highlight w:val="none"/>
                <w:lang w:val="en-US" w:eastAsia="zh-CN" w:bidi="ar-SA"/>
              </w:rPr>
              <w:t>年</w:t>
            </w:r>
            <w:r>
              <w:rPr>
                <w:rFonts w:hint="eastAsia" w:hAnsi="Times New Roman"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月</w:t>
            </w:r>
            <w:r>
              <w:rPr>
                <w:rFonts w:hint="eastAsia" w:hAnsi="Times New Roman"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日（自公告发布之日至投标截止时间在</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浙江省建筑市场监管公共服务系统</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上，参与投标资质的</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资质动态核查结果证明</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i/>
                <w:iCs/>
                <w:snapToGrid w:val="0"/>
                <w:color w:val="auto"/>
                <w:sz w:val="21"/>
                <w:szCs w:val="21"/>
                <w:highlight w:val="none"/>
                <w:lang w:val="en-US" w:eastAsia="zh-CN" w:bidi="ar-SA"/>
              </w:rPr>
              <w:t>联合体投标的，联合体各方均应提供参与投标资质的</w:t>
            </w:r>
            <w:r>
              <w:rPr>
                <w:rFonts w:ascii="宋体" w:hAnsi="Times New Roman" w:eastAsia="宋体" w:cs="Times New Roman"/>
                <w:i/>
                <w:iCs/>
                <w:snapToGrid w:val="0"/>
                <w:color w:val="auto"/>
                <w:sz w:val="21"/>
                <w:szCs w:val="21"/>
                <w:highlight w:val="none"/>
                <w:lang w:val="en-US" w:eastAsia="zh-CN" w:bidi="ar-SA"/>
              </w:rPr>
              <w:t>“</w:t>
            </w:r>
            <w:r>
              <w:rPr>
                <w:rFonts w:hint="eastAsia" w:ascii="宋体" w:hAnsi="Times New Roman" w:eastAsia="宋体" w:cs="Times New Roman"/>
                <w:i/>
                <w:iCs/>
                <w:snapToGrid w:val="0"/>
                <w:color w:val="auto"/>
                <w:sz w:val="21"/>
                <w:szCs w:val="21"/>
                <w:highlight w:val="none"/>
                <w:lang w:val="en-US" w:eastAsia="zh-CN" w:bidi="ar-SA"/>
              </w:rPr>
              <w:t>资质动态核查结果证明</w:t>
            </w:r>
            <w:r>
              <w:rPr>
                <w:rFonts w:ascii="宋体" w:hAnsi="Times New Roman" w:eastAsia="宋体" w:cs="Times New Roman"/>
                <w:i/>
                <w:iCs/>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w:t>
            </w:r>
          </w:p>
          <w:p w14:paraId="6F334784">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5．企业安全生产许可证（联合体投标的，联合体各方均应提供）；</w:t>
            </w:r>
          </w:p>
          <w:p w14:paraId="2C26218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6．法定代表人、企业经理、企业分管安全生产的副经理、企业技术负责人</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三类人员</w:t>
            </w:r>
            <w:r>
              <w:rPr>
                <w:rFonts w:ascii="宋体" w:hAnsi="Times New Roman" w:eastAsia="宋体" w:cs="Times New Roman"/>
                <w:snapToGrid w:val="0"/>
                <w:color w:val="auto"/>
                <w:sz w:val="21"/>
                <w:szCs w:val="21"/>
                <w:highlight w:val="none"/>
                <w:lang w:val="en-US" w:eastAsia="zh-CN" w:bidi="ar-SA"/>
              </w:rPr>
              <w:t xml:space="preserve">”A </w:t>
            </w:r>
            <w:r>
              <w:rPr>
                <w:rFonts w:hint="eastAsia" w:ascii="宋体" w:hAnsi="Times New Roman" w:eastAsia="宋体" w:cs="Times New Roman"/>
                <w:snapToGrid w:val="0"/>
                <w:color w:val="auto"/>
                <w:sz w:val="21"/>
                <w:szCs w:val="21"/>
                <w:highlight w:val="none"/>
                <w:lang w:val="en-US" w:eastAsia="zh-CN" w:bidi="ar-SA"/>
              </w:rPr>
              <w:t>类证书，企业经理、企业技术负责人、企业分管安全生产副经理企业的任命书（联合体投标的，联合体各方均应提供）；</w:t>
            </w:r>
          </w:p>
          <w:p w14:paraId="413A30F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7．项目负责人、技术负责人（如有要求）</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全国建筑市场监管公共服务平台网</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注册建造师信息查询页面（最终的完整信息页面）打印件（需加盖投标人公章和建造师执业章）或注册执业证书（一级建造师提供电子注册证书）或建设行政部门相关名单公告（需提供下载的纸质公告和网址，公示名单无效）；</w:t>
            </w:r>
          </w:p>
          <w:p w14:paraId="467D8FFF">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8．拟派技术负责人职称证书；</w:t>
            </w:r>
          </w:p>
          <w:p w14:paraId="6C66FF75">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9．项目安全员、质检员和施工员全国水利水电工程施工现场管理人员培训合格证书；</w:t>
            </w:r>
          </w:p>
          <w:p w14:paraId="0415CE3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10．拟派项目负责人</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三类人员</w:t>
            </w:r>
            <w:r>
              <w:rPr>
                <w:rFonts w:ascii="宋体" w:hAnsi="Times New Roman" w:eastAsia="宋体" w:cs="Times New Roman"/>
                <w:snapToGrid w:val="0"/>
                <w:color w:val="auto"/>
                <w:sz w:val="21"/>
                <w:szCs w:val="21"/>
                <w:highlight w:val="none"/>
                <w:lang w:val="en-US" w:eastAsia="zh-CN" w:bidi="ar-SA"/>
              </w:rPr>
              <w:t xml:space="preserve">”B </w:t>
            </w:r>
            <w:r>
              <w:rPr>
                <w:rFonts w:hint="eastAsia" w:ascii="宋体" w:hAnsi="Times New Roman" w:eastAsia="宋体" w:cs="Times New Roman"/>
                <w:snapToGrid w:val="0"/>
                <w:color w:val="auto"/>
                <w:sz w:val="21"/>
                <w:szCs w:val="21"/>
                <w:highlight w:val="none"/>
                <w:lang w:val="en-US" w:eastAsia="zh-CN" w:bidi="ar-SA"/>
              </w:rPr>
              <w:t>类证书；</w:t>
            </w:r>
          </w:p>
          <w:p w14:paraId="5DD500DA">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11．拟派施工现场专职安全生产管理人员</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三类人员</w:t>
            </w:r>
            <w:r>
              <w:rPr>
                <w:rFonts w:ascii="宋体" w:hAnsi="Times New Roman" w:eastAsia="宋体" w:cs="Times New Roman"/>
                <w:snapToGrid w:val="0"/>
                <w:color w:val="auto"/>
                <w:sz w:val="21"/>
                <w:szCs w:val="21"/>
                <w:highlight w:val="none"/>
                <w:lang w:val="en-US" w:eastAsia="zh-CN" w:bidi="ar-SA"/>
              </w:rPr>
              <w:t>”C</w:t>
            </w:r>
          </w:p>
          <w:p w14:paraId="0476B43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类证书；</w:t>
            </w:r>
          </w:p>
          <w:p w14:paraId="63A9E61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12．拟派项目组主要人员在浙江省水利厅</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浙江省水利工程建设管理系统（透明工程）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 xml:space="preserve"> 下载人员信息打印件，打印件应含有</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浙江水利透明工程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水印；</w:t>
            </w:r>
          </w:p>
          <w:p w14:paraId="0E1E667A">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13．投标承诺书（按照招标文件提供的格式条款提供）；</w:t>
            </w:r>
          </w:p>
          <w:p w14:paraId="14B13D2C">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□14.《中小企业声明函》（面向中小企业招标的，投标人或联合体中的中小企业需提供。按照招标文件提供的格式条款提供）。</w:t>
            </w:r>
          </w:p>
          <w:p w14:paraId="1E80B48A">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15．符合招标公告要求的类似项目施工业绩证明材料；</w:t>
            </w:r>
          </w:p>
          <w:p w14:paraId="3BC3F422">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16．投标保证金缴纳证明资料（银行转账记录或银行保函或保险机构保险保单</w:t>
            </w:r>
            <w:r>
              <w:rPr>
                <w:rFonts w:hint="eastAsia" w:hAnsi="Times New Roman" w:cs="Times New Roman"/>
                <w:snapToGrid w:val="0"/>
                <w:color w:val="auto"/>
                <w:sz w:val="21"/>
                <w:szCs w:val="21"/>
                <w:highlight w:val="none"/>
                <w:lang w:val="en-US" w:eastAsia="zh-CN" w:bidi="ar-SA"/>
              </w:rPr>
              <w:t>或</w:t>
            </w:r>
            <w:r>
              <w:rPr>
                <w:rFonts w:hint="eastAsia" w:ascii="宋体" w:hAnsi="Times New Roman" w:eastAsia="宋体" w:cs="Times New Roman"/>
                <w:snapToGrid w:val="0"/>
                <w:color w:val="auto"/>
                <w:sz w:val="21"/>
                <w:szCs w:val="21"/>
                <w:highlight w:val="none"/>
                <w:lang w:val="en-US" w:eastAsia="zh-CN" w:bidi="ar-SA"/>
              </w:rPr>
              <w:t>融资担保公司保函或保证金联保证明）；</w:t>
            </w:r>
          </w:p>
          <w:p w14:paraId="703C0DF4">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17．如拟派项目组主要人员资格条件证书中不能显示其投标人单位的，应提供</w:t>
            </w:r>
            <w:r>
              <w:rPr>
                <w:rFonts w:ascii="宋体" w:hAnsi="Times New Roman" w:eastAsia="宋体" w:cs="Times New Roman"/>
                <w:snapToGrid w:val="0"/>
                <w:color w:val="auto"/>
                <w:sz w:val="21"/>
                <w:szCs w:val="21"/>
                <w:highlight w:val="none"/>
                <w:u w:val="single"/>
                <w:lang w:val="en-US" w:eastAsia="zh-CN" w:bidi="ar-SA"/>
              </w:rPr>
              <w:t>2024</w:t>
            </w:r>
            <w:r>
              <w:rPr>
                <w:rFonts w:hint="eastAsia" w:ascii="宋体" w:hAnsi="Times New Roman" w:eastAsia="宋体" w:cs="Times New Roman"/>
                <w:snapToGrid w:val="0"/>
                <w:color w:val="auto"/>
                <w:sz w:val="21"/>
                <w:szCs w:val="21"/>
                <w:highlight w:val="none"/>
                <w:lang w:val="en-US" w:eastAsia="zh-CN" w:bidi="ar-SA"/>
              </w:rPr>
              <w:t>年</w:t>
            </w:r>
            <w:r>
              <w:rPr>
                <w:rFonts w:hint="eastAsia" w:hAnsi="Times New Roman" w:cs="Times New Roman"/>
                <w:snapToGrid w:val="0"/>
                <w:color w:val="auto"/>
                <w:sz w:val="21"/>
                <w:szCs w:val="21"/>
                <w:highlight w:val="none"/>
                <w:lang w:val="en-US" w:eastAsia="zh-CN" w:bidi="ar-SA"/>
              </w:rPr>
              <w:t>5</w:t>
            </w:r>
            <w:r>
              <w:rPr>
                <w:rFonts w:hint="eastAsia" w:ascii="宋体" w:hAnsi="Times New Roman" w:eastAsia="宋体" w:cs="Times New Roman"/>
                <w:snapToGrid w:val="0"/>
                <w:color w:val="auto"/>
                <w:sz w:val="21"/>
                <w:szCs w:val="21"/>
                <w:highlight w:val="none"/>
                <w:lang w:val="en-US" w:eastAsia="zh-CN" w:bidi="ar-SA"/>
              </w:rPr>
              <w:t>月以来投标人为其缴纳的任意一个月的社保证明，否则视同不是本单位人</w:t>
            </w:r>
            <w:r>
              <w:rPr>
                <w:rFonts w:hint="eastAsia" w:ascii="宋体" w:hAnsi="Times New Roman" w:eastAsia="宋体" w:cs="Times New Roman"/>
                <w:b/>
                <w:bCs/>
                <w:snapToGrid w:val="0"/>
                <w:color w:val="auto"/>
                <w:sz w:val="21"/>
                <w:szCs w:val="21"/>
                <w:highlight w:val="none"/>
                <w:lang w:val="en-US" w:eastAsia="zh-CN" w:bidi="ar-SA"/>
              </w:rPr>
              <w:t>。</w:t>
            </w:r>
          </w:p>
          <w:p w14:paraId="668D2911">
            <w:pPr>
              <w:widowControl/>
              <w:kinsoku/>
              <w:overflowPunct/>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 xml:space="preserve">18. </w:t>
            </w:r>
            <w:r>
              <w:rPr>
                <w:rFonts w:hint="eastAsia" w:ascii="宋体" w:hAnsi="Times New Roman" w:eastAsia="宋体" w:cs="Times New Roman"/>
                <w:snapToGrid w:val="0"/>
                <w:color w:val="auto"/>
                <w:sz w:val="21"/>
                <w:szCs w:val="21"/>
                <w:highlight w:val="none"/>
                <w:lang w:val="en-US" w:eastAsia="zh-CN" w:bidi="ar-SA"/>
              </w:rPr>
              <w:t>自</w:t>
            </w:r>
            <w:r>
              <w:rPr>
                <w:rFonts w:ascii="宋体" w:hAnsi="Times New Roman" w:eastAsia="宋体" w:cs="Times New Roman"/>
                <w:snapToGrid w:val="0"/>
                <w:color w:val="auto"/>
                <w:sz w:val="21"/>
                <w:szCs w:val="21"/>
                <w:highlight w:val="none"/>
                <w:lang w:val="en-US" w:eastAsia="zh-CN" w:bidi="ar-SA"/>
              </w:rPr>
              <w:t xml:space="preserve"> 2022 </w:t>
            </w:r>
            <w:r>
              <w:rPr>
                <w:rFonts w:hint="eastAsia" w:ascii="宋体" w:hAnsi="Times New Roman" w:eastAsia="宋体" w:cs="Times New Roman"/>
                <w:snapToGrid w:val="0"/>
                <w:color w:val="auto"/>
                <w:sz w:val="21"/>
                <w:szCs w:val="21"/>
                <w:highlight w:val="none"/>
                <w:lang w:val="en-US" w:eastAsia="zh-CN" w:bidi="ar-SA"/>
              </w:rPr>
              <w:t>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3449827E">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19.拟派项目负责人在投标截止日无在其他任何在建合同工程上担任项目负责人的承诺书。</w:t>
            </w:r>
          </w:p>
          <w:p w14:paraId="2152095D">
            <w:pPr>
              <w:widowControl/>
              <w:kinsoku/>
              <w:adjustRightInd/>
              <w:snapToGrid/>
              <w:spacing w:beforeLines="-2147483648" w:afterLines="-2147483648" w:line="240" w:lineRule="auto"/>
              <w:ind w:left="0" w:right="0" w:firstLine="420" w:firstLineChars="0"/>
              <w:jc w:val="left"/>
              <w:textAlignment w:val="auto"/>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20.投标人和拟派项目负责人自</w:t>
            </w:r>
            <w:r>
              <w:rPr>
                <w:rFonts w:ascii="宋体" w:hAnsi="Times New Roman" w:eastAsia="宋体" w:cs="Times New Roman"/>
                <w:snapToGrid w:val="0"/>
                <w:color w:val="auto"/>
                <w:sz w:val="21"/>
                <w:szCs w:val="21"/>
                <w:highlight w:val="none"/>
                <w:lang w:val="en-US" w:eastAsia="zh-CN" w:bidi="ar-SA"/>
              </w:rPr>
              <w:t>2021</w:t>
            </w:r>
            <w:r>
              <w:rPr>
                <w:rFonts w:hint="eastAsia" w:ascii="宋体" w:hAnsi="Times New Roman" w:eastAsia="宋体" w:cs="Times New Roman"/>
                <w:snapToGrid w:val="0"/>
                <w:color w:val="auto"/>
                <w:sz w:val="21"/>
                <w:szCs w:val="21"/>
                <w:highlight w:val="none"/>
                <w:lang w:val="en-US" w:eastAsia="zh-CN" w:bidi="ar-SA"/>
              </w:rPr>
              <w:t>年</w:t>
            </w:r>
            <w:r>
              <w:rPr>
                <w:rFonts w:hint="eastAsia" w:hAnsi="Times New Roman" w:cs="Times New Roman"/>
                <w:snapToGrid w:val="0"/>
                <w:color w:val="auto"/>
                <w:sz w:val="21"/>
                <w:szCs w:val="21"/>
                <w:highlight w:val="none"/>
                <w:lang w:val="en-US" w:eastAsia="zh-CN" w:bidi="ar-SA"/>
              </w:rPr>
              <w:t>7</w:t>
            </w:r>
            <w:r>
              <w:rPr>
                <w:rFonts w:hint="eastAsia" w:ascii="宋体" w:hAnsi="Times New Roman" w:eastAsia="宋体" w:cs="Times New Roman"/>
                <w:snapToGrid w:val="0"/>
                <w:color w:val="auto"/>
                <w:sz w:val="21"/>
                <w:szCs w:val="21"/>
                <w:highlight w:val="none"/>
                <w:lang w:val="en-US" w:eastAsia="zh-CN" w:bidi="ar-SA"/>
              </w:rPr>
              <w:t>月1日起至投标截止日无行贿犯罪记录承诺书。</w:t>
            </w:r>
          </w:p>
          <w:p w14:paraId="4F3022D8">
            <w:pPr>
              <w:widowControl/>
              <w:kinsoku/>
              <w:adjustRightInd/>
              <w:snapToGrid/>
              <w:spacing w:beforeLines="-2147483648" w:afterLines="-2147483648" w:line="240" w:lineRule="auto"/>
              <w:ind w:left="0" w:right="0" w:firstLine="420" w:firstLineChars="0"/>
              <w:jc w:val="left"/>
              <w:textAlignment w:val="auto"/>
              <w:rPr>
                <w:rFonts w:hint="eastAsia" w:ascii="宋体" w:hAnsi="Times New Roman" w:eastAsia="宋体" w:cs="Times New Roman"/>
                <w:snapToGrid w:val="0"/>
                <w:color w:val="auto"/>
                <w:sz w:val="21"/>
                <w:szCs w:val="21"/>
                <w:highlight w:val="none"/>
                <w:lang w:val="en-US" w:eastAsia="zh-CN" w:bidi="ar-SA"/>
              </w:rPr>
            </w:pPr>
            <w:r>
              <w:rPr>
                <w:rFonts w:hint="eastAsia" w:hAnsi="Times New Roman" w:cs="Times New Roman"/>
                <w:color w:val="auto"/>
                <w:sz w:val="21"/>
                <w:highlight w:val="none"/>
                <w:lang w:eastAsia="zh-CN"/>
              </w:rPr>
              <w:t>21、如投标文件由委托代理人签字的，应提供2024年05月以来投标人为其缴纳的任意一个月的社保证明，否则视同</w:t>
            </w:r>
            <w:r>
              <w:rPr>
                <w:rFonts w:hint="eastAsia" w:hAnsi="Times New Roman" w:cs="Times New Roman"/>
                <w:color w:val="auto"/>
                <w:sz w:val="21"/>
                <w:highlight w:val="none"/>
                <w:lang w:val="en-US" w:eastAsia="zh-CN"/>
              </w:rPr>
              <w:t>非</w:t>
            </w:r>
            <w:r>
              <w:rPr>
                <w:rFonts w:hint="eastAsia" w:hAnsi="Times New Roman" w:cs="Times New Roman"/>
                <w:color w:val="auto"/>
                <w:sz w:val="21"/>
                <w:highlight w:val="none"/>
                <w:lang w:eastAsia="zh-CN"/>
              </w:rPr>
              <w:t>本单位人员。</w:t>
            </w:r>
          </w:p>
          <w:p w14:paraId="461C7805">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二、评审打分资料：符合评审打分要求的信用等级证明材料。</w:t>
            </w:r>
          </w:p>
          <w:p w14:paraId="169C2559">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以上一、二条涉及证书均应在有效期内（已在有效期外尚在办理延期过程中的视为无效；注册建造师证书按实质</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性响应招标文件资料第7条处理）</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。资料应在投标文件中附复制件，并加盖投标人公章。</w:t>
            </w:r>
          </w:p>
          <w:p w14:paraId="3FFCF2F8">
            <w:pPr>
              <w:widowControl/>
              <w:kinsoku/>
              <w:adjustRightInd/>
              <w:snapToGrid/>
              <w:spacing w:beforeLines="-2147483648" w:afterLines="-2147483648" w:line="240" w:lineRule="auto"/>
              <w:ind w:left="0" w:right="0" w:firstLine="420" w:firstLineChars="0"/>
              <w:jc w:val="left"/>
              <w:textAlignment w:val="auto"/>
              <w:rPr>
                <w:rFonts w:ascii="宋体" w:hAnsi="Times New Roman" w:eastAsia="宋体" w:cs="Times New Roman"/>
                <w:snapToGrid w:val="0"/>
                <w:color w:val="auto"/>
                <w:sz w:val="21"/>
                <w:szCs w:val="21"/>
                <w:highlight w:val="none"/>
                <w:lang w:val="en-US" w:eastAsia="zh-CN" w:bidi="ar-SA"/>
              </w:rPr>
            </w:pPr>
            <w:r>
              <w:rPr>
                <w:rFonts w:hint="eastAsia" w:ascii="宋体" w:hAnsi="Times New Roman" w:cs="Times New Roman"/>
                <w:color w:val="auto"/>
                <w:sz w:val="21"/>
                <w:szCs w:val="21"/>
                <w:highlight w:val="none"/>
                <w:lang w:eastAsia="zh-CN"/>
              </w:rPr>
              <w:t>如评标委员会要求核查原件时，提供的资料不得超过投标文件的范围或者改变投标文件实质性内容，具体要求如下：</w:t>
            </w:r>
          </w:p>
        </w:tc>
      </w:tr>
      <w:tr w14:paraId="686A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vMerge w:val="continue"/>
            <w:tcBorders>
              <w:tl2br w:val="nil"/>
              <w:tr2bl w:val="nil"/>
            </w:tcBorders>
            <w:vAlign w:val="center"/>
          </w:tcPr>
          <w:p w14:paraId="0ED3130D">
            <w:pPr>
              <w:widowControl w:val="0"/>
              <w:kinsoku/>
              <w:adjustRightInd w:val="0"/>
              <w:snapToGrid w:val="0"/>
              <w:spacing w:beforeLines="0" w:afterLines="0" w:line="0" w:lineRule="atLeast"/>
              <w:ind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p>
        </w:tc>
        <w:tc>
          <w:tcPr>
            <w:tcW w:w="993" w:type="pct"/>
            <w:vMerge w:val="continue"/>
            <w:tcBorders>
              <w:tl2br w:val="nil"/>
              <w:tr2bl w:val="nil"/>
            </w:tcBorders>
            <w:vAlign w:val="center"/>
          </w:tcPr>
          <w:p w14:paraId="2BA34ACC">
            <w:pPr>
              <w:widowControl/>
              <w:kinsoku/>
              <w:adjustRightInd w:val="0"/>
              <w:snapToGrid w:val="0"/>
              <w:spacing w:beforeLines="0" w:afterLines="0" w:line="0" w:lineRule="atLeast"/>
              <w:ind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p>
        </w:tc>
        <w:tc>
          <w:tcPr>
            <w:tcW w:w="3439" w:type="pct"/>
            <w:tcBorders>
              <w:tl2br w:val="nil"/>
              <w:tr2bl w:val="nil"/>
            </w:tcBorders>
            <w:vAlign w:val="center"/>
          </w:tcPr>
          <w:p w14:paraId="154E8587">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1）企业营业执照、企业资质证书、安全生产许可证、各类人员证书等已在有关行政主管部门（包括浙江省水利厅</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浙江省水利建设市场信息</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公示）或有电子件的，投标人必须在评标委员会规定的时间内提供网页截图或电子件。（不再要求提交原件）</w:t>
            </w:r>
          </w:p>
          <w:p w14:paraId="03A93852">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2）其他未在有关行政主管部门（包括浙江省水利厅</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浙江省水利建设市场信息</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公示）的材料，投标人必须在评标委员会规定的时间内送达。</w:t>
            </w:r>
          </w:p>
          <w:p w14:paraId="7D129D18">
            <w:pPr>
              <w:widowControl/>
              <w:kinsoku/>
              <w:adjustRightInd w:val="0"/>
              <w:snapToGrid w:val="0"/>
              <w:spacing w:beforeLines="0" w:afterLines="0" w:line="0" w:lineRule="atLeast"/>
              <w:ind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若投标文件中未附上述资料或未能在规定的时间内提供截图（或电子件）或将原件送达的，属招标文件实质性要求响应资料的，评标委员会将按相关证明资料缺少或无效处理；属打分评审资料的，按相应评分内容不得分处理。</w:t>
            </w:r>
          </w:p>
        </w:tc>
      </w:tr>
      <w:tr w14:paraId="2403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677222D2">
            <w:pPr>
              <w:widowControl w:val="0"/>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en-US" w:bidi="ar-SA"/>
              </w:rPr>
              <w:t>10.4</w:t>
            </w:r>
          </w:p>
        </w:tc>
        <w:tc>
          <w:tcPr>
            <w:tcW w:w="993" w:type="pct"/>
            <w:tcBorders>
              <w:tl2br w:val="nil"/>
              <w:tr2bl w:val="nil"/>
            </w:tcBorders>
            <w:vAlign w:val="center"/>
          </w:tcPr>
          <w:p w14:paraId="4C56508C">
            <w:pPr>
              <w:widowControl/>
              <w:kinsoku/>
              <w:adjustRightInd w:val="0"/>
              <w:snapToGrid w:val="0"/>
              <w:spacing w:beforeLines="0" w:afterLines="0" w:line="0" w:lineRule="atLeast"/>
              <w:ind w:right="0" w:firstLine="0" w:firstLineChars="0"/>
              <w:jc w:val="center"/>
              <w:textAlignment w:val="baseline"/>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中标后须提交的投标文件副本</w:t>
            </w:r>
          </w:p>
          <w:p w14:paraId="7348597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份数</w:t>
            </w:r>
          </w:p>
        </w:tc>
        <w:tc>
          <w:tcPr>
            <w:tcW w:w="3439" w:type="pct"/>
            <w:tcBorders>
              <w:tl2br w:val="nil"/>
              <w:tr2bl w:val="nil"/>
            </w:tcBorders>
            <w:vAlign w:val="center"/>
          </w:tcPr>
          <w:p w14:paraId="1C6E5E7D">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u w:val="single"/>
                <w:lang w:val="en-US" w:eastAsia="zh-CN" w:bidi="ar-SA"/>
              </w:rPr>
              <w:t>6</w:t>
            </w:r>
            <w:r>
              <w:rPr>
                <w:rFonts w:hint="eastAsia" w:ascii="宋体" w:hAnsi="Times New Roman" w:eastAsia="宋体" w:cs="Times New Roman"/>
                <w:snapToGrid w:val="0"/>
                <w:color w:val="auto"/>
                <w:sz w:val="21"/>
                <w:szCs w:val="21"/>
                <w:highlight w:val="none"/>
                <w:lang w:val="en-US" w:eastAsia="en-US" w:bidi="ar-SA"/>
              </w:rPr>
              <w:t>份。</w:t>
            </w:r>
          </w:p>
        </w:tc>
      </w:tr>
      <w:tr w14:paraId="2D59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3E5E105A">
            <w:pPr>
              <w:widowControl w:val="0"/>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en-US" w:bidi="ar-SA"/>
              </w:rPr>
              <w:t>10.5</w:t>
            </w:r>
          </w:p>
        </w:tc>
        <w:tc>
          <w:tcPr>
            <w:tcW w:w="993" w:type="pct"/>
            <w:tcBorders>
              <w:tl2br w:val="nil"/>
              <w:tr2bl w:val="nil"/>
            </w:tcBorders>
            <w:vAlign w:val="center"/>
          </w:tcPr>
          <w:p w14:paraId="56AAE586">
            <w:pPr>
              <w:widowControl/>
              <w:kinsoku/>
              <w:adjustRightInd w:val="0"/>
              <w:snapToGrid w:val="0"/>
              <w:spacing w:beforeLines="0" w:afterLines="0" w:line="0" w:lineRule="atLeast"/>
              <w:ind w:right="0" w:firstLine="0" w:firstLineChars="0"/>
              <w:jc w:val="center"/>
              <w:textAlignment w:val="baseline"/>
              <w:rPr>
                <w:rFonts w:hint="eastAsia"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招标人最高投标限价或其计算</w:t>
            </w:r>
          </w:p>
          <w:p w14:paraId="2D64919F">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方法</w:t>
            </w:r>
          </w:p>
        </w:tc>
        <w:tc>
          <w:tcPr>
            <w:tcW w:w="3439" w:type="pct"/>
            <w:tcBorders>
              <w:tl2br w:val="nil"/>
              <w:tr2bl w:val="nil"/>
            </w:tcBorders>
            <w:vAlign w:val="center"/>
          </w:tcPr>
          <w:p w14:paraId="26877160">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最高投标限价人民币（大写）</w:t>
            </w:r>
            <w:r>
              <w:rPr>
                <w:rFonts w:hint="eastAsia" w:hAnsi="Times New Roman"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元（￥</w:t>
            </w:r>
            <w:r>
              <w:rPr>
                <w:rFonts w:hint="eastAsia" w:hAnsi="Times New Roman"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w:t>
            </w:r>
          </w:p>
          <w:p w14:paraId="5ABD2BD5">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hAnsi="Times New Roman"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 xml:space="preserve"> 投标截止时间前</w:t>
            </w:r>
            <w:r>
              <w:rPr>
                <w:rFonts w:ascii="宋体" w:hAnsi="Times New Roman" w:eastAsia="宋体" w:cs="Times New Roman"/>
                <w:snapToGrid w:val="0"/>
                <w:color w:val="auto"/>
                <w:sz w:val="21"/>
                <w:szCs w:val="21"/>
                <w:highlight w:val="none"/>
                <w:u w:val="single"/>
                <w:lang w:val="en-US" w:eastAsia="zh-CN" w:bidi="ar-SA"/>
              </w:rPr>
              <w:t>15</w:t>
            </w:r>
            <w:r>
              <w:rPr>
                <w:rFonts w:hint="eastAsia" w:ascii="宋体" w:hAnsi="Times New Roman" w:eastAsia="宋体" w:cs="Times New Roman"/>
                <w:snapToGrid w:val="0"/>
                <w:color w:val="auto"/>
                <w:sz w:val="21"/>
                <w:szCs w:val="21"/>
                <w:highlight w:val="none"/>
                <w:lang w:val="en-US" w:eastAsia="zh-CN" w:bidi="ar-SA"/>
              </w:rPr>
              <w:t>日之前，以补充文件形式告知所有投标人最高投标限价。</w:t>
            </w:r>
          </w:p>
          <w:p w14:paraId="1F8853F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hAnsi="Times New Roman" w:cs="Times New Roman"/>
                <w:snapToGrid w:val="0"/>
                <w:color w:val="auto"/>
                <w:sz w:val="21"/>
                <w:szCs w:val="21"/>
                <w:highlight w:val="none"/>
                <w:lang w:val="en-US" w:eastAsia="zh-CN" w:bidi="ar-SA"/>
              </w:rPr>
              <w:t>☑</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招标预算人民币（大写）</w:t>
            </w:r>
            <w:r>
              <w:rPr>
                <w:rFonts w:hint="eastAsia" w:hAnsi="Times New Roman"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：（￥）预留金人民币（大写）：</w:t>
            </w:r>
            <w:r>
              <w:rPr>
                <w:rFonts w:hint="eastAsia" w:hAnsi="Times New Roman"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 暂估价人民币（大写）：（￥）</w:t>
            </w:r>
            <w:r>
              <w:rPr>
                <w:rFonts w:hint="eastAsia" w:hAnsi="Times New Roman"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 xml:space="preserve"> 。最高投标限价的计算方法：最高投标限价=（预算价-预留金-暂估价） </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（1-下浮值）</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+预留金+暂估价，下浮值由招标人在开标时从</w:t>
            </w:r>
            <w:r>
              <w:rPr>
                <w:rFonts w:hint="eastAsia" w:ascii="宋体" w:hAnsi="Times New Roman" w:eastAsia="宋体" w:cs="Times New Roman"/>
                <w:snapToGrid w:val="0"/>
                <w:color w:val="auto"/>
                <w:sz w:val="21"/>
                <w:szCs w:val="21"/>
                <w:highlight w:val="none"/>
                <w:u w:val="single"/>
                <w:lang w:val="en-US" w:eastAsia="zh-CN" w:bidi="ar-SA"/>
              </w:rPr>
              <w:t xml:space="preserve">  </w:t>
            </w:r>
            <w:r>
              <w:rPr>
                <w:rFonts w:hint="eastAsia" w:hAnsi="Times New Roman" w:cs="Times New Roman"/>
                <w:color w:val="auto"/>
                <w:sz w:val="21"/>
                <w:highlight w:val="none"/>
                <w:u w:val="single"/>
                <w:lang w:eastAsia="zh-CN"/>
              </w:rPr>
              <w:t>6%、6.5%、7%、7.5%、8%</w:t>
            </w:r>
            <w:r>
              <w:rPr>
                <w:rFonts w:hint="eastAsia" w:ascii="宋体" w:hAnsi="Times New Roman" w:eastAsia="宋体" w:cs="Times New Roman"/>
                <w:snapToGrid w:val="0"/>
                <w:color w:val="auto"/>
                <w:sz w:val="21"/>
                <w:szCs w:val="21"/>
                <w:highlight w:val="none"/>
                <w:u w:val="singl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等5个数组成的等差数列中随机</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抽取其中一值作为下浮值的方式确定，投标报价不得超过最高限价。（招标人在编制招标文件时从0.5%、1%、1.5%、2%、2.5%、3%、3.5%、4%、4.5%、5%、5.5%、6%、6.5%、7%、7.5%、8%等16个数中确定一组其中5个数组成的等差</w:t>
            </w:r>
            <w:r>
              <w:rPr>
                <w:rFonts w:ascii="宋体" w:hAnsi="Times New Roman" w:eastAsia="宋体" w:cs="Times New Roman"/>
                <w:snapToGrid w:val="0"/>
                <w:color w:val="auto"/>
                <w:sz w:val="21"/>
                <w:szCs w:val="21"/>
                <w:highlight w:val="none"/>
                <w:lang w:val="en-US" w:eastAsia="zh-CN" w:bidi="ar-SA"/>
              </w:rPr>
              <w:t xml:space="preserve"> </w:t>
            </w:r>
            <w:r>
              <w:rPr>
                <w:rFonts w:hint="eastAsia" w:ascii="宋体" w:hAnsi="Times New Roman" w:eastAsia="宋体" w:cs="Times New Roman"/>
                <w:snapToGrid w:val="0"/>
                <w:color w:val="auto"/>
                <w:sz w:val="21"/>
                <w:szCs w:val="21"/>
                <w:highlight w:val="none"/>
                <w:lang w:val="en-US" w:eastAsia="zh-CN" w:bidi="ar-SA"/>
              </w:rPr>
              <w:t>数列）。</w:t>
            </w:r>
          </w:p>
          <w:p w14:paraId="5329636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招标预算指根据水利部</w:t>
            </w:r>
            <w:r>
              <w:rPr>
                <w:rFonts w:hint="eastAsia" w:ascii="宋体" w:hAnsi="Times New Roman" w:eastAsia="宋体" w:cs="Times New Roman"/>
                <w:strike/>
                <w:snapToGrid w:val="0"/>
                <w:color w:val="auto"/>
                <w:sz w:val="21"/>
                <w:szCs w:val="21"/>
                <w:highlight w:val="none"/>
                <w:lang w:val="en-US" w:eastAsia="zh-CN" w:bidi="ar-SA"/>
              </w:rPr>
              <w:t>浙江省</w:t>
            </w:r>
            <w:r>
              <w:rPr>
                <w:rFonts w:hint="eastAsia" w:ascii="宋体" w:hAnsi="Times New Roman" w:eastAsia="宋体" w:cs="Times New Roman"/>
                <w:snapToGrid w:val="0"/>
                <w:color w:val="auto"/>
                <w:sz w:val="21"/>
                <w:szCs w:val="21"/>
                <w:highlight w:val="none"/>
                <w:lang w:val="en-US" w:eastAsia="zh-CN" w:bidi="ar-SA"/>
              </w:rPr>
              <w:t>现行水利工程造价计价依据和有关规定，以及拟定的招标文件，结合工程具体情况、市场价格进行编制的造价文件。</w:t>
            </w:r>
          </w:p>
        </w:tc>
      </w:tr>
      <w:tr w14:paraId="7E73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5DC1F844">
            <w:pPr>
              <w:widowControl w:val="0"/>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en-US" w:bidi="ar-SA"/>
              </w:rPr>
              <w:t>10.6</w:t>
            </w:r>
          </w:p>
        </w:tc>
        <w:tc>
          <w:tcPr>
            <w:tcW w:w="993" w:type="pct"/>
            <w:tcBorders>
              <w:tl2br w:val="nil"/>
              <w:tr2bl w:val="nil"/>
            </w:tcBorders>
            <w:vAlign w:val="center"/>
          </w:tcPr>
          <w:p w14:paraId="3C5474D2">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在建合同工程的认定及变更证明</w:t>
            </w:r>
          </w:p>
        </w:tc>
        <w:tc>
          <w:tcPr>
            <w:tcW w:w="3439" w:type="pct"/>
            <w:tcBorders>
              <w:tl2br w:val="nil"/>
              <w:tr2bl w:val="nil"/>
            </w:tcBorders>
            <w:vAlign w:val="center"/>
          </w:tcPr>
          <w:p w14:paraId="68E1773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1．对项目负责人</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有在建合同工程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的认定标准：</w:t>
            </w:r>
          </w:p>
          <w:p w14:paraId="0632DEF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拟派项目负责人在投标截止时间尚有在其他在建合同工程中担任项目负责人</w:t>
            </w:r>
            <w:r>
              <w:rPr>
                <w:rFonts w:hint="eastAsia" w:hAnsi="Times New Roman" w:cs="Times New Roman"/>
                <w:snapToGrid w:val="0"/>
                <w:color w:val="auto"/>
                <w:sz w:val="21"/>
                <w:szCs w:val="21"/>
                <w:highlight w:val="none"/>
                <w:lang w:val="en-US" w:eastAsia="zh-CN" w:bidi="ar-SA"/>
              </w:rPr>
              <w:t>或技术负责人</w:t>
            </w:r>
            <w:r>
              <w:rPr>
                <w:rFonts w:hint="eastAsia" w:ascii="宋体" w:hAnsi="Times New Roman" w:eastAsia="宋体" w:cs="Times New Roman"/>
                <w:snapToGrid w:val="0"/>
                <w:color w:val="auto"/>
                <w:sz w:val="21"/>
                <w:szCs w:val="21"/>
                <w:highlight w:val="none"/>
                <w:lang w:val="en-US" w:eastAsia="zh-CN" w:bidi="ar-SA"/>
              </w:rPr>
              <w:t>（包括工程总承包项目中的施工负责人）的情形为</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有在建合同工程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w:t>
            </w:r>
          </w:p>
          <w:p w14:paraId="2A7991CE">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在建合同工程项目，包括在中华人民共和国境内所有建设工程，不受地域、行业和投资性质的限制。</w:t>
            </w:r>
          </w:p>
          <w:p w14:paraId="6B7B7A6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在建合同工程的时间界定：中标通知书发出之日（不通过招标方式的，开始时间为合同签订之日），结束时间为该合同工程通过验收或合同解除之日。</w:t>
            </w:r>
          </w:p>
          <w:p w14:paraId="6BF9EA2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以下情形视为</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有在建合同工程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w:t>
            </w:r>
          </w:p>
          <w:p w14:paraId="54742787">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（1）合同协议书尚未签订的，中标通知书中载明的项目负责人（包括工程总承包项目中的施工负责人）为准；</w:t>
            </w:r>
          </w:p>
          <w:p w14:paraId="54335BA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（2）合同协议书已经签订，合同协议书中明确的项目负责人（包括工程总承包项目中的施工负责人）为准；</w:t>
            </w:r>
          </w:p>
          <w:p w14:paraId="2C158EB3">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（3）项目负责人发生更换的，投标人在投标文件中附有下列第2项证明材料的，以现任项目负责人视为有</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在建合同工程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；未附证明材料的，则仍然以更换前的项目负责人视为有</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在建合同工程</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w:t>
            </w:r>
          </w:p>
          <w:p w14:paraId="3453A9F2">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2．在建项目的项目负责人办理更换后，投标时需提供的资料：</w:t>
            </w:r>
          </w:p>
          <w:p w14:paraId="46534638">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（1）项目业主同意更换的证明；</w:t>
            </w:r>
          </w:p>
          <w:p w14:paraId="69E51081">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u w:val="single"/>
                <w:lang w:val="en-US" w:eastAsia="zh-CN" w:bidi="ar-SA"/>
              </w:rPr>
            </w:pPr>
            <w:r>
              <w:rPr>
                <w:rFonts w:hint="eastAsia" w:ascii="宋体" w:hAnsi="Times New Roman" w:eastAsia="宋体" w:cs="Times New Roman"/>
                <w:snapToGrid w:val="0"/>
                <w:color w:val="auto"/>
                <w:sz w:val="21"/>
                <w:szCs w:val="21"/>
                <w:highlight w:val="none"/>
                <w:lang w:val="en-US" w:eastAsia="zh-CN" w:bidi="ar-SA"/>
              </w:rPr>
              <w:t>（2）原项目负责人有备案主管部门的，应提供备案主管部门同意更换的证明或网上变更信息复制件。</w:t>
            </w:r>
          </w:p>
        </w:tc>
      </w:tr>
      <w:tr w14:paraId="7873B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23DF01B">
            <w:pPr>
              <w:kinsoku/>
              <w:spacing w:beforeLines="0" w:afterLines="0" w:line="0" w:lineRule="atLeast"/>
              <w:ind w:right="0" w:firstLine="0" w:firstLineChars="0"/>
              <w:jc w:val="center"/>
              <w:rPr>
                <w:rFonts w:ascii="宋体" w:hAnsi="Times New Roman" w:cs="Times New Roman"/>
                <w:color w:val="auto"/>
                <w:sz w:val="21"/>
                <w:highlight w:val="none"/>
                <w:lang w:eastAsia="zh-CN"/>
              </w:rPr>
            </w:pPr>
            <w:r>
              <w:rPr>
                <w:rFonts w:ascii="宋体" w:hAnsi="Times New Roman" w:cs="Times New Roman"/>
                <w:color w:val="auto"/>
                <w:sz w:val="21"/>
                <w:highlight w:val="none"/>
              </w:rPr>
              <w:t>10.7</w:t>
            </w:r>
          </w:p>
        </w:tc>
        <w:tc>
          <w:tcPr>
            <w:tcW w:w="993" w:type="pct"/>
            <w:tcBorders>
              <w:tl2br w:val="nil"/>
              <w:tr2bl w:val="nil"/>
            </w:tcBorders>
            <w:vAlign w:val="center"/>
          </w:tcPr>
          <w:p w14:paraId="4D4DF27E">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特别说明</w:t>
            </w:r>
          </w:p>
        </w:tc>
        <w:tc>
          <w:tcPr>
            <w:tcW w:w="3439" w:type="pct"/>
            <w:tcBorders>
              <w:tl2br w:val="nil"/>
              <w:tr2bl w:val="nil"/>
            </w:tcBorders>
            <w:vAlign w:val="center"/>
          </w:tcPr>
          <w:p w14:paraId="31367F37">
            <w:pPr>
              <w:widowControl/>
              <w:numPr>
                <w:ilvl w:val="0"/>
                <w:numId w:val="1"/>
              </w:numPr>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投标人须知前附表</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是对</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投标人须知</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正文中未尽事宜进一步明确及重点内容的概括，招标人应结合招标项目具体特点和实际需要编制和填写，但不应与</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投标人须知</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正文内容相抵触，若有抵触以</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投标人须知前附表</w:t>
            </w:r>
            <w:r>
              <w:rPr>
                <w:rFonts w:ascii="宋体" w:hAnsi="Times New Roman" w:eastAsia="宋体" w:cs="Times New Roman"/>
                <w:snapToGrid w:val="0"/>
                <w:color w:val="auto"/>
                <w:sz w:val="21"/>
                <w:szCs w:val="21"/>
                <w:highlight w:val="none"/>
                <w:lang w:val="en-US" w:eastAsia="zh-CN" w:bidi="ar-SA"/>
              </w:rPr>
              <w:t>”</w:t>
            </w:r>
            <w:r>
              <w:rPr>
                <w:rFonts w:hint="eastAsia" w:ascii="宋体" w:hAnsi="Times New Roman" w:eastAsia="宋体" w:cs="Times New Roman"/>
                <w:snapToGrid w:val="0"/>
                <w:color w:val="auto"/>
                <w:sz w:val="21"/>
                <w:szCs w:val="21"/>
                <w:highlight w:val="none"/>
                <w:lang w:val="en-US" w:eastAsia="zh-CN" w:bidi="ar-SA"/>
              </w:rPr>
              <w:t>载明的内容为准。</w:t>
            </w:r>
          </w:p>
          <w:p w14:paraId="434A2245">
            <w:pPr>
              <w:widowControl/>
              <w:numPr>
                <w:ilvl w:val="0"/>
                <w:numId w:val="1"/>
              </w:numPr>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投标人投标函与投标函标函附录不一致的，以投标人投为准。</w:t>
            </w:r>
          </w:p>
        </w:tc>
      </w:tr>
      <w:tr w14:paraId="5E47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67" w:type="pct"/>
            <w:tcBorders>
              <w:tl2br w:val="nil"/>
              <w:tr2bl w:val="nil"/>
            </w:tcBorders>
            <w:vAlign w:val="center"/>
          </w:tcPr>
          <w:p w14:paraId="0AE226F8">
            <w:pPr>
              <w:widowControl w:val="0"/>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10.8</w:t>
            </w:r>
          </w:p>
        </w:tc>
        <w:tc>
          <w:tcPr>
            <w:tcW w:w="993" w:type="pct"/>
            <w:tcBorders>
              <w:tl2br w:val="nil"/>
              <w:tr2bl w:val="nil"/>
            </w:tcBorders>
            <w:vAlign w:val="center"/>
          </w:tcPr>
          <w:p w14:paraId="1C3E9737">
            <w:pPr>
              <w:widowControl/>
              <w:kinsoku/>
              <w:adjustRightInd w:val="0"/>
              <w:snapToGrid w:val="0"/>
              <w:spacing w:beforeLines="0" w:afterLines="0" w:line="0" w:lineRule="atLeast"/>
              <w:ind w:right="0" w:firstLine="0" w:firstLineChars="0"/>
              <w:jc w:val="center"/>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en-US" w:bidi="ar-SA"/>
              </w:rPr>
              <w:t>需要补充的内容</w:t>
            </w:r>
          </w:p>
        </w:tc>
        <w:tc>
          <w:tcPr>
            <w:tcW w:w="3439" w:type="pct"/>
            <w:tcBorders>
              <w:tl2br w:val="nil"/>
              <w:tr2bl w:val="nil"/>
            </w:tcBorders>
            <w:vAlign w:val="center"/>
          </w:tcPr>
          <w:p w14:paraId="71B7EE8D">
            <w:pPr>
              <w:widowControl/>
              <w:numPr>
                <w:ilvl w:val="0"/>
                <w:numId w:val="0"/>
              </w:numPr>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1、</w:t>
            </w:r>
            <w:r>
              <w:rPr>
                <w:rFonts w:hint="eastAsia" w:ascii="宋体" w:hAnsi="Times New Roman" w:eastAsia="宋体" w:cs="Times New Roman"/>
                <w:snapToGrid w:val="0"/>
                <w:color w:val="auto"/>
                <w:sz w:val="21"/>
                <w:szCs w:val="21"/>
                <w:highlight w:val="none"/>
                <w:lang w:val="en-US" w:eastAsia="zh-CN" w:bidi="ar-SA"/>
              </w:rPr>
              <w:t xml:space="preserve">本招标文件中的类似项目业绩证明材料中的浙江省水利厅“透明工程”应用上公示网页打印件，网页打印件要求：带水印的网页打印件；操作方式点击该条业绩证明数据，进入业绩详情页面进行打印，如果打印预览未显示水印，请在打印设置中勾选“背景图形”选项。全文引用本要求。 </w:t>
            </w:r>
          </w:p>
          <w:p w14:paraId="63727A2B">
            <w:pPr>
              <w:widowControl/>
              <w:numPr>
                <w:ilvl w:val="0"/>
                <w:numId w:val="0"/>
              </w:numPr>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ascii="宋体" w:hAnsi="Times New Roman" w:eastAsia="宋体" w:cs="Times New Roman"/>
                <w:snapToGrid w:val="0"/>
                <w:color w:val="auto"/>
                <w:sz w:val="21"/>
                <w:szCs w:val="21"/>
                <w:highlight w:val="none"/>
                <w:lang w:val="en-US" w:eastAsia="zh-CN" w:bidi="ar-SA"/>
              </w:rPr>
              <w:t>2、</w:t>
            </w:r>
            <w:r>
              <w:rPr>
                <w:rFonts w:hint="eastAsia" w:ascii="宋体" w:hAnsi="Times New Roman" w:eastAsia="宋体" w:cs="Times New Roman"/>
                <w:snapToGrid w:val="0"/>
                <w:color w:val="auto"/>
                <w:sz w:val="21"/>
                <w:szCs w:val="21"/>
                <w:highlight w:val="none"/>
                <w:lang w:val="en-US" w:eastAsia="zh-CN" w:bidi="ar-SA"/>
              </w:rPr>
              <w:t>投标人提供的资格条件中的类似项目业绩证明材料中的浙江省水利厅“透明工程”应用上公示网页打印件无水印的视为证明材料有缺陷，将否决其投标。</w:t>
            </w:r>
          </w:p>
          <w:p w14:paraId="552C0829">
            <w:pPr>
              <w:widowControl/>
              <w:kinsoku/>
              <w:adjustRightInd w:val="0"/>
              <w:snapToGrid w:val="0"/>
              <w:spacing w:beforeLines="0" w:afterLines="0" w:line="0" w:lineRule="atLeast"/>
              <w:ind w:left="0" w:right="0" w:firstLine="420" w:firstLineChars="200"/>
              <w:jc w:val="left"/>
              <w:textAlignment w:val="baseline"/>
              <w:rPr>
                <w:rFonts w:ascii="宋体" w:hAnsi="Times New Roman" w:eastAsia="宋体" w:cs="Times New Roman"/>
                <w:snapToGrid w:val="0"/>
                <w:color w:val="auto"/>
                <w:sz w:val="21"/>
                <w:szCs w:val="21"/>
                <w:highlight w:val="none"/>
                <w:lang w:val="en-US" w:eastAsia="zh-CN" w:bidi="ar-SA"/>
              </w:rPr>
            </w:pPr>
            <w:r>
              <w:rPr>
                <w:rFonts w:hint="eastAsia" w:ascii="宋体" w:hAnsi="Times New Roman" w:eastAsia="宋体" w:cs="Times New Roman"/>
                <w:snapToGrid w:val="0"/>
                <w:color w:val="auto"/>
                <w:sz w:val="21"/>
                <w:szCs w:val="21"/>
                <w:highlight w:val="none"/>
                <w:lang w:val="en-US" w:eastAsia="zh-CN" w:bidi="ar-SA"/>
              </w:rPr>
              <w:t>3、有无列入失信被执行人名单情况、有无列入招标投标失信黑名单、有无列入全国水利建设市场信用平台“黑名单”情况、项目负责人有无在建情况及行贿犯罪记录，由投标人根据招标文件规定的格式作出相应的承诺即可。</w:t>
            </w:r>
          </w:p>
        </w:tc>
      </w:tr>
    </w:tbl>
    <w:p w14:paraId="09C126D0">
      <w:pPr>
        <w:kinsoku/>
        <w:spacing w:beforeLines="0" w:afterLines="0"/>
        <w:ind w:firstLine="420"/>
        <w:jc w:val="left"/>
        <w:rPr>
          <w:color w:val="auto"/>
          <w:highlight w:val="none"/>
          <w:lang w:eastAsia="zh-CN"/>
        </w:rPr>
      </w:pPr>
      <w:r>
        <w:rPr>
          <w:color w:val="auto"/>
          <w:highlight w:val="none"/>
          <w:lang w:eastAsia="zh-CN"/>
        </w:rPr>
        <w:br w:type="page"/>
      </w:r>
    </w:p>
    <w:p w14:paraId="742FE549">
      <w:pPr>
        <w:pStyle w:val="3"/>
        <w:kinsoku/>
        <w:wordWrap/>
        <w:spacing w:before="0" w:beforeLines="0" w:afterLines="0"/>
        <w:ind w:left="0"/>
        <w:jc w:val="both"/>
        <w:outlineLvl w:val="1"/>
        <w:rPr>
          <w:rFonts w:cs="宋体"/>
          <w:b/>
          <w:bCs/>
          <w:color w:val="auto"/>
          <w:sz w:val="30"/>
          <w:szCs w:val="30"/>
          <w:highlight w:val="none"/>
          <w:lang w:eastAsia="zh-CN"/>
        </w:rPr>
      </w:pPr>
      <w:bookmarkStart w:id="96" w:name="_Toc7260"/>
      <w:bookmarkStart w:id="97" w:name="_Toc10388"/>
      <w:bookmarkStart w:id="98" w:name="_Toc1409"/>
      <w:bookmarkStart w:id="99" w:name="_Toc31998"/>
      <w:bookmarkStart w:id="100" w:name="_Toc8451"/>
      <w:bookmarkStart w:id="101" w:name="_Toc808"/>
      <w:bookmarkStart w:id="102" w:name="_Toc2175"/>
      <w:bookmarkStart w:id="103" w:name="_Toc30856"/>
      <w:bookmarkStart w:id="104" w:name="_Toc13021"/>
      <w:bookmarkStart w:id="105" w:name="_Toc3013"/>
      <w:bookmarkStart w:id="106" w:name="_Toc9789"/>
      <w:bookmarkStart w:id="107" w:name="_Toc22355"/>
      <w:bookmarkStart w:id="108" w:name="_Toc17968"/>
      <w:bookmarkStart w:id="109" w:name="_Toc26486"/>
      <w:bookmarkStart w:id="110" w:name="_Toc24406"/>
      <w:r>
        <w:rPr>
          <w:rStyle w:val="60"/>
          <w:rFonts w:hint="eastAsia" w:ascii="宋体" w:hAnsi="宋体" w:eastAsia="宋体" w:cs="宋体"/>
          <w:b/>
          <w:bCs/>
          <w:color w:val="auto"/>
          <w:spacing w:val="-6"/>
          <w:sz w:val="30"/>
          <w:szCs w:val="30"/>
          <w:highlight w:val="none"/>
        </w:rPr>
        <w:t>1</w:t>
      </w:r>
      <w:r>
        <w:rPr>
          <w:rStyle w:val="60"/>
          <w:rFonts w:hint="eastAsia" w:cs="宋体"/>
          <w:b/>
          <w:bCs/>
          <w:color w:val="auto"/>
          <w:szCs w:val="30"/>
          <w:highlight w:val="none"/>
        </w:rPr>
        <w:t>　</w:t>
      </w:r>
      <w:r>
        <w:rPr>
          <w:rStyle w:val="60"/>
          <w:rFonts w:cs="宋体"/>
          <w:b/>
          <w:bCs/>
          <w:color w:val="auto"/>
          <w:spacing w:val="-6"/>
          <w:sz w:val="30"/>
          <w:szCs w:val="30"/>
          <w:highlight w:val="none"/>
        </w:rPr>
        <w:t>总则</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5AD50E9">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11" w:name="_Toc28282"/>
      <w:bookmarkStart w:id="112" w:name="_Toc20171"/>
      <w:bookmarkStart w:id="113" w:name="_Toc2983"/>
      <w:r>
        <w:rPr>
          <w:rFonts w:hint="eastAsia" w:ascii="宋体" w:hAnsi="宋体" w:eastAsia="宋体" w:cs="宋体"/>
          <w:b/>
          <w:bCs/>
          <w:color w:val="auto"/>
          <w:spacing w:val="-5"/>
          <w:szCs w:val="24"/>
          <w:highlight w:val="none"/>
        </w:rPr>
        <w:t>1.1</w:t>
      </w:r>
      <w:r>
        <w:rPr>
          <w:rFonts w:hint="eastAsia" w:cs="宋体"/>
          <w:b/>
          <w:bCs/>
          <w:color w:val="auto"/>
          <w:spacing w:val="-5"/>
          <w:szCs w:val="24"/>
          <w:highlight w:val="none"/>
          <w:lang w:eastAsia="zh-CN"/>
        </w:rPr>
        <w:t>　</w:t>
      </w:r>
      <w:r>
        <w:rPr>
          <w:rFonts w:hint="eastAsia" w:ascii="宋体" w:hAnsi="宋体" w:eastAsia="宋体" w:cs="宋体"/>
          <w:b/>
          <w:bCs/>
          <w:color w:val="auto"/>
          <w:spacing w:val="-5"/>
          <w:szCs w:val="24"/>
          <w:highlight w:val="none"/>
        </w:rPr>
        <w:t>项目概况</w:t>
      </w:r>
      <w:bookmarkEnd w:id="111"/>
      <w:bookmarkEnd w:id="112"/>
      <w:bookmarkEnd w:id="113"/>
    </w:p>
    <w:p w14:paraId="57C48B59">
      <w:pPr>
        <w:kinsoku/>
        <w:spacing w:beforeLines="0" w:afterLines="0"/>
        <w:ind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1.1.1</w:t>
      </w:r>
      <w:r>
        <w:rPr>
          <w:rFonts w:hint="eastAsia" w:hAnsi="Times New Roman" w:cs="Times New Roman"/>
          <w:b/>
          <w:bCs/>
          <w:color w:val="auto"/>
          <w:spacing w:val="0"/>
          <w:highlight w:val="none"/>
          <w:lang w:eastAsia="zh-CN"/>
        </w:rPr>
        <w:t>　</w:t>
      </w:r>
      <w:r>
        <w:rPr>
          <w:rFonts w:cs="宋体"/>
          <w:color w:val="auto"/>
          <w:spacing w:val="0"/>
          <w:highlight w:val="none"/>
          <w:lang w:eastAsia="zh-CN"/>
        </w:rPr>
        <w:t>根据《中华人民共和国招标投标法》《中华人民共和国招标投标法实施条例》等有关法律、法规和规章的规定，本招标项目已具备招标条件，现对本标段施</w:t>
      </w:r>
      <w:r>
        <w:rPr>
          <w:rFonts w:cs="宋体"/>
          <w:color w:val="auto"/>
          <w:spacing w:val="0"/>
          <w:szCs w:val="21"/>
          <w:highlight w:val="none"/>
          <w:lang w:eastAsia="zh-CN"/>
        </w:rPr>
        <w:t>工进行招标。</w:t>
      </w:r>
    </w:p>
    <w:p w14:paraId="2CD2EA60">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1.1.2</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本招标项目招标人：见投标人须知前附表。</w:t>
      </w:r>
    </w:p>
    <w:p w14:paraId="3121C3BA">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1.1.3</w:t>
      </w:r>
      <w:r>
        <w:rPr>
          <w:rFonts w:hint="eastAsia" w:hAnsi="Times New Roman" w:cs="Times New Roman"/>
          <w:b/>
          <w:bCs/>
          <w:color w:val="auto"/>
          <w:spacing w:val="0"/>
          <w:highlight w:val="none"/>
          <w:lang w:eastAsia="zh-CN"/>
        </w:rPr>
        <w:t>　</w:t>
      </w:r>
      <w:r>
        <w:rPr>
          <w:rFonts w:cs="宋体"/>
          <w:color w:val="auto"/>
          <w:spacing w:val="0"/>
          <w:highlight w:val="none"/>
          <w:lang w:eastAsia="zh-CN"/>
        </w:rPr>
        <w:t>本标段招标代理机构：见投标人须知前附表。</w:t>
      </w:r>
    </w:p>
    <w:p w14:paraId="0D4A962C">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1.1.4</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本招标项目名称：见投标人须知前附表。</w:t>
      </w:r>
    </w:p>
    <w:p w14:paraId="3CDB6276">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1.1.5</w:t>
      </w:r>
      <w:r>
        <w:rPr>
          <w:rFonts w:hint="eastAsia" w:hAnsi="Times New Roman" w:cs="Times New Roman"/>
          <w:b/>
          <w:bCs/>
          <w:color w:val="auto"/>
          <w:spacing w:val="0"/>
          <w:highlight w:val="none"/>
          <w:lang w:eastAsia="zh-CN"/>
        </w:rPr>
        <w:t>　</w:t>
      </w:r>
      <w:r>
        <w:rPr>
          <w:rFonts w:cs="宋体"/>
          <w:color w:val="auto"/>
          <w:spacing w:val="0"/>
          <w:highlight w:val="none"/>
          <w:lang w:eastAsia="zh-CN"/>
        </w:rPr>
        <w:t>本标段建设地点：见投标人须知前附表。</w:t>
      </w:r>
    </w:p>
    <w:p w14:paraId="617EAC1C">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1.1.6</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本招标项目现场管理机构：见投标人须知前附表。</w:t>
      </w:r>
    </w:p>
    <w:p w14:paraId="20F88C97">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1.1.7</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本招标项目设计人：见投标人须知前附表。</w:t>
      </w:r>
    </w:p>
    <w:p w14:paraId="2C8AE8F2">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1.1.8</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本招标项目监理人：见投标人须知前附表。</w:t>
      </w:r>
    </w:p>
    <w:p w14:paraId="242D4F07">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1.1.9</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本招标项目代建机构：见投标人须知前附表。</w:t>
      </w:r>
    </w:p>
    <w:p w14:paraId="1C4C1A5B">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14" w:name="_Toc16717"/>
      <w:bookmarkStart w:id="115" w:name="_Toc20972"/>
      <w:bookmarkStart w:id="116" w:name="_Toc8741"/>
      <w:r>
        <w:rPr>
          <w:rFonts w:hint="eastAsia" w:ascii="宋体" w:hAnsi="宋体" w:eastAsia="宋体" w:cs="宋体"/>
          <w:b/>
          <w:bCs/>
          <w:color w:val="auto"/>
          <w:spacing w:val="-3"/>
          <w:szCs w:val="24"/>
          <w:highlight w:val="none"/>
        </w:rPr>
        <w:t>1.2</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资金来源和落实情况</w:t>
      </w:r>
      <w:bookmarkEnd w:id="114"/>
      <w:bookmarkEnd w:id="115"/>
      <w:bookmarkEnd w:id="116"/>
    </w:p>
    <w:p w14:paraId="1AE1574B">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1.2.1</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本招标项目的资金来源：见投标人须知前附表。</w:t>
      </w:r>
    </w:p>
    <w:p w14:paraId="4F13547E">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1.2.2</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本招标项目的出资比例：见投标人须知前附表。</w:t>
      </w:r>
    </w:p>
    <w:p w14:paraId="3205BE41">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1.2.3</w:t>
      </w:r>
      <w:r>
        <w:rPr>
          <w:rFonts w:hint="eastAsia" w:hAnsi="Times New Roman" w:cs="Times New Roman"/>
          <w:b/>
          <w:bCs/>
          <w:color w:val="auto"/>
          <w:spacing w:val="0"/>
          <w:highlight w:val="none"/>
          <w:lang w:eastAsia="zh-CN"/>
        </w:rPr>
        <w:t>　</w:t>
      </w:r>
      <w:r>
        <w:rPr>
          <w:rFonts w:cs="宋体"/>
          <w:color w:val="auto"/>
          <w:spacing w:val="0"/>
          <w:highlight w:val="none"/>
          <w:lang w:eastAsia="zh-CN"/>
        </w:rPr>
        <w:t>本招标项目的资金落实情况：见投标人须知前附表。</w:t>
      </w:r>
    </w:p>
    <w:p w14:paraId="10BC223A">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17" w:name="_Toc25279"/>
      <w:bookmarkStart w:id="118" w:name="_Toc16836"/>
      <w:bookmarkStart w:id="119" w:name="_Toc21877"/>
      <w:r>
        <w:rPr>
          <w:rFonts w:hint="eastAsia" w:ascii="宋体" w:hAnsi="宋体" w:eastAsia="宋体" w:cs="宋体"/>
          <w:b/>
          <w:bCs/>
          <w:color w:val="auto"/>
          <w:spacing w:val="-3"/>
          <w:szCs w:val="24"/>
          <w:highlight w:val="none"/>
        </w:rPr>
        <w:t>1.3</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招标范围、计划工期和质量要求</w:t>
      </w:r>
      <w:bookmarkEnd w:id="117"/>
      <w:bookmarkEnd w:id="118"/>
      <w:bookmarkEnd w:id="119"/>
    </w:p>
    <w:p w14:paraId="127349AD">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1.3.1</w:t>
      </w:r>
      <w:r>
        <w:rPr>
          <w:rFonts w:hint="eastAsia" w:hAnsi="Times New Roman" w:cs="Times New Roman"/>
          <w:b/>
          <w:bCs/>
          <w:color w:val="auto"/>
          <w:spacing w:val="0"/>
          <w:highlight w:val="none"/>
          <w:lang w:eastAsia="zh-CN"/>
        </w:rPr>
        <w:t>　</w:t>
      </w:r>
      <w:r>
        <w:rPr>
          <w:rFonts w:cs="宋体"/>
          <w:color w:val="auto"/>
          <w:spacing w:val="0"/>
          <w:highlight w:val="none"/>
          <w:lang w:eastAsia="zh-CN"/>
        </w:rPr>
        <w:t>本次招标范围：见投标人须知前附表。</w:t>
      </w:r>
    </w:p>
    <w:p w14:paraId="2C5BB5A2">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1.3.2</w:t>
      </w:r>
      <w:r>
        <w:rPr>
          <w:rFonts w:hint="eastAsia" w:hAnsi="Times New Roman" w:cs="Times New Roman"/>
          <w:b/>
          <w:bCs/>
          <w:color w:val="auto"/>
          <w:spacing w:val="0"/>
          <w:highlight w:val="none"/>
          <w:lang w:eastAsia="zh-CN"/>
        </w:rPr>
        <w:t>　</w:t>
      </w:r>
      <w:r>
        <w:rPr>
          <w:rFonts w:cs="宋体"/>
          <w:color w:val="auto"/>
          <w:spacing w:val="0"/>
          <w:highlight w:val="none"/>
          <w:lang w:eastAsia="zh-CN"/>
        </w:rPr>
        <w:t>本标段的计划工期：见投标人须知前附表。</w:t>
      </w:r>
    </w:p>
    <w:p w14:paraId="6D0CD309">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1.3.3</w:t>
      </w:r>
      <w:r>
        <w:rPr>
          <w:rFonts w:hint="eastAsia" w:hAnsi="Times New Roman" w:cs="Times New Roman"/>
          <w:b/>
          <w:bCs/>
          <w:color w:val="auto"/>
          <w:spacing w:val="0"/>
          <w:highlight w:val="none"/>
          <w:lang w:eastAsia="zh-CN"/>
        </w:rPr>
        <w:t>　</w:t>
      </w:r>
      <w:r>
        <w:rPr>
          <w:rFonts w:cs="宋体"/>
          <w:color w:val="auto"/>
          <w:spacing w:val="0"/>
          <w:highlight w:val="none"/>
          <w:lang w:eastAsia="zh-CN"/>
        </w:rPr>
        <w:t>本标段的质量要求：见投标人须知前附表。</w:t>
      </w:r>
    </w:p>
    <w:p w14:paraId="3BE54BE4">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20" w:name="_Toc30766"/>
      <w:bookmarkStart w:id="121" w:name="_Toc19559"/>
      <w:bookmarkStart w:id="122" w:name="_Toc25278"/>
      <w:r>
        <w:rPr>
          <w:rFonts w:hint="eastAsia" w:ascii="宋体" w:hAnsi="宋体" w:eastAsia="宋体" w:cs="宋体"/>
          <w:b/>
          <w:bCs/>
          <w:color w:val="auto"/>
          <w:spacing w:val="-3"/>
          <w:szCs w:val="24"/>
          <w:highlight w:val="none"/>
        </w:rPr>
        <w:t>1.4</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投标人资格要求（适用于已进行资格预审的）</w:t>
      </w:r>
      <w:bookmarkEnd w:id="120"/>
      <w:bookmarkEnd w:id="121"/>
      <w:bookmarkEnd w:id="122"/>
    </w:p>
    <w:p w14:paraId="6C0637BA">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投标人应是收到招标人发出的投标邀请书的单位。</w:t>
      </w:r>
    </w:p>
    <w:p w14:paraId="1549C97B">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23" w:name="_Toc22248"/>
      <w:bookmarkStart w:id="124" w:name="_Toc21137"/>
      <w:bookmarkStart w:id="125" w:name="_Toc24459"/>
      <w:r>
        <w:rPr>
          <w:rFonts w:hint="eastAsia" w:ascii="宋体" w:hAnsi="宋体" w:eastAsia="宋体" w:cs="宋体"/>
          <w:b/>
          <w:bCs/>
          <w:color w:val="auto"/>
          <w:spacing w:val="-3"/>
          <w:szCs w:val="24"/>
          <w:highlight w:val="none"/>
        </w:rPr>
        <w:t>1.4</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投标人资格要求（适用于未进行资格预审的）</w:t>
      </w:r>
      <w:bookmarkEnd w:id="123"/>
      <w:bookmarkEnd w:id="124"/>
      <w:bookmarkEnd w:id="125"/>
    </w:p>
    <w:p w14:paraId="6984DE0E">
      <w:pPr>
        <w:kinsoku/>
        <w:spacing w:before="0" w:beforeLines="0" w:afterLines="0"/>
        <w:ind w:left="0" w:right="0" w:firstLine="0" w:firstLineChars="0"/>
        <w:jc w:val="left"/>
        <w:rPr>
          <w:rFonts w:cs="宋体"/>
          <w:color w:val="auto"/>
          <w:spacing w:val="0"/>
          <w:highlight w:val="none"/>
          <w:lang w:eastAsia="zh-CN"/>
        </w:rPr>
      </w:pPr>
      <w:r>
        <w:rPr>
          <w:rFonts w:ascii="宋体" w:hAnsi="Times New Roman" w:eastAsia="宋体" w:cs="Times New Roman"/>
          <w:b/>
          <w:bCs/>
          <w:color w:val="auto"/>
          <w:spacing w:val="0"/>
          <w:szCs w:val="21"/>
          <w:highlight w:val="none"/>
          <w:lang w:eastAsia="zh-CN"/>
        </w:rPr>
        <w:t>1.4.1</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投标人应具备承担本标段施工的资质条件、能力和信誉。</w:t>
      </w:r>
    </w:p>
    <w:p w14:paraId="0A47C48F">
      <w:pPr>
        <w:kinsoku/>
        <w:spacing w:before="0" w:beforeLines="0" w:afterLines="0"/>
        <w:ind w:left="0" w:right="0" w:firstLine="480"/>
        <w:jc w:val="left"/>
        <w:rPr>
          <w:rFonts w:cs="宋体"/>
          <w:color w:val="auto"/>
          <w:szCs w:val="21"/>
          <w:highlight w:val="none"/>
          <w:lang w:eastAsia="zh-CN"/>
        </w:rPr>
      </w:pPr>
      <w:r>
        <w:rPr>
          <w:rFonts w:cs="宋体"/>
          <w:color w:val="auto"/>
          <w:spacing w:val="0"/>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）资质条件：见投标人须知前附表。</w:t>
      </w:r>
    </w:p>
    <w:p w14:paraId="3DC48DCD">
      <w:pPr>
        <w:kinsoku/>
        <w:spacing w:before="0" w:beforeLines="0" w:afterLines="0"/>
        <w:ind w:left="0" w:right="0" w:firstLine="420"/>
        <w:jc w:val="left"/>
        <w:rPr>
          <w:rFonts w:cs="宋体"/>
          <w:color w:val="auto"/>
          <w:spacing w:val="0"/>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）财务要求：见投标人须知前附表。</w:t>
      </w:r>
    </w:p>
    <w:p w14:paraId="6BE6135F">
      <w:pPr>
        <w:kinsoku/>
        <w:spacing w:before="0" w:beforeLines="0" w:afterLines="0"/>
        <w:ind w:left="0" w:right="0" w:firstLine="420"/>
        <w:jc w:val="left"/>
        <w:rPr>
          <w:rFonts w:cs="宋体"/>
          <w:color w:val="auto"/>
          <w:spacing w:val="0"/>
          <w:highlight w:val="none"/>
          <w:lang w:eastAsia="zh-CN"/>
        </w:rPr>
      </w:pPr>
      <w:r>
        <w:rPr>
          <w:rFonts w:cs="宋体"/>
          <w:color w:val="auto"/>
          <w:spacing w:val="0"/>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）业绩要求：见投标人须知前附表。</w:t>
      </w:r>
    </w:p>
    <w:p w14:paraId="2C744357">
      <w:pPr>
        <w:kinsoku/>
        <w:spacing w:before="0" w:beforeLines="0" w:afterLines="0"/>
        <w:ind w:left="0" w:right="0" w:firstLine="420"/>
        <w:jc w:val="left"/>
        <w:rPr>
          <w:rFonts w:cs="宋体"/>
          <w:color w:val="auto"/>
          <w:szCs w:val="21"/>
          <w:highlight w:val="none"/>
          <w:lang w:eastAsia="zh-CN"/>
        </w:rPr>
      </w:pPr>
      <w:r>
        <w:rPr>
          <w:rFonts w:cs="宋体"/>
          <w:color w:val="auto"/>
          <w:spacing w:val="0"/>
          <w:highlight w:val="none"/>
          <w:lang w:eastAsia="zh-CN"/>
        </w:rPr>
        <w:t>（</w:t>
      </w:r>
      <w:r>
        <w:rPr>
          <w:rFonts w:ascii="宋体" w:hAnsi="Times New Roman" w:eastAsia="宋体" w:cs="Times New Roman"/>
          <w:color w:val="auto"/>
          <w:spacing w:val="0"/>
          <w:szCs w:val="21"/>
          <w:highlight w:val="none"/>
          <w:lang w:eastAsia="zh-CN"/>
        </w:rPr>
        <w:t>4</w:t>
      </w:r>
      <w:r>
        <w:rPr>
          <w:rFonts w:cs="宋体"/>
          <w:color w:val="auto"/>
          <w:spacing w:val="0"/>
          <w:highlight w:val="none"/>
          <w:lang w:eastAsia="zh-CN"/>
        </w:rPr>
        <w:t>）信誉要求：见投标人须知前附表。</w:t>
      </w:r>
    </w:p>
    <w:p w14:paraId="2F8A4412">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5</w:t>
      </w:r>
      <w:r>
        <w:rPr>
          <w:rFonts w:cs="宋体"/>
          <w:color w:val="auto"/>
          <w:spacing w:val="0"/>
          <w:position w:val="0"/>
          <w:highlight w:val="none"/>
          <w:lang w:eastAsia="zh-CN"/>
        </w:rPr>
        <w:t>）项目负责人资格：见投标人须知前附表。</w:t>
      </w:r>
    </w:p>
    <w:p w14:paraId="5625F774">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6</w:t>
      </w:r>
      <w:r>
        <w:rPr>
          <w:rFonts w:cs="宋体"/>
          <w:color w:val="auto"/>
          <w:spacing w:val="0"/>
          <w:highlight w:val="none"/>
          <w:lang w:eastAsia="zh-CN"/>
        </w:rPr>
        <w:t>）其他要求：见投标人须知前附表。</w:t>
      </w:r>
    </w:p>
    <w:p w14:paraId="64C29ABB">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position w:val="0"/>
          <w:szCs w:val="21"/>
          <w:highlight w:val="none"/>
          <w:lang w:eastAsia="zh-CN"/>
        </w:rPr>
        <w:t>1.4.2</w:t>
      </w:r>
      <w:r>
        <w:rPr>
          <w:rFonts w:hint="eastAsia" w:hAnsi="Times New Roman" w:cs="Times New Roman"/>
          <w:b/>
          <w:bCs/>
          <w:color w:val="auto"/>
          <w:position w:val="0"/>
          <w:highlight w:val="none"/>
          <w:lang w:eastAsia="zh-CN"/>
        </w:rPr>
        <w:t>　</w:t>
      </w:r>
      <w:r>
        <w:rPr>
          <w:rFonts w:cs="宋体"/>
          <w:color w:val="auto"/>
          <w:position w:val="0"/>
          <w:highlight w:val="none"/>
          <w:lang w:eastAsia="zh-CN"/>
        </w:rPr>
        <w:t>投标人须知前附表规定接受联合体投标的，除应符合本章第</w:t>
      </w:r>
      <w:r>
        <w:rPr>
          <w:rFonts w:ascii="宋体" w:hAnsi="Times New Roman" w:eastAsia="宋体" w:cs="Times New Roman"/>
          <w:color w:val="auto"/>
          <w:position w:val="0"/>
          <w:szCs w:val="21"/>
          <w:highlight w:val="none"/>
          <w:lang w:eastAsia="zh-CN"/>
        </w:rPr>
        <w:t>1.4.1</w:t>
      </w:r>
      <w:r>
        <w:rPr>
          <w:rFonts w:cs="宋体"/>
          <w:color w:val="auto"/>
          <w:position w:val="0"/>
          <w:highlight w:val="none"/>
          <w:lang w:eastAsia="zh-CN"/>
        </w:rPr>
        <w:t>项和投标</w:t>
      </w:r>
      <w:r>
        <w:rPr>
          <w:rFonts w:cs="宋体"/>
          <w:color w:val="auto"/>
          <w:spacing w:val="0"/>
          <w:szCs w:val="21"/>
          <w:highlight w:val="none"/>
          <w:lang w:eastAsia="zh-CN"/>
        </w:rPr>
        <w:t>人须知前附表的要求外，还应遵守以下规定。</w:t>
      </w:r>
    </w:p>
    <w:p w14:paraId="76183AFD">
      <w:pPr>
        <w:kinsoku/>
        <w:spacing w:before="0" w:beforeLines="0" w:afterLines="0"/>
        <w:ind w:left="0" w:firstLine="420"/>
        <w:jc w:val="left"/>
        <w:rPr>
          <w:rFonts w:cs="宋体"/>
          <w:color w:val="auto"/>
          <w:szCs w:val="21"/>
          <w:highlight w:val="none"/>
          <w:lang w:eastAsia="zh-CN"/>
        </w:rPr>
      </w:pPr>
      <w:r>
        <w:rPr>
          <w:rFonts w:cs="宋体"/>
          <w:color w:val="auto"/>
          <w:position w:val="0"/>
          <w:szCs w:val="21"/>
          <w:highlight w:val="none"/>
          <w:lang w:eastAsia="zh-CN"/>
        </w:rPr>
        <w:t>（</w:t>
      </w:r>
      <w:r>
        <w:rPr>
          <w:rFonts w:ascii="宋体" w:hAnsi="Times New Roman" w:eastAsia="宋体" w:cs="Times New Roman"/>
          <w:color w:val="auto"/>
          <w:position w:val="0"/>
          <w:szCs w:val="21"/>
          <w:highlight w:val="none"/>
          <w:lang w:eastAsia="zh-CN"/>
        </w:rPr>
        <w:t>1</w:t>
      </w:r>
      <w:r>
        <w:rPr>
          <w:rFonts w:cs="宋体"/>
          <w:color w:val="auto"/>
          <w:position w:val="0"/>
          <w:highlight w:val="none"/>
          <w:lang w:eastAsia="zh-CN"/>
        </w:rPr>
        <w:t>）联合体各方应按招标文件提供的格式签订联合体协议书，明确联合体牵头</w:t>
      </w:r>
    </w:p>
    <w:p w14:paraId="2B102BE2">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人和各方权利义务。</w:t>
      </w:r>
    </w:p>
    <w:p w14:paraId="4D008A74">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2</w:t>
      </w:r>
      <w:r>
        <w:rPr>
          <w:rFonts w:cs="宋体"/>
          <w:color w:val="auto"/>
          <w:spacing w:val="0"/>
          <w:position w:val="0"/>
          <w:highlight w:val="none"/>
          <w:lang w:eastAsia="zh-CN"/>
        </w:rPr>
        <w:t>）由同一专业的单位组成的联合体，按照资质等级较低的单位确定资质等级。</w:t>
      </w:r>
    </w:p>
    <w:p w14:paraId="24941CCF">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）联合体各方不得再以自己名义单独或参加其他联合体在同一标段中投标。</w:t>
      </w:r>
    </w:p>
    <w:p w14:paraId="6FCC648E">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1.4.3</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投标人不得存在下列情形之一：</w:t>
      </w:r>
    </w:p>
    <w:p w14:paraId="516C9783">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）为招标人不具有独立法人资格的附属机构（单位）。</w:t>
      </w:r>
    </w:p>
    <w:p w14:paraId="1FE99313">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）为本标段前期准备提供设计或咨询服务的，但设计施工总承包的除外。</w:t>
      </w:r>
    </w:p>
    <w:p w14:paraId="20907928">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）为本标段的监理人。</w:t>
      </w:r>
    </w:p>
    <w:p w14:paraId="6090309F">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4</w:t>
      </w:r>
      <w:r>
        <w:rPr>
          <w:rFonts w:cs="宋体"/>
          <w:color w:val="auto"/>
          <w:spacing w:val="0"/>
          <w:highlight w:val="none"/>
          <w:lang w:eastAsia="zh-CN"/>
        </w:rPr>
        <w:t>）为本标段的代建人。</w:t>
      </w:r>
    </w:p>
    <w:p w14:paraId="70231DAD">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）为本标段提供招标代理服务的。</w:t>
      </w:r>
    </w:p>
    <w:p w14:paraId="0A490D55">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6</w:t>
      </w:r>
      <w:r>
        <w:rPr>
          <w:rFonts w:cs="宋体"/>
          <w:color w:val="auto"/>
          <w:spacing w:val="0"/>
          <w:position w:val="0"/>
          <w:highlight w:val="none"/>
          <w:lang w:eastAsia="zh-CN"/>
        </w:rPr>
        <w:t>）与本标段的监理人或代建人或招标代理机构同为一个法定代表人的。</w:t>
      </w:r>
    </w:p>
    <w:p w14:paraId="48105C44">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7</w:t>
      </w:r>
      <w:r>
        <w:rPr>
          <w:rFonts w:cs="宋体"/>
          <w:color w:val="auto"/>
          <w:spacing w:val="0"/>
          <w:highlight w:val="none"/>
          <w:lang w:eastAsia="zh-CN"/>
        </w:rPr>
        <w:t>）与本标段的监理人或代建人或招标代理机构相互控股或参股的。</w:t>
      </w:r>
    </w:p>
    <w:p w14:paraId="0E85B204">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8</w:t>
      </w:r>
      <w:r>
        <w:rPr>
          <w:rFonts w:cs="宋体"/>
          <w:color w:val="auto"/>
          <w:spacing w:val="0"/>
          <w:position w:val="0"/>
          <w:highlight w:val="none"/>
          <w:lang w:eastAsia="zh-CN"/>
        </w:rPr>
        <w:t>）与本标段的监理人或代建人或招标代理机构相互任职或工作的。</w:t>
      </w:r>
    </w:p>
    <w:p w14:paraId="2F93A0BD">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9</w:t>
      </w:r>
      <w:r>
        <w:rPr>
          <w:rFonts w:cs="宋体"/>
          <w:color w:val="auto"/>
          <w:spacing w:val="0"/>
          <w:highlight w:val="none"/>
          <w:lang w:eastAsia="zh-CN"/>
        </w:rPr>
        <w:t>）被责令停业的。</w:t>
      </w:r>
    </w:p>
    <w:p w14:paraId="50D6AA3F">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10</w:t>
      </w:r>
      <w:r>
        <w:rPr>
          <w:rFonts w:cs="宋体"/>
          <w:color w:val="auto"/>
          <w:spacing w:val="0"/>
          <w:position w:val="0"/>
          <w:highlight w:val="none"/>
          <w:lang w:eastAsia="zh-CN"/>
        </w:rPr>
        <w:t>）被项目所在地县（市、区）、地级市和省暂停或取消投标资格的。</w:t>
      </w:r>
    </w:p>
    <w:p w14:paraId="17722E48">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11</w:t>
      </w:r>
      <w:r>
        <w:rPr>
          <w:rFonts w:cs="宋体"/>
          <w:color w:val="auto"/>
          <w:spacing w:val="0"/>
          <w:highlight w:val="none"/>
          <w:lang w:eastAsia="zh-CN"/>
        </w:rPr>
        <w:t>）财产被接管或全部冻结的。</w:t>
      </w:r>
    </w:p>
    <w:p w14:paraId="02A3EF26">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12</w:t>
      </w:r>
      <w:r>
        <w:rPr>
          <w:rFonts w:cs="宋体"/>
          <w:color w:val="auto"/>
          <w:spacing w:val="0"/>
          <w:highlight w:val="none"/>
          <w:lang w:eastAsia="zh-CN"/>
        </w:rPr>
        <w:t>）在最近</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年内有骗取中标或严重违约或重大工程质量问题的。</w:t>
      </w:r>
    </w:p>
    <w:p w14:paraId="4CEF4F01">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13</w:t>
      </w:r>
      <w:r>
        <w:rPr>
          <w:rFonts w:cs="宋体"/>
          <w:color w:val="auto"/>
          <w:spacing w:val="0"/>
          <w:position w:val="0"/>
          <w:highlight w:val="none"/>
          <w:lang w:eastAsia="zh-CN"/>
        </w:rPr>
        <w:t>）与招标人存在利害关系可能影响招标公正性的法人或者其他组织。</w:t>
      </w:r>
    </w:p>
    <w:p w14:paraId="3302AD36">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14</w:t>
      </w:r>
      <w:r>
        <w:rPr>
          <w:rFonts w:cs="宋体"/>
          <w:color w:val="auto"/>
          <w:spacing w:val="0"/>
          <w:highlight w:val="none"/>
          <w:lang w:eastAsia="zh-CN"/>
        </w:rPr>
        <w:t>）单位负责人为同一人或者存在控股、管理关系的不同单位。</w:t>
      </w:r>
    </w:p>
    <w:p w14:paraId="0952BC2D">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15</w:t>
      </w:r>
      <w:r>
        <w:rPr>
          <w:rFonts w:cs="宋体"/>
          <w:color w:val="auto"/>
          <w:spacing w:val="0"/>
          <w:highlight w:val="none"/>
          <w:lang w:eastAsia="zh-CN"/>
        </w:rPr>
        <w:t>）其它法律法规规定的情形。</w:t>
      </w:r>
    </w:p>
    <w:p w14:paraId="77738D89">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26" w:name="_Toc6553"/>
      <w:bookmarkStart w:id="127" w:name="_Toc30262"/>
      <w:bookmarkStart w:id="128" w:name="_Toc15273"/>
      <w:r>
        <w:rPr>
          <w:rFonts w:hint="eastAsia" w:ascii="宋体" w:hAnsi="宋体" w:eastAsia="宋体" w:cs="宋体"/>
          <w:b/>
          <w:bCs/>
          <w:color w:val="auto"/>
          <w:spacing w:val="-8"/>
          <w:szCs w:val="24"/>
          <w:highlight w:val="none"/>
        </w:rPr>
        <w:t>1.5</w:t>
      </w:r>
      <w:r>
        <w:rPr>
          <w:rFonts w:hint="eastAsia" w:cs="宋体"/>
          <w:b/>
          <w:bCs/>
          <w:color w:val="auto"/>
          <w:szCs w:val="24"/>
          <w:highlight w:val="none"/>
          <w:lang w:eastAsia="zh-CN"/>
        </w:rPr>
        <w:t>　</w:t>
      </w:r>
      <w:r>
        <w:rPr>
          <w:rFonts w:hint="eastAsia" w:ascii="宋体" w:hAnsi="宋体" w:eastAsia="宋体" w:cs="宋体"/>
          <w:b/>
          <w:bCs/>
          <w:color w:val="auto"/>
          <w:spacing w:val="-8"/>
          <w:szCs w:val="24"/>
          <w:highlight w:val="none"/>
        </w:rPr>
        <w:t>费用承担</w:t>
      </w:r>
      <w:bookmarkEnd w:id="126"/>
      <w:bookmarkEnd w:id="127"/>
      <w:bookmarkEnd w:id="128"/>
    </w:p>
    <w:p w14:paraId="71E7979B">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投标人准备和参加投标活动发生的费用自理。</w:t>
      </w:r>
    </w:p>
    <w:p w14:paraId="79F6C9F4">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29" w:name="_Toc18076"/>
      <w:bookmarkStart w:id="130" w:name="_Toc27468"/>
      <w:bookmarkStart w:id="131" w:name="_Toc16560"/>
      <w:r>
        <w:rPr>
          <w:rFonts w:hint="eastAsia" w:ascii="宋体" w:hAnsi="宋体" w:eastAsia="宋体" w:cs="宋体"/>
          <w:b/>
          <w:bCs/>
          <w:color w:val="auto"/>
          <w:spacing w:val="-5"/>
          <w:szCs w:val="24"/>
          <w:highlight w:val="none"/>
        </w:rPr>
        <w:t>1.6</w:t>
      </w:r>
      <w:r>
        <w:rPr>
          <w:rFonts w:hint="eastAsia" w:cs="宋体"/>
          <w:b/>
          <w:bCs/>
          <w:color w:val="auto"/>
          <w:szCs w:val="24"/>
          <w:highlight w:val="none"/>
          <w:lang w:eastAsia="zh-CN"/>
        </w:rPr>
        <w:t>　</w:t>
      </w:r>
      <w:r>
        <w:rPr>
          <w:rFonts w:hint="eastAsia" w:ascii="宋体" w:hAnsi="宋体" w:eastAsia="宋体" w:cs="宋体"/>
          <w:b/>
          <w:bCs/>
          <w:color w:val="auto"/>
          <w:spacing w:val="-5"/>
          <w:szCs w:val="24"/>
          <w:highlight w:val="none"/>
        </w:rPr>
        <w:t>保密</w:t>
      </w:r>
      <w:bookmarkEnd w:id="129"/>
      <w:bookmarkEnd w:id="130"/>
      <w:bookmarkEnd w:id="131"/>
    </w:p>
    <w:p w14:paraId="40CDF35F">
      <w:pPr>
        <w:kinsoku/>
        <w:spacing w:before="0" w:beforeLines="0" w:afterLines="0"/>
        <w:ind w:firstLine="420"/>
        <w:jc w:val="left"/>
        <w:rPr>
          <w:rFonts w:cs="宋体"/>
          <w:color w:val="auto"/>
          <w:szCs w:val="21"/>
          <w:highlight w:val="none"/>
          <w:lang w:eastAsia="zh-CN"/>
        </w:rPr>
      </w:pPr>
      <w:r>
        <w:rPr>
          <w:rFonts w:cs="宋体"/>
          <w:color w:val="auto"/>
          <w:spacing w:val="0"/>
          <w:position w:val="0"/>
          <w:highlight w:val="none"/>
          <w:lang w:eastAsia="zh-CN"/>
        </w:rPr>
        <w:t>参与招标投标活动的各方应对招标文件和投标文件中的商业和技术等秘密保密，</w:t>
      </w:r>
      <w:r>
        <w:rPr>
          <w:rFonts w:cs="宋体"/>
          <w:color w:val="auto"/>
          <w:spacing w:val="0"/>
          <w:szCs w:val="21"/>
          <w:highlight w:val="none"/>
          <w:lang w:eastAsia="zh-CN"/>
        </w:rPr>
        <w:t>违者应对由此造成的后果承担法律责任。</w:t>
      </w:r>
    </w:p>
    <w:p w14:paraId="6FDB34F0">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32" w:name="_Toc21697"/>
      <w:bookmarkStart w:id="133" w:name="_Toc24717"/>
      <w:bookmarkStart w:id="134" w:name="_Toc19774"/>
      <w:r>
        <w:rPr>
          <w:rFonts w:hint="eastAsia" w:ascii="宋体" w:hAnsi="宋体" w:eastAsia="宋体" w:cs="宋体"/>
          <w:b/>
          <w:bCs/>
          <w:color w:val="auto"/>
          <w:spacing w:val="-3"/>
          <w:szCs w:val="24"/>
          <w:highlight w:val="none"/>
        </w:rPr>
        <w:t>1.7</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语言文字</w:t>
      </w:r>
      <w:bookmarkEnd w:id="132"/>
      <w:bookmarkEnd w:id="133"/>
      <w:bookmarkEnd w:id="134"/>
    </w:p>
    <w:p w14:paraId="3EA42603">
      <w:pPr>
        <w:kinsoku/>
        <w:spacing w:beforeLines="0" w:afterLines="0"/>
        <w:ind w:left="0" w:firstLine="0" w:firstLineChars="0"/>
        <w:jc w:val="left"/>
        <w:rPr>
          <w:rFonts w:cs="宋体"/>
          <w:color w:val="auto"/>
          <w:szCs w:val="21"/>
          <w:highlight w:val="none"/>
          <w:lang w:eastAsia="zh-CN"/>
        </w:rPr>
      </w:pPr>
      <w:r>
        <w:rPr>
          <w:rFonts w:cs="宋体"/>
          <w:color w:val="auto"/>
          <w:spacing w:val="0"/>
          <w:position w:val="0"/>
          <w:highlight w:val="none"/>
          <w:lang w:eastAsia="zh-CN"/>
        </w:rPr>
        <w:t>除专用术语外，</w:t>
      </w:r>
      <w:r>
        <w:rPr>
          <w:rFonts w:cs="宋体"/>
          <w:color w:val="auto"/>
          <w:spacing w:val="0"/>
          <w:position w:val="0"/>
          <w:szCs w:val="21"/>
          <w:highlight w:val="none"/>
          <w:lang w:eastAsia="zh-CN"/>
        </w:rPr>
        <w:t>与招标投标有关的语言均使用中文。必要时专用术语应附有中文</w:t>
      </w:r>
      <w:r>
        <w:rPr>
          <w:rFonts w:cs="宋体"/>
          <w:color w:val="auto"/>
          <w:spacing w:val="0"/>
          <w:szCs w:val="21"/>
          <w:highlight w:val="none"/>
          <w:lang w:eastAsia="zh-CN"/>
        </w:rPr>
        <w:t>注释。</w:t>
      </w:r>
    </w:p>
    <w:p w14:paraId="6FD05A1B">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35" w:name="_Toc25978"/>
      <w:bookmarkStart w:id="136" w:name="_Toc2435"/>
      <w:bookmarkStart w:id="137" w:name="_Toc8512"/>
      <w:r>
        <w:rPr>
          <w:rFonts w:hint="eastAsia" w:ascii="宋体" w:hAnsi="宋体" w:eastAsia="宋体" w:cs="宋体"/>
          <w:b/>
          <w:bCs/>
          <w:color w:val="auto"/>
          <w:spacing w:val="-5"/>
          <w:szCs w:val="24"/>
          <w:highlight w:val="none"/>
        </w:rPr>
        <w:t>1.8</w:t>
      </w:r>
      <w:r>
        <w:rPr>
          <w:rFonts w:hint="eastAsia" w:cs="宋体"/>
          <w:b/>
          <w:bCs/>
          <w:color w:val="auto"/>
          <w:szCs w:val="24"/>
          <w:highlight w:val="none"/>
          <w:lang w:eastAsia="zh-CN"/>
        </w:rPr>
        <w:t>　</w:t>
      </w:r>
      <w:r>
        <w:rPr>
          <w:rFonts w:hint="eastAsia" w:ascii="宋体" w:hAnsi="宋体" w:eastAsia="宋体" w:cs="宋体"/>
          <w:b/>
          <w:bCs/>
          <w:color w:val="auto"/>
          <w:spacing w:val="-5"/>
          <w:szCs w:val="24"/>
          <w:highlight w:val="none"/>
        </w:rPr>
        <w:t>计量单位</w:t>
      </w:r>
      <w:bookmarkEnd w:id="135"/>
      <w:bookmarkEnd w:id="136"/>
      <w:bookmarkEnd w:id="137"/>
    </w:p>
    <w:p w14:paraId="79402CF7">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所有计量均采用中华人民共和国法定计量单位。</w:t>
      </w:r>
    </w:p>
    <w:p w14:paraId="32712AF4">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38" w:name="_Toc14502"/>
      <w:bookmarkStart w:id="139" w:name="_Toc5396"/>
      <w:bookmarkStart w:id="140" w:name="_Toc14364"/>
      <w:r>
        <w:rPr>
          <w:rFonts w:hint="eastAsia" w:ascii="宋体" w:hAnsi="宋体" w:eastAsia="宋体" w:cs="宋体"/>
          <w:b/>
          <w:bCs/>
          <w:color w:val="auto"/>
          <w:spacing w:val="-3"/>
          <w:szCs w:val="24"/>
          <w:highlight w:val="none"/>
        </w:rPr>
        <w:t>1.9</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踏勘现场</w:t>
      </w:r>
      <w:bookmarkEnd w:id="138"/>
      <w:bookmarkEnd w:id="139"/>
      <w:bookmarkEnd w:id="140"/>
    </w:p>
    <w:p w14:paraId="3D8C9004">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position w:val="0"/>
          <w:szCs w:val="21"/>
          <w:highlight w:val="none"/>
          <w:lang w:eastAsia="zh-CN"/>
        </w:rPr>
        <w:t>1.9.1</w:t>
      </w:r>
      <w:r>
        <w:rPr>
          <w:rFonts w:hint="eastAsia" w:hAnsi="Times New Roman" w:cs="Times New Roman"/>
          <w:b/>
          <w:bCs/>
          <w:color w:val="auto"/>
          <w:position w:val="0"/>
          <w:highlight w:val="none"/>
          <w:lang w:eastAsia="zh-CN"/>
        </w:rPr>
        <w:t>　</w:t>
      </w:r>
      <w:r>
        <w:rPr>
          <w:rFonts w:cs="宋体"/>
          <w:color w:val="auto"/>
          <w:position w:val="0"/>
          <w:highlight w:val="none"/>
          <w:lang w:eastAsia="zh-CN"/>
        </w:rPr>
        <w:t>投标人须知前附表规定组织踏勘现场的，招标人按照投标人须知前附表规</w:t>
      </w:r>
      <w:r>
        <w:rPr>
          <w:rFonts w:cs="宋体"/>
          <w:color w:val="auto"/>
          <w:spacing w:val="0"/>
          <w:szCs w:val="21"/>
          <w:highlight w:val="none"/>
          <w:lang w:eastAsia="zh-CN"/>
        </w:rPr>
        <w:t>定的时间和地点组织踏勘现场。</w:t>
      </w:r>
    </w:p>
    <w:p w14:paraId="674BCF41">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1.9.2</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投标人踏勘现场发生的费用自理。</w:t>
      </w:r>
    </w:p>
    <w:p w14:paraId="4B84AC5C">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position w:val="0"/>
          <w:szCs w:val="21"/>
          <w:highlight w:val="none"/>
          <w:lang w:eastAsia="zh-CN"/>
        </w:rPr>
        <w:t>1.9.3</w:t>
      </w:r>
      <w:r>
        <w:rPr>
          <w:rFonts w:hint="eastAsia" w:hAnsi="Times New Roman" w:cs="Times New Roman"/>
          <w:b/>
          <w:bCs/>
          <w:color w:val="auto"/>
          <w:position w:val="0"/>
          <w:highlight w:val="none"/>
          <w:lang w:eastAsia="zh-CN"/>
        </w:rPr>
        <w:t>　</w:t>
      </w:r>
      <w:r>
        <w:rPr>
          <w:rFonts w:cs="宋体"/>
          <w:color w:val="auto"/>
          <w:position w:val="0"/>
          <w:highlight w:val="none"/>
          <w:lang w:eastAsia="zh-CN"/>
        </w:rPr>
        <w:t>除招标人的原因外，投标人自行负责在踏勘现场中所发生的人员伤亡和财</w:t>
      </w:r>
      <w:r>
        <w:rPr>
          <w:rFonts w:cs="宋体"/>
          <w:color w:val="auto"/>
          <w:spacing w:val="0"/>
          <w:szCs w:val="21"/>
          <w:highlight w:val="none"/>
          <w:lang w:eastAsia="zh-CN"/>
        </w:rPr>
        <w:t>产损失。</w:t>
      </w:r>
    </w:p>
    <w:p w14:paraId="427E70C3">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position w:val="0"/>
          <w:szCs w:val="21"/>
          <w:highlight w:val="none"/>
          <w:lang w:eastAsia="zh-CN"/>
        </w:rPr>
        <w:t>1.9.4</w:t>
      </w:r>
      <w:r>
        <w:rPr>
          <w:rFonts w:hint="eastAsia" w:hAnsi="Times New Roman" w:cs="Times New Roman"/>
          <w:b/>
          <w:bCs/>
          <w:color w:val="auto"/>
          <w:position w:val="0"/>
          <w:highlight w:val="none"/>
          <w:lang w:eastAsia="zh-CN"/>
        </w:rPr>
        <w:t>　</w:t>
      </w:r>
      <w:r>
        <w:rPr>
          <w:rFonts w:cs="宋体"/>
          <w:color w:val="auto"/>
          <w:position w:val="0"/>
          <w:highlight w:val="none"/>
          <w:lang w:eastAsia="zh-CN"/>
        </w:rPr>
        <w:t>招标人在踏勘现场中介绍的工程场地和相关的周边环境情况，供投标人在</w:t>
      </w:r>
      <w:r>
        <w:rPr>
          <w:rFonts w:cs="宋体"/>
          <w:color w:val="auto"/>
          <w:spacing w:val="0"/>
          <w:szCs w:val="21"/>
          <w:highlight w:val="none"/>
          <w:lang w:eastAsia="zh-CN"/>
        </w:rPr>
        <w:t>编制投标文件时参考，招标人不对投标人据此作出的判断和决策负责。</w:t>
      </w:r>
    </w:p>
    <w:p w14:paraId="38DA88B4">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41" w:name="_Toc16922"/>
      <w:bookmarkStart w:id="142" w:name="_Toc17881"/>
      <w:bookmarkStart w:id="143" w:name="_Toc31538"/>
      <w:r>
        <w:rPr>
          <w:rFonts w:hint="eastAsia" w:ascii="宋体" w:hAnsi="宋体" w:eastAsia="宋体" w:cs="宋体"/>
          <w:b/>
          <w:bCs/>
          <w:color w:val="auto"/>
          <w:spacing w:val="-3"/>
          <w:szCs w:val="24"/>
          <w:highlight w:val="none"/>
        </w:rPr>
        <w:t>1.10</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投标预备会</w:t>
      </w:r>
      <w:bookmarkEnd w:id="141"/>
      <w:bookmarkEnd w:id="142"/>
      <w:bookmarkEnd w:id="143"/>
    </w:p>
    <w:p w14:paraId="309C9D76">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position w:val="0"/>
          <w:szCs w:val="21"/>
          <w:highlight w:val="none"/>
          <w:lang w:eastAsia="zh-CN"/>
        </w:rPr>
        <w:t>1.10.1</w:t>
      </w:r>
      <w:r>
        <w:rPr>
          <w:rFonts w:hint="eastAsia" w:hAnsi="Times New Roman" w:cs="Times New Roman"/>
          <w:b/>
          <w:bCs/>
          <w:color w:val="auto"/>
          <w:spacing w:val="0"/>
          <w:position w:val="0"/>
          <w:highlight w:val="none"/>
          <w:lang w:eastAsia="zh-CN"/>
        </w:rPr>
        <w:t>　</w:t>
      </w:r>
      <w:r>
        <w:rPr>
          <w:rFonts w:cs="宋体"/>
          <w:color w:val="auto"/>
          <w:spacing w:val="0"/>
          <w:position w:val="0"/>
          <w:highlight w:val="none"/>
          <w:lang w:eastAsia="zh-CN"/>
        </w:rPr>
        <w:t>投标人须知前附表规定召开投标预备会的，招标人按照投标人须知前附表</w:t>
      </w:r>
      <w:r>
        <w:rPr>
          <w:rFonts w:cs="宋体"/>
          <w:color w:val="auto"/>
          <w:spacing w:val="0"/>
          <w:szCs w:val="21"/>
          <w:highlight w:val="none"/>
          <w:lang w:eastAsia="zh-CN"/>
        </w:rPr>
        <w:t>规定的时间和地点召开投标预备会。</w:t>
      </w:r>
    </w:p>
    <w:p w14:paraId="1B473A79">
      <w:pPr>
        <w:kinsoku/>
        <w:spacing w:beforeLines="0" w:afterLines="0"/>
        <w:ind w:firstLine="0" w:firstLineChars="0"/>
        <w:jc w:val="left"/>
        <w:rPr>
          <w:rFonts w:cs="宋体"/>
          <w:color w:val="auto"/>
          <w:szCs w:val="21"/>
          <w:highlight w:val="none"/>
          <w:lang w:eastAsia="zh-CN"/>
        </w:rPr>
      </w:pPr>
      <w:r>
        <w:rPr>
          <w:rFonts w:ascii="宋体" w:hAnsi="Times New Roman" w:eastAsia="宋体" w:cs="Times New Roman"/>
          <w:b/>
          <w:bCs/>
          <w:color w:val="auto"/>
          <w:spacing w:val="0"/>
          <w:position w:val="0"/>
          <w:szCs w:val="21"/>
          <w:highlight w:val="none"/>
          <w:lang w:eastAsia="zh-CN"/>
        </w:rPr>
        <w:t>1.10.2</w:t>
      </w:r>
      <w:r>
        <w:rPr>
          <w:rFonts w:hint="eastAsia" w:hAnsi="Times New Roman" w:cs="Times New Roman"/>
          <w:b/>
          <w:bCs/>
          <w:color w:val="auto"/>
          <w:spacing w:val="0"/>
          <w:position w:val="0"/>
          <w:highlight w:val="none"/>
          <w:lang w:eastAsia="zh-CN"/>
        </w:rPr>
        <w:t>　</w:t>
      </w:r>
      <w:r>
        <w:rPr>
          <w:rFonts w:cs="宋体"/>
          <w:color w:val="auto"/>
          <w:spacing w:val="0"/>
          <w:position w:val="0"/>
          <w:highlight w:val="none"/>
          <w:lang w:eastAsia="zh-CN"/>
        </w:rPr>
        <w:t>在投标预备会召开前，投标人应按投标人须知前附表第</w:t>
      </w:r>
      <w:r>
        <w:rPr>
          <w:rFonts w:ascii="宋体" w:hAnsi="Times New Roman" w:eastAsia="宋体" w:cs="Times New Roman"/>
          <w:color w:val="auto"/>
          <w:spacing w:val="0"/>
          <w:position w:val="0"/>
          <w:szCs w:val="21"/>
          <w:highlight w:val="none"/>
          <w:lang w:eastAsia="zh-CN"/>
        </w:rPr>
        <w:t>2.2.1</w:t>
      </w:r>
      <w:r>
        <w:rPr>
          <w:rFonts w:cs="宋体"/>
          <w:color w:val="auto"/>
          <w:spacing w:val="0"/>
          <w:position w:val="0"/>
          <w:highlight w:val="none"/>
          <w:lang w:eastAsia="zh-CN"/>
        </w:rPr>
        <w:t>项规定的形式</w:t>
      </w:r>
      <w:r>
        <w:rPr>
          <w:rFonts w:cs="宋体"/>
          <w:color w:val="auto"/>
          <w:spacing w:val="0"/>
          <w:szCs w:val="21"/>
          <w:highlight w:val="none"/>
          <w:lang w:eastAsia="zh-CN"/>
        </w:rPr>
        <w:t>将需要招标人澄清的问题送达招标人。</w:t>
      </w:r>
    </w:p>
    <w:p w14:paraId="3081E5F3">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1.10.3</w:t>
      </w:r>
      <w:r>
        <w:rPr>
          <w:rFonts w:hint="eastAsia" w:hAnsi="Times New Roman" w:cs="Times New Roman"/>
          <w:b/>
          <w:bCs/>
          <w:color w:val="auto"/>
          <w:spacing w:val="0"/>
          <w:highlight w:val="none"/>
          <w:lang w:eastAsia="zh-CN"/>
        </w:rPr>
        <w:t>　</w:t>
      </w:r>
      <w:r>
        <w:rPr>
          <w:rFonts w:cs="宋体"/>
          <w:color w:val="auto"/>
          <w:spacing w:val="0"/>
          <w:highlight w:val="none"/>
          <w:lang w:eastAsia="zh-CN"/>
        </w:rPr>
        <w:t>在投标人须知前附表规定的投标截止时间</w:t>
      </w:r>
      <w:r>
        <w:rPr>
          <w:rFonts w:ascii="宋体" w:hAnsi="Times New Roman" w:eastAsia="宋体" w:cs="Times New Roman"/>
          <w:color w:val="auto"/>
          <w:spacing w:val="0"/>
          <w:szCs w:val="21"/>
          <w:highlight w:val="none"/>
          <w:lang w:eastAsia="zh-CN"/>
        </w:rPr>
        <w:t>15</w:t>
      </w:r>
      <w:r>
        <w:rPr>
          <w:rFonts w:cs="宋体"/>
          <w:color w:val="auto"/>
          <w:spacing w:val="0"/>
          <w:highlight w:val="none"/>
          <w:lang w:eastAsia="zh-CN"/>
        </w:rPr>
        <w:t>日前，招标人将对投标人所提问题的澄清，以投标人须知前附表第</w:t>
      </w:r>
      <w:r>
        <w:rPr>
          <w:rFonts w:ascii="宋体" w:hAnsi="Times New Roman" w:eastAsia="宋体" w:cs="Times New Roman"/>
          <w:color w:val="auto"/>
          <w:spacing w:val="0"/>
          <w:szCs w:val="21"/>
          <w:highlight w:val="none"/>
          <w:lang w:eastAsia="zh-CN"/>
        </w:rPr>
        <w:t>2.2.2</w:t>
      </w:r>
      <w:r>
        <w:rPr>
          <w:rFonts w:cs="宋体"/>
          <w:color w:val="auto"/>
          <w:spacing w:val="0"/>
          <w:highlight w:val="none"/>
          <w:lang w:eastAsia="zh-CN"/>
        </w:rPr>
        <w:t>项规定的方式通知所有获取招标文件的投标</w:t>
      </w:r>
      <w:r>
        <w:rPr>
          <w:rFonts w:cs="宋体"/>
          <w:color w:val="auto"/>
          <w:spacing w:val="0"/>
          <w:szCs w:val="21"/>
          <w:highlight w:val="none"/>
          <w:lang w:eastAsia="zh-CN"/>
        </w:rPr>
        <w:t>人。该澄清通知为招标文件的组成部分。</w:t>
      </w:r>
    </w:p>
    <w:p w14:paraId="4502354A">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44" w:name="_Toc22807"/>
      <w:bookmarkStart w:id="145" w:name="_Toc17599"/>
      <w:bookmarkStart w:id="146" w:name="_Toc25827"/>
      <w:r>
        <w:rPr>
          <w:rFonts w:hint="eastAsia" w:ascii="宋体" w:hAnsi="宋体" w:eastAsia="宋体" w:cs="宋体"/>
          <w:b/>
          <w:bCs/>
          <w:color w:val="auto"/>
          <w:spacing w:val="-5"/>
          <w:szCs w:val="24"/>
          <w:highlight w:val="none"/>
        </w:rPr>
        <w:t>1.11</w:t>
      </w:r>
      <w:r>
        <w:rPr>
          <w:rFonts w:hint="eastAsia" w:cs="宋体"/>
          <w:b/>
          <w:bCs/>
          <w:color w:val="auto"/>
          <w:szCs w:val="24"/>
          <w:highlight w:val="none"/>
          <w:lang w:eastAsia="zh-CN"/>
        </w:rPr>
        <w:t>　</w:t>
      </w:r>
      <w:r>
        <w:rPr>
          <w:rFonts w:hint="eastAsia" w:ascii="宋体" w:hAnsi="宋体" w:eastAsia="宋体" w:cs="宋体"/>
          <w:b/>
          <w:bCs/>
          <w:color w:val="auto"/>
          <w:spacing w:val="-5"/>
          <w:szCs w:val="24"/>
          <w:highlight w:val="none"/>
        </w:rPr>
        <w:t>分包</w:t>
      </w:r>
      <w:bookmarkEnd w:id="144"/>
      <w:bookmarkEnd w:id="145"/>
      <w:bookmarkEnd w:id="146"/>
    </w:p>
    <w:p w14:paraId="69056A76">
      <w:pPr>
        <w:kinsoku/>
        <w:spacing w:beforeLines="0" w:afterLines="0"/>
        <w:ind w:left="0" w:firstLine="0" w:firstLineChars="0"/>
        <w:jc w:val="left"/>
        <w:rPr>
          <w:rFonts w:ascii="宋体" w:hAnsi="宋体" w:eastAsia="宋体" w:cs="宋体"/>
          <w:snapToGrid w:val="0"/>
          <w:color w:val="auto"/>
          <w:sz w:val="24"/>
          <w:szCs w:val="21"/>
          <w:highlight w:val="none"/>
          <w:lang w:val="en-US" w:eastAsia="zh-CN" w:bidi="ar-SA"/>
        </w:rPr>
      </w:pPr>
      <w:r>
        <w:rPr>
          <w:rFonts w:cs="宋体"/>
          <w:color w:val="auto"/>
          <w:spacing w:val="0"/>
          <w:highlight w:val="none"/>
          <w:lang w:eastAsia="zh-CN"/>
        </w:rPr>
        <w:t>投标人须知前附表规定允许分包的，分包的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w:t>
      </w:r>
      <w:r>
        <w:rPr>
          <w:rFonts w:ascii="宋体" w:hAnsi="宋体" w:eastAsia="宋体" w:cs="宋体"/>
          <w:snapToGrid w:val="0"/>
          <w:color w:val="auto"/>
          <w:spacing w:val="0"/>
          <w:sz w:val="24"/>
          <w:szCs w:val="21"/>
          <w:highlight w:val="none"/>
          <w:lang w:val="en-US" w:eastAsia="zh-CN" w:bidi="ar-SA"/>
        </w:rPr>
        <w:t>工的能力。</w:t>
      </w:r>
    </w:p>
    <w:p w14:paraId="2C1A49D6">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147" w:name="_Toc21061"/>
      <w:bookmarkStart w:id="148" w:name="_Toc25754"/>
      <w:bookmarkStart w:id="149" w:name="_Toc28965"/>
      <w:r>
        <w:rPr>
          <w:rFonts w:hint="eastAsia" w:ascii="宋体" w:hAnsi="宋体" w:eastAsia="宋体" w:cs="宋体"/>
          <w:b/>
          <w:bCs/>
          <w:color w:val="auto"/>
          <w:spacing w:val="-3"/>
          <w:szCs w:val="24"/>
          <w:highlight w:val="none"/>
        </w:rPr>
        <w:t>1.12</w:t>
      </w:r>
      <w:r>
        <w:rPr>
          <w:rFonts w:hint="eastAsia" w:cs="宋体"/>
          <w:b/>
          <w:bCs/>
          <w:color w:val="auto"/>
          <w:spacing w:val="-3"/>
          <w:szCs w:val="24"/>
          <w:highlight w:val="none"/>
          <w:lang w:eastAsia="zh-CN"/>
        </w:rPr>
        <w:t>　</w:t>
      </w:r>
      <w:r>
        <w:rPr>
          <w:rFonts w:hint="eastAsia" w:ascii="宋体" w:hAnsi="宋体" w:eastAsia="宋体" w:cs="宋体"/>
          <w:b/>
          <w:bCs/>
          <w:color w:val="auto"/>
          <w:spacing w:val="-3"/>
          <w:szCs w:val="24"/>
          <w:highlight w:val="none"/>
        </w:rPr>
        <w:t>偏离</w:t>
      </w:r>
      <w:bookmarkEnd w:id="147"/>
      <w:bookmarkEnd w:id="148"/>
      <w:bookmarkEnd w:id="149"/>
    </w:p>
    <w:p w14:paraId="67968C6D">
      <w:pPr>
        <w:kinsoku/>
        <w:spacing w:before="0" w:beforeLines="0" w:afterLines="0"/>
        <w:ind w:right="0" w:firstLine="0" w:firstLineChars="0"/>
        <w:jc w:val="left"/>
        <w:rPr>
          <w:rFonts w:cs="宋体"/>
          <w:color w:val="auto"/>
          <w:spacing w:val="0"/>
          <w:szCs w:val="21"/>
          <w:highlight w:val="none"/>
          <w:lang w:eastAsia="zh-CN"/>
        </w:rPr>
      </w:pPr>
      <w:r>
        <w:rPr>
          <w:rFonts w:cs="宋体"/>
          <w:color w:val="auto"/>
          <w:spacing w:val="0"/>
          <w:highlight w:val="none"/>
          <w:lang w:eastAsia="zh-CN"/>
        </w:rPr>
        <w:t>投标文件不允许偏离招标文件的实质性要求和条件。允许投标文件偏离招标文件</w:t>
      </w:r>
      <w:bookmarkStart w:id="150" w:name="_Toc14660"/>
      <w:bookmarkStart w:id="151" w:name="_Toc4392"/>
      <w:r>
        <w:rPr>
          <w:rFonts w:cs="宋体"/>
          <w:color w:val="auto"/>
          <w:spacing w:val="0"/>
          <w:szCs w:val="21"/>
          <w:highlight w:val="none"/>
          <w:lang w:eastAsia="zh-CN"/>
        </w:rPr>
        <w:t>的非实质性要求和条件的，其偏离内容、范围和幅度见投标人须知前附表。</w:t>
      </w:r>
      <w:bookmarkEnd w:id="150"/>
      <w:bookmarkEnd w:id="151"/>
    </w:p>
    <w:p w14:paraId="5B5F45B3">
      <w:pPr>
        <w:pStyle w:val="3"/>
        <w:kinsoku/>
        <w:wordWrap/>
        <w:spacing w:before="0" w:beforeLines="0" w:afterLines="0"/>
        <w:jc w:val="both"/>
        <w:outlineLvl w:val="1"/>
        <w:rPr>
          <w:rFonts w:cs="宋体"/>
          <w:b/>
          <w:bCs/>
          <w:color w:val="auto"/>
          <w:sz w:val="30"/>
          <w:szCs w:val="30"/>
          <w:highlight w:val="none"/>
          <w:lang w:eastAsia="zh-CN"/>
        </w:rPr>
      </w:pPr>
      <w:bookmarkStart w:id="152" w:name="_Toc25526"/>
      <w:bookmarkStart w:id="153" w:name="_Toc32467"/>
      <w:bookmarkStart w:id="154" w:name="_Toc10074"/>
      <w:bookmarkStart w:id="155" w:name="_Toc11226"/>
      <w:bookmarkStart w:id="156" w:name="_Toc4058"/>
      <w:bookmarkStart w:id="157" w:name="_Toc9021"/>
      <w:bookmarkStart w:id="158" w:name="_Toc31070"/>
      <w:bookmarkStart w:id="159" w:name="_Toc510"/>
      <w:bookmarkStart w:id="160" w:name="_Toc16211"/>
      <w:bookmarkStart w:id="161" w:name="_Toc7983"/>
      <w:bookmarkStart w:id="162" w:name="_Toc11585"/>
      <w:bookmarkStart w:id="163" w:name="_Toc19487"/>
      <w:bookmarkStart w:id="164" w:name="_Toc2504"/>
      <w:bookmarkStart w:id="165" w:name="_Toc5401"/>
      <w:bookmarkStart w:id="166" w:name="_Toc20964"/>
      <w:r>
        <w:rPr>
          <w:rFonts w:hint="eastAsia" w:ascii="宋体" w:hAnsi="宋体" w:eastAsia="宋体" w:cs="宋体"/>
          <w:b/>
          <w:bCs/>
          <w:color w:val="auto"/>
          <w:spacing w:val="3"/>
          <w:sz w:val="30"/>
          <w:szCs w:val="30"/>
          <w:highlight w:val="none"/>
        </w:rPr>
        <w:t>2</w:t>
      </w:r>
      <w:r>
        <w:rPr>
          <w:rFonts w:hint="eastAsia" w:cs="宋体"/>
          <w:b/>
          <w:bCs/>
          <w:color w:val="auto"/>
          <w:spacing w:val="3"/>
          <w:sz w:val="30"/>
          <w:szCs w:val="30"/>
          <w:highlight w:val="none"/>
          <w:lang w:eastAsia="zh-CN"/>
        </w:rPr>
        <w:t>　</w:t>
      </w:r>
      <w:r>
        <w:rPr>
          <w:rFonts w:hint="eastAsia" w:ascii="宋体" w:hAnsi="宋体" w:eastAsia="宋体" w:cs="宋体"/>
          <w:b/>
          <w:bCs/>
          <w:color w:val="auto"/>
          <w:spacing w:val="3"/>
          <w:sz w:val="30"/>
          <w:szCs w:val="30"/>
          <w:highlight w:val="none"/>
        </w:rPr>
        <w:t>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9F2DACA">
      <w:pPr>
        <w:pStyle w:val="4"/>
        <w:kinsoku/>
        <w:spacing w:before="0" w:beforeLines="0" w:afterLines="0"/>
        <w:jc w:val="both"/>
        <w:rPr>
          <w:rFonts w:hint="eastAsia" w:ascii="宋体" w:hAnsi="宋体" w:eastAsia="宋体" w:cs="宋体"/>
          <w:b/>
          <w:bCs/>
          <w:color w:val="auto"/>
          <w:szCs w:val="24"/>
          <w:highlight w:val="none"/>
          <w:lang w:eastAsia="zh-CN"/>
        </w:rPr>
      </w:pPr>
      <w:bookmarkStart w:id="167" w:name="_Toc5246"/>
      <w:bookmarkStart w:id="168" w:name="_Toc21026"/>
      <w:bookmarkStart w:id="169" w:name="_Toc31572"/>
      <w:r>
        <w:rPr>
          <w:rFonts w:hint="eastAsia" w:ascii="宋体" w:hAnsi="宋体" w:eastAsia="宋体" w:cs="宋体"/>
          <w:b/>
          <w:bCs/>
          <w:color w:val="auto"/>
          <w:spacing w:val="-2"/>
          <w:szCs w:val="24"/>
          <w:highlight w:val="none"/>
        </w:rPr>
        <w:t>2.1</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招标文件的组成</w:t>
      </w:r>
      <w:bookmarkEnd w:id="167"/>
      <w:bookmarkEnd w:id="168"/>
      <w:bookmarkEnd w:id="169"/>
    </w:p>
    <w:p w14:paraId="13E277A7">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本招标文件包括下列内容：</w:t>
      </w:r>
    </w:p>
    <w:p w14:paraId="603F20BD">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1</w:t>
      </w:r>
      <w:r>
        <w:rPr>
          <w:rFonts w:cs="宋体"/>
          <w:color w:val="auto"/>
          <w:spacing w:val="0"/>
          <w:position w:val="0"/>
          <w:highlight w:val="none"/>
          <w:lang w:eastAsia="zh-CN"/>
        </w:rPr>
        <w:t>）招标公告（或投标邀请书）。</w:t>
      </w:r>
    </w:p>
    <w:p w14:paraId="3E868A19">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）投标人须知。</w:t>
      </w:r>
    </w:p>
    <w:p w14:paraId="0271819E">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）评标办法。</w:t>
      </w:r>
    </w:p>
    <w:p w14:paraId="6B857D8D">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4</w:t>
      </w:r>
      <w:r>
        <w:rPr>
          <w:rFonts w:cs="宋体"/>
          <w:color w:val="auto"/>
          <w:spacing w:val="0"/>
          <w:position w:val="0"/>
          <w:highlight w:val="none"/>
          <w:lang w:eastAsia="zh-CN"/>
        </w:rPr>
        <w:t>）合同条款及格式。</w:t>
      </w:r>
    </w:p>
    <w:p w14:paraId="028D41DB">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）工程量清单。</w:t>
      </w:r>
    </w:p>
    <w:p w14:paraId="38DBA39A">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6</w:t>
      </w:r>
      <w:r>
        <w:rPr>
          <w:rFonts w:cs="宋体"/>
          <w:color w:val="auto"/>
          <w:spacing w:val="0"/>
          <w:highlight w:val="none"/>
          <w:lang w:eastAsia="zh-CN"/>
        </w:rPr>
        <w:t>）图纸。</w:t>
      </w:r>
    </w:p>
    <w:p w14:paraId="127DBAC8">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7</w:t>
      </w:r>
      <w:r>
        <w:rPr>
          <w:rFonts w:cs="宋体"/>
          <w:color w:val="auto"/>
          <w:spacing w:val="0"/>
          <w:position w:val="0"/>
          <w:highlight w:val="none"/>
          <w:lang w:eastAsia="zh-CN"/>
        </w:rPr>
        <w:t>）技术标准和要求。</w:t>
      </w:r>
    </w:p>
    <w:p w14:paraId="47838F97">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8</w:t>
      </w:r>
      <w:r>
        <w:rPr>
          <w:rFonts w:cs="宋体"/>
          <w:color w:val="auto"/>
          <w:spacing w:val="0"/>
          <w:highlight w:val="none"/>
          <w:lang w:eastAsia="zh-CN"/>
        </w:rPr>
        <w:t>）投标文件格式。</w:t>
      </w:r>
    </w:p>
    <w:p w14:paraId="728B59E1">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9</w:t>
      </w:r>
      <w:r>
        <w:rPr>
          <w:rFonts w:cs="宋体"/>
          <w:color w:val="auto"/>
          <w:spacing w:val="0"/>
          <w:highlight w:val="none"/>
          <w:lang w:eastAsia="zh-CN"/>
        </w:rPr>
        <w:t>）投标人须知前附表规定的其他材料。</w:t>
      </w:r>
    </w:p>
    <w:p w14:paraId="633935F2">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根据本章第</w:t>
      </w:r>
      <w:r>
        <w:rPr>
          <w:rFonts w:ascii="宋体" w:hAnsi="Times New Roman" w:eastAsia="宋体" w:cs="Times New Roman"/>
          <w:color w:val="auto"/>
          <w:spacing w:val="0"/>
          <w:position w:val="0"/>
          <w:szCs w:val="21"/>
          <w:highlight w:val="none"/>
          <w:lang w:eastAsia="zh-CN"/>
        </w:rPr>
        <w:t>1.10</w:t>
      </w:r>
      <w:r>
        <w:rPr>
          <w:rFonts w:cs="宋体"/>
          <w:color w:val="auto"/>
          <w:spacing w:val="0"/>
          <w:position w:val="0"/>
          <w:highlight w:val="none"/>
          <w:lang w:eastAsia="zh-CN"/>
        </w:rPr>
        <w:t>款、第</w:t>
      </w:r>
      <w:r>
        <w:rPr>
          <w:rFonts w:ascii="宋体" w:hAnsi="Times New Roman" w:eastAsia="宋体" w:cs="Times New Roman"/>
          <w:color w:val="auto"/>
          <w:spacing w:val="0"/>
          <w:position w:val="0"/>
          <w:szCs w:val="21"/>
          <w:highlight w:val="none"/>
          <w:lang w:eastAsia="zh-CN"/>
        </w:rPr>
        <w:t>2.2</w:t>
      </w:r>
      <w:r>
        <w:rPr>
          <w:rFonts w:cs="宋体"/>
          <w:color w:val="auto"/>
          <w:spacing w:val="0"/>
          <w:position w:val="0"/>
          <w:highlight w:val="none"/>
          <w:lang w:eastAsia="zh-CN"/>
        </w:rPr>
        <w:t>款和第</w:t>
      </w:r>
      <w:r>
        <w:rPr>
          <w:rFonts w:ascii="宋体" w:hAnsi="Times New Roman" w:eastAsia="宋体" w:cs="Times New Roman"/>
          <w:color w:val="auto"/>
          <w:spacing w:val="0"/>
          <w:position w:val="0"/>
          <w:szCs w:val="21"/>
          <w:highlight w:val="none"/>
          <w:lang w:eastAsia="zh-CN"/>
        </w:rPr>
        <w:t>2.3</w:t>
      </w:r>
      <w:r>
        <w:rPr>
          <w:rFonts w:cs="宋体"/>
          <w:color w:val="auto"/>
          <w:spacing w:val="0"/>
          <w:position w:val="0"/>
          <w:highlight w:val="none"/>
          <w:lang w:eastAsia="zh-CN"/>
        </w:rPr>
        <w:t>款对招标文件所作的澄清、修改，构成招标</w:t>
      </w:r>
      <w:r>
        <w:rPr>
          <w:rFonts w:cs="宋体"/>
          <w:color w:val="auto"/>
          <w:spacing w:val="0"/>
          <w:szCs w:val="21"/>
          <w:highlight w:val="none"/>
          <w:lang w:eastAsia="zh-CN"/>
        </w:rPr>
        <w:t>文件的组成部分。</w:t>
      </w:r>
    </w:p>
    <w:p w14:paraId="5F4A4B16">
      <w:pPr>
        <w:pStyle w:val="4"/>
        <w:kinsoku/>
        <w:spacing w:before="0" w:beforeLines="0" w:afterLines="0"/>
        <w:jc w:val="both"/>
        <w:rPr>
          <w:rFonts w:hint="eastAsia" w:ascii="宋体" w:hAnsi="宋体" w:eastAsia="宋体" w:cs="宋体"/>
          <w:b/>
          <w:bCs/>
          <w:color w:val="auto"/>
          <w:szCs w:val="24"/>
          <w:highlight w:val="none"/>
          <w:lang w:eastAsia="zh-CN"/>
        </w:rPr>
      </w:pPr>
      <w:bookmarkStart w:id="170" w:name="_Toc22852"/>
      <w:bookmarkStart w:id="171" w:name="_Toc29033"/>
      <w:bookmarkStart w:id="172" w:name="_Toc4495"/>
      <w:r>
        <w:rPr>
          <w:rFonts w:hint="eastAsia" w:ascii="宋体" w:hAnsi="宋体" w:eastAsia="宋体" w:cs="宋体"/>
          <w:b/>
          <w:bCs/>
          <w:color w:val="auto"/>
          <w:spacing w:val="-2"/>
          <w:szCs w:val="24"/>
          <w:highlight w:val="none"/>
        </w:rPr>
        <w:t>2.2</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招标文件的澄清</w:t>
      </w:r>
      <w:bookmarkEnd w:id="170"/>
      <w:bookmarkEnd w:id="171"/>
      <w:bookmarkEnd w:id="172"/>
    </w:p>
    <w:p w14:paraId="1D12B0FD">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2.2.1</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投标人应仔细阅读和检查招标文件的全部内容。如发现缺页或附件不全，应及时向招标人提出，以便补齐。如有疑问，应在投标人须知前附表规定的时间前以</w:t>
      </w:r>
      <w:r>
        <w:rPr>
          <w:rFonts w:cs="宋体"/>
          <w:color w:val="auto"/>
          <w:spacing w:val="0"/>
          <w:szCs w:val="21"/>
          <w:highlight w:val="none"/>
          <w:lang w:eastAsia="zh-CN"/>
        </w:rPr>
        <w:t>规定的形式提出澄清申请，要求招标人对招标文件予以澄清。</w:t>
      </w:r>
    </w:p>
    <w:p w14:paraId="2B05E2D9">
      <w:pPr>
        <w:kinsoku/>
        <w:spacing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2.2.2</w:t>
      </w:r>
      <w:r>
        <w:rPr>
          <w:rFonts w:hint="eastAsia" w:hAnsi="Times New Roman" w:cs="Times New Roman"/>
          <w:b/>
          <w:bCs/>
          <w:color w:val="auto"/>
          <w:highlight w:val="none"/>
          <w:lang w:eastAsia="zh-CN"/>
        </w:rPr>
        <w:t>　</w:t>
      </w:r>
      <w:r>
        <w:rPr>
          <w:rFonts w:cs="宋体"/>
          <w:color w:val="auto"/>
          <w:highlight w:val="none"/>
          <w:lang w:eastAsia="zh-CN"/>
        </w:rPr>
        <w:t>招标人可以对已发出的招标文件进行必要的澄清，但不指明澄清问题的来源。修改招标文件的时间距投标截止时间不足</w:t>
      </w:r>
      <w:r>
        <w:rPr>
          <w:rFonts w:ascii="宋体" w:hAnsi="Times New Roman" w:eastAsia="宋体" w:cs="Times New Roman"/>
          <w:b/>
          <w:bCs/>
          <w:color w:val="auto"/>
          <w:szCs w:val="21"/>
          <w:highlight w:val="none"/>
          <w:lang w:eastAsia="zh-CN"/>
        </w:rPr>
        <w:t>7</w:t>
      </w:r>
      <w:r>
        <w:rPr>
          <w:rFonts w:cs="宋体"/>
          <w:color w:val="auto"/>
          <w:highlight w:val="none"/>
          <w:lang w:eastAsia="zh-CN"/>
        </w:rPr>
        <w:t>日的，相应延长投标截止时间。澄清</w:t>
      </w:r>
      <w:r>
        <w:rPr>
          <w:rFonts w:cs="宋体"/>
          <w:color w:val="auto"/>
          <w:spacing w:val="0"/>
          <w:szCs w:val="21"/>
          <w:highlight w:val="none"/>
          <w:lang w:eastAsia="zh-CN"/>
        </w:rPr>
        <w:t>的内容可能影响投标文件编制的，招标人应当在投标截止时间至少</w:t>
      </w:r>
      <w:r>
        <w:rPr>
          <w:rFonts w:ascii="宋体" w:hAnsi="Times New Roman" w:eastAsia="宋体" w:cs="Times New Roman"/>
          <w:color w:val="auto"/>
          <w:spacing w:val="0"/>
          <w:szCs w:val="21"/>
          <w:highlight w:val="none"/>
          <w:lang w:eastAsia="zh-CN"/>
        </w:rPr>
        <w:t>15</w:t>
      </w:r>
      <w:r>
        <w:rPr>
          <w:rFonts w:cs="宋体"/>
          <w:color w:val="auto"/>
          <w:spacing w:val="0"/>
          <w:highlight w:val="none"/>
          <w:lang w:eastAsia="zh-CN"/>
        </w:rPr>
        <w:t>日前，以投标人须知前附表规定的形式通知所有获取招标文件的潜在投标人，不足</w:t>
      </w:r>
      <w:r>
        <w:rPr>
          <w:rFonts w:ascii="宋体" w:hAnsi="Times New Roman" w:eastAsia="宋体" w:cs="Times New Roman"/>
          <w:color w:val="auto"/>
          <w:spacing w:val="0"/>
          <w:szCs w:val="21"/>
          <w:highlight w:val="none"/>
          <w:lang w:eastAsia="zh-CN"/>
        </w:rPr>
        <w:t>15</w:t>
      </w:r>
      <w:r>
        <w:rPr>
          <w:rFonts w:cs="宋体"/>
          <w:color w:val="auto"/>
          <w:spacing w:val="0"/>
          <w:highlight w:val="none"/>
          <w:lang w:eastAsia="zh-CN"/>
        </w:rPr>
        <w:t>日的，招标人应</w:t>
      </w:r>
      <w:r>
        <w:rPr>
          <w:rFonts w:cs="宋体"/>
          <w:color w:val="auto"/>
          <w:spacing w:val="0"/>
          <w:szCs w:val="21"/>
          <w:highlight w:val="none"/>
          <w:lang w:eastAsia="zh-CN"/>
        </w:rPr>
        <w:t>当顺延提交投标文件的截止时间。</w:t>
      </w:r>
    </w:p>
    <w:p w14:paraId="0D0EBA7B">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2.2.3</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投标人在收到澄清通知后，无需确认。</w:t>
      </w:r>
    </w:p>
    <w:p w14:paraId="4DE98D84">
      <w:pPr>
        <w:pStyle w:val="4"/>
        <w:kinsoku/>
        <w:spacing w:before="0" w:beforeLines="0" w:afterLines="0"/>
        <w:jc w:val="both"/>
        <w:rPr>
          <w:rFonts w:hint="eastAsia" w:ascii="宋体" w:hAnsi="宋体" w:eastAsia="宋体" w:cs="宋体"/>
          <w:b/>
          <w:bCs/>
          <w:color w:val="auto"/>
          <w:szCs w:val="24"/>
          <w:highlight w:val="none"/>
          <w:lang w:eastAsia="zh-CN"/>
        </w:rPr>
      </w:pPr>
      <w:bookmarkStart w:id="173" w:name="_Toc6762"/>
      <w:bookmarkStart w:id="174" w:name="_Toc24590"/>
      <w:bookmarkStart w:id="175" w:name="_Toc14572"/>
      <w:r>
        <w:rPr>
          <w:rFonts w:hint="eastAsia" w:ascii="宋体" w:hAnsi="宋体" w:eastAsia="宋体" w:cs="宋体"/>
          <w:b/>
          <w:bCs/>
          <w:color w:val="auto"/>
          <w:spacing w:val="-2"/>
          <w:szCs w:val="24"/>
          <w:highlight w:val="none"/>
        </w:rPr>
        <w:t>2.3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招标文件的修改</w:t>
      </w:r>
      <w:bookmarkEnd w:id="173"/>
      <w:bookmarkEnd w:id="174"/>
      <w:bookmarkEnd w:id="175"/>
    </w:p>
    <w:p w14:paraId="7936FFB1">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2.3.1</w:t>
      </w:r>
      <w:r>
        <w:rPr>
          <w:rFonts w:hint="eastAsia" w:hAnsi="Times New Roman" w:cs="Times New Roman"/>
          <w:b/>
          <w:bCs/>
          <w:color w:val="auto"/>
          <w:highlight w:val="none"/>
          <w:lang w:eastAsia="zh-CN"/>
        </w:rPr>
        <w:t>　</w:t>
      </w:r>
      <w:r>
        <w:rPr>
          <w:rFonts w:cs="宋体"/>
          <w:color w:val="auto"/>
          <w:highlight w:val="none"/>
          <w:lang w:eastAsia="zh-CN"/>
        </w:rPr>
        <w:t>招标人可以对已发出的招标文件进行必要的修改。修改招标文件的时间距投标截止时间不足</w:t>
      </w:r>
      <w:r>
        <w:rPr>
          <w:rFonts w:ascii="宋体" w:hAnsi="Times New Roman" w:eastAsia="宋体" w:cs="Times New Roman"/>
          <w:b/>
          <w:bCs/>
          <w:color w:val="auto"/>
          <w:szCs w:val="21"/>
          <w:highlight w:val="none"/>
          <w:lang w:eastAsia="zh-CN"/>
        </w:rPr>
        <w:t>7</w:t>
      </w:r>
      <w:r>
        <w:rPr>
          <w:rFonts w:cs="宋体"/>
          <w:color w:val="auto"/>
          <w:highlight w:val="none"/>
          <w:lang w:eastAsia="zh-CN"/>
        </w:rPr>
        <w:t>日的，相应延长投标截止时间。修改的内容可能影响投标文件编</w:t>
      </w:r>
      <w:r>
        <w:rPr>
          <w:rFonts w:cs="宋体"/>
          <w:color w:val="auto"/>
          <w:spacing w:val="0"/>
          <w:szCs w:val="21"/>
          <w:highlight w:val="none"/>
          <w:lang w:eastAsia="zh-CN"/>
        </w:rPr>
        <w:t>制的，招标人应当在投标截止时间至少</w:t>
      </w:r>
      <w:r>
        <w:rPr>
          <w:rFonts w:ascii="宋体" w:hAnsi="Times New Roman" w:eastAsia="宋体" w:cs="Times New Roman"/>
          <w:color w:val="auto"/>
          <w:spacing w:val="0"/>
          <w:szCs w:val="21"/>
          <w:highlight w:val="none"/>
          <w:lang w:eastAsia="zh-CN"/>
        </w:rPr>
        <w:t>15</w:t>
      </w:r>
      <w:r>
        <w:rPr>
          <w:rFonts w:cs="宋体"/>
          <w:color w:val="auto"/>
          <w:spacing w:val="0"/>
          <w:highlight w:val="none"/>
          <w:lang w:eastAsia="zh-CN"/>
        </w:rPr>
        <w:t>日前，以投标人须知前附表规定的形式通知</w:t>
      </w:r>
      <w:r>
        <w:rPr>
          <w:rFonts w:cs="宋体"/>
          <w:color w:val="auto"/>
          <w:spacing w:val="0"/>
          <w:szCs w:val="21"/>
          <w:highlight w:val="none"/>
          <w:lang w:eastAsia="zh-CN"/>
        </w:rPr>
        <w:t>所有获取招标文件的潜在投标人，不足</w:t>
      </w:r>
      <w:r>
        <w:rPr>
          <w:rFonts w:ascii="宋体" w:hAnsi="Times New Roman" w:eastAsia="宋体" w:cs="Times New Roman"/>
          <w:color w:val="auto"/>
          <w:spacing w:val="0"/>
          <w:szCs w:val="21"/>
          <w:highlight w:val="none"/>
          <w:lang w:eastAsia="zh-CN"/>
        </w:rPr>
        <w:t>15</w:t>
      </w:r>
      <w:r>
        <w:rPr>
          <w:rFonts w:cs="宋体"/>
          <w:color w:val="auto"/>
          <w:spacing w:val="0"/>
          <w:highlight w:val="none"/>
          <w:lang w:eastAsia="zh-CN"/>
        </w:rPr>
        <w:t>日的，招标人应当顺延提交投标文件的截止时间。</w:t>
      </w:r>
    </w:p>
    <w:p w14:paraId="1F49850E">
      <w:pPr>
        <w:kinsoku/>
        <w:spacing w:before="0" w:beforeLines="0" w:afterLines="0"/>
        <w:ind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2.3.2</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投标人收到修改通知后，无需确认。</w:t>
      </w:r>
    </w:p>
    <w:p w14:paraId="24FC4CAA">
      <w:pPr>
        <w:kinsoku/>
        <w:spacing w:beforeLines="0" w:afterLines="0"/>
        <w:ind w:firstLine="0" w:firstLineChars="0"/>
        <w:jc w:val="left"/>
        <w:rPr>
          <w:rFonts w:ascii="宋体" w:eastAsia="宋体" w:cs="新宋体" w:hAnsiTheme="minorEastAsia"/>
          <w:color w:val="auto"/>
          <w:sz w:val="24"/>
          <w:szCs w:val="24"/>
          <w:highlight w:val="none"/>
          <w:u w:val="single"/>
          <w:lang w:eastAsia="zh-CN"/>
        </w:rPr>
      </w:pPr>
      <w:r>
        <w:rPr>
          <w:rFonts w:ascii="宋体" w:hAnsi="Times New Roman" w:eastAsia="宋体" w:cs="Times New Roman"/>
          <w:b/>
          <w:bCs/>
          <w:color w:val="auto"/>
          <w:spacing w:val="0"/>
          <w:szCs w:val="21"/>
          <w:highlight w:val="none"/>
          <w:lang w:eastAsia="zh-CN"/>
        </w:rPr>
        <w:t>2.3.3</w:t>
      </w:r>
      <w:r>
        <w:rPr>
          <w:rFonts w:hint="eastAsia" w:hAnsi="Times New Roman" w:cs="Times New Roman"/>
          <w:b/>
          <w:bCs/>
          <w:color w:val="auto"/>
          <w:spacing w:val="0"/>
          <w:highlight w:val="none"/>
          <w:lang w:eastAsia="zh-CN"/>
        </w:rPr>
        <w:t>　</w:t>
      </w:r>
      <w:r>
        <w:rPr>
          <w:rFonts w:cs="宋体"/>
          <w:color w:val="auto"/>
          <w:spacing w:val="0"/>
          <w:highlight w:val="none"/>
          <w:lang w:eastAsia="zh-CN"/>
        </w:rPr>
        <w:t>潜在投标人或者其他利害关系人对招标文件有异议的，应当在投标截止时间</w:t>
      </w:r>
      <w:r>
        <w:rPr>
          <w:rFonts w:ascii="宋体" w:hAnsi="Times New Roman" w:eastAsia="宋体" w:cs="Times New Roman"/>
          <w:color w:val="auto"/>
          <w:szCs w:val="21"/>
          <w:highlight w:val="none"/>
          <w:lang w:eastAsia="zh-CN"/>
        </w:rPr>
        <w:t>10</w:t>
      </w:r>
      <w:r>
        <w:rPr>
          <w:rFonts w:cs="宋体"/>
          <w:color w:val="auto"/>
          <w:highlight w:val="none"/>
          <w:lang w:eastAsia="zh-CN"/>
        </w:rPr>
        <w:t>日前提出。招标人应当自收到异议之日起</w:t>
      </w:r>
      <w:r>
        <w:rPr>
          <w:rFonts w:ascii="宋体" w:hAnsi="Times New Roman" w:eastAsia="宋体" w:cs="Times New Roman"/>
          <w:color w:val="auto"/>
          <w:szCs w:val="21"/>
          <w:highlight w:val="none"/>
          <w:lang w:eastAsia="zh-CN"/>
        </w:rPr>
        <w:t>3</w:t>
      </w:r>
      <w:r>
        <w:rPr>
          <w:rFonts w:cs="宋体"/>
          <w:color w:val="auto"/>
          <w:highlight w:val="none"/>
          <w:lang w:eastAsia="zh-CN"/>
        </w:rPr>
        <w:t>日内作出答复；作出答复前，应当暂停</w:t>
      </w:r>
      <w:r>
        <w:rPr>
          <w:rFonts w:cs="宋体"/>
          <w:color w:val="auto"/>
          <w:spacing w:val="0"/>
          <w:szCs w:val="21"/>
          <w:highlight w:val="none"/>
          <w:lang w:eastAsia="zh-CN"/>
        </w:rPr>
        <w:t>招标投标活动。提出异议与作出答复均应通过</w:t>
      </w:r>
      <w:r>
        <w:rPr>
          <w:rFonts w:hint="eastAsia" w:cs="宋体"/>
          <w:color w:val="auto"/>
          <w:spacing w:val="0"/>
          <w:szCs w:val="21"/>
          <w:highlight w:val="none"/>
          <w:lang w:eastAsia="zh-CN"/>
        </w:rPr>
        <w:t>纸质版加盖投标单位公章扫描成</w:t>
      </w:r>
      <w:r>
        <w:rPr>
          <w:rFonts w:cs="宋体"/>
          <w:color w:val="auto"/>
          <w:spacing w:val="0"/>
          <w:szCs w:val="21"/>
          <w:highlight w:val="none"/>
          <w:lang w:eastAsia="zh-CN"/>
        </w:rPr>
        <w:t>PDF格式文件发送至邮箱：</w:t>
      </w:r>
      <w:r>
        <w:rPr>
          <w:rFonts w:ascii="宋体" w:hAnsi="Times New Roman" w:cs="Times New Roman"/>
          <w:color w:val="auto"/>
          <w:highlight w:val="none"/>
          <w:lang w:eastAsia="zh-CN"/>
        </w:rPr>
        <w:t>284539594@qq.com</w:t>
      </w:r>
      <w:r>
        <w:rPr>
          <w:rFonts w:cs="宋体"/>
          <w:strike/>
          <w:color w:val="auto"/>
          <w:spacing w:val="0"/>
          <w:highlight w:val="none"/>
          <w:lang w:eastAsia="zh-CN"/>
        </w:rPr>
        <w:t>下载招标文</w:t>
      </w:r>
      <w:r>
        <w:rPr>
          <w:rFonts w:hint="eastAsia" w:ascii="宋体" w:eastAsia="宋体" w:cs="新宋体" w:hAnsiTheme="minorEastAsia"/>
          <w:strike/>
          <w:color w:val="auto"/>
          <w:sz w:val="24"/>
          <w:szCs w:val="24"/>
          <w:highlight w:val="none"/>
          <w:lang w:eastAsia="zh-CN"/>
        </w:rPr>
        <w:t>件的电子招标投标交易平台完成</w:t>
      </w:r>
      <w:r>
        <w:rPr>
          <w:rFonts w:hint="eastAsia" w:ascii="宋体" w:eastAsia="宋体" w:cs="新宋体" w:hAnsiTheme="minorEastAsia"/>
          <w:color w:val="auto"/>
          <w:sz w:val="24"/>
          <w:szCs w:val="24"/>
          <w:highlight w:val="none"/>
          <w:lang w:eastAsia="zh-CN"/>
        </w:rPr>
        <w:t>。</w:t>
      </w:r>
    </w:p>
    <w:p w14:paraId="3560EF2E">
      <w:pPr>
        <w:pStyle w:val="3"/>
        <w:kinsoku/>
        <w:wordWrap/>
        <w:spacing w:before="0" w:beforeLines="0" w:afterLines="0"/>
        <w:jc w:val="both"/>
        <w:outlineLvl w:val="1"/>
        <w:rPr>
          <w:rFonts w:hint="eastAsia" w:ascii="宋体" w:hAnsi="宋体" w:eastAsia="宋体" w:cs="宋体"/>
          <w:b/>
          <w:bCs/>
          <w:color w:val="auto"/>
          <w:sz w:val="30"/>
          <w:szCs w:val="30"/>
          <w:highlight w:val="none"/>
          <w:u w:val="single"/>
          <w:lang w:eastAsia="zh-CN"/>
        </w:rPr>
      </w:pPr>
      <w:bookmarkStart w:id="176" w:name="_Toc26348"/>
      <w:bookmarkStart w:id="177" w:name="_Toc10369"/>
      <w:bookmarkStart w:id="178" w:name="_Toc31130"/>
      <w:bookmarkStart w:id="179" w:name="_Toc14842"/>
      <w:bookmarkStart w:id="180" w:name="_Toc15626"/>
      <w:bookmarkStart w:id="181" w:name="_Toc3301"/>
      <w:bookmarkStart w:id="182" w:name="_Toc30401"/>
      <w:bookmarkStart w:id="183" w:name="_Toc28060"/>
      <w:bookmarkStart w:id="184" w:name="_Toc9662"/>
      <w:bookmarkStart w:id="185" w:name="_Toc10904"/>
      <w:bookmarkStart w:id="186" w:name="_Toc4031"/>
      <w:bookmarkStart w:id="187" w:name="_Toc15949"/>
      <w:bookmarkStart w:id="188" w:name="_Toc9822"/>
      <w:bookmarkStart w:id="189" w:name="_Toc4179"/>
      <w:bookmarkStart w:id="190" w:name="_Toc18491"/>
      <w:r>
        <w:rPr>
          <w:rStyle w:val="60"/>
          <w:rFonts w:hint="eastAsia" w:ascii="宋体" w:hAnsi="宋体" w:eastAsia="宋体" w:cs="宋体"/>
          <w:b/>
          <w:bCs/>
          <w:color w:val="auto"/>
          <w:spacing w:val="3"/>
          <w:sz w:val="30"/>
          <w:szCs w:val="30"/>
          <w:highlight w:val="none"/>
        </w:rPr>
        <w:t>3</w:t>
      </w:r>
      <w:r>
        <w:rPr>
          <w:rStyle w:val="60"/>
          <w:rFonts w:hint="eastAsia" w:cs="宋体"/>
          <w:b/>
          <w:bCs/>
          <w:color w:val="auto"/>
          <w:spacing w:val="3"/>
          <w:sz w:val="30"/>
          <w:szCs w:val="30"/>
          <w:highlight w:val="none"/>
        </w:rPr>
        <w:t>　</w:t>
      </w:r>
      <w:r>
        <w:rPr>
          <w:rStyle w:val="60"/>
          <w:rFonts w:hint="eastAsia" w:ascii="宋体" w:hAnsi="宋体" w:eastAsia="宋体" w:cs="宋体"/>
          <w:b/>
          <w:bCs/>
          <w:color w:val="auto"/>
          <w:spacing w:val="3"/>
          <w:sz w:val="30"/>
          <w:szCs w:val="30"/>
          <w:highlight w:val="none"/>
        </w:rPr>
        <w:t>投标文件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7AFC35EB">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191" w:name="_Toc10838"/>
      <w:bookmarkStart w:id="192" w:name="_Toc30051"/>
      <w:bookmarkStart w:id="193" w:name="_Toc29038"/>
      <w:r>
        <w:rPr>
          <w:rFonts w:hint="eastAsia" w:ascii="宋体" w:hAnsi="宋体" w:eastAsia="宋体" w:cs="宋体"/>
          <w:b/>
          <w:bCs/>
          <w:color w:val="auto"/>
          <w:spacing w:val="-2"/>
          <w:szCs w:val="24"/>
          <w:highlight w:val="none"/>
        </w:rPr>
        <w:t>3.1</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投标文件的组成</w:t>
      </w:r>
      <w:bookmarkEnd w:id="191"/>
      <w:bookmarkEnd w:id="192"/>
      <w:bookmarkEnd w:id="193"/>
    </w:p>
    <w:p w14:paraId="32183A6E">
      <w:pPr>
        <w:keepNext w:val="0"/>
        <w:keepLines w:val="0"/>
        <w:pageBreakBefore w:val="0"/>
        <w:widowControl w:val="0"/>
        <w:kinsoku/>
        <w:wordWrap/>
        <w:overflowPunct/>
        <w:topLinePunct w:val="0"/>
        <w:autoSpaceDE/>
        <w:autoSpaceDN/>
        <w:bidi w:val="0"/>
        <w:adjustRightInd w:val="0"/>
        <w:snapToGrid w:val="0"/>
        <w:spacing w:beforeLines="0" w:afterLines="0"/>
        <w:ind w:firstLine="0" w:firstLineChars="0"/>
        <w:jc w:val="left"/>
        <w:textAlignment w:val="baseline"/>
        <w:rPr>
          <w:rFonts w:hint="eastAsia" w:ascii="宋体" w:eastAsia="宋体" w:cs="新宋体" w:hAnsiTheme="minorEastAsia"/>
          <w:color w:val="auto"/>
          <w:szCs w:val="21"/>
          <w:highlight w:val="cyan"/>
          <w:lang w:eastAsia="zh-CN"/>
        </w:rPr>
      </w:pPr>
      <w:r>
        <w:rPr>
          <w:rFonts w:ascii="宋体" w:hAnsi="Times New Roman" w:eastAsia="宋体" w:cs="Times New Roman"/>
          <w:b/>
          <w:bCs/>
          <w:color w:val="auto"/>
          <w:spacing w:val="0"/>
          <w:szCs w:val="21"/>
          <w:highlight w:val="none"/>
          <w:lang w:eastAsia="zh-CN"/>
        </w:rPr>
        <w:t>3.1.1</w:t>
      </w:r>
      <w:r>
        <w:rPr>
          <w:rFonts w:hint="eastAsia" w:cs="新宋体" w:hAnsiTheme="minorEastAsia"/>
          <w:color w:val="auto"/>
          <w:highlight w:val="none"/>
          <w:lang w:eastAsia="zh-CN"/>
        </w:rPr>
        <w:t>　</w:t>
      </w:r>
      <w:r>
        <w:rPr>
          <w:rFonts w:hint="eastAsia" w:ascii="宋体" w:eastAsia="宋体" w:cs="新宋体" w:hAnsiTheme="minorEastAsia"/>
          <w:color w:val="auto"/>
          <w:szCs w:val="21"/>
          <w:highlight w:val="cyan"/>
          <w:lang w:eastAsia="zh-CN"/>
        </w:rPr>
        <w:t>投标文件根据评标办法由投标文件商务标、资格审查、技术标、资信标资料组成。（下列投标资料具体详见第八章投标文件格式）</w:t>
      </w:r>
    </w:p>
    <w:p w14:paraId="56BB8FB4">
      <w:pPr>
        <w:kinsoku/>
        <w:spacing w:beforeLines="0" w:afterLines="0"/>
        <w:ind w:firstLine="420"/>
        <w:jc w:val="left"/>
        <w:rPr>
          <w:rFonts w:hint="eastAsia" w:ascii="宋体" w:eastAsia="宋体" w:cs="新宋体" w:hAnsiTheme="minorEastAsia"/>
          <w:color w:val="auto"/>
          <w:szCs w:val="21"/>
          <w:highlight w:val="cyan"/>
          <w:lang w:eastAsia="zh-CN"/>
        </w:rPr>
      </w:pPr>
      <w:r>
        <w:rPr>
          <w:rFonts w:hint="eastAsia" w:ascii="宋体" w:eastAsia="宋体" w:cs="新宋体" w:hAnsiTheme="minorEastAsia"/>
          <w:color w:val="auto"/>
          <w:szCs w:val="21"/>
          <w:highlight w:val="cyan"/>
          <w:lang w:eastAsia="zh-CN"/>
        </w:rPr>
        <w:t>1、商务标：封面；①投标函及投标函附录；②法定代表人身份证明；③授权委托书；④已标价工程量清单。（详见第八章投标文件格式“一、二、三、六项”）</w:t>
      </w:r>
    </w:p>
    <w:p w14:paraId="32B196BF">
      <w:pPr>
        <w:kinsoku/>
        <w:spacing w:beforeLines="0" w:afterLines="0"/>
        <w:ind w:firstLine="420"/>
        <w:jc w:val="left"/>
        <w:rPr>
          <w:rFonts w:hint="eastAsia" w:ascii="宋体" w:eastAsia="宋体" w:cs="新宋体" w:hAnsiTheme="minorEastAsia"/>
          <w:color w:val="auto"/>
          <w:szCs w:val="21"/>
          <w:highlight w:val="cyan"/>
          <w:lang w:eastAsia="zh-CN"/>
        </w:rPr>
      </w:pPr>
      <w:r>
        <w:rPr>
          <w:rFonts w:hint="eastAsia" w:ascii="宋体" w:eastAsia="宋体" w:cs="新宋体" w:hAnsiTheme="minorEastAsia"/>
          <w:color w:val="auto"/>
          <w:szCs w:val="21"/>
          <w:highlight w:val="cyan"/>
          <w:lang w:eastAsia="zh-CN"/>
        </w:rPr>
        <w:t>2、资格审查资料：封面；资格审查资料详见投标人须知前附表第10.3款规定。（详见第八章投标文件格式“四、五、十、十一、十二项”）</w:t>
      </w:r>
    </w:p>
    <w:p w14:paraId="69EF81C1">
      <w:pPr>
        <w:kinsoku/>
        <w:spacing w:beforeLines="0" w:afterLines="0"/>
        <w:ind w:firstLine="420"/>
        <w:jc w:val="left"/>
        <w:rPr>
          <w:rFonts w:hint="eastAsia" w:ascii="宋体" w:eastAsia="宋体" w:cs="新宋体" w:hAnsiTheme="minorEastAsia"/>
          <w:color w:val="auto"/>
          <w:szCs w:val="21"/>
          <w:highlight w:val="cyan"/>
          <w:lang w:eastAsia="zh-CN"/>
        </w:rPr>
      </w:pPr>
      <w:r>
        <w:rPr>
          <w:rFonts w:hint="eastAsia" w:ascii="宋体" w:eastAsia="宋体" w:cs="新宋体" w:hAnsiTheme="minorEastAsia"/>
          <w:color w:val="auto"/>
          <w:szCs w:val="21"/>
          <w:highlight w:val="cyan"/>
          <w:lang w:eastAsia="zh-CN"/>
        </w:rPr>
        <w:t>3、技术标：封面；技术标资料详见第八章投标文件格式“七、八</w:t>
      </w:r>
      <w:r>
        <w:rPr>
          <w:rFonts w:hint="eastAsia" w:cs="新宋体" w:hAnsiTheme="minorEastAsia"/>
          <w:color w:val="auto"/>
          <w:szCs w:val="21"/>
          <w:highlight w:val="cyan"/>
          <w:lang w:eastAsia="zh-CN"/>
        </w:rPr>
        <w:t>、</w:t>
      </w:r>
      <w:r>
        <w:rPr>
          <w:rFonts w:hint="eastAsia" w:cs="新宋体" w:hAnsiTheme="minorEastAsia"/>
          <w:color w:val="auto"/>
          <w:szCs w:val="21"/>
          <w:highlight w:val="cyan"/>
          <w:lang w:val="en-US" w:eastAsia="zh-CN"/>
        </w:rPr>
        <w:t>九</w:t>
      </w:r>
      <w:r>
        <w:rPr>
          <w:rFonts w:hint="eastAsia" w:ascii="宋体" w:eastAsia="宋体" w:cs="新宋体" w:hAnsiTheme="minorEastAsia"/>
          <w:color w:val="auto"/>
          <w:szCs w:val="21"/>
          <w:highlight w:val="cyan"/>
          <w:lang w:eastAsia="zh-CN"/>
        </w:rPr>
        <w:t>项”。</w:t>
      </w:r>
    </w:p>
    <w:p w14:paraId="1224ACFA">
      <w:pPr>
        <w:kinsoku/>
        <w:spacing w:beforeLines="0" w:afterLines="0"/>
        <w:ind w:firstLine="420"/>
        <w:jc w:val="left"/>
        <w:rPr>
          <w:rFonts w:hint="eastAsia" w:ascii="宋体" w:eastAsia="宋体" w:cs="新宋体" w:hAnsiTheme="minorEastAsia"/>
          <w:color w:val="auto"/>
          <w:szCs w:val="21"/>
          <w:highlight w:val="cyan"/>
          <w:lang w:eastAsia="zh-CN"/>
        </w:rPr>
      </w:pPr>
      <w:r>
        <w:rPr>
          <w:rFonts w:hint="eastAsia" w:ascii="宋体" w:eastAsia="宋体" w:cs="新宋体" w:hAnsiTheme="minorEastAsia"/>
          <w:color w:val="auto"/>
          <w:szCs w:val="21"/>
          <w:highlight w:val="cyan"/>
          <w:lang w:eastAsia="zh-CN"/>
        </w:rPr>
        <w:t>4、资信标：封面；资信标资料详见第三章评标办法（综合评估法）4.4。</w:t>
      </w:r>
    </w:p>
    <w:p w14:paraId="6B701F81">
      <w:pPr>
        <w:kinsoku/>
        <w:spacing w:beforeLines="0" w:afterLines="0"/>
        <w:ind w:firstLine="420"/>
        <w:jc w:val="left"/>
        <w:rPr>
          <w:rFonts w:ascii="宋体" w:eastAsia="宋体" w:cs="新宋体" w:hAnsiTheme="minorEastAsia"/>
          <w:color w:val="auto"/>
          <w:szCs w:val="21"/>
          <w:highlight w:val="cyan"/>
          <w:lang w:eastAsia="zh-CN"/>
        </w:rPr>
      </w:pPr>
      <w:r>
        <w:rPr>
          <w:rFonts w:hint="eastAsia" w:ascii="宋体" w:eastAsia="宋体" w:cs="新宋体" w:hAnsiTheme="minorEastAsia"/>
          <w:color w:val="auto"/>
          <w:szCs w:val="21"/>
          <w:highlight w:val="cyan"/>
          <w:lang w:eastAsia="zh-CN"/>
        </w:rPr>
        <w:t>注：商务标、资格审查资料、技术标、资信标应分别密封在不同的包封中，并正确标明“资格审查资料”或“技术标”或“商务标”或“资信标”，同时标明招标项目名称、招标人名称、投标单位的名称等内容。投标文件的包封应密封完好，并在包封的封面及有投标人的落款处加盖投标人公章并经法定代表人或委托代理人签字或盖章。</w:t>
      </w:r>
    </w:p>
    <w:p w14:paraId="61D46908">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3.1.2</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投标人须知前附表规定不接受联合体投标的，或投标人没有组成联合体的，投标文件不包括本章第3.1.1（3）目所指的联合体协议书。</w:t>
      </w:r>
    </w:p>
    <w:p w14:paraId="0B9D8546">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3.1.3</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投标人须知前附表规定不允许分包的，或投标人没有分包的，投标文件不包括本章第3.1.1（8）目所指的拟分包项目情况表。</w:t>
      </w:r>
    </w:p>
    <w:p w14:paraId="428D88BA">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194" w:name="_Toc2864"/>
      <w:bookmarkStart w:id="195" w:name="_Toc31213"/>
      <w:bookmarkStart w:id="196" w:name="_Toc22631"/>
      <w:r>
        <w:rPr>
          <w:rFonts w:hint="eastAsia" w:ascii="宋体" w:hAnsi="宋体" w:eastAsia="宋体" w:cs="宋体"/>
          <w:b/>
          <w:bCs/>
          <w:color w:val="auto"/>
          <w:spacing w:val="-2"/>
          <w:szCs w:val="24"/>
          <w:highlight w:val="none"/>
        </w:rPr>
        <w:t>3.2</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投标报价</w:t>
      </w:r>
      <w:bookmarkEnd w:id="194"/>
      <w:bookmarkEnd w:id="195"/>
      <w:bookmarkEnd w:id="196"/>
    </w:p>
    <w:p w14:paraId="57893A6D">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3.2.1</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投标人应按第五章“工程量清单”的要求填写相应表格。</w:t>
      </w:r>
    </w:p>
    <w:p w14:paraId="5EB17219">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3.2.2</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投标人在投标截止时间前修改投标函中的投标总报价，应同时修改第五章“工程量清单”中的相应报价。此修改须符合本章第4.3款的有关要求。</w:t>
      </w:r>
    </w:p>
    <w:p w14:paraId="40C15164">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197" w:name="_Toc23892"/>
      <w:bookmarkStart w:id="198" w:name="_Toc28094"/>
      <w:bookmarkStart w:id="199" w:name="_Toc2841"/>
      <w:r>
        <w:rPr>
          <w:rFonts w:hint="eastAsia" w:ascii="宋体" w:hAnsi="宋体" w:eastAsia="宋体" w:cs="宋体"/>
          <w:b/>
          <w:bCs/>
          <w:color w:val="auto"/>
          <w:spacing w:val="-2"/>
          <w:szCs w:val="24"/>
          <w:highlight w:val="none"/>
        </w:rPr>
        <w:t>3.3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投标有效期</w:t>
      </w:r>
      <w:bookmarkEnd w:id="197"/>
      <w:bookmarkEnd w:id="198"/>
      <w:bookmarkEnd w:id="199"/>
    </w:p>
    <w:p w14:paraId="7A2E3C29">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3.3.1</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在投标人须知前附表规定的投标有效期内，投标人不得要求撤销或修改其投标文件。</w:t>
      </w:r>
    </w:p>
    <w:p w14:paraId="6E590196">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3.3.2</w:t>
      </w:r>
      <w:r>
        <w:rPr>
          <w:rFonts w:hint="eastAsia" w:hAnsi="Times New Roman" w:cs="Times New Roman"/>
          <w:b/>
          <w:bCs/>
          <w:color w:val="auto"/>
          <w:spacing w:val="0"/>
          <w:highlight w:val="none"/>
          <w:lang w:eastAsia="zh-CN"/>
        </w:rPr>
        <w:t>　</w:t>
      </w:r>
      <w:r>
        <w:rPr>
          <w:rFonts w:hint="eastAsia" w:ascii="宋体" w:eastAsia="宋体" w:cs="新宋体" w:hAnsiTheme="minorEastAsia"/>
          <w:color w:val="auto"/>
          <w:szCs w:val="21"/>
          <w:highlight w:val="none"/>
          <w:lang w:eastAsia="zh-CN"/>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8249C08">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200" w:name="_Toc9732"/>
      <w:bookmarkStart w:id="201" w:name="_Toc10766"/>
      <w:bookmarkStart w:id="202" w:name="_Toc12141"/>
      <w:r>
        <w:rPr>
          <w:rFonts w:hint="eastAsia" w:ascii="宋体" w:hAnsi="宋体" w:eastAsia="宋体" w:cs="宋体"/>
          <w:b/>
          <w:bCs/>
          <w:color w:val="auto"/>
          <w:spacing w:val="-2"/>
          <w:szCs w:val="24"/>
          <w:highlight w:val="none"/>
        </w:rPr>
        <w:t>3.4</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投标保证金</w:t>
      </w:r>
      <w:bookmarkEnd w:id="200"/>
      <w:bookmarkEnd w:id="201"/>
      <w:bookmarkEnd w:id="202"/>
    </w:p>
    <w:p w14:paraId="2DF039BC">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3.4.1</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5FF70D20">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3.4.2</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投标人不按本章第3.4.1项要求提交投标保证金，或不是通过投标人的基本账户缴纳的，其投标文件将被否决。</w:t>
      </w:r>
    </w:p>
    <w:p w14:paraId="0A7FBFA5">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3.4.3</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非中标候选人的投标保证金及银行活期存款利息在中标通知书发出后5日内退回（当地交易平台或行政监督部门另有规定的除外）。中标候选人的投标保证金及银行活期存款利息在招标人与中标人签订书面合同后5日内退回。</w:t>
      </w:r>
    </w:p>
    <w:p w14:paraId="6F145A3F">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3.4.4</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有下列情形之一的，投标保证金将不予退还：</w:t>
      </w:r>
    </w:p>
    <w:p w14:paraId="3A9D290F">
      <w:pPr>
        <w:kinsoku/>
        <w:spacing w:beforeLines="0" w:afterLines="0"/>
        <w:ind w:firstLine="420"/>
        <w:jc w:val="left"/>
        <w:rPr>
          <w:rFonts w:ascii="宋体" w:eastAsia="宋体" w:cs="新宋体" w:hAnsiTheme="minorEastAsia"/>
          <w:color w:val="auto"/>
          <w:szCs w:val="21"/>
          <w:highlight w:val="none"/>
          <w:lang w:eastAsia="zh-CN"/>
        </w:rPr>
      </w:pPr>
      <w:r>
        <w:rPr>
          <w:rFonts w:hint="eastAsia" w:ascii="宋体" w:eastAsia="宋体" w:cs="新宋体" w:hAnsiTheme="minorEastAsia"/>
          <w:color w:val="auto"/>
          <w:szCs w:val="21"/>
          <w:highlight w:val="none"/>
          <w:lang w:eastAsia="zh-CN"/>
        </w:rPr>
        <w:t>（</w:t>
      </w:r>
      <w:r>
        <w:rPr>
          <w:rFonts w:ascii="宋体" w:eastAsia="宋体" w:cs="新宋体" w:hAnsiTheme="minorEastAsia"/>
          <w:color w:val="auto"/>
          <w:szCs w:val="21"/>
          <w:highlight w:val="none"/>
          <w:lang w:eastAsia="zh-CN"/>
        </w:rPr>
        <w:t>1）投标人在规定的投标有效期内撤销或修改其投标文件。</w:t>
      </w:r>
    </w:p>
    <w:p w14:paraId="15E183BF">
      <w:pPr>
        <w:kinsoku/>
        <w:spacing w:beforeLines="0" w:afterLines="0"/>
        <w:ind w:firstLine="420"/>
        <w:jc w:val="left"/>
        <w:rPr>
          <w:rFonts w:ascii="宋体" w:eastAsia="宋体" w:cs="新宋体" w:hAnsiTheme="minorEastAsia"/>
          <w:color w:val="auto"/>
          <w:szCs w:val="21"/>
          <w:highlight w:val="none"/>
          <w:lang w:eastAsia="zh-CN"/>
        </w:rPr>
      </w:pPr>
      <w:r>
        <w:rPr>
          <w:rFonts w:hint="eastAsia" w:ascii="宋体" w:eastAsia="宋体" w:cs="新宋体" w:hAnsiTheme="minorEastAsia"/>
          <w:color w:val="auto"/>
          <w:szCs w:val="21"/>
          <w:highlight w:val="none"/>
          <w:lang w:eastAsia="zh-CN"/>
        </w:rPr>
        <w:t>（</w:t>
      </w:r>
      <w:r>
        <w:rPr>
          <w:rFonts w:ascii="宋体" w:eastAsia="宋体" w:cs="新宋体" w:hAnsiTheme="minorEastAsia"/>
          <w:color w:val="auto"/>
          <w:szCs w:val="21"/>
          <w:highlight w:val="none"/>
          <w:lang w:eastAsia="zh-CN"/>
        </w:rPr>
        <w:t>2）中标人在收到中标通知书后，无正当理由拒签合同协议书或未按招标文件规定提交履约担保。</w:t>
      </w:r>
    </w:p>
    <w:p w14:paraId="77FEC362">
      <w:pPr>
        <w:kinsoku/>
        <w:spacing w:beforeLines="0" w:afterLines="0"/>
        <w:ind w:firstLine="420"/>
        <w:jc w:val="left"/>
        <w:rPr>
          <w:rFonts w:ascii="宋体" w:eastAsia="宋体" w:cs="新宋体" w:hAnsiTheme="minorEastAsia"/>
          <w:color w:val="auto"/>
          <w:szCs w:val="21"/>
          <w:highlight w:val="none"/>
          <w:lang w:eastAsia="zh-CN"/>
        </w:rPr>
      </w:pPr>
      <w:r>
        <w:rPr>
          <w:rFonts w:hint="eastAsia" w:ascii="宋体" w:eastAsia="宋体" w:cs="新宋体" w:hAnsiTheme="minorEastAsia"/>
          <w:color w:val="auto"/>
          <w:szCs w:val="21"/>
          <w:highlight w:val="none"/>
          <w:lang w:eastAsia="zh-CN"/>
        </w:rPr>
        <w:t>（</w:t>
      </w:r>
      <w:r>
        <w:rPr>
          <w:rFonts w:ascii="宋体" w:eastAsia="宋体" w:cs="新宋体" w:hAnsiTheme="minorEastAsia"/>
          <w:color w:val="auto"/>
          <w:szCs w:val="21"/>
          <w:highlight w:val="none"/>
          <w:lang w:eastAsia="zh-CN"/>
        </w:rPr>
        <w:t>3）投标人须知前附表规定的其他情形。</w:t>
      </w:r>
    </w:p>
    <w:p w14:paraId="26105A28">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203" w:name="_Toc29655"/>
      <w:bookmarkStart w:id="204" w:name="_Toc16655"/>
      <w:bookmarkStart w:id="205" w:name="_Toc20239"/>
      <w:r>
        <w:rPr>
          <w:rFonts w:hint="eastAsia" w:ascii="宋体" w:hAnsi="宋体" w:eastAsia="宋体" w:cs="宋体"/>
          <w:b/>
          <w:bCs/>
          <w:color w:val="auto"/>
          <w:spacing w:val="-2"/>
          <w:szCs w:val="24"/>
          <w:highlight w:val="none"/>
        </w:rPr>
        <w:t>3.5</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资格审查资料（适用于已进行资格预审的）</w:t>
      </w:r>
      <w:bookmarkEnd w:id="203"/>
      <w:bookmarkEnd w:id="204"/>
      <w:bookmarkEnd w:id="205"/>
    </w:p>
    <w:p w14:paraId="383D21BD">
      <w:pPr>
        <w:kinsoku/>
        <w:spacing w:beforeLines="0" w:afterLines="0"/>
        <w:ind w:firstLine="420"/>
        <w:rPr>
          <w:rFonts w:ascii="宋体" w:eastAsia="宋体" w:cs="新宋体" w:hAnsiTheme="minorEastAsia"/>
          <w:color w:val="auto"/>
          <w:szCs w:val="21"/>
          <w:highlight w:val="none"/>
          <w:lang w:eastAsia="zh-CN"/>
        </w:rPr>
      </w:pPr>
      <w:r>
        <w:rPr>
          <w:rFonts w:hint="eastAsia" w:ascii="宋体" w:eastAsia="宋体" w:cs="新宋体" w:hAnsiTheme="minorEastAsia"/>
          <w:color w:val="auto"/>
          <w:szCs w:val="21"/>
          <w:highlight w:val="none"/>
          <w:lang w:eastAsia="zh-CN"/>
        </w:rPr>
        <w:t>投标人在编制投标文件时，如果投标人在资质条件、组织机构、财务能力、信誉等资格条件与资格预审时提交的资格预审申请文件相比较发生变化的，应按新情况更新或补充其在资格预审申请文件中提供的资料，以证实其各项资格条件仍能继续满足资格预审文件的要求，具备承担本标段施工的资质条件、能力和信誉。</w:t>
      </w:r>
    </w:p>
    <w:p w14:paraId="497B1336">
      <w:pPr>
        <w:kinsoku/>
        <w:spacing w:beforeLines="0" w:afterLines="0"/>
        <w:ind w:firstLine="420"/>
        <w:jc w:val="left"/>
        <w:rPr>
          <w:rFonts w:ascii="宋体" w:eastAsia="宋体" w:cs="新宋体" w:hAnsiTheme="minorEastAsia"/>
          <w:color w:val="auto"/>
          <w:szCs w:val="21"/>
          <w:highlight w:val="none"/>
          <w:lang w:eastAsia="zh-CN"/>
        </w:rPr>
      </w:pPr>
      <w:r>
        <w:rPr>
          <w:rFonts w:hint="eastAsia" w:ascii="宋体" w:eastAsia="宋体" w:cs="新宋体" w:hAnsiTheme="minorEastAsia"/>
          <w:color w:val="auto"/>
          <w:szCs w:val="21"/>
          <w:highlight w:val="none"/>
          <w:lang w:eastAsia="zh-CN"/>
        </w:rPr>
        <w:t>若无更新或补充，可不必提交与资格预审申请文件中相同的资料。</w:t>
      </w:r>
    </w:p>
    <w:p w14:paraId="762432A4">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206" w:name="_Toc5486"/>
      <w:bookmarkStart w:id="207" w:name="_Toc18758"/>
      <w:bookmarkStart w:id="208" w:name="_Toc10141"/>
      <w:r>
        <w:rPr>
          <w:rFonts w:hint="eastAsia" w:ascii="宋体" w:hAnsi="宋体" w:eastAsia="宋体" w:cs="宋体"/>
          <w:b/>
          <w:bCs/>
          <w:color w:val="auto"/>
          <w:spacing w:val="-2"/>
          <w:szCs w:val="24"/>
          <w:highlight w:val="none"/>
        </w:rPr>
        <w:t>3.5</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资格审查资料（适用于未进行资格预审的）</w:t>
      </w:r>
      <w:bookmarkEnd w:id="206"/>
      <w:bookmarkEnd w:id="207"/>
      <w:bookmarkEnd w:id="208"/>
    </w:p>
    <w:p w14:paraId="1857EBD6">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3.5.1</w:t>
      </w:r>
      <w:r>
        <w:rPr>
          <w:rFonts w:hint="eastAsia" w:hAnsi="Times New Roman" w:cs="Times New Roman"/>
          <w:b/>
          <w:bCs/>
          <w:color w:val="auto"/>
          <w:highlight w:val="none"/>
          <w:lang w:eastAsia="zh-CN"/>
        </w:rPr>
        <w:t>　</w:t>
      </w:r>
      <w:r>
        <w:rPr>
          <w:rFonts w:hint="eastAsia" w:ascii="宋体" w:eastAsia="宋体" w:cs="新宋体" w:hAnsiTheme="minorEastAsia"/>
          <w:color w:val="auto"/>
          <w:szCs w:val="21"/>
          <w:highlight w:val="none"/>
          <w:lang w:eastAsia="zh-CN"/>
        </w:rPr>
        <w:t>“投标人基本情况表”应附投标人营业执照副本、资质证书副本和安全生产许可证副本等材料的复制件。</w:t>
      </w:r>
    </w:p>
    <w:p w14:paraId="7E44C6AA">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3.5.2</w:t>
      </w:r>
      <w:r>
        <w:rPr>
          <w:rFonts w:hint="eastAsia" w:hAnsi="Times New Roman" w:cs="Times New Roman"/>
          <w:b/>
          <w:bCs/>
          <w:color w:val="auto"/>
          <w:highlight w:val="none"/>
          <w:lang w:eastAsia="zh-CN"/>
        </w:rPr>
        <w:t>　</w:t>
      </w:r>
      <w:r>
        <w:rPr>
          <w:rFonts w:hint="eastAsia" w:ascii="宋体" w:eastAsia="宋体" w:cs="新宋体" w:hAnsiTheme="minorEastAsia"/>
          <w:color w:val="auto"/>
          <w:szCs w:val="21"/>
          <w:highlight w:val="none"/>
          <w:lang w:eastAsia="zh-CN"/>
        </w:rPr>
        <w:t>“近年财务状况”应附经会计师事务所或审计机构审计的财务会计报表，包括资产负债表、现金流量表、利润表和财务情况说明书（或财务报表附注）的复制件，具体年份要求见投标人须知前附表。</w:t>
      </w:r>
    </w:p>
    <w:p w14:paraId="1BA977B9">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3.5.3</w:t>
      </w:r>
      <w:r>
        <w:rPr>
          <w:rFonts w:hint="eastAsia" w:hAnsi="Times New Roman" w:cs="Times New Roman"/>
          <w:b/>
          <w:bCs/>
          <w:color w:val="auto"/>
          <w:highlight w:val="none"/>
          <w:lang w:eastAsia="zh-CN"/>
        </w:rPr>
        <w:t>　</w:t>
      </w:r>
      <w:r>
        <w:rPr>
          <w:rFonts w:hint="eastAsia" w:ascii="宋体" w:eastAsia="宋体" w:cs="新宋体" w:hAnsiTheme="minorEastAsia"/>
          <w:color w:val="auto"/>
          <w:szCs w:val="21"/>
          <w:highlight w:val="none"/>
          <w:lang w:eastAsia="zh-CN"/>
        </w:rPr>
        <w:t>“近年完成的类似项目情况表”应附招标公告规定的业绩证明材料复制件，具体年份要求见投标人须知前附表。每张表格只填写一个项目，并标明序号。</w:t>
      </w:r>
    </w:p>
    <w:p w14:paraId="4568BE70">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3.5.4</w:t>
      </w:r>
      <w:r>
        <w:rPr>
          <w:rFonts w:hint="eastAsia" w:hAnsi="Times New Roman" w:cs="Times New Roman"/>
          <w:b/>
          <w:bCs/>
          <w:color w:val="auto"/>
          <w:highlight w:val="none"/>
          <w:lang w:eastAsia="zh-CN"/>
        </w:rPr>
        <w:t>　</w:t>
      </w:r>
      <w:r>
        <w:rPr>
          <w:rFonts w:hint="eastAsia" w:ascii="宋体" w:eastAsia="宋体" w:cs="新宋体" w:hAnsiTheme="minorEastAsia"/>
          <w:color w:val="auto"/>
          <w:szCs w:val="21"/>
          <w:highlight w:val="none"/>
          <w:lang w:eastAsia="zh-CN"/>
        </w:rPr>
        <w:t>“正在施工和新承接的项目情况表”应附中标通知书或合同协议书复制件。每张表格只填写一个项目，并标明序号。</w:t>
      </w:r>
    </w:p>
    <w:p w14:paraId="54266E96">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3.5.5</w:t>
      </w:r>
      <w:r>
        <w:rPr>
          <w:rFonts w:hint="eastAsia" w:hAnsi="Times New Roman" w:cs="Times New Roman"/>
          <w:b/>
          <w:bCs/>
          <w:color w:val="auto"/>
          <w:highlight w:val="none"/>
          <w:lang w:eastAsia="zh-CN"/>
        </w:rPr>
        <w:t>　</w:t>
      </w:r>
      <w:r>
        <w:rPr>
          <w:rFonts w:hint="eastAsia" w:ascii="宋体" w:eastAsia="宋体" w:cs="新宋体" w:hAnsiTheme="minorEastAsia"/>
          <w:color w:val="auto"/>
          <w:szCs w:val="21"/>
          <w:highlight w:val="none"/>
          <w:lang w:eastAsia="zh-CN"/>
        </w:rPr>
        <w:t>“近年发生的诉讼及仲裁情况表”应说明相关情况，并附法院或仲裁机构作出的判决、裁决等有关法律文书复制件，具体年份要求见投标人须知前附表。</w:t>
      </w:r>
    </w:p>
    <w:p w14:paraId="31FFDC72">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3.5.6</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投标人须知前附表规定接受联合体投标的，本章第3.5.1项～第3.5.5项规定的表格和资料应包括联合体各方相关情况。</w:t>
      </w:r>
    </w:p>
    <w:p w14:paraId="58471649">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209" w:name="_Toc22877"/>
      <w:bookmarkStart w:id="210" w:name="_Toc31183"/>
      <w:bookmarkStart w:id="211" w:name="_Toc2475"/>
      <w:r>
        <w:rPr>
          <w:rFonts w:hint="eastAsia" w:ascii="宋体" w:hAnsi="宋体" w:eastAsia="宋体" w:cs="宋体"/>
          <w:b/>
          <w:bCs/>
          <w:color w:val="auto"/>
          <w:spacing w:val="-2"/>
          <w:szCs w:val="24"/>
          <w:highlight w:val="none"/>
        </w:rPr>
        <w:t>3.6</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备选投标方案</w:t>
      </w:r>
      <w:bookmarkEnd w:id="209"/>
      <w:bookmarkEnd w:id="210"/>
      <w:bookmarkEnd w:id="211"/>
    </w:p>
    <w:p w14:paraId="5E3E8D10">
      <w:pPr>
        <w:kinsoku/>
        <w:spacing w:beforeLines="0" w:afterLines="0"/>
        <w:ind w:firstLine="420"/>
        <w:jc w:val="left"/>
        <w:rPr>
          <w:rFonts w:ascii="宋体" w:eastAsia="宋体" w:cs="新宋体" w:hAnsiTheme="minorEastAsia"/>
          <w:color w:val="auto"/>
          <w:szCs w:val="21"/>
          <w:highlight w:val="none"/>
          <w:lang w:eastAsia="zh-CN"/>
        </w:rPr>
      </w:pPr>
      <w:r>
        <w:rPr>
          <w:rFonts w:hint="eastAsia" w:ascii="宋体" w:eastAsia="宋体" w:cs="新宋体" w:hAnsiTheme="minorEastAsia"/>
          <w:color w:val="auto"/>
          <w:szCs w:val="21"/>
          <w:highlight w:val="none"/>
          <w:lang w:eastAsia="zh-CN"/>
        </w:rPr>
        <w:t>除投标人须知前附表另有规定外，投标人不得递交备选投标方案。允许投标人递交备选投标方案，只有中标人所递交的备选投标方案方可予以考虑。评标委员会认为中标人递交的备选投标方案优于其按照招标文件要求编制的投标方案时，招标人可以接受该备选投标方案。</w:t>
      </w:r>
    </w:p>
    <w:p w14:paraId="68289AE9">
      <w:pPr>
        <w:pStyle w:val="4"/>
        <w:kinsoku/>
        <w:spacing w:before="0" w:beforeLines="0" w:afterLines="0"/>
        <w:jc w:val="both"/>
        <w:rPr>
          <w:rFonts w:hint="eastAsia" w:ascii="宋体" w:hAnsi="宋体" w:eastAsia="宋体" w:cs="宋体"/>
          <w:b/>
          <w:bCs/>
          <w:color w:val="auto"/>
          <w:spacing w:val="-2"/>
          <w:szCs w:val="24"/>
          <w:highlight w:val="none"/>
          <w:lang w:eastAsia="zh-CN"/>
        </w:rPr>
      </w:pPr>
      <w:bookmarkStart w:id="212" w:name="_Toc10770"/>
      <w:bookmarkStart w:id="213" w:name="_Toc25309"/>
      <w:bookmarkStart w:id="214" w:name="_Toc19738"/>
      <w:r>
        <w:rPr>
          <w:rFonts w:hint="eastAsia" w:ascii="宋体" w:hAnsi="宋体" w:eastAsia="宋体" w:cs="宋体"/>
          <w:b/>
          <w:bCs/>
          <w:color w:val="auto"/>
          <w:spacing w:val="-2"/>
          <w:szCs w:val="24"/>
          <w:highlight w:val="none"/>
        </w:rPr>
        <w:t>3.7</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投标文件的编制</w:t>
      </w:r>
      <w:bookmarkEnd w:id="212"/>
      <w:bookmarkEnd w:id="213"/>
      <w:bookmarkEnd w:id="214"/>
    </w:p>
    <w:p w14:paraId="2223DDCE">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3.7.1</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投标文件应按第八章“投标文件格式”进行编写，如有必要，可以增加附页，作为投标文件的组成部分。其中，投标函附录在满足招标文件实质性要求的基础上，可以提出比招标文件要求更有利于招标人的承诺。</w:t>
      </w:r>
    </w:p>
    <w:p w14:paraId="77731DC5">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3.7.2</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投标文件应当对招标文件有关工期、投标有效期、质量要求、技术标准和要求、招标范围等实质性内容作出响应。</w:t>
      </w:r>
    </w:p>
    <w:p w14:paraId="23B164CA">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3.7.3</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投标文件签字或盖章的具体要求见投标人须知前附表。</w:t>
      </w:r>
    </w:p>
    <w:p w14:paraId="7AAC4DBE">
      <w:pPr>
        <w:kinsoku/>
        <w:spacing w:beforeLines="0" w:afterLines="0"/>
        <w:ind w:firstLine="0" w:firstLineChars="0"/>
        <w:jc w:val="left"/>
        <w:rPr>
          <w:rFonts w:ascii="宋体" w:eastAsia="宋体" w:cs="新宋体" w:hAnsiTheme="minorEastAsia"/>
          <w:color w:val="auto"/>
          <w:szCs w:val="21"/>
          <w:highlight w:val="none"/>
          <w:lang w:eastAsia="zh-CN"/>
        </w:rPr>
      </w:pPr>
      <w:r>
        <w:rPr>
          <w:rFonts w:ascii="宋体" w:hAnsi="Times New Roman" w:eastAsia="宋体" w:cs="Times New Roman"/>
          <w:b/>
          <w:bCs/>
          <w:color w:val="auto"/>
          <w:spacing w:val="0"/>
          <w:szCs w:val="21"/>
          <w:highlight w:val="none"/>
          <w:lang w:eastAsia="zh-CN"/>
        </w:rPr>
        <w:t>3.7.4</w:t>
      </w:r>
      <w:r>
        <w:rPr>
          <w:rFonts w:hint="eastAsia" w:cs="新宋体" w:hAnsiTheme="minorEastAsia"/>
          <w:color w:val="auto"/>
          <w:highlight w:val="none"/>
          <w:lang w:eastAsia="zh-CN"/>
        </w:rPr>
        <w:t>　</w:t>
      </w:r>
      <w:r>
        <w:rPr>
          <w:rFonts w:ascii="宋体" w:eastAsia="宋体" w:cs="新宋体" w:hAnsiTheme="minorEastAsia"/>
          <w:color w:val="auto"/>
          <w:szCs w:val="21"/>
          <w:highlight w:val="none"/>
          <w:lang w:eastAsia="zh-CN"/>
        </w:rPr>
        <w:t>投标文件份数的具体要求见投标人须知前附表。</w:t>
      </w:r>
    </w:p>
    <w:p w14:paraId="2CAD6D28">
      <w:pPr>
        <w:pStyle w:val="17"/>
        <w:spacing w:beforeLines="0" w:afterLines="0"/>
        <w:ind w:firstLine="0" w:firstLineChars="0"/>
        <w:jc w:val="left"/>
        <w:rPr>
          <w:rFonts w:ascii="宋体" w:eastAsia="宋体" w:cs="新宋体" w:hAnsiTheme="minorEastAsia"/>
          <w:color w:val="auto"/>
          <w:szCs w:val="21"/>
          <w:highlight w:val="none"/>
        </w:rPr>
      </w:pPr>
      <w:r>
        <w:rPr>
          <w:rFonts w:ascii="宋体" w:hAnsi="Times New Roman" w:eastAsia="宋体" w:cs="Times New Roman"/>
          <w:b/>
          <w:bCs/>
          <w:color w:val="auto"/>
          <w:spacing w:val="0"/>
          <w:szCs w:val="21"/>
          <w:highlight w:val="none"/>
        </w:rPr>
        <w:t>3.7.5</w:t>
      </w:r>
      <w:r>
        <w:rPr>
          <w:rFonts w:hint="eastAsia" w:cs="新宋体" w:hAnsiTheme="minorEastAsia"/>
          <w:color w:val="auto"/>
          <w:highlight w:val="none"/>
          <w:lang w:eastAsia="zh-CN"/>
        </w:rPr>
        <w:t>　</w:t>
      </w:r>
      <w:r>
        <w:rPr>
          <w:rFonts w:ascii="宋体" w:eastAsia="宋体" w:cs="新宋体" w:hAnsiTheme="minorEastAsia"/>
          <w:color w:val="auto"/>
          <w:szCs w:val="21"/>
          <w:highlight w:val="none"/>
        </w:rPr>
        <w:t>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14:paraId="7BACF77F">
      <w:pPr>
        <w:pStyle w:val="17"/>
        <w:spacing w:beforeLines="0" w:afterLines="0"/>
        <w:ind w:firstLine="0" w:firstLineChars="0"/>
        <w:jc w:val="left"/>
        <w:rPr>
          <w:rFonts w:ascii="宋体" w:eastAsia="宋体" w:cs="新宋体" w:hAnsiTheme="minorEastAsia"/>
          <w:color w:val="auto"/>
          <w:szCs w:val="21"/>
          <w:highlight w:val="none"/>
        </w:rPr>
      </w:pPr>
      <w:r>
        <w:rPr>
          <w:rFonts w:ascii="宋体" w:hAnsi="Times New Roman" w:eastAsia="宋体" w:cs="Times New Roman"/>
          <w:b/>
          <w:bCs/>
          <w:color w:val="auto"/>
          <w:spacing w:val="0"/>
          <w:szCs w:val="21"/>
          <w:highlight w:val="none"/>
        </w:rPr>
        <w:t>3.7.6</w:t>
      </w:r>
      <w:r>
        <w:rPr>
          <w:rFonts w:hint="eastAsia" w:cs="新宋体" w:hAnsiTheme="minorEastAsia"/>
          <w:color w:val="auto"/>
          <w:highlight w:val="none"/>
          <w:lang w:eastAsia="zh-CN"/>
        </w:rPr>
        <w:t>　</w:t>
      </w:r>
      <w:r>
        <w:rPr>
          <w:rFonts w:ascii="宋体" w:eastAsia="宋体" w:cs="新宋体" w:hAnsiTheme="minorEastAsia"/>
          <w:color w:val="auto"/>
          <w:szCs w:val="21"/>
          <w:highlight w:val="none"/>
        </w:rPr>
        <w:t>投标文件正本一份,副本份数见投标人须知前附表。正本和副本的封面上应清楚地标记“正本”或“副本”的字样。当副本和正本不一致时，以正本为准。</w:t>
      </w:r>
    </w:p>
    <w:p w14:paraId="58868733">
      <w:pPr>
        <w:pStyle w:val="17"/>
        <w:spacing w:beforeLines="0" w:afterLines="0"/>
        <w:ind w:firstLine="0" w:firstLineChars="0"/>
        <w:jc w:val="left"/>
        <w:rPr>
          <w:color w:val="auto"/>
          <w:highlight w:val="none"/>
        </w:rPr>
      </w:pPr>
      <w:r>
        <w:rPr>
          <w:rFonts w:ascii="宋体" w:hAnsi="Times New Roman" w:eastAsia="宋体" w:cs="Times New Roman"/>
          <w:b/>
          <w:bCs/>
          <w:color w:val="auto"/>
          <w:spacing w:val="0"/>
          <w:szCs w:val="21"/>
          <w:highlight w:val="none"/>
        </w:rPr>
        <w:t>3.7.7</w:t>
      </w:r>
      <w:r>
        <w:rPr>
          <w:rFonts w:hint="eastAsia" w:cs="新宋体" w:hAnsiTheme="minorEastAsia"/>
          <w:color w:val="auto"/>
          <w:highlight w:val="none"/>
          <w:lang w:eastAsia="zh-CN"/>
        </w:rPr>
        <w:t>　</w:t>
      </w:r>
      <w:r>
        <w:rPr>
          <w:rFonts w:ascii="宋体" w:eastAsia="宋体" w:cs="新宋体" w:hAnsiTheme="minorEastAsia"/>
          <w:color w:val="auto"/>
          <w:szCs w:val="21"/>
          <w:highlight w:val="none"/>
        </w:rPr>
        <w:t>投标文件的正本与副本应分别装订成册，并编制目录，具体装订要求见投标人须知前附表规定。</w:t>
      </w:r>
    </w:p>
    <w:p w14:paraId="121DE7F4">
      <w:pPr>
        <w:pStyle w:val="3"/>
        <w:kinsoku/>
        <w:wordWrap/>
        <w:spacing w:before="0" w:beforeLines="0" w:afterLines="0"/>
        <w:ind w:left="0"/>
        <w:jc w:val="both"/>
        <w:outlineLvl w:val="1"/>
        <w:rPr>
          <w:rFonts w:cs="宋体"/>
          <w:b/>
          <w:bCs/>
          <w:color w:val="auto"/>
          <w:sz w:val="30"/>
          <w:szCs w:val="30"/>
          <w:highlight w:val="none"/>
          <w:lang w:eastAsia="zh-CN"/>
        </w:rPr>
      </w:pPr>
      <w:bookmarkStart w:id="215" w:name="_Toc27009"/>
      <w:bookmarkStart w:id="216" w:name="_Toc7479"/>
      <w:bookmarkStart w:id="217" w:name="_Toc25210"/>
      <w:bookmarkStart w:id="218" w:name="_Toc27322"/>
      <w:bookmarkStart w:id="219" w:name="_Toc15651"/>
      <w:bookmarkStart w:id="220" w:name="_Toc16593"/>
      <w:bookmarkStart w:id="221" w:name="_Toc31003"/>
      <w:bookmarkStart w:id="222" w:name="_Toc24016"/>
      <w:bookmarkStart w:id="223" w:name="_Toc9678"/>
      <w:bookmarkStart w:id="224" w:name="_Toc8836"/>
      <w:bookmarkStart w:id="225" w:name="_Toc2919"/>
      <w:bookmarkStart w:id="226" w:name="_Toc18466"/>
      <w:bookmarkStart w:id="227" w:name="_Toc2171"/>
      <w:bookmarkStart w:id="228" w:name="_Toc26284"/>
      <w:bookmarkStart w:id="229" w:name="_Toc18666"/>
      <w:r>
        <w:rPr>
          <w:rFonts w:hint="eastAsia" w:ascii="宋体" w:hAnsi="宋体" w:eastAsia="宋体" w:cs="宋体"/>
          <w:b/>
          <w:bCs/>
          <w:color w:val="auto"/>
          <w:spacing w:val="-1"/>
          <w:sz w:val="30"/>
          <w:szCs w:val="30"/>
          <w:highlight w:val="none"/>
        </w:rPr>
        <w:t>4</w:t>
      </w:r>
      <w:r>
        <w:rPr>
          <w:rFonts w:hint="eastAsia" w:cs="宋体"/>
          <w:b/>
          <w:bCs/>
          <w:color w:val="auto"/>
          <w:szCs w:val="30"/>
          <w:highlight w:val="none"/>
          <w:lang w:eastAsia="zh-CN"/>
        </w:rPr>
        <w:t>　</w:t>
      </w:r>
      <w:r>
        <w:rPr>
          <w:rFonts w:cs="宋体"/>
          <w:b/>
          <w:bCs/>
          <w:color w:val="auto"/>
          <w:spacing w:val="-1"/>
          <w:sz w:val="30"/>
          <w:szCs w:val="30"/>
          <w:highlight w:val="none"/>
        </w:rPr>
        <w:t>投标</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366F5AB8">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230" w:name="_Toc9433"/>
      <w:bookmarkStart w:id="231" w:name="_Toc12147"/>
      <w:bookmarkStart w:id="232" w:name="_Toc9711"/>
      <w:r>
        <w:rPr>
          <w:rFonts w:hint="eastAsia" w:ascii="宋体" w:hAnsi="宋体" w:eastAsia="宋体" w:cs="宋体"/>
          <w:b/>
          <w:bCs/>
          <w:color w:val="auto"/>
          <w:spacing w:val="-2"/>
          <w:szCs w:val="24"/>
          <w:highlight w:val="none"/>
        </w:rPr>
        <w:t>4.1</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投标文件的密封和标识</w:t>
      </w:r>
      <w:bookmarkEnd w:id="230"/>
      <w:bookmarkEnd w:id="231"/>
      <w:bookmarkEnd w:id="232"/>
    </w:p>
    <w:p w14:paraId="7FB1C2EE">
      <w:pPr>
        <w:kinsoku/>
        <w:spacing w:before="0" w:beforeLines="0" w:afterLines="0"/>
        <w:ind w:firstLine="0" w:firstLineChars="0"/>
        <w:jc w:val="left"/>
        <w:rPr>
          <w:rFonts w:cs="宋体"/>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4.1.1</w:t>
      </w:r>
      <w:r>
        <w:rPr>
          <w:rFonts w:hint="eastAsia" w:hAnsi="Times New Roman" w:cs="Times New Roman"/>
          <w:b/>
          <w:bCs/>
          <w:color w:val="auto"/>
          <w:spacing w:val="0"/>
          <w:highlight w:val="none"/>
          <w:lang w:eastAsia="zh-CN"/>
        </w:rPr>
        <w:t>　</w:t>
      </w:r>
      <w:r>
        <w:rPr>
          <w:rFonts w:cs="宋体"/>
          <w:color w:val="auto"/>
          <w:spacing w:val="0"/>
          <w:highlight w:val="none"/>
          <w:lang w:eastAsia="zh-CN"/>
        </w:rPr>
        <w:t>光盘、样品等材料的包装和标记光盘、样品等材料的外包装和标记要求：见投标人须知前附表。</w:t>
      </w:r>
    </w:p>
    <w:p w14:paraId="655A1DCC">
      <w:pPr>
        <w:kinsoku/>
        <w:snapToGrid/>
        <w:spacing w:beforeLines="0" w:afterLines="0"/>
        <w:ind w:firstLine="0" w:firstLineChars="0"/>
        <w:jc w:val="left"/>
        <w:rPr>
          <w:rFonts w:cs="宋体"/>
          <w:snapToGrid/>
          <w:color w:val="auto"/>
          <w:szCs w:val="21"/>
          <w:highlight w:val="none"/>
          <w:lang w:eastAsia="zh-CN"/>
        </w:rPr>
      </w:pPr>
      <w:r>
        <w:rPr>
          <w:rFonts w:ascii="宋体" w:hAnsi="Times New Roman" w:eastAsia="宋体" w:cs="Times New Roman"/>
          <w:b/>
          <w:bCs/>
          <w:color w:val="auto"/>
          <w:spacing w:val="0"/>
          <w:szCs w:val="21"/>
          <w:highlight w:val="none"/>
          <w:lang w:eastAsia="zh-CN"/>
        </w:rPr>
        <w:t>4.1.1</w:t>
      </w:r>
      <w:r>
        <w:rPr>
          <w:rFonts w:hint="eastAsia" w:hAnsi="Times New Roman" w:cs="Times New Roman"/>
          <w:b/>
          <w:bCs/>
          <w:color w:val="auto"/>
          <w:highlight w:val="none"/>
          <w:lang w:eastAsia="zh-CN"/>
        </w:rPr>
        <w:t>　</w:t>
      </w:r>
      <w:r>
        <w:rPr>
          <w:rFonts w:cs="宋体"/>
          <w:color w:val="auto"/>
          <w:spacing w:val="0"/>
          <w:highlight w:val="none"/>
          <w:lang w:eastAsia="zh-CN"/>
        </w:rPr>
        <w:t>投标文件的</w:t>
      </w:r>
      <w:r>
        <w:rPr>
          <w:rFonts w:hint="eastAsia" w:cs="宋体"/>
          <w:color w:val="auto"/>
          <w:spacing w:val="0"/>
          <w:highlight w:val="none"/>
          <w:lang w:val="en-US" w:eastAsia="zh-CN"/>
        </w:rPr>
        <w:t>资格审查、</w:t>
      </w:r>
      <w:r>
        <w:rPr>
          <w:rFonts w:cs="宋体"/>
          <w:color w:val="auto"/>
          <w:spacing w:val="0"/>
          <w:highlight w:val="none"/>
          <w:lang w:eastAsia="zh-CN"/>
        </w:rPr>
        <w:t>技术标、资信标、资格审查</w:t>
      </w:r>
      <w:r>
        <w:rPr>
          <w:rFonts w:hint="eastAsia" w:cs="宋体"/>
          <w:color w:val="auto"/>
          <w:spacing w:val="0"/>
          <w:highlight w:val="none"/>
          <w:lang w:eastAsia="zh-CN"/>
        </w:rPr>
        <w:t>、</w:t>
      </w:r>
      <w:r>
        <w:rPr>
          <w:rFonts w:cs="宋体"/>
          <w:color w:val="auto"/>
          <w:spacing w:val="0"/>
          <w:highlight w:val="none"/>
          <w:lang w:eastAsia="zh-CN"/>
        </w:rPr>
        <w:t>商务标资料应分开包装，分别加贴封条，并在封套的封口处加盖投标人单位章。</w:t>
      </w:r>
    </w:p>
    <w:p w14:paraId="18B6F2F7">
      <w:pPr>
        <w:kinsoku/>
        <w:snapToGrid/>
        <w:spacing w:beforeLines="0" w:afterLines="0"/>
        <w:ind w:firstLine="0" w:firstLineChars="0"/>
        <w:jc w:val="left"/>
        <w:rPr>
          <w:rFonts w:cs="宋体"/>
          <w:snapToGrid/>
          <w:color w:val="auto"/>
          <w:szCs w:val="21"/>
          <w:highlight w:val="none"/>
          <w:lang w:eastAsia="zh-CN"/>
        </w:rPr>
      </w:pPr>
      <w:r>
        <w:rPr>
          <w:rFonts w:ascii="宋体" w:hAnsi="Times New Roman" w:eastAsia="宋体" w:cs="Times New Roman"/>
          <w:b/>
          <w:bCs/>
          <w:color w:val="auto"/>
          <w:spacing w:val="0"/>
          <w:szCs w:val="21"/>
          <w:highlight w:val="none"/>
          <w:lang w:eastAsia="zh-CN"/>
        </w:rPr>
        <w:t>4.1.2</w:t>
      </w:r>
      <w:r>
        <w:rPr>
          <w:rFonts w:hint="eastAsia" w:hAnsi="Times New Roman" w:cs="Times New Roman"/>
          <w:b/>
          <w:bCs/>
          <w:color w:val="auto"/>
          <w:highlight w:val="none"/>
          <w:lang w:eastAsia="zh-CN"/>
        </w:rPr>
        <w:t>　</w:t>
      </w:r>
      <w:r>
        <w:rPr>
          <w:rFonts w:cs="宋体"/>
          <w:color w:val="auto"/>
          <w:spacing w:val="0"/>
          <w:highlight w:val="none"/>
          <w:lang w:eastAsia="zh-CN"/>
        </w:rPr>
        <w:t>投标文件的封套上应写明的内容见投标人须知前附表。</w:t>
      </w:r>
    </w:p>
    <w:p w14:paraId="1B793761">
      <w:pPr>
        <w:kinsoku/>
        <w:snapToGrid/>
        <w:spacing w:beforeLines="0" w:afterLines="0"/>
        <w:ind w:firstLine="0" w:firstLineChars="0"/>
        <w:jc w:val="left"/>
        <w:rPr>
          <w:rFonts w:cs="宋体"/>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4.1.3</w:t>
      </w:r>
      <w:r>
        <w:rPr>
          <w:rFonts w:hint="eastAsia" w:hAnsi="Times New Roman" w:cs="Times New Roman"/>
          <w:b/>
          <w:bCs/>
          <w:color w:val="auto"/>
          <w:highlight w:val="none"/>
          <w:lang w:eastAsia="zh-CN"/>
        </w:rPr>
        <w:t>　</w:t>
      </w:r>
      <w:r>
        <w:rPr>
          <w:rFonts w:cs="宋体"/>
          <w:color w:val="auto"/>
          <w:spacing w:val="0"/>
          <w:highlight w:val="none"/>
          <w:lang w:eastAsia="zh-CN"/>
        </w:rPr>
        <w:t>未按本章第4.1.1项或第4.1.2项要求密封和加写标记的投标文件，招标人不予受理。</w:t>
      </w:r>
    </w:p>
    <w:p w14:paraId="0E39F8E2">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233" w:name="_Toc12515"/>
      <w:bookmarkStart w:id="234" w:name="_Toc17796"/>
      <w:bookmarkStart w:id="235" w:name="_Toc25653"/>
      <w:r>
        <w:rPr>
          <w:rFonts w:hint="eastAsia" w:ascii="宋体" w:hAnsi="宋体" w:eastAsia="宋体" w:cs="宋体"/>
          <w:b/>
          <w:bCs/>
          <w:color w:val="auto"/>
          <w:spacing w:val="-2"/>
          <w:szCs w:val="24"/>
          <w:highlight w:val="none"/>
        </w:rPr>
        <w:t>4.2</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投标文件的递交</w:t>
      </w:r>
      <w:bookmarkEnd w:id="233"/>
      <w:bookmarkEnd w:id="234"/>
      <w:bookmarkEnd w:id="235"/>
    </w:p>
    <w:p w14:paraId="47137A96">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4.2.1</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投标人应在本章第</w:t>
      </w:r>
      <w:r>
        <w:rPr>
          <w:rFonts w:ascii="宋体" w:hAnsi="Times New Roman" w:eastAsia="宋体" w:cs="Times New Roman"/>
          <w:color w:val="auto"/>
          <w:spacing w:val="0"/>
          <w:szCs w:val="21"/>
          <w:highlight w:val="none"/>
          <w:lang w:eastAsia="zh-CN"/>
        </w:rPr>
        <w:t>1.10.3</w:t>
      </w:r>
      <w:r>
        <w:rPr>
          <w:rFonts w:cs="宋体"/>
          <w:color w:val="auto"/>
          <w:spacing w:val="0"/>
          <w:highlight w:val="none"/>
          <w:lang w:eastAsia="zh-CN"/>
        </w:rPr>
        <w:t>项规定的投标截止时间前递交投标文件。</w:t>
      </w:r>
    </w:p>
    <w:p w14:paraId="7BD8CA20">
      <w:pPr>
        <w:kinsoku/>
        <w:spacing w:before="0" w:beforeLines="0" w:afterLines="0"/>
        <w:ind w:left="0" w:firstLine="0" w:firstLineChars="0"/>
        <w:jc w:val="left"/>
        <w:rPr>
          <w:rFonts w:cs="宋体"/>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4.2.2</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投标人递交投标文件的方式和地点见投标人须知前附表。</w:t>
      </w:r>
    </w:p>
    <w:p w14:paraId="393FF4D3">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4.2.3</w:t>
      </w:r>
      <w:r>
        <w:rPr>
          <w:rFonts w:hint="eastAsia" w:hAnsi="Times New Roman" w:cs="Times New Roman"/>
          <w:b/>
          <w:bCs/>
          <w:color w:val="auto"/>
          <w:spacing w:val="0"/>
          <w:highlight w:val="none"/>
          <w:lang w:eastAsia="zh-CN"/>
        </w:rPr>
        <w:t>　</w:t>
      </w:r>
      <w:r>
        <w:rPr>
          <w:rFonts w:cs="宋体"/>
          <w:color w:val="auto"/>
          <w:spacing w:val="0"/>
          <w:highlight w:val="none"/>
          <w:lang w:eastAsia="zh-CN"/>
        </w:rPr>
        <w:t>投标人所递交的投标文件不予退还。</w:t>
      </w:r>
    </w:p>
    <w:p w14:paraId="7D3F0383">
      <w:pPr>
        <w:kinsoku/>
        <w:spacing w:before="0" w:beforeLines="0" w:afterLines="0"/>
        <w:ind w:right="0" w:firstLine="0" w:firstLineChars="0"/>
        <w:jc w:val="left"/>
        <w:rPr>
          <w:rFonts w:cs="宋体"/>
          <w:color w:val="auto"/>
          <w:szCs w:val="21"/>
          <w:highlight w:val="none"/>
          <w:lang w:eastAsia="zh-CN"/>
        </w:rPr>
      </w:pPr>
      <w:r>
        <w:rPr>
          <w:rFonts w:ascii="宋体" w:hAnsi="Times New Roman" w:eastAsia="宋体" w:cs="Times New Roman"/>
          <w:b/>
          <w:bCs/>
          <w:color w:val="auto"/>
          <w:spacing w:val="0"/>
          <w:position w:val="0"/>
          <w:szCs w:val="21"/>
          <w:highlight w:val="none"/>
          <w:lang w:eastAsia="zh-CN"/>
        </w:rPr>
        <w:t>4.2.5</w:t>
      </w:r>
      <w:r>
        <w:rPr>
          <w:rFonts w:hint="eastAsia" w:hAnsi="Times New Roman" w:cs="Times New Roman"/>
          <w:b/>
          <w:bCs/>
          <w:color w:val="auto"/>
          <w:spacing w:val="0"/>
          <w:position w:val="0"/>
          <w:highlight w:val="none"/>
          <w:lang w:eastAsia="zh-CN"/>
        </w:rPr>
        <w:t>　</w:t>
      </w:r>
      <w:r>
        <w:rPr>
          <w:rFonts w:cs="宋体"/>
          <w:color w:val="auto"/>
          <w:spacing w:val="0"/>
          <w:position w:val="0"/>
          <w:highlight w:val="none"/>
          <w:lang w:eastAsia="zh-CN"/>
        </w:rPr>
        <w:t>当出现投标人须知前附表规定的任何一种情形的，其投标文件将被拒收。</w:t>
      </w:r>
    </w:p>
    <w:p w14:paraId="15EEA2CD">
      <w:pPr>
        <w:pStyle w:val="4"/>
        <w:kinsoku/>
        <w:spacing w:beforeLines="0" w:afterLines="0"/>
        <w:ind w:left="0"/>
        <w:jc w:val="both"/>
        <w:rPr>
          <w:rFonts w:hint="eastAsia" w:ascii="宋体" w:hAnsi="宋体" w:eastAsia="宋体" w:cs="宋体"/>
          <w:b/>
          <w:bCs/>
          <w:color w:val="auto"/>
          <w:spacing w:val="-2"/>
          <w:szCs w:val="24"/>
          <w:highlight w:val="none"/>
          <w:lang w:eastAsia="zh-CN"/>
        </w:rPr>
      </w:pPr>
      <w:bookmarkStart w:id="236" w:name="_Toc31598"/>
      <w:bookmarkStart w:id="237" w:name="_Toc11700"/>
      <w:bookmarkStart w:id="238" w:name="_Toc10440"/>
      <w:r>
        <w:rPr>
          <w:rFonts w:hint="eastAsia" w:ascii="宋体" w:hAnsi="宋体" w:eastAsia="宋体" w:cs="宋体"/>
          <w:b/>
          <w:bCs/>
          <w:color w:val="auto"/>
          <w:spacing w:val="-2"/>
          <w:szCs w:val="24"/>
          <w:highlight w:val="none"/>
        </w:rPr>
        <w:t>4.3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投标文件的修改与撤回</w:t>
      </w:r>
      <w:bookmarkEnd w:id="236"/>
      <w:bookmarkEnd w:id="237"/>
      <w:bookmarkEnd w:id="238"/>
    </w:p>
    <w:p w14:paraId="126F493E">
      <w:pPr>
        <w:kinsoku/>
        <w:spacing w:beforeLines="0" w:afterLines="0"/>
        <w:ind w:firstLine="0" w:firstLineChars="0"/>
        <w:jc w:val="left"/>
        <w:rPr>
          <w:rFonts w:cs="宋体"/>
          <w:color w:val="auto"/>
          <w:spacing w:val="0"/>
          <w:szCs w:val="21"/>
          <w:highlight w:val="none"/>
          <w:lang w:eastAsia="zh-CN"/>
        </w:rPr>
      </w:pPr>
      <w:r>
        <w:rPr>
          <w:rFonts w:ascii="宋体" w:hAnsi="Times New Roman" w:eastAsia="宋体" w:cs="Times New Roman"/>
          <w:b/>
          <w:bCs/>
          <w:color w:val="auto"/>
          <w:spacing w:val="0"/>
          <w:position w:val="0"/>
          <w:szCs w:val="21"/>
          <w:highlight w:val="none"/>
          <w:lang w:eastAsia="zh-CN"/>
        </w:rPr>
        <w:t>4.3.1</w:t>
      </w:r>
      <w:r>
        <w:rPr>
          <w:rFonts w:hint="eastAsia" w:hAnsi="Times New Roman" w:cs="Times New Roman"/>
          <w:b/>
          <w:bCs/>
          <w:color w:val="auto"/>
          <w:spacing w:val="0"/>
          <w:position w:val="0"/>
          <w:highlight w:val="none"/>
          <w:lang w:eastAsia="zh-CN"/>
        </w:rPr>
        <w:t>　</w:t>
      </w:r>
      <w:r>
        <w:rPr>
          <w:rFonts w:cs="宋体"/>
          <w:color w:val="auto"/>
          <w:spacing w:val="0"/>
          <w:position w:val="0"/>
          <w:highlight w:val="none"/>
          <w:lang w:eastAsia="zh-CN"/>
        </w:rPr>
        <w:t>在本章第</w:t>
      </w:r>
      <w:r>
        <w:rPr>
          <w:rFonts w:ascii="宋体" w:hAnsi="Times New Roman" w:eastAsia="宋体" w:cs="Times New Roman"/>
          <w:color w:val="auto"/>
          <w:spacing w:val="0"/>
          <w:position w:val="0"/>
          <w:szCs w:val="21"/>
          <w:highlight w:val="none"/>
          <w:lang w:eastAsia="zh-CN"/>
        </w:rPr>
        <w:t>1.10.3</w:t>
      </w:r>
      <w:r>
        <w:rPr>
          <w:rFonts w:cs="宋体"/>
          <w:color w:val="auto"/>
          <w:spacing w:val="0"/>
          <w:position w:val="0"/>
          <w:highlight w:val="none"/>
          <w:lang w:eastAsia="zh-CN"/>
        </w:rPr>
        <w:t>项规定的投标截止时间前，投标人可以修改或撤回已递交的</w:t>
      </w:r>
      <w:r>
        <w:rPr>
          <w:rFonts w:cs="宋体"/>
          <w:color w:val="auto"/>
          <w:spacing w:val="0"/>
          <w:szCs w:val="21"/>
          <w:highlight w:val="none"/>
          <w:lang w:eastAsia="zh-CN"/>
        </w:rPr>
        <w:t>投标文件。</w:t>
      </w:r>
    </w:p>
    <w:p w14:paraId="0F394BE0">
      <w:pPr>
        <w:kinsoku/>
        <w:spacing w:beforeLines="0" w:afterLines="0"/>
        <w:ind w:firstLine="0" w:firstLineChars="0"/>
        <w:jc w:val="left"/>
        <w:rPr>
          <w:color w:val="auto"/>
          <w:highlight w:val="none"/>
          <w:lang w:eastAsia="zh-CN"/>
        </w:rPr>
      </w:pPr>
      <w:r>
        <w:rPr>
          <w:rFonts w:ascii="宋体" w:hAnsi="Times New Roman" w:eastAsia="宋体" w:cs="Times New Roman"/>
          <w:b/>
          <w:bCs/>
          <w:color w:val="auto"/>
          <w:spacing w:val="0"/>
          <w:position w:val="0"/>
          <w:szCs w:val="21"/>
          <w:highlight w:val="none"/>
          <w:lang w:eastAsia="zh-CN"/>
        </w:rPr>
        <w:t>4.3.3</w:t>
      </w:r>
      <w:r>
        <w:rPr>
          <w:rFonts w:hint="eastAsia" w:hAnsi="Times New Roman" w:cs="Times New Roman"/>
          <w:b/>
          <w:bCs/>
          <w:color w:val="auto"/>
          <w:spacing w:val="0"/>
          <w:position w:val="0"/>
          <w:highlight w:val="none"/>
          <w:lang w:eastAsia="zh-CN"/>
        </w:rPr>
        <w:t>　</w:t>
      </w:r>
      <w:r>
        <w:rPr>
          <w:rFonts w:cs="宋体"/>
          <w:color w:val="auto"/>
          <w:spacing w:val="0"/>
          <w:position w:val="0"/>
          <w:highlight w:val="none"/>
          <w:lang w:eastAsia="zh-CN"/>
        </w:rPr>
        <w:t>修改的内容为投标文件的组成部分。修改的投标文件应按照本章第</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节、第</w:t>
      </w:r>
      <w:bookmarkStart w:id="239" w:name="_Toc29945"/>
      <w:r>
        <w:rPr>
          <w:rFonts w:hint="eastAsia"/>
          <w:color w:val="auto"/>
          <w:highlight w:val="none"/>
          <w:lang w:eastAsia="zh-CN"/>
        </w:rPr>
        <w:t>4节规定进行编制、</w:t>
      </w:r>
      <w:r>
        <w:rPr>
          <w:rFonts w:hint="eastAsia" w:cs="宋体"/>
          <w:snapToGrid/>
          <w:color w:val="auto"/>
          <w:highlight w:val="none"/>
          <w:lang w:eastAsia="zh-CN"/>
        </w:rPr>
        <w:t>密封、标记和递交，并标明“修改”字样</w:t>
      </w:r>
      <w:r>
        <w:rPr>
          <w:rFonts w:hint="eastAsia"/>
          <w:color w:val="auto"/>
          <w:highlight w:val="none"/>
          <w:lang w:eastAsia="zh-CN"/>
        </w:rPr>
        <w:t>。</w:t>
      </w:r>
      <w:bookmarkEnd w:id="239"/>
    </w:p>
    <w:p w14:paraId="55CC676C">
      <w:pPr>
        <w:kinsoku/>
        <w:spacing w:beforeLines="0" w:afterLines="0"/>
        <w:ind w:firstLine="0" w:firstLineChars="0"/>
        <w:jc w:val="left"/>
        <w:rPr>
          <w:rFonts w:cs="宋体"/>
          <w:color w:val="auto"/>
          <w:szCs w:val="21"/>
          <w:highlight w:val="none"/>
          <w:lang w:eastAsia="zh-CN"/>
        </w:rPr>
      </w:pPr>
      <w:r>
        <w:rPr>
          <w:rFonts w:ascii="宋体" w:hAnsi="Times New Roman" w:eastAsia="宋体" w:cs="Times New Roman"/>
          <w:b/>
          <w:bCs/>
          <w:color w:val="auto"/>
          <w:spacing w:val="0"/>
          <w:position w:val="0"/>
          <w:szCs w:val="21"/>
          <w:highlight w:val="none"/>
          <w:lang w:eastAsia="zh-CN"/>
        </w:rPr>
        <w:t>4.3.4</w:t>
      </w:r>
      <w:r>
        <w:rPr>
          <w:rFonts w:hint="eastAsia" w:hAnsi="Times New Roman" w:cs="Times New Roman"/>
          <w:b/>
          <w:bCs/>
          <w:color w:val="auto"/>
          <w:spacing w:val="0"/>
          <w:position w:val="0"/>
          <w:highlight w:val="none"/>
          <w:lang w:eastAsia="zh-CN"/>
        </w:rPr>
        <w:t>　</w:t>
      </w:r>
      <w:r>
        <w:rPr>
          <w:rFonts w:cs="宋体"/>
          <w:color w:val="auto"/>
          <w:spacing w:val="0"/>
          <w:position w:val="0"/>
          <w:highlight w:val="none"/>
          <w:lang w:eastAsia="zh-CN"/>
        </w:rPr>
        <w:t>投标人撤回投标文件的，招标人自收到投标人书面撤回通知之日起</w:t>
      </w:r>
      <w:r>
        <w:rPr>
          <w:rFonts w:ascii="宋体" w:hAnsi="Times New Roman" w:eastAsia="宋体" w:cs="Times New Roman"/>
          <w:color w:val="auto"/>
          <w:spacing w:val="0"/>
          <w:position w:val="0"/>
          <w:szCs w:val="21"/>
          <w:highlight w:val="none"/>
          <w:lang w:eastAsia="zh-CN"/>
        </w:rPr>
        <w:t>5</w:t>
      </w:r>
      <w:r>
        <w:rPr>
          <w:rFonts w:cs="宋体"/>
          <w:color w:val="auto"/>
          <w:spacing w:val="0"/>
          <w:position w:val="0"/>
          <w:highlight w:val="none"/>
          <w:lang w:eastAsia="zh-CN"/>
        </w:rPr>
        <w:t>日内退</w:t>
      </w:r>
      <w:r>
        <w:rPr>
          <w:rFonts w:cs="宋体"/>
          <w:color w:val="auto"/>
          <w:spacing w:val="0"/>
          <w:szCs w:val="21"/>
          <w:highlight w:val="none"/>
          <w:lang w:eastAsia="zh-CN"/>
        </w:rPr>
        <w:t>还已收取的投标保证金及银行活期存款利息。</w:t>
      </w:r>
    </w:p>
    <w:p w14:paraId="2A7828D5">
      <w:pPr>
        <w:pStyle w:val="3"/>
        <w:kinsoku/>
        <w:wordWrap/>
        <w:spacing w:before="0" w:beforeLines="0" w:afterLines="0"/>
        <w:ind w:left="0"/>
        <w:jc w:val="both"/>
        <w:outlineLvl w:val="1"/>
        <w:rPr>
          <w:rFonts w:cs="宋体"/>
          <w:b/>
          <w:bCs/>
          <w:color w:val="auto"/>
          <w:sz w:val="27"/>
          <w:szCs w:val="30"/>
          <w:highlight w:val="none"/>
          <w:lang w:eastAsia="zh-CN"/>
        </w:rPr>
      </w:pPr>
      <w:bookmarkStart w:id="240" w:name="_Toc24620"/>
      <w:bookmarkStart w:id="241" w:name="_Toc710"/>
      <w:bookmarkStart w:id="242" w:name="_Toc8654"/>
      <w:bookmarkStart w:id="243" w:name="_Toc13546"/>
      <w:bookmarkStart w:id="244" w:name="_Toc20414"/>
      <w:bookmarkStart w:id="245" w:name="_Toc20672"/>
      <w:bookmarkStart w:id="246" w:name="_Toc18740"/>
      <w:bookmarkStart w:id="247" w:name="_Toc15316"/>
      <w:bookmarkStart w:id="248" w:name="_Toc18453"/>
      <w:bookmarkStart w:id="249" w:name="_Toc22969"/>
      <w:bookmarkStart w:id="250" w:name="_Toc5883"/>
      <w:bookmarkStart w:id="251" w:name="_Toc12544"/>
      <w:bookmarkStart w:id="252" w:name="_Toc10031"/>
      <w:bookmarkStart w:id="253" w:name="_Toc26440"/>
      <w:bookmarkStart w:id="254" w:name="_Toc29404"/>
      <w:r>
        <w:rPr>
          <w:rStyle w:val="60"/>
          <w:rFonts w:hint="eastAsia" w:ascii="宋体" w:hAnsi="宋体" w:eastAsia="宋体" w:cs="宋体"/>
          <w:b/>
          <w:bCs/>
          <w:color w:val="auto"/>
          <w:spacing w:val="-1"/>
          <w:sz w:val="27"/>
          <w:szCs w:val="30"/>
          <w:highlight w:val="none"/>
        </w:rPr>
        <w:t>5</w:t>
      </w:r>
      <w:r>
        <w:rPr>
          <w:rFonts w:hint="eastAsia" w:cs="宋体"/>
          <w:b/>
          <w:bCs/>
          <w:color w:val="auto"/>
          <w:szCs w:val="30"/>
          <w:highlight w:val="none"/>
          <w:lang w:eastAsia="zh-CN"/>
        </w:rPr>
        <w:t>　</w:t>
      </w:r>
      <w:r>
        <w:rPr>
          <w:rStyle w:val="60"/>
          <w:rFonts w:cs="宋体"/>
          <w:b/>
          <w:bCs/>
          <w:color w:val="auto"/>
          <w:spacing w:val="-1"/>
          <w:sz w:val="27"/>
          <w:szCs w:val="30"/>
          <w:highlight w:val="none"/>
        </w:rPr>
        <w:t>开标</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4C37F406">
      <w:pPr>
        <w:pStyle w:val="4"/>
        <w:kinsoku/>
        <w:spacing w:before="79"/>
        <w:ind w:left="4"/>
        <w:rPr>
          <w:rFonts w:hint="eastAsia" w:ascii="宋体" w:hAnsi="宋体" w:eastAsia="宋体" w:cs="Arial"/>
          <w:color w:val="auto"/>
          <w:szCs w:val="20"/>
          <w:highlight w:val="none"/>
          <w:lang w:eastAsia="zh-CN"/>
        </w:rPr>
      </w:pPr>
      <w:bookmarkStart w:id="255" w:name="_Toc22590"/>
      <w:bookmarkStart w:id="256" w:name="_Toc11926"/>
      <w:bookmarkStart w:id="257" w:name="_Toc25379"/>
      <w:r>
        <w:rPr>
          <w:rFonts w:hint="eastAsia" w:eastAsia="宋体" w:cs="Arial"/>
          <w:bCs w:val="0"/>
          <w:color w:val="auto"/>
          <w:spacing w:val="0"/>
          <w:szCs w:val="20"/>
          <w:highlight w:val="none"/>
        </w:rPr>
        <w:t>5.1</w:t>
      </w:r>
      <w:r>
        <w:rPr>
          <w:rFonts w:hint="eastAsia"/>
          <w:color w:val="auto"/>
          <w:highlight w:val="none"/>
          <w:lang w:eastAsia="zh-CN"/>
        </w:rPr>
        <w:t>　</w:t>
      </w:r>
      <w:r>
        <w:rPr>
          <w:rFonts w:hint="eastAsia" w:ascii="宋体" w:hAnsi="宋体" w:eastAsia="宋体" w:cs="Arial"/>
          <w:bCs w:val="0"/>
          <w:color w:val="auto"/>
          <w:spacing w:val="0"/>
          <w:szCs w:val="20"/>
          <w:highlight w:val="none"/>
        </w:rPr>
        <w:t>开标时间和地点</w:t>
      </w:r>
      <w:bookmarkEnd w:id="255"/>
      <w:bookmarkEnd w:id="256"/>
      <w:bookmarkEnd w:id="257"/>
    </w:p>
    <w:p w14:paraId="14D774F7">
      <w:pPr>
        <w:kinsoku/>
        <w:spacing w:before="0" w:beforeLines="0" w:afterLines="0"/>
        <w:ind w:firstLine="420"/>
        <w:jc w:val="both"/>
        <w:rPr>
          <w:rFonts w:cs="宋体"/>
          <w:color w:val="auto"/>
          <w:position w:val="0"/>
          <w:highlight w:val="none"/>
          <w:lang w:eastAsia="zh-CN"/>
        </w:rPr>
      </w:pPr>
      <w:r>
        <w:rPr>
          <w:rFonts w:cs="宋体"/>
          <w:color w:val="auto"/>
          <w:position w:val="0"/>
          <w:highlight w:val="none"/>
          <w:lang w:eastAsia="zh-CN"/>
        </w:rPr>
        <w:t>招标人在本章第</w:t>
      </w:r>
      <w:r>
        <w:rPr>
          <w:rFonts w:ascii="宋体" w:hAnsi="Times New Roman" w:eastAsia="宋体" w:cs="Times New Roman"/>
          <w:color w:val="auto"/>
          <w:position w:val="0"/>
          <w:szCs w:val="21"/>
          <w:highlight w:val="none"/>
          <w:lang w:eastAsia="zh-CN"/>
        </w:rPr>
        <w:t>1.10.3</w:t>
      </w:r>
      <w:r>
        <w:rPr>
          <w:rFonts w:cs="宋体"/>
          <w:color w:val="auto"/>
          <w:position w:val="0"/>
          <w:highlight w:val="none"/>
          <w:lang w:eastAsia="zh-CN"/>
        </w:rPr>
        <w:t>项规定的投标截止时间（开标时间），</w:t>
      </w:r>
      <w:r>
        <w:rPr>
          <w:rFonts w:cs="宋体"/>
          <w:color w:val="auto"/>
          <w:spacing w:val="0"/>
          <w:szCs w:val="21"/>
          <w:highlight w:val="none"/>
          <w:lang w:eastAsia="zh-CN"/>
        </w:rPr>
        <w:t>具体要求见投标人须知前附表规定。</w:t>
      </w:r>
    </w:p>
    <w:p w14:paraId="3FCF0210">
      <w:pPr>
        <w:pStyle w:val="4"/>
        <w:kinsoku/>
        <w:spacing w:before="183"/>
        <w:ind w:left="4"/>
        <w:rPr>
          <w:rFonts w:hint="eastAsia" w:ascii="宋体" w:hAnsi="宋体" w:eastAsia="宋体" w:cs="Arial"/>
          <w:color w:val="auto"/>
          <w:szCs w:val="21"/>
          <w:highlight w:val="none"/>
          <w:lang w:eastAsia="zh-CN"/>
        </w:rPr>
      </w:pPr>
      <w:bookmarkStart w:id="258" w:name="_Toc17241"/>
      <w:bookmarkStart w:id="259" w:name="_Toc30797"/>
      <w:bookmarkStart w:id="260" w:name="_Toc11002"/>
      <w:r>
        <w:rPr>
          <w:rFonts w:hint="eastAsia" w:eastAsia="宋体" w:cs="Arial"/>
          <w:bCs w:val="0"/>
          <w:color w:val="auto"/>
          <w:spacing w:val="0"/>
          <w:szCs w:val="21"/>
          <w:highlight w:val="none"/>
        </w:rPr>
        <w:t>5.2</w:t>
      </w:r>
      <w:r>
        <w:rPr>
          <w:rFonts w:hint="eastAsia"/>
          <w:color w:val="auto"/>
          <w:highlight w:val="none"/>
          <w:lang w:eastAsia="zh-CN"/>
        </w:rPr>
        <w:t>　</w:t>
      </w:r>
      <w:r>
        <w:rPr>
          <w:rFonts w:hint="eastAsia" w:ascii="宋体" w:hAnsi="宋体" w:eastAsia="宋体" w:cs="Arial"/>
          <w:bCs w:val="0"/>
          <w:color w:val="auto"/>
          <w:spacing w:val="0"/>
          <w:szCs w:val="21"/>
          <w:highlight w:val="none"/>
        </w:rPr>
        <w:t>开标程序</w:t>
      </w:r>
      <w:bookmarkEnd w:id="258"/>
      <w:bookmarkEnd w:id="259"/>
      <w:bookmarkEnd w:id="260"/>
    </w:p>
    <w:p w14:paraId="2BB3A537">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开标程序见投标人须知前附表。</w:t>
      </w:r>
    </w:p>
    <w:p w14:paraId="44AE2175">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261" w:name="_Toc32457"/>
      <w:bookmarkStart w:id="262" w:name="_Toc27750"/>
      <w:bookmarkStart w:id="263" w:name="_Toc28356"/>
      <w:r>
        <w:rPr>
          <w:rFonts w:hint="eastAsia" w:ascii="宋体" w:hAnsi="宋体" w:eastAsia="宋体" w:cs="宋体"/>
          <w:b/>
          <w:bCs/>
          <w:color w:val="auto"/>
          <w:spacing w:val="-4"/>
          <w:szCs w:val="24"/>
          <w:highlight w:val="none"/>
        </w:rPr>
        <w:t>5.3</w:t>
      </w:r>
      <w:r>
        <w:rPr>
          <w:rFonts w:hint="eastAsia" w:cs="宋体"/>
          <w:b/>
          <w:bCs/>
          <w:color w:val="auto"/>
          <w:szCs w:val="24"/>
          <w:highlight w:val="none"/>
          <w:lang w:eastAsia="zh-CN"/>
        </w:rPr>
        <w:t>　</w:t>
      </w:r>
      <w:r>
        <w:rPr>
          <w:rFonts w:hint="eastAsia" w:ascii="宋体" w:hAnsi="宋体" w:eastAsia="宋体" w:cs="宋体"/>
          <w:b/>
          <w:bCs/>
          <w:color w:val="auto"/>
          <w:spacing w:val="-4"/>
          <w:szCs w:val="24"/>
          <w:highlight w:val="none"/>
        </w:rPr>
        <w:t>特殊情况处置</w:t>
      </w:r>
      <w:bookmarkEnd w:id="261"/>
      <w:bookmarkEnd w:id="262"/>
      <w:bookmarkEnd w:id="263"/>
    </w:p>
    <w:p w14:paraId="3AE92F64">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特殊情况处置见投标人须知前附表。</w:t>
      </w:r>
    </w:p>
    <w:p w14:paraId="6123B997">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264" w:name="_Toc8756"/>
      <w:bookmarkStart w:id="265" w:name="_Toc13811"/>
      <w:bookmarkStart w:id="266" w:name="_Toc3893"/>
      <w:r>
        <w:rPr>
          <w:rFonts w:hint="eastAsia" w:ascii="宋体" w:hAnsi="宋体" w:eastAsia="宋体" w:cs="宋体"/>
          <w:b/>
          <w:bCs/>
          <w:color w:val="auto"/>
          <w:spacing w:val="-2"/>
          <w:szCs w:val="24"/>
          <w:highlight w:val="none"/>
        </w:rPr>
        <w:t>5.4</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开标异议</w:t>
      </w:r>
      <w:bookmarkEnd w:id="264"/>
      <w:bookmarkEnd w:id="265"/>
      <w:bookmarkEnd w:id="266"/>
    </w:p>
    <w:p w14:paraId="7FE43022">
      <w:pPr>
        <w:pStyle w:val="3"/>
        <w:kinsoku/>
        <w:autoSpaceDE w:val="0"/>
        <w:autoSpaceDN w:val="0"/>
        <w:adjustRightInd w:val="0"/>
        <w:snapToGrid w:val="0"/>
        <w:spacing w:before="0" w:beforeLines="0" w:afterLines="0" w:line="360" w:lineRule="auto"/>
        <w:ind w:left="0"/>
        <w:jc w:val="both"/>
        <w:textAlignment w:val="baseline"/>
        <w:rPr>
          <w:rStyle w:val="60"/>
          <w:rFonts w:hint="eastAsia" w:ascii="Arial" w:hAnsi="Arial" w:eastAsia="宋体" w:cs="宋体"/>
          <w:b/>
          <w:bCs/>
          <w:snapToGrid w:val="0"/>
          <w:color w:val="auto"/>
          <w:spacing w:val="-1"/>
          <w:sz w:val="21"/>
          <w:szCs w:val="30"/>
          <w:highlight w:val="none"/>
          <w:lang w:val="en-US" w:eastAsia="zh-CN" w:bidi="ar-SA"/>
        </w:rPr>
      </w:pPr>
      <w:bookmarkStart w:id="267" w:name="_Toc30292"/>
      <w:bookmarkStart w:id="268" w:name="_Toc15780"/>
      <w:bookmarkStart w:id="269" w:name="_Toc3987"/>
      <w:bookmarkStart w:id="270" w:name="_Toc14577"/>
      <w:bookmarkStart w:id="271" w:name="_Toc27721"/>
      <w:bookmarkStart w:id="272" w:name="_Toc29682"/>
      <w:bookmarkStart w:id="273" w:name="_Toc9924"/>
      <w:bookmarkStart w:id="274" w:name="_Toc28631"/>
      <w:bookmarkStart w:id="275" w:name="_Toc21241"/>
      <w:bookmarkStart w:id="276" w:name="_Toc32204"/>
      <w:bookmarkStart w:id="277" w:name="_Toc29883"/>
      <w:bookmarkStart w:id="278" w:name="_Toc27595"/>
      <w:bookmarkStart w:id="279" w:name="_Toc26215"/>
      <w:bookmarkStart w:id="280" w:name="_Toc6489"/>
      <w:bookmarkStart w:id="281" w:name="_Toc25073"/>
      <w:r>
        <w:rPr>
          <w:rStyle w:val="60"/>
          <w:rFonts w:hint="eastAsia" w:ascii="宋体" w:hAnsi="宋体" w:eastAsia="宋体" w:cs="宋体"/>
          <w:b/>
          <w:bCs/>
          <w:snapToGrid w:val="0"/>
          <w:color w:val="auto"/>
          <w:spacing w:val="-1"/>
          <w:sz w:val="21"/>
          <w:szCs w:val="30"/>
          <w:highlight w:val="none"/>
          <w:lang w:val="en-US" w:eastAsia="en-US" w:bidi="ar-SA"/>
        </w:rPr>
        <w:t>6</w:t>
      </w:r>
      <w:r>
        <w:rPr>
          <w:rStyle w:val="60"/>
          <w:rFonts w:ascii="Arial" w:hAnsi="Arial" w:eastAsia="宋体" w:cs="Arial"/>
          <w:b/>
          <w:bCs/>
          <w:snapToGrid w:val="0"/>
          <w:color w:val="auto"/>
          <w:spacing w:val="-1"/>
          <w:sz w:val="21"/>
          <w:szCs w:val="21"/>
          <w:highlight w:val="none"/>
          <w:lang w:val="en-US" w:eastAsia="en-US" w:bidi="ar-SA"/>
        </w:rPr>
        <w:t>　</w:t>
      </w:r>
      <w:r>
        <w:rPr>
          <w:rStyle w:val="60"/>
          <w:rFonts w:hint="eastAsia" w:ascii="Arial" w:hAnsi="Arial" w:eastAsia="宋体" w:cs="宋体"/>
          <w:b/>
          <w:bCs/>
          <w:snapToGrid w:val="0"/>
          <w:color w:val="auto"/>
          <w:spacing w:val="-1"/>
          <w:sz w:val="21"/>
          <w:szCs w:val="30"/>
          <w:highlight w:val="none"/>
          <w:lang w:val="en-US" w:eastAsia="en-US" w:bidi="ar-SA"/>
        </w:rPr>
        <w:t>评标</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25F5B4FB">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282" w:name="_Toc880"/>
      <w:bookmarkStart w:id="283" w:name="_Toc11052"/>
      <w:bookmarkStart w:id="284" w:name="_Toc5495"/>
      <w:r>
        <w:rPr>
          <w:rFonts w:hint="eastAsia" w:ascii="宋体" w:hAnsi="宋体" w:eastAsia="宋体" w:cs="宋体"/>
          <w:b/>
          <w:bCs/>
          <w:color w:val="auto"/>
          <w:spacing w:val="-2"/>
          <w:szCs w:val="24"/>
          <w:highlight w:val="none"/>
        </w:rPr>
        <w:t>6.1</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评标委员会</w:t>
      </w:r>
      <w:bookmarkEnd w:id="282"/>
      <w:bookmarkEnd w:id="283"/>
      <w:bookmarkEnd w:id="284"/>
    </w:p>
    <w:p w14:paraId="424C4971">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6.1.1</w:t>
      </w:r>
      <w:r>
        <w:rPr>
          <w:rFonts w:hint="eastAsia" w:hAnsi="Times New Roman" w:cs="Times New Roman"/>
          <w:b/>
          <w:bCs/>
          <w:color w:val="auto"/>
          <w:highlight w:val="none"/>
          <w:lang w:eastAsia="zh-CN"/>
        </w:rPr>
        <w:t>　</w:t>
      </w:r>
      <w:r>
        <w:rPr>
          <w:rFonts w:cs="宋体"/>
          <w:color w:val="auto"/>
          <w:highlight w:val="none"/>
          <w:lang w:eastAsia="zh-CN"/>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538B0320">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6.1.2</w:t>
      </w:r>
      <w:r>
        <w:rPr>
          <w:rFonts w:hint="eastAsia" w:hAnsi="Times New Roman" w:cs="Times New Roman"/>
          <w:b/>
          <w:bCs/>
          <w:color w:val="auto"/>
          <w:spacing w:val="0"/>
          <w:highlight w:val="none"/>
          <w:lang w:eastAsia="zh-CN"/>
        </w:rPr>
        <w:t>　</w:t>
      </w:r>
      <w:r>
        <w:rPr>
          <w:rFonts w:cs="宋体"/>
          <w:color w:val="auto"/>
          <w:spacing w:val="0"/>
          <w:highlight w:val="none"/>
          <w:lang w:eastAsia="zh-CN"/>
        </w:rPr>
        <w:t>评标委员会成员有下列情形之一的，应当回避：</w:t>
      </w:r>
    </w:p>
    <w:p w14:paraId="07A174EB">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）投标人或投标人的主要负责人的近亲属。</w:t>
      </w:r>
    </w:p>
    <w:p w14:paraId="44D9FDAF">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）项目主管部门或者行政监督部门的人员。</w:t>
      </w:r>
    </w:p>
    <w:p w14:paraId="2E3B7498">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）与投标人有经济利益关系，可能影响对投标公正评审的。</w:t>
      </w:r>
    </w:p>
    <w:p w14:paraId="6286B4CB">
      <w:pPr>
        <w:kinsoku/>
        <w:spacing w:before="0" w:beforeLines="0" w:afterLines="0"/>
        <w:ind w:left="0" w:firstLine="420"/>
        <w:jc w:val="left"/>
        <w:rPr>
          <w:rFonts w:cs="宋体"/>
          <w:color w:val="auto"/>
          <w:szCs w:val="21"/>
          <w:highlight w:val="none"/>
          <w:lang w:eastAsia="zh-CN"/>
        </w:rPr>
      </w:pPr>
      <w:r>
        <w:rPr>
          <w:rFonts w:cs="宋体"/>
          <w:color w:val="auto"/>
          <w:position w:val="0"/>
          <w:szCs w:val="21"/>
          <w:highlight w:val="none"/>
          <w:lang w:eastAsia="zh-CN"/>
        </w:rPr>
        <w:t>（</w:t>
      </w:r>
      <w:r>
        <w:rPr>
          <w:rFonts w:ascii="宋体" w:hAnsi="Times New Roman" w:eastAsia="宋体" w:cs="Times New Roman"/>
          <w:color w:val="auto"/>
          <w:position w:val="0"/>
          <w:szCs w:val="21"/>
          <w:highlight w:val="none"/>
          <w:lang w:eastAsia="zh-CN"/>
        </w:rPr>
        <w:t>4</w:t>
      </w:r>
      <w:r>
        <w:rPr>
          <w:rFonts w:cs="宋体"/>
          <w:color w:val="auto"/>
          <w:position w:val="0"/>
          <w:highlight w:val="none"/>
          <w:lang w:eastAsia="zh-CN"/>
        </w:rPr>
        <w:t>）曾因在招标、评标以及其他与招标投标有关活动中从事违法行为而受过行</w:t>
      </w:r>
    </w:p>
    <w:p w14:paraId="712C0BA7">
      <w:pPr>
        <w:kinsoku/>
        <w:spacing w:beforeLines="0" w:afterLines="0"/>
        <w:ind w:firstLine="420"/>
        <w:jc w:val="left"/>
        <w:rPr>
          <w:rFonts w:cs="宋体"/>
          <w:color w:val="auto"/>
          <w:szCs w:val="21"/>
          <w:highlight w:val="none"/>
          <w:lang w:eastAsia="zh-CN"/>
        </w:rPr>
      </w:pPr>
      <w:r>
        <w:rPr>
          <w:rFonts w:cs="宋体"/>
          <w:color w:val="auto"/>
          <w:spacing w:val="0"/>
          <w:szCs w:val="21"/>
          <w:highlight w:val="none"/>
          <w:lang w:eastAsia="zh-CN"/>
        </w:rPr>
        <w:t>政处罚或刑事处罚的。</w:t>
      </w:r>
    </w:p>
    <w:p w14:paraId="0153B1C1">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）法律、法规、规章规定应当回避的其他情形。</w:t>
      </w:r>
    </w:p>
    <w:p w14:paraId="13F37D02">
      <w:pPr>
        <w:pStyle w:val="4"/>
        <w:kinsoku/>
        <w:spacing w:before="0" w:beforeLines="0" w:afterLines="0"/>
        <w:jc w:val="both"/>
        <w:rPr>
          <w:rFonts w:hint="eastAsia" w:ascii="宋体" w:hAnsi="宋体" w:eastAsia="宋体" w:cs="宋体"/>
          <w:b/>
          <w:bCs/>
          <w:color w:val="auto"/>
          <w:szCs w:val="24"/>
          <w:highlight w:val="none"/>
          <w:lang w:eastAsia="zh-CN"/>
        </w:rPr>
      </w:pPr>
      <w:bookmarkStart w:id="285" w:name="_Toc8166"/>
      <w:bookmarkStart w:id="286" w:name="_Toc8215"/>
      <w:bookmarkStart w:id="287" w:name="_Toc17623"/>
      <w:r>
        <w:rPr>
          <w:rFonts w:hint="eastAsia" w:ascii="宋体" w:hAnsi="宋体" w:eastAsia="宋体" w:cs="宋体"/>
          <w:b/>
          <w:bCs/>
          <w:color w:val="auto"/>
          <w:spacing w:val="-4"/>
          <w:szCs w:val="24"/>
          <w:highlight w:val="none"/>
        </w:rPr>
        <w:t>6.2</w:t>
      </w:r>
      <w:r>
        <w:rPr>
          <w:rFonts w:hint="eastAsia" w:cs="宋体"/>
          <w:b/>
          <w:bCs/>
          <w:color w:val="auto"/>
          <w:szCs w:val="24"/>
          <w:highlight w:val="none"/>
          <w:lang w:eastAsia="zh-CN"/>
        </w:rPr>
        <w:t>　</w:t>
      </w:r>
      <w:r>
        <w:rPr>
          <w:rFonts w:hint="eastAsia" w:ascii="宋体" w:hAnsi="宋体" w:eastAsia="宋体" w:cs="宋体"/>
          <w:b/>
          <w:bCs/>
          <w:color w:val="auto"/>
          <w:spacing w:val="-4"/>
          <w:szCs w:val="24"/>
          <w:highlight w:val="none"/>
        </w:rPr>
        <w:t>评标原则</w:t>
      </w:r>
      <w:bookmarkEnd w:id="285"/>
      <w:bookmarkEnd w:id="286"/>
      <w:bookmarkEnd w:id="287"/>
    </w:p>
    <w:p w14:paraId="10A5EA0B">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评标活动遵循公平、公正、科学和择优的原则。</w:t>
      </w:r>
    </w:p>
    <w:p w14:paraId="1BE05478">
      <w:pPr>
        <w:pStyle w:val="4"/>
        <w:kinsoku/>
        <w:spacing w:before="0" w:beforeLines="0" w:afterLines="0"/>
        <w:jc w:val="both"/>
        <w:rPr>
          <w:rFonts w:hint="eastAsia" w:ascii="宋体" w:hAnsi="宋体" w:eastAsia="宋体" w:cs="宋体"/>
          <w:b/>
          <w:bCs/>
          <w:color w:val="auto"/>
          <w:szCs w:val="24"/>
          <w:highlight w:val="none"/>
          <w:lang w:eastAsia="zh-CN"/>
        </w:rPr>
      </w:pPr>
      <w:bookmarkStart w:id="288" w:name="_Toc28049"/>
      <w:bookmarkStart w:id="289" w:name="_Toc7556"/>
      <w:bookmarkStart w:id="290" w:name="_Toc11184"/>
      <w:r>
        <w:rPr>
          <w:rFonts w:hint="eastAsia" w:ascii="宋体" w:hAnsi="宋体" w:eastAsia="宋体" w:cs="宋体"/>
          <w:b/>
          <w:bCs/>
          <w:color w:val="auto"/>
          <w:spacing w:val="-2"/>
          <w:szCs w:val="24"/>
          <w:highlight w:val="none"/>
        </w:rPr>
        <w:t>6.3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评标办法与中标候选人推荐</w:t>
      </w:r>
      <w:bookmarkEnd w:id="288"/>
      <w:bookmarkEnd w:id="289"/>
      <w:bookmarkEnd w:id="290"/>
    </w:p>
    <w:p w14:paraId="6BEA5E0A">
      <w:pPr>
        <w:kinsoku/>
        <w:spacing w:before="0" w:beforeLines="0" w:afterLines="0"/>
        <w:ind w:left="0" w:right="0" w:firstLine="420"/>
        <w:jc w:val="left"/>
        <w:rPr>
          <w:rFonts w:cs="宋体"/>
          <w:color w:val="auto"/>
          <w:szCs w:val="21"/>
          <w:highlight w:val="none"/>
          <w:lang w:eastAsia="zh-CN"/>
        </w:rPr>
      </w:pPr>
      <w:r>
        <w:rPr>
          <w:rFonts w:cs="宋体"/>
          <w:color w:val="auto"/>
          <w:spacing w:val="0"/>
          <w:highlight w:val="none"/>
          <w:lang w:eastAsia="zh-CN"/>
        </w:rPr>
        <w:t>评标委员会按照第三章“评标办法”规定的方法、评审因素、标准和程序对投标文件进行评审并推荐中标候选人，中标候选人数量详见投标人须知前附表。第</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章“评标办法”没有规定的方法、评审因素和标准，不作为评标依据。</w:t>
      </w:r>
    </w:p>
    <w:p w14:paraId="28C661AA">
      <w:pPr>
        <w:pStyle w:val="4"/>
        <w:kinsoku/>
        <w:spacing w:before="0" w:beforeLines="0" w:afterLines="0"/>
        <w:jc w:val="both"/>
        <w:rPr>
          <w:rFonts w:hint="eastAsia" w:ascii="宋体" w:hAnsi="宋体" w:eastAsia="宋体" w:cs="宋体"/>
          <w:b/>
          <w:bCs/>
          <w:color w:val="auto"/>
          <w:szCs w:val="24"/>
          <w:highlight w:val="none"/>
          <w:lang w:eastAsia="zh-CN"/>
        </w:rPr>
      </w:pPr>
      <w:bookmarkStart w:id="291" w:name="_Toc25240"/>
      <w:bookmarkStart w:id="292" w:name="_Toc26185"/>
      <w:bookmarkStart w:id="293" w:name="_Toc3270"/>
      <w:r>
        <w:rPr>
          <w:rFonts w:hint="eastAsia" w:ascii="宋体" w:hAnsi="宋体" w:eastAsia="宋体" w:cs="宋体"/>
          <w:b/>
          <w:bCs/>
          <w:color w:val="auto"/>
          <w:spacing w:val="-5"/>
          <w:szCs w:val="24"/>
          <w:highlight w:val="none"/>
        </w:rPr>
        <w:t>6.4</w:t>
      </w:r>
      <w:r>
        <w:rPr>
          <w:rFonts w:hint="eastAsia" w:cs="宋体"/>
          <w:b/>
          <w:bCs/>
          <w:color w:val="auto"/>
          <w:szCs w:val="24"/>
          <w:highlight w:val="none"/>
          <w:lang w:eastAsia="zh-CN"/>
        </w:rPr>
        <w:t>　</w:t>
      </w:r>
      <w:r>
        <w:rPr>
          <w:rFonts w:hint="eastAsia" w:ascii="宋体" w:hAnsi="宋体" w:eastAsia="宋体" w:cs="宋体"/>
          <w:b/>
          <w:bCs/>
          <w:color w:val="auto"/>
          <w:spacing w:val="-5"/>
          <w:szCs w:val="24"/>
          <w:highlight w:val="none"/>
        </w:rPr>
        <w:t>中标候选人公示及媒介</w:t>
      </w:r>
      <w:bookmarkEnd w:id="291"/>
      <w:bookmarkEnd w:id="292"/>
      <w:bookmarkEnd w:id="293"/>
    </w:p>
    <w:p w14:paraId="4E1DEE67">
      <w:pPr>
        <w:kinsoku/>
        <w:spacing w:before="0" w:beforeLines="0" w:afterLines="0"/>
        <w:ind w:left="0" w:firstLine="420"/>
        <w:jc w:val="left"/>
        <w:rPr>
          <w:rFonts w:cs="宋体"/>
          <w:color w:val="auto"/>
          <w:position w:val="0"/>
          <w:highlight w:val="none"/>
          <w:lang w:eastAsia="zh-CN"/>
        </w:rPr>
      </w:pPr>
      <w:r>
        <w:rPr>
          <w:rFonts w:cs="宋体"/>
          <w:color w:val="auto"/>
          <w:position w:val="0"/>
          <w:highlight w:val="none"/>
          <w:lang w:eastAsia="zh-CN"/>
        </w:rPr>
        <w:t>招标人自确定中标候选人之日起</w:t>
      </w:r>
      <w:r>
        <w:rPr>
          <w:rFonts w:ascii="宋体" w:hAnsi="Times New Roman" w:eastAsia="宋体" w:cs="Times New Roman"/>
          <w:color w:val="auto"/>
          <w:position w:val="0"/>
          <w:szCs w:val="21"/>
          <w:highlight w:val="none"/>
          <w:lang w:eastAsia="zh-CN"/>
        </w:rPr>
        <w:t>3</w:t>
      </w:r>
      <w:r>
        <w:rPr>
          <w:rFonts w:cs="宋体"/>
          <w:color w:val="auto"/>
          <w:position w:val="0"/>
          <w:highlight w:val="none"/>
          <w:lang w:eastAsia="zh-CN"/>
        </w:rPr>
        <w:t>日内，应在原发布招标公告或资格预审公告的</w:t>
      </w:r>
      <w:r>
        <w:rPr>
          <w:rFonts w:cs="宋体"/>
          <w:color w:val="auto"/>
          <w:spacing w:val="0"/>
          <w:szCs w:val="21"/>
          <w:highlight w:val="none"/>
          <w:lang w:eastAsia="zh-CN"/>
        </w:rPr>
        <w:t>媒介上发布中标公示，公示期为</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日，公示媒介见投标人须知前附表。</w:t>
      </w:r>
    </w:p>
    <w:p w14:paraId="510E7635">
      <w:pPr>
        <w:pStyle w:val="3"/>
        <w:kinsoku/>
        <w:wordWrap/>
        <w:spacing w:before="0" w:beforeLines="0" w:afterLines="0"/>
        <w:ind w:left="0"/>
        <w:jc w:val="both"/>
        <w:outlineLvl w:val="1"/>
        <w:rPr>
          <w:rFonts w:cs="宋体"/>
          <w:b/>
          <w:bCs/>
          <w:color w:val="auto"/>
          <w:sz w:val="30"/>
          <w:szCs w:val="30"/>
          <w:highlight w:val="none"/>
          <w:lang w:eastAsia="zh-CN"/>
        </w:rPr>
      </w:pPr>
      <w:bookmarkStart w:id="294" w:name="_Toc11200"/>
      <w:bookmarkStart w:id="295" w:name="_Toc588"/>
      <w:bookmarkStart w:id="296" w:name="_Toc31115"/>
      <w:bookmarkStart w:id="297" w:name="_Toc18385"/>
      <w:bookmarkStart w:id="298" w:name="_Toc28913"/>
      <w:bookmarkStart w:id="299" w:name="_Toc7653"/>
      <w:bookmarkStart w:id="300" w:name="_Toc7453"/>
      <w:bookmarkStart w:id="301" w:name="_Toc30019"/>
      <w:bookmarkStart w:id="302" w:name="_Toc29892"/>
      <w:bookmarkStart w:id="303" w:name="_Toc30987"/>
      <w:bookmarkStart w:id="304" w:name="_Toc21779"/>
      <w:bookmarkStart w:id="305" w:name="_Toc2594"/>
      <w:bookmarkStart w:id="306" w:name="_Toc13727"/>
      <w:bookmarkStart w:id="307" w:name="_Toc21043"/>
      <w:bookmarkStart w:id="308" w:name="_Toc10992"/>
      <w:r>
        <w:rPr>
          <w:rStyle w:val="60"/>
          <w:rFonts w:hint="eastAsia" w:ascii="宋体" w:hAnsi="宋体" w:eastAsia="宋体" w:cs="宋体"/>
          <w:b/>
          <w:bCs/>
          <w:color w:val="auto"/>
          <w:spacing w:val="2"/>
          <w:sz w:val="30"/>
          <w:szCs w:val="30"/>
          <w:highlight w:val="none"/>
        </w:rPr>
        <w:t>7</w:t>
      </w:r>
      <w:r>
        <w:rPr>
          <w:rFonts w:hint="eastAsia" w:cs="宋体"/>
          <w:b/>
          <w:bCs/>
          <w:color w:val="auto"/>
          <w:szCs w:val="30"/>
          <w:highlight w:val="none"/>
          <w:lang w:eastAsia="zh-CN"/>
        </w:rPr>
        <w:t>　</w:t>
      </w:r>
      <w:r>
        <w:rPr>
          <w:rStyle w:val="60"/>
          <w:rFonts w:cs="宋体"/>
          <w:b/>
          <w:bCs/>
          <w:color w:val="auto"/>
          <w:spacing w:val="2"/>
          <w:sz w:val="30"/>
          <w:szCs w:val="30"/>
          <w:highlight w:val="none"/>
        </w:rPr>
        <w:t>合同授予</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74C3638">
      <w:pPr>
        <w:pStyle w:val="4"/>
        <w:kinsoku/>
        <w:spacing w:before="0" w:beforeLines="0" w:afterLines="0"/>
        <w:jc w:val="both"/>
        <w:rPr>
          <w:rFonts w:hint="eastAsia" w:ascii="宋体" w:hAnsi="宋体" w:eastAsia="宋体" w:cs="宋体"/>
          <w:b/>
          <w:bCs/>
          <w:color w:val="auto"/>
          <w:szCs w:val="24"/>
          <w:highlight w:val="none"/>
          <w:lang w:eastAsia="zh-CN"/>
        </w:rPr>
      </w:pPr>
      <w:bookmarkStart w:id="309" w:name="_Toc2139"/>
      <w:bookmarkStart w:id="310" w:name="_Toc29743"/>
      <w:bookmarkStart w:id="311" w:name="_Toc2165"/>
      <w:r>
        <w:rPr>
          <w:rFonts w:hint="eastAsia" w:ascii="宋体" w:hAnsi="宋体" w:eastAsia="宋体" w:cs="宋体"/>
          <w:b/>
          <w:bCs/>
          <w:color w:val="auto"/>
          <w:spacing w:val="-5"/>
          <w:szCs w:val="24"/>
          <w:highlight w:val="none"/>
        </w:rPr>
        <w:t>7.1</w:t>
      </w:r>
      <w:r>
        <w:rPr>
          <w:rFonts w:hint="eastAsia" w:cs="宋体"/>
          <w:b/>
          <w:bCs/>
          <w:color w:val="auto"/>
          <w:szCs w:val="24"/>
          <w:highlight w:val="none"/>
          <w:lang w:eastAsia="zh-CN"/>
        </w:rPr>
        <w:t>　</w:t>
      </w:r>
      <w:r>
        <w:rPr>
          <w:rFonts w:hint="eastAsia" w:ascii="宋体" w:hAnsi="宋体" w:eastAsia="宋体" w:cs="宋体"/>
          <w:b/>
          <w:bCs/>
          <w:color w:val="auto"/>
          <w:spacing w:val="-5"/>
          <w:szCs w:val="24"/>
          <w:highlight w:val="none"/>
        </w:rPr>
        <w:t>定标方式</w:t>
      </w:r>
      <w:bookmarkEnd w:id="309"/>
      <w:bookmarkEnd w:id="310"/>
      <w:bookmarkEnd w:id="311"/>
    </w:p>
    <w:p w14:paraId="57800B2C">
      <w:pPr>
        <w:kinsoku/>
        <w:spacing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7.1.1</w:t>
      </w:r>
      <w:r>
        <w:rPr>
          <w:rFonts w:hint="eastAsia" w:hAnsi="Times New Roman" w:cs="Times New Roman"/>
          <w:b/>
          <w:bCs/>
          <w:color w:val="auto"/>
          <w:spacing w:val="0"/>
          <w:highlight w:val="none"/>
          <w:lang w:eastAsia="zh-CN"/>
        </w:rPr>
        <w:t>　</w:t>
      </w:r>
      <w:r>
        <w:rPr>
          <w:rFonts w:cs="宋体"/>
          <w:color w:val="auto"/>
          <w:highlight w:val="none"/>
          <w:lang w:eastAsia="zh-CN"/>
        </w:rPr>
        <w:t>除投标人须知前附表规定评标委员会直接确定中标人外，招标人依据评标</w:t>
      </w:r>
      <w:r>
        <w:rPr>
          <w:rFonts w:cs="宋体"/>
          <w:color w:val="auto"/>
          <w:spacing w:val="0"/>
          <w:szCs w:val="21"/>
          <w:highlight w:val="none"/>
          <w:lang w:eastAsia="zh-CN"/>
        </w:rPr>
        <w:t>委员会推荐的中标候选人确定中标人。采用评定分离的，由招标人在投标人须知前附</w:t>
      </w:r>
      <w:r>
        <w:rPr>
          <w:rFonts w:cs="宋体"/>
          <w:color w:val="auto"/>
          <w:szCs w:val="21"/>
          <w:highlight w:val="none"/>
          <w:lang w:eastAsia="zh-CN"/>
        </w:rPr>
        <w:t>表</w:t>
      </w:r>
      <w:r>
        <w:rPr>
          <w:rFonts w:ascii="宋体" w:hAnsi="Times New Roman" w:eastAsia="宋体" w:cs="Times New Roman"/>
          <w:color w:val="auto"/>
          <w:szCs w:val="21"/>
          <w:highlight w:val="none"/>
          <w:lang w:eastAsia="zh-CN"/>
        </w:rPr>
        <w:t>7.1.1</w:t>
      </w:r>
      <w:r>
        <w:rPr>
          <w:rFonts w:cs="宋体"/>
          <w:color w:val="auto"/>
          <w:highlight w:val="none"/>
          <w:lang w:eastAsia="zh-CN"/>
        </w:rPr>
        <w:t>项中明确。定标前，招标人可对中</w:t>
      </w:r>
      <w:r>
        <w:rPr>
          <w:rFonts w:cs="宋体"/>
          <w:color w:val="auto"/>
          <w:spacing w:val="0"/>
          <w:szCs w:val="21"/>
          <w:highlight w:val="none"/>
          <w:lang w:eastAsia="zh-CN"/>
        </w:rPr>
        <w:t>标候选人的证书、业绩、诚信等进行核查。评定分离的定标办法按本章</w:t>
      </w:r>
      <w:r>
        <w:rPr>
          <w:rFonts w:ascii="宋体" w:hAnsi="Times New Roman" w:eastAsia="宋体" w:cs="Times New Roman"/>
          <w:color w:val="auto"/>
          <w:spacing w:val="0"/>
          <w:szCs w:val="21"/>
          <w:highlight w:val="none"/>
          <w:lang w:eastAsia="zh-CN"/>
        </w:rPr>
        <w:t>7.1.8</w:t>
      </w:r>
      <w:r>
        <w:rPr>
          <w:rFonts w:cs="宋体"/>
          <w:color w:val="auto"/>
          <w:spacing w:val="0"/>
          <w:highlight w:val="none"/>
          <w:lang w:eastAsia="zh-CN"/>
        </w:rPr>
        <w:t>项规定的定标程序和方法，组建定标委员会确定中标</w:t>
      </w:r>
      <w:r>
        <w:rPr>
          <w:rFonts w:cs="宋体"/>
          <w:color w:val="auto"/>
          <w:spacing w:val="0"/>
          <w:szCs w:val="21"/>
          <w:highlight w:val="none"/>
          <w:lang w:eastAsia="zh-CN"/>
        </w:rPr>
        <w:t>人。</w:t>
      </w:r>
    </w:p>
    <w:p w14:paraId="430A0A6B">
      <w:pPr>
        <w:kinsoku/>
        <w:spacing w:before="0" w:beforeLines="0" w:afterLines="0"/>
        <w:ind w:left="0" w:right="0" w:firstLine="0" w:firstLineChars="0"/>
        <w:jc w:val="left"/>
        <w:rPr>
          <w:rFonts w:cs="宋体"/>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7.1.2</w:t>
      </w:r>
      <w:r>
        <w:rPr>
          <w:rFonts w:hint="eastAsia" w:hAnsi="Times New Roman" w:cs="Times New Roman"/>
          <w:b/>
          <w:bCs/>
          <w:color w:val="auto"/>
          <w:spacing w:val="0"/>
          <w:highlight w:val="none"/>
          <w:lang w:eastAsia="zh-CN"/>
        </w:rPr>
        <w:t>　</w:t>
      </w:r>
      <w:r>
        <w:rPr>
          <w:rFonts w:cs="宋体"/>
          <w:color w:val="auto"/>
          <w:spacing w:val="0"/>
          <w:highlight w:val="none"/>
          <w:lang w:eastAsia="zh-CN"/>
        </w:rPr>
        <w:t>依法必须招标的项目，中标候</w:t>
      </w:r>
      <w:r>
        <w:rPr>
          <w:rFonts w:cs="宋体"/>
          <w:color w:val="auto"/>
          <w:szCs w:val="21"/>
          <w:highlight w:val="none"/>
          <w:lang w:eastAsia="zh-CN"/>
        </w:rPr>
        <w:t>选人放弃中标、因不可抗力提出不能履行合</w:t>
      </w:r>
      <w:r>
        <w:rPr>
          <w:rFonts w:cs="宋体"/>
          <w:color w:val="auto"/>
          <w:spacing w:val="0"/>
          <w:szCs w:val="21"/>
          <w:highlight w:val="none"/>
          <w:lang w:eastAsia="zh-CN"/>
        </w:rPr>
        <w:t>同，或者招标文件规定应当提交履约担保而在规定的期限内未能提交，或者被查实存在影响中标结果的违法行为等情形，不符合中标条件的，取消其中标资格。</w:t>
      </w:r>
    </w:p>
    <w:p w14:paraId="7232FB9B">
      <w:pPr>
        <w:kinsoku/>
        <w:spacing w:beforeLines="0" w:afterLines="0"/>
        <w:ind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7.1.3</w:t>
      </w:r>
      <w:r>
        <w:rPr>
          <w:rFonts w:hint="eastAsia" w:hAnsi="Times New Roman" w:cs="Times New Roman"/>
          <w:color w:val="auto"/>
          <w:highlight w:val="none"/>
          <w:lang w:eastAsia="zh-CN"/>
        </w:rPr>
        <w:t>　</w:t>
      </w:r>
      <w:r>
        <w:rPr>
          <w:rFonts w:cs="宋体"/>
          <w:color w:val="auto"/>
          <w:highlight w:val="none"/>
          <w:lang w:eastAsia="zh-CN"/>
        </w:rPr>
        <w:t>招标人在定标前，应通过中国裁判文书网查询中标候选人及其法定代表和拟派项目负责人有无行贿犯罪记录，</w:t>
      </w:r>
      <w:r>
        <w:rPr>
          <w:rFonts w:cs="宋体"/>
          <w:color w:val="auto"/>
          <w:szCs w:val="21"/>
          <w:highlight w:val="none"/>
          <w:lang w:eastAsia="zh-CN"/>
        </w:rPr>
        <w:t>若发现有未如实填报或隐瞒不报情况的，一律取消其中标资格并上报行政主管部门，由行政主管部门列为不良行为记录。</w:t>
      </w:r>
    </w:p>
    <w:p w14:paraId="7361A2C7">
      <w:pPr>
        <w:kinsoku/>
        <w:spacing w:before="0" w:beforeLines="0" w:afterLines="0"/>
        <w:ind w:left="0" w:righ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7.1.4</w:t>
      </w:r>
      <w:r>
        <w:rPr>
          <w:rFonts w:hint="eastAsia" w:hAnsi="Times New Roman" w:cs="Times New Roman"/>
          <w:b/>
          <w:bCs/>
          <w:color w:val="auto"/>
          <w:spacing w:val="0"/>
          <w:highlight w:val="none"/>
          <w:lang w:eastAsia="zh-CN"/>
        </w:rPr>
        <w:t>　</w:t>
      </w:r>
      <w:r>
        <w:rPr>
          <w:rFonts w:cs="宋体"/>
          <w:color w:val="auto"/>
          <w:spacing w:val="0"/>
          <w:highlight w:val="none"/>
          <w:lang w:eastAsia="zh-CN"/>
        </w:rPr>
        <w:t>招标人在定标前，应查询中标</w:t>
      </w:r>
      <w:r>
        <w:rPr>
          <w:rFonts w:cs="宋体"/>
          <w:color w:val="auto"/>
          <w:szCs w:val="21"/>
          <w:highlight w:val="none"/>
          <w:lang w:eastAsia="zh-CN"/>
        </w:rPr>
        <w:t>候选人及其法定代表人和拟派项目负责人的</w:t>
      </w:r>
      <w:r>
        <w:rPr>
          <w:rFonts w:cs="宋体"/>
          <w:color w:val="auto"/>
          <w:spacing w:val="0"/>
          <w:szCs w:val="21"/>
          <w:highlight w:val="none"/>
          <w:lang w:eastAsia="zh-CN"/>
        </w:rPr>
        <w:t>失信被执行人名单（以“信用中国”网站（</w:t>
      </w:r>
      <w:r>
        <w:rPr>
          <w:rFonts w:ascii="宋体" w:hAnsi="Times New Roman" w:eastAsia="宋体" w:cs="Times New Roman"/>
          <w:color w:val="auto"/>
          <w:spacing w:val="0"/>
          <w:szCs w:val="21"/>
          <w:highlight w:val="none"/>
          <w:lang w:eastAsia="zh-CN"/>
        </w:rPr>
        <w:t>www.creditchina.gov.cn</w:t>
      </w:r>
      <w:r>
        <w:rPr>
          <w:rFonts w:cs="宋体"/>
          <w:color w:val="auto"/>
          <w:spacing w:val="0"/>
          <w:highlight w:val="none"/>
          <w:lang w:eastAsia="zh-CN"/>
        </w:rPr>
        <w:t>）查询为准），若发现有未如实填报或隐瞒不报情况的，一律取消其中标资格并上报行政主管部门，由行政主管部门列为不良行为记录。</w:t>
      </w:r>
    </w:p>
    <w:p w14:paraId="003AD97F">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7.1.5</w:t>
      </w:r>
      <w:r>
        <w:rPr>
          <w:rFonts w:hint="eastAsia" w:hAnsi="Times New Roman" w:cs="Times New Roman"/>
          <w:color w:val="auto"/>
          <w:spacing w:val="0"/>
          <w:highlight w:val="none"/>
          <w:lang w:eastAsia="zh-CN"/>
        </w:rPr>
        <w:t>　</w:t>
      </w:r>
      <w:r>
        <w:rPr>
          <w:rFonts w:cs="宋体"/>
          <w:color w:val="auto"/>
          <w:spacing w:val="0"/>
          <w:highlight w:val="none"/>
          <w:lang w:eastAsia="zh-CN"/>
        </w:rPr>
        <w:t>招标人在定标前，应查询中标候选人全国水利建设市场信用平台“黑名单”</w:t>
      </w:r>
      <w:r>
        <w:rPr>
          <w:rFonts w:cs="宋体"/>
          <w:color w:val="auto"/>
          <w:szCs w:val="21"/>
          <w:highlight w:val="none"/>
          <w:lang w:eastAsia="zh-CN"/>
        </w:rPr>
        <w:t>（以</w:t>
      </w:r>
      <w:r>
        <w:rPr>
          <w:color w:val="auto"/>
          <w:highlight w:val="none"/>
        </w:rPr>
        <w:fldChar w:fldCharType="begin"/>
      </w:r>
      <w:r>
        <w:rPr>
          <w:color w:val="auto"/>
          <w:highlight w:val="none"/>
          <w:lang w:eastAsia="zh-CN"/>
        </w:rPr>
        <w:instrText xml:space="preserve">HYPERLINK "https://rcpu.cwun.org"</w:instrText>
      </w:r>
      <w:r>
        <w:rPr>
          <w:color w:val="auto"/>
          <w:highlight w:val="none"/>
        </w:rPr>
        <w:fldChar w:fldCharType="separate"/>
      </w:r>
      <w:r>
        <w:rPr>
          <w:rFonts w:ascii="宋体" w:hAnsi="Times New Roman" w:eastAsia="宋体" w:cs="Times New Roman"/>
          <w:color w:val="auto"/>
          <w:szCs w:val="21"/>
          <w:highlight w:val="none"/>
          <w:lang w:eastAsia="zh-CN"/>
        </w:rPr>
        <w:t>https://rcpu.cwun.org</w:t>
      </w:r>
      <w:r>
        <w:rPr>
          <w:color w:val="auto"/>
          <w:highlight w:val="none"/>
        </w:rPr>
        <w:fldChar w:fldCharType="end"/>
      </w:r>
      <w:r>
        <w:rPr>
          <w:rFonts w:cs="宋体"/>
          <w:color w:val="auto"/>
          <w:szCs w:val="21"/>
          <w:highlight w:val="none"/>
          <w:lang w:eastAsia="zh-CN"/>
        </w:rPr>
        <w:t>—失信黑名单查询为准</w:t>
      </w:r>
      <w:r>
        <w:rPr>
          <w:rFonts w:cs="宋体"/>
          <w:color w:val="auto"/>
          <w:spacing w:val="0"/>
          <w:szCs w:val="21"/>
          <w:highlight w:val="none"/>
          <w:lang w:eastAsia="zh-CN"/>
        </w:rPr>
        <w:t>），</w:t>
      </w:r>
      <w:r>
        <w:rPr>
          <w:rFonts w:cs="宋体"/>
          <w:color w:val="auto"/>
          <w:szCs w:val="21"/>
          <w:highlight w:val="none"/>
          <w:lang w:eastAsia="zh-CN"/>
        </w:rPr>
        <w:t>若发现有未如实填报或隐瞒不报</w:t>
      </w:r>
      <w:r>
        <w:rPr>
          <w:rFonts w:cs="宋体"/>
          <w:color w:val="auto"/>
          <w:spacing w:val="0"/>
          <w:szCs w:val="21"/>
          <w:highlight w:val="none"/>
          <w:lang w:eastAsia="zh-CN"/>
        </w:rPr>
        <w:t>情况的，一律取消其中标资格并上报行政主管部门，由行政主管部门列为不良行为记录。</w:t>
      </w:r>
    </w:p>
    <w:p w14:paraId="4800E3FF">
      <w:pPr>
        <w:kinsoku/>
        <w:spacing w:before="0" w:beforeLines="0" w:afterLines="0"/>
        <w:ind w:righ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7.1.6</w:t>
      </w:r>
      <w:r>
        <w:rPr>
          <w:rFonts w:hint="eastAsia" w:hAnsi="Times New Roman" w:cs="Times New Roman"/>
          <w:color w:val="auto"/>
          <w:spacing w:val="0"/>
          <w:highlight w:val="none"/>
          <w:lang w:eastAsia="zh-CN"/>
        </w:rPr>
        <w:t>　</w:t>
      </w:r>
      <w:r>
        <w:rPr>
          <w:rFonts w:cs="宋体"/>
          <w:color w:val="auto"/>
          <w:spacing w:val="0"/>
          <w:highlight w:val="none"/>
          <w:lang w:eastAsia="zh-CN"/>
        </w:rPr>
        <w:t>招标人在定标前，应查询中标</w:t>
      </w:r>
      <w:r>
        <w:rPr>
          <w:rFonts w:cs="宋体"/>
          <w:color w:val="auto"/>
          <w:szCs w:val="21"/>
          <w:highlight w:val="none"/>
          <w:lang w:eastAsia="zh-CN"/>
        </w:rPr>
        <w:t>候选人资质动态核查处于“合格”状态（根</w:t>
      </w:r>
      <w:r>
        <w:rPr>
          <w:rFonts w:cs="宋体"/>
          <w:color w:val="auto"/>
          <w:spacing w:val="0"/>
          <w:szCs w:val="21"/>
          <w:highlight w:val="none"/>
          <w:lang w:eastAsia="zh-CN"/>
        </w:rPr>
        <w:t>据相关文件要求进行核查），若发现有未如实填报或隐瞒不报情况的，一律取消其中标资格并上报行政主管部门，由行政主管部门列为不良行为记录；核查结果</w:t>
      </w:r>
      <w:r>
        <w:rPr>
          <w:rFonts w:ascii="宋体" w:hAnsi="Times New Roman" w:eastAsia="宋体" w:cs="Times New Roman"/>
          <w:color w:val="auto"/>
          <w:spacing w:val="0"/>
          <w:szCs w:val="21"/>
          <w:highlight w:val="none"/>
          <w:lang w:eastAsia="zh-CN"/>
        </w:rPr>
        <w:t>“</w:t>
      </w:r>
      <w:r>
        <w:rPr>
          <w:rFonts w:cs="宋体"/>
          <w:color w:val="auto"/>
          <w:spacing w:val="0"/>
          <w:highlight w:val="none"/>
          <w:lang w:eastAsia="zh-CN"/>
        </w:rPr>
        <w:t>不合格</w:t>
      </w:r>
      <w:r>
        <w:rPr>
          <w:rFonts w:ascii="宋体" w:hAnsi="Times New Roman" w:eastAsia="宋体" w:cs="Times New Roman"/>
          <w:color w:val="auto"/>
          <w:spacing w:val="0"/>
          <w:szCs w:val="21"/>
          <w:highlight w:val="none"/>
          <w:lang w:eastAsia="zh-CN"/>
        </w:rPr>
        <w:t>”</w:t>
      </w:r>
      <w:r>
        <w:rPr>
          <w:rFonts w:cs="宋体"/>
          <w:color w:val="auto"/>
          <w:spacing w:val="0"/>
          <w:highlight w:val="none"/>
          <w:lang w:eastAsia="zh-CN"/>
        </w:rPr>
        <w:t>的，取消其中标资格。</w:t>
      </w:r>
    </w:p>
    <w:p w14:paraId="1FC16DBB">
      <w:pPr>
        <w:kinsoku/>
        <w:spacing w:before="0" w:beforeLines="0" w:afterLines="0"/>
        <w:ind w:left="0" w:righ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7.1.7</w:t>
      </w:r>
      <w:r>
        <w:rPr>
          <w:rFonts w:hint="eastAsia" w:hAnsi="Times New Roman" w:cs="Times New Roman"/>
          <w:b/>
          <w:bCs/>
          <w:color w:val="auto"/>
          <w:spacing w:val="0"/>
          <w:highlight w:val="none"/>
          <w:lang w:eastAsia="zh-CN"/>
        </w:rPr>
        <w:t>　</w:t>
      </w:r>
      <w:r>
        <w:rPr>
          <w:rFonts w:cs="宋体"/>
          <w:color w:val="auto"/>
          <w:highlight w:val="none"/>
          <w:lang w:eastAsia="zh-CN"/>
        </w:rPr>
        <w:t>出现本章第</w:t>
      </w:r>
      <w:r>
        <w:rPr>
          <w:rFonts w:ascii="宋体" w:hAnsi="Times New Roman" w:eastAsia="宋体" w:cs="Times New Roman"/>
          <w:color w:val="auto"/>
          <w:szCs w:val="21"/>
          <w:highlight w:val="none"/>
          <w:lang w:eastAsia="zh-CN"/>
        </w:rPr>
        <w:t>7.1.2</w:t>
      </w:r>
      <w:r>
        <w:rPr>
          <w:rFonts w:cs="宋体"/>
          <w:color w:val="auto"/>
          <w:highlight w:val="none"/>
          <w:lang w:eastAsia="zh-CN"/>
        </w:rPr>
        <w:t>项～第</w:t>
      </w:r>
      <w:r>
        <w:rPr>
          <w:rFonts w:ascii="宋体" w:hAnsi="Times New Roman" w:eastAsia="宋体" w:cs="Times New Roman"/>
          <w:color w:val="auto"/>
          <w:szCs w:val="21"/>
          <w:highlight w:val="none"/>
          <w:lang w:eastAsia="zh-CN"/>
        </w:rPr>
        <w:t>7.1.6</w:t>
      </w:r>
      <w:r>
        <w:rPr>
          <w:rFonts w:cs="宋体"/>
          <w:color w:val="auto"/>
          <w:highlight w:val="none"/>
          <w:lang w:eastAsia="zh-CN"/>
        </w:rPr>
        <w:t>项情形被取消中标</w:t>
      </w:r>
      <w:r>
        <w:rPr>
          <w:rFonts w:cs="宋体"/>
          <w:color w:val="auto"/>
          <w:spacing w:val="0"/>
          <w:szCs w:val="21"/>
          <w:highlight w:val="none"/>
          <w:lang w:eastAsia="zh-CN"/>
        </w:rPr>
        <w:t>资格的，招标人可以按照评标委员会提出的中标候选人名单排序依次确定其他中标候选人为中标人，也可以重新招标。</w:t>
      </w:r>
    </w:p>
    <w:p w14:paraId="4DDB1A59">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7.1.8</w:t>
      </w:r>
      <w:r>
        <w:rPr>
          <w:rFonts w:hint="eastAsia" w:hAnsi="Times New Roman" w:cs="Times New Roman"/>
          <w:color w:val="auto"/>
          <w:spacing w:val="0"/>
          <w:highlight w:val="none"/>
          <w:lang w:eastAsia="zh-CN"/>
        </w:rPr>
        <w:t>　</w:t>
      </w:r>
      <w:r>
        <w:rPr>
          <w:rFonts w:cs="宋体"/>
          <w:color w:val="auto"/>
          <w:spacing w:val="0"/>
          <w:highlight w:val="none"/>
          <w:lang w:eastAsia="zh-CN"/>
        </w:rPr>
        <w:t>评定分离定标办法</w:t>
      </w:r>
    </w:p>
    <w:p w14:paraId="32EA7D19">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）定标原则</w:t>
      </w:r>
    </w:p>
    <w:p w14:paraId="4E795F2B">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定标应遵循招标人负责制、兼顾择优和竞价、公平竞争的原则。</w:t>
      </w:r>
    </w:p>
    <w:p w14:paraId="50A7D351">
      <w:pPr>
        <w:kinsoku/>
        <w:spacing w:before="0" w:beforeLines="0" w:afterLines="0"/>
        <w:ind w:left="0" w:firstLine="420"/>
        <w:jc w:val="left"/>
        <w:rPr>
          <w:rFonts w:cs="宋体"/>
          <w:color w:val="auto"/>
          <w:spacing w:val="0"/>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）评定分离定标组织</w:t>
      </w:r>
    </w:p>
    <w:p w14:paraId="3564809E">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定标工作由招标人组建的定标委员会负责，定标委员会的组建见投标人须知前附</w:t>
      </w:r>
      <w:r>
        <w:rPr>
          <w:rFonts w:cs="宋体"/>
          <w:color w:val="auto"/>
          <w:spacing w:val="0"/>
          <w:szCs w:val="21"/>
          <w:highlight w:val="none"/>
          <w:lang w:eastAsia="zh-CN"/>
        </w:rPr>
        <w:t>表，定标委员会成员为不少于</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人的单数。</w:t>
      </w:r>
    </w:p>
    <w:p w14:paraId="2EFA6570">
      <w:pPr>
        <w:kinsoku/>
        <w:spacing w:before="0" w:beforeLines="0" w:afterLines="0"/>
        <w:ind w:right="0" w:firstLine="420"/>
        <w:jc w:val="left"/>
        <w:rPr>
          <w:rFonts w:cs="宋体"/>
          <w:color w:val="auto"/>
          <w:szCs w:val="21"/>
          <w:highlight w:val="none"/>
          <w:lang w:eastAsia="zh-CN"/>
        </w:rPr>
      </w:pPr>
      <w:r>
        <w:rPr>
          <w:rFonts w:cs="宋体"/>
          <w:color w:val="auto"/>
          <w:szCs w:val="21"/>
          <w:highlight w:val="none"/>
          <w:lang w:eastAsia="zh-CN"/>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招标人的法定代表人或主要负责人或分管负责人应进入定标委员会，并担任组长，主持定标会议。招标人的法定代表人、主要负责人、分管负责人均进入定标委员会的，或其中两人进入定标委员会的，应从其中推选一人担任组长。定标委员会成员与中标候选人有利害关系的应主动说明并申请回避。定标委员会名单在中标结果确定前应保密。</w:t>
      </w:r>
    </w:p>
    <w:p w14:paraId="46A70341">
      <w:pPr>
        <w:kinsoku/>
        <w:spacing w:before="0" w:beforeLines="0" w:afterLines="0"/>
        <w:ind w:firstLine="420"/>
        <w:jc w:val="left"/>
        <w:rPr>
          <w:rFonts w:cs="宋体"/>
          <w:color w:val="auto"/>
          <w:spacing w:val="0"/>
          <w:szCs w:val="21"/>
          <w:highlight w:val="none"/>
          <w:lang w:eastAsia="zh-CN"/>
        </w:rPr>
      </w:pPr>
      <w:r>
        <w:rPr>
          <w:rFonts w:cs="宋体"/>
          <w:color w:val="auto"/>
          <w:szCs w:val="21"/>
          <w:highlight w:val="none"/>
          <w:lang w:eastAsia="zh-CN"/>
        </w:rPr>
        <w:t>定标委员会应推举产生</w:t>
      </w:r>
      <w:r>
        <w:rPr>
          <w:rFonts w:ascii="宋体" w:hAnsi="Times New Roman" w:eastAsia="宋体" w:cs="Times New Roman"/>
          <w:color w:val="auto"/>
          <w:szCs w:val="21"/>
          <w:highlight w:val="none"/>
          <w:lang w:eastAsia="zh-CN"/>
        </w:rPr>
        <w:t>1</w:t>
      </w:r>
      <w:r>
        <w:rPr>
          <w:rFonts w:cs="宋体"/>
          <w:color w:val="auto"/>
          <w:highlight w:val="none"/>
          <w:lang w:eastAsia="zh-CN"/>
        </w:rPr>
        <w:t>名定标委员会组长。定标委员会组长负责组织定标、掌握定标进程、现场面试、编写定标报告等工作，定标委员会组长（集体议事法除外）</w:t>
      </w:r>
      <w:r>
        <w:rPr>
          <w:rFonts w:cs="宋体"/>
          <w:color w:val="auto"/>
          <w:spacing w:val="0"/>
          <w:szCs w:val="21"/>
          <w:highlight w:val="none"/>
          <w:lang w:eastAsia="zh-CN"/>
        </w:rPr>
        <w:t>与其他成员具有同等的权利。定标委员会成员对所提出的意见承担个人责任。</w:t>
      </w:r>
    </w:p>
    <w:p w14:paraId="27F3E1D0">
      <w:pPr>
        <w:kinsoku/>
        <w:spacing w:before="0" w:beforeLines="0" w:afterLines="0"/>
        <w:ind w:firstLine="420"/>
        <w:jc w:val="left"/>
        <w:rPr>
          <w:rFonts w:cs="宋体"/>
          <w:color w:val="auto"/>
          <w:szCs w:val="21"/>
          <w:highlight w:val="none"/>
          <w:lang w:eastAsia="zh-CN"/>
        </w:rPr>
      </w:pPr>
      <w:r>
        <w:rPr>
          <w:rFonts w:cs="宋体"/>
          <w:color w:val="auto"/>
          <w:spacing w:val="0"/>
          <w:position w:val="0"/>
          <w:szCs w:val="21"/>
          <w:highlight w:val="none"/>
          <w:lang w:eastAsia="zh-CN"/>
        </w:rPr>
        <w:t>定标委员会应当按照招标文件确定的定标标准和方法，客观、公正定标，招标文</w:t>
      </w:r>
      <w:r>
        <w:rPr>
          <w:rFonts w:cs="宋体"/>
          <w:color w:val="auto"/>
          <w:spacing w:val="0"/>
          <w:szCs w:val="21"/>
          <w:highlight w:val="none"/>
          <w:lang w:eastAsia="zh-CN"/>
        </w:rPr>
        <w:t>件没有规定的定标标准和方法不得作为定标的依据。</w:t>
      </w:r>
    </w:p>
    <w:p w14:paraId="57D77BF1">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）定标会议时间和地点见投标人须知前附表。</w:t>
      </w:r>
    </w:p>
    <w:p w14:paraId="0041E046">
      <w:pPr>
        <w:kinsoku/>
        <w:spacing w:before="0" w:beforeLines="0" w:afterLines="0"/>
        <w:ind w:righ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4</w:t>
      </w:r>
      <w:r>
        <w:rPr>
          <w:rFonts w:cs="宋体"/>
          <w:color w:val="auto"/>
          <w:spacing w:val="0"/>
          <w:highlight w:val="none"/>
          <w:lang w:eastAsia="zh-CN"/>
        </w:rPr>
        <w:t>）招标人可在投标须知前附表规定的时间前对所有中标候选人进行考察、质询。考察、质询小组应由投标须知前附表规定的人数组成。考察、质询小组应由</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人及以上单数组成。考察、质询小组应如实记录考察、质询情况，并出具考察、质询报告作为定标要素之一。考察、质询报告应客观公正，不得有明示或暗示中标人的内容。</w:t>
      </w:r>
    </w:p>
    <w:p w14:paraId="2728D076">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）现场面试见投标人须知前附表。</w:t>
      </w:r>
    </w:p>
    <w:p w14:paraId="6EAC8024">
      <w:pPr>
        <w:kinsoku/>
        <w:spacing w:before="0" w:beforeLines="0" w:afterLines="0"/>
        <w:ind w:left="0" w:firstLine="420"/>
        <w:jc w:val="left"/>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6</w:t>
      </w:r>
      <w:r>
        <w:rPr>
          <w:rFonts w:cs="宋体"/>
          <w:color w:val="auto"/>
          <w:highlight w:val="none"/>
          <w:lang w:eastAsia="zh-CN"/>
        </w:rPr>
        <w:t>）定标因素由招标人在投标人须知前附表中根据项目实际情况进行</w:t>
      </w:r>
      <w:r>
        <w:rPr>
          <w:rFonts w:cs="宋体"/>
          <w:color w:val="auto"/>
          <w:spacing w:val="0"/>
          <w:szCs w:val="21"/>
          <w:highlight w:val="none"/>
          <w:lang w:eastAsia="zh-CN"/>
        </w:rPr>
        <w:t>调整并细化。招标人在定标阶段对中标候选人的法定代表人、拟派项目负责人开展现场面试。现场面试由定标委员会具体实施。</w:t>
      </w:r>
    </w:p>
    <w:p w14:paraId="077CA849">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7</w:t>
      </w:r>
      <w:r>
        <w:rPr>
          <w:rFonts w:cs="宋体"/>
          <w:color w:val="auto"/>
          <w:spacing w:val="0"/>
          <w:highlight w:val="none"/>
          <w:lang w:eastAsia="zh-CN"/>
        </w:rPr>
        <w:t>）定标方法可采用下列方法或者下列方法的组合：</w:t>
      </w:r>
    </w:p>
    <w:p w14:paraId="4E609706">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）票决法，由定标委员会直接票决方式确定中标人。</w:t>
      </w:r>
    </w:p>
    <w:p w14:paraId="7E745768">
      <w:pPr>
        <w:kinsoku/>
        <w:spacing w:before="0" w:beforeLines="0" w:afterLines="0"/>
        <w:ind w:left="0" w:righ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）集体议事法，由定标委员会集体商议，在组成成员各自发表意见的基础上，由定标委员会负责人最终确定中标人。所有参加会议的定标委员会成员的意见应作书面记录，并由本人签字确认。</w:t>
      </w:r>
    </w:p>
    <w:p w14:paraId="5CCFF484">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）投标须知前附表规定的其他定标办法。</w:t>
      </w:r>
    </w:p>
    <w:p w14:paraId="7F7DCA23">
      <w:pPr>
        <w:kinsoku/>
        <w:spacing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8</w:t>
      </w:r>
      <w:r>
        <w:rPr>
          <w:rFonts w:cs="宋体"/>
          <w:color w:val="auto"/>
          <w:spacing w:val="0"/>
          <w:position w:val="0"/>
          <w:highlight w:val="none"/>
          <w:lang w:eastAsia="zh-CN"/>
        </w:rPr>
        <w:t>）定标后有下列情形之一的，招标人可以组织原定标委员会从其他中标候选</w:t>
      </w:r>
      <w:r>
        <w:rPr>
          <w:rFonts w:cs="宋体"/>
          <w:color w:val="auto"/>
          <w:spacing w:val="0"/>
          <w:szCs w:val="21"/>
          <w:highlight w:val="none"/>
          <w:lang w:eastAsia="zh-CN"/>
        </w:rPr>
        <w:t>人中按原定标方法确定中标人：</w:t>
      </w:r>
    </w:p>
    <w:p w14:paraId="47824AD7">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）中标人放弃中标资格或者拒不签订合同的；</w:t>
      </w:r>
    </w:p>
    <w:p w14:paraId="540234E5">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）中标人被查实存在违法行为影响中标结果的；</w:t>
      </w:r>
    </w:p>
    <w:p w14:paraId="55187DD0">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）投标须知前附表规定的其他情形。</w:t>
      </w:r>
    </w:p>
    <w:p w14:paraId="2985679C">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9</w:t>
      </w:r>
      <w:r>
        <w:rPr>
          <w:rFonts w:cs="宋体"/>
          <w:color w:val="auto"/>
          <w:spacing w:val="0"/>
          <w:highlight w:val="none"/>
          <w:lang w:eastAsia="zh-CN"/>
        </w:rPr>
        <w:t>）定标后有下列情形之一的，应重新定标：</w:t>
      </w:r>
    </w:p>
    <w:p w14:paraId="0C713F3C">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）查实定标委员会未按定标办法公正履职的；</w:t>
      </w:r>
    </w:p>
    <w:p w14:paraId="3AFA6C81">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color w:val="auto"/>
          <w:spacing w:val="0"/>
          <w:position w:val="0"/>
          <w:szCs w:val="21"/>
          <w:highlight w:val="none"/>
          <w:lang w:eastAsia="zh-CN"/>
        </w:rPr>
        <w:t>2</w:t>
      </w:r>
      <w:r>
        <w:rPr>
          <w:rFonts w:cs="宋体"/>
          <w:color w:val="auto"/>
          <w:spacing w:val="0"/>
          <w:position w:val="0"/>
          <w:highlight w:val="none"/>
          <w:lang w:eastAsia="zh-CN"/>
        </w:rPr>
        <w:t>）有定标委员会成员与中标候选人有利害关系且未申请回避的；</w:t>
      </w:r>
    </w:p>
    <w:p w14:paraId="295B6192">
      <w:pPr>
        <w:kinsoku/>
        <w:spacing w:before="0" w:beforeLines="0" w:afterLines="0"/>
        <w:ind w:firstLine="420"/>
        <w:jc w:val="left"/>
        <w:rPr>
          <w:rFonts w:cs="宋体"/>
          <w:color w:val="auto"/>
          <w:spacing w:val="0"/>
          <w:szCs w:val="21"/>
          <w:highlight w:val="none"/>
          <w:lang w:eastAsia="zh-CN"/>
        </w:rPr>
      </w:pPr>
      <w:bookmarkStart w:id="312" w:name="_Toc3486"/>
      <w:bookmarkStart w:id="313" w:name="_Toc5060"/>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）投标须知前附表规定的其他情形。</w:t>
      </w:r>
      <w:bookmarkEnd w:id="312"/>
      <w:bookmarkEnd w:id="313"/>
    </w:p>
    <w:p w14:paraId="4B01B4F5">
      <w:pPr>
        <w:pStyle w:val="4"/>
        <w:kinsoku/>
        <w:spacing w:before="0" w:beforeLines="0" w:afterLines="0"/>
        <w:jc w:val="both"/>
        <w:rPr>
          <w:rFonts w:hint="eastAsia" w:ascii="宋体" w:hAnsi="宋体" w:eastAsia="宋体" w:cs="宋体"/>
          <w:b/>
          <w:bCs/>
          <w:color w:val="auto"/>
          <w:szCs w:val="24"/>
          <w:highlight w:val="none"/>
          <w:lang w:eastAsia="zh-CN"/>
        </w:rPr>
      </w:pPr>
      <w:bookmarkStart w:id="314" w:name="_Toc26206"/>
      <w:bookmarkStart w:id="315" w:name="_Toc32613"/>
      <w:bookmarkStart w:id="316" w:name="_Toc25459"/>
      <w:bookmarkStart w:id="317" w:name="_Toc30595"/>
      <w:r>
        <w:rPr>
          <w:rFonts w:hint="eastAsia" w:ascii="宋体" w:hAnsi="宋体" w:eastAsia="宋体" w:cs="宋体"/>
          <w:b/>
          <w:bCs/>
          <w:color w:val="auto"/>
          <w:spacing w:val="-7"/>
          <w:szCs w:val="24"/>
          <w:highlight w:val="none"/>
        </w:rPr>
        <w:t>7.2</w:t>
      </w:r>
      <w:r>
        <w:rPr>
          <w:rFonts w:hint="eastAsia" w:cs="宋体"/>
          <w:b/>
          <w:bCs/>
          <w:color w:val="auto"/>
          <w:szCs w:val="24"/>
          <w:highlight w:val="none"/>
          <w:lang w:eastAsia="zh-CN"/>
        </w:rPr>
        <w:t>　</w:t>
      </w:r>
      <w:r>
        <w:rPr>
          <w:rFonts w:hint="eastAsia" w:ascii="宋体" w:hAnsi="宋体" w:eastAsia="宋体" w:cs="宋体"/>
          <w:b/>
          <w:bCs/>
          <w:color w:val="auto"/>
          <w:spacing w:val="-7"/>
          <w:szCs w:val="24"/>
          <w:highlight w:val="none"/>
        </w:rPr>
        <w:t>中标通知</w:t>
      </w:r>
      <w:bookmarkEnd w:id="314"/>
      <w:bookmarkEnd w:id="315"/>
      <w:bookmarkEnd w:id="316"/>
      <w:bookmarkEnd w:id="317"/>
    </w:p>
    <w:p w14:paraId="68D3240D">
      <w:pPr>
        <w:kinsoku/>
        <w:spacing w:before="0" w:beforeLines="0" w:afterLines="0"/>
        <w:ind w:right="0" w:firstLine="420"/>
        <w:jc w:val="left"/>
        <w:rPr>
          <w:rFonts w:cs="宋体"/>
          <w:color w:val="auto"/>
          <w:spacing w:val="0"/>
          <w:position w:val="0"/>
          <w:highlight w:val="none"/>
          <w:lang w:eastAsia="zh-CN"/>
        </w:rPr>
      </w:pPr>
      <w:r>
        <w:rPr>
          <w:rFonts w:cs="宋体"/>
          <w:color w:val="auto"/>
          <w:spacing w:val="0"/>
          <w:position w:val="0"/>
          <w:highlight w:val="none"/>
          <w:lang w:eastAsia="zh-CN"/>
        </w:rPr>
        <w:t>在本章第</w:t>
      </w:r>
      <w:r>
        <w:rPr>
          <w:rFonts w:ascii="宋体" w:hAnsi="Times New Roman" w:eastAsia="宋体" w:cs="Times New Roman"/>
          <w:color w:val="auto"/>
          <w:spacing w:val="0"/>
          <w:position w:val="0"/>
          <w:szCs w:val="21"/>
          <w:highlight w:val="none"/>
          <w:lang w:eastAsia="zh-CN"/>
        </w:rPr>
        <w:t>3.3</w:t>
      </w:r>
      <w:r>
        <w:rPr>
          <w:rFonts w:cs="宋体"/>
          <w:color w:val="auto"/>
          <w:spacing w:val="0"/>
          <w:position w:val="0"/>
          <w:highlight w:val="none"/>
          <w:lang w:eastAsia="zh-CN"/>
        </w:rPr>
        <w:t>款规定的投标有效期内，招标人应通过电子招标投标交易平台以数</w:t>
      </w:r>
      <w:r>
        <w:rPr>
          <w:rFonts w:cs="宋体"/>
          <w:color w:val="auto"/>
          <w:spacing w:val="0"/>
          <w:szCs w:val="21"/>
          <w:highlight w:val="none"/>
          <w:lang w:eastAsia="zh-CN"/>
        </w:rPr>
        <w:t>据电文形式向中标人发出中标通知书，同时将中标结果通知未中标的投标人。</w:t>
      </w:r>
    </w:p>
    <w:p w14:paraId="4E28C87C">
      <w:pPr>
        <w:pStyle w:val="4"/>
        <w:kinsoku/>
        <w:spacing w:before="0" w:beforeLines="0" w:afterLines="0"/>
        <w:jc w:val="both"/>
        <w:rPr>
          <w:rFonts w:hint="eastAsia" w:ascii="宋体" w:hAnsi="宋体" w:eastAsia="宋体" w:cs="宋体"/>
          <w:b/>
          <w:bCs/>
          <w:color w:val="auto"/>
          <w:szCs w:val="24"/>
          <w:highlight w:val="none"/>
          <w:lang w:eastAsia="zh-CN"/>
        </w:rPr>
      </w:pPr>
      <w:bookmarkStart w:id="318" w:name="_Toc29241"/>
      <w:bookmarkStart w:id="319" w:name="_Toc4924"/>
      <w:bookmarkStart w:id="320" w:name="_Toc13946"/>
      <w:bookmarkStart w:id="321" w:name="_Toc30761"/>
      <w:r>
        <w:rPr>
          <w:rFonts w:hint="eastAsia" w:ascii="宋体" w:hAnsi="宋体" w:eastAsia="宋体" w:cs="宋体"/>
          <w:b/>
          <w:bCs/>
          <w:color w:val="auto"/>
          <w:spacing w:val="-2"/>
          <w:szCs w:val="24"/>
          <w:highlight w:val="none"/>
        </w:rPr>
        <w:t>7.3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履约担保</w:t>
      </w:r>
      <w:bookmarkEnd w:id="318"/>
      <w:bookmarkEnd w:id="319"/>
      <w:bookmarkEnd w:id="320"/>
      <w:bookmarkEnd w:id="321"/>
    </w:p>
    <w:p w14:paraId="6280A4CD">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7.3.1</w:t>
      </w:r>
      <w:r>
        <w:rPr>
          <w:rFonts w:hint="eastAsia" w:hAnsi="Times New Roman" w:cs="Times New Roman"/>
          <w:b/>
          <w:bCs/>
          <w:color w:val="auto"/>
          <w:szCs w:val="21"/>
          <w:highlight w:val="none"/>
          <w:lang w:eastAsia="zh-CN"/>
        </w:rPr>
        <w:t>　</w:t>
      </w:r>
      <w:r>
        <w:rPr>
          <w:rFonts w:cs="宋体"/>
          <w:color w:val="auto"/>
          <w:highlight w:val="none"/>
          <w:lang w:eastAsia="zh-CN"/>
        </w:rPr>
        <w:t>在签订合同前，中标人应按投标人须知前附表规定的金额、担保形式和招</w:t>
      </w:r>
      <w:r>
        <w:rPr>
          <w:rFonts w:cs="宋体"/>
          <w:color w:val="auto"/>
          <w:spacing w:val="0"/>
          <w:szCs w:val="21"/>
          <w:highlight w:val="none"/>
          <w:lang w:eastAsia="zh-CN"/>
        </w:rPr>
        <w:t>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6646D571">
      <w:pPr>
        <w:kinsoku/>
        <w:spacing w:before="0"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7.3.2</w:t>
      </w:r>
      <w:r>
        <w:rPr>
          <w:rFonts w:hint="eastAsia" w:hAnsi="Times New Roman" w:cs="Times New Roman"/>
          <w:b/>
          <w:bCs/>
          <w:color w:val="auto"/>
          <w:highlight w:val="none"/>
          <w:lang w:eastAsia="zh-CN"/>
        </w:rPr>
        <w:t>　</w:t>
      </w:r>
      <w:r>
        <w:rPr>
          <w:rFonts w:cs="宋体"/>
          <w:color w:val="auto"/>
          <w:highlight w:val="none"/>
          <w:lang w:eastAsia="zh-CN"/>
        </w:rPr>
        <w:t>中标人不能按本章第</w:t>
      </w:r>
      <w:r>
        <w:rPr>
          <w:rFonts w:ascii="宋体" w:hAnsi="Times New Roman" w:eastAsia="宋体" w:cs="Times New Roman"/>
          <w:color w:val="auto"/>
          <w:szCs w:val="21"/>
          <w:highlight w:val="none"/>
          <w:lang w:eastAsia="zh-CN"/>
        </w:rPr>
        <w:t>7.3.1</w:t>
      </w:r>
      <w:r>
        <w:rPr>
          <w:rFonts w:cs="宋体"/>
          <w:color w:val="auto"/>
          <w:highlight w:val="none"/>
          <w:lang w:eastAsia="zh-CN"/>
        </w:rPr>
        <w:t>项要求提</w:t>
      </w:r>
      <w:r>
        <w:rPr>
          <w:rFonts w:cs="宋体"/>
          <w:color w:val="auto"/>
          <w:spacing w:val="0"/>
          <w:szCs w:val="21"/>
          <w:highlight w:val="none"/>
          <w:lang w:eastAsia="zh-CN"/>
        </w:rPr>
        <w:t>交履约担保的，视为放弃中标，其投标保证金不予退还，给招标人造成的损失超过投标保证金数额的，中标人还应当对超过部分予以赔偿。</w:t>
      </w:r>
    </w:p>
    <w:p w14:paraId="5465388E">
      <w:pPr>
        <w:pStyle w:val="4"/>
        <w:kinsoku/>
        <w:spacing w:before="0" w:beforeLines="0" w:afterLines="0"/>
        <w:jc w:val="both"/>
        <w:rPr>
          <w:rFonts w:hint="eastAsia" w:ascii="宋体" w:hAnsi="宋体" w:eastAsia="宋体" w:cs="宋体"/>
          <w:b/>
          <w:bCs/>
          <w:color w:val="auto"/>
          <w:szCs w:val="24"/>
          <w:highlight w:val="none"/>
          <w:lang w:eastAsia="zh-CN"/>
        </w:rPr>
      </w:pPr>
      <w:bookmarkStart w:id="322" w:name="_Toc32727"/>
      <w:bookmarkStart w:id="323" w:name="_Toc23128"/>
      <w:bookmarkStart w:id="324" w:name="_Toc214"/>
      <w:bookmarkStart w:id="325" w:name="_Toc7077"/>
      <w:r>
        <w:rPr>
          <w:rFonts w:hint="eastAsia" w:ascii="宋体" w:hAnsi="宋体" w:eastAsia="宋体" w:cs="宋体"/>
          <w:b/>
          <w:bCs/>
          <w:color w:val="auto"/>
          <w:spacing w:val="-2"/>
          <w:szCs w:val="24"/>
          <w:highlight w:val="none"/>
        </w:rPr>
        <w:t>7.4</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签订合同</w:t>
      </w:r>
      <w:bookmarkEnd w:id="322"/>
      <w:bookmarkEnd w:id="323"/>
      <w:bookmarkEnd w:id="324"/>
      <w:bookmarkEnd w:id="325"/>
    </w:p>
    <w:p w14:paraId="63913958">
      <w:pPr>
        <w:kinsoku/>
        <w:spacing w:beforeLines="0" w:afterLines="0"/>
        <w:ind w:left="0" w:firstLine="0" w:firstLineChars="0"/>
        <w:jc w:val="left"/>
        <w:rPr>
          <w:rFonts w:cs="宋体"/>
          <w:color w:val="auto"/>
          <w:szCs w:val="21"/>
          <w:highlight w:val="none"/>
          <w:lang w:eastAsia="zh-CN"/>
        </w:rPr>
      </w:pPr>
      <w:bookmarkStart w:id="326" w:name="_Toc14557"/>
      <w:r>
        <w:rPr>
          <w:rFonts w:ascii="宋体" w:hAnsi="Times New Roman" w:eastAsia="宋体" w:cs="Times New Roman"/>
          <w:b/>
          <w:bCs/>
          <w:color w:val="auto"/>
          <w:spacing w:val="0"/>
          <w:position w:val="0"/>
          <w:szCs w:val="21"/>
          <w:highlight w:val="none"/>
          <w:lang w:eastAsia="zh-CN"/>
        </w:rPr>
        <w:t>7.4.1</w:t>
      </w:r>
      <w:r>
        <w:rPr>
          <w:rFonts w:hint="eastAsia" w:hAnsi="Times New Roman" w:cs="Times New Roman"/>
          <w:b/>
          <w:bCs/>
          <w:color w:val="auto"/>
          <w:highlight w:val="none"/>
          <w:lang w:eastAsia="zh-CN"/>
        </w:rPr>
        <w:t>　</w:t>
      </w:r>
      <w:r>
        <w:rPr>
          <w:rFonts w:cs="宋体"/>
          <w:color w:val="auto"/>
          <w:spacing w:val="0"/>
          <w:position w:val="0"/>
          <w:highlight w:val="none"/>
          <w:lang w:eastAsia="zh-CN"/>
        </w:rPr>
        <w:t>招标人和中标人应当自中标通知书发出之日起</w:t>
      </w:r>
      <w:r>
        <w:rPr>
          <w:rFonts w:ascii="宋体" w:hAnsi="Times New Roman" w:eastAsia="宋体" w:cs="Times New Roman"/>
          <w:color w:val="auto"/>
          <w:spacing w:val="0"/>
          <w:position w:val="0"/>
          <w:szCs w:val="21"/>
          <w:highlight w:val="none"/>
          <w:lang w:eastAsia="zh-CN"/>
        </w:rPr>
        <w:t>30</w:t>
      </w:r>
      <w:r>
        <w:rPr>
          <w:rFonts w:cs="宋体"/>
          <w:color w:val="auto"/>
          <w:spacing w:val="0"/>
          <w:position w:val="0"/>
          <w:highlight w:val="none"/>
          <w:lang w:eastAsia="zh-CN"/>
        </w:rPr>
        <w:t>日内，根据招标文件和中标</w:t>
      </w:r>
      <w:bookmarkEnd w:id="326"/>
      <w:r>
        <w:rPr>
          <w:rFonts w:cs="宋体"/>
          <w:color w:val="auto"/>
          <w:spacing w:val="0"/>
          <w:szCs w:val="21"/>
          <w:highlight w:val="none"/>
          <w:lang w:eastAsia="zh-CN"/>
        </w:rPr>
        <w:t>人的投标文件通过电子招标投标交易平台以数据电文形式签订合同。</w:t>
      </w:r>
    </w:p>
    <w:p w14:paraId="44D97144">
      <w:pPr>
        <w:kinsoku/>
        <w:spacing w:beforeLines="0" w:afterLines="0"/>
        <w:ind w:left="0" w:firstLine="0" w:firstLineChars="0"/>
        <w:jc w:val="left"/>
        <w:rPr>
          <w:rFonts w:cs="宋体"/>
          <w:color w:val="auto"/>
          <w:szCs w:val="21"/>
          <w:highlight w:val="none"/>
          <w:lang w:eastAsia="zh-CN"/>
        </w:rPr>
      </w:pPr>
      <w:bookmarkStart w:id="327" w:name="_Toc15476"/>
      <w:r>
        <w:rPr>
          <w:rFonts w:ascii="宋体" w:hAnsi="Times New Roman" w:eastAsia="宋体" w:cs="Times New Roman"/>
          <w:b/>
          <w:bCs/>
          <w:color w:val="auto"/>
          <w:position w:val="0"/>
          <w:szCs w:val="21"/>
          <w:highlight w:val="none"/>
          <w:lang w:eastAsia="zh-CN"/>
        </w:rPr>
        <w:t>7.4.2</w:t>
      </w:r>
      <w:r>
        <w:rPr>
          <w:rFonts w:hint="eastAsia" w:hAnsi="Times New Roman" w:cs="Times New Roman"/>
          <w:b/>
          <w:bCs/>
          <w:color w:val="auto"/>
          <w:position w:val="0"/>
          <w:szCs w:val="21"/>
          <w:highlight w:val="none"/>
          <w:lang w:eastAsia="zh-CN"/>
        </w:rPr>
        <w:t>　</w:t>
      </w:r>
      <w:r>
        <w:rPr>
          <w:rFonts w:cs="宋体"/>
          <w:color w:val="auto"/>
          <w:position w:val="0"/>
          <w:highlight w:val="none"/>
          <w:lang w:eastAsia="zh-CN"/>
        </w:rPr>
        <w:t>发出中标通知书后，招标人无正当理由拒签合同的，招标人向中标人退还</w:t>
      </w:r>
      <w:bookmarkEnd w:id="327"/>
      <w:r>
        <w:rPr>
          <w:rFonts w:cs="宋体"/>
          <w:color w:val="auto"/>
          <w:spacing w:val="0"/>
          <w:szCs w:val="21"/>
          <w:highlight w:val="none"/>
          <w:lang w:eastAsia="zh-CN"/>
        </w:rPr>
        <w:t>双倍的投标保证金。</w:t>
      </w:r>
    </w:p>
    <w:p w14:paraId="6FDF15CE">
      <w:pPr>
        <w:kinsoku/>
        <w:spacing w:beforeLines="0" w:afterLines="0"/>
        <w:ind w:lef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7.4.3</w:t>
      </w:r>
      <w:r>
        <w:rPr>
          <w:rFonts w:hint="eastAsia" w:hAnsi="Times New Roman" w:cs="Times New Roman"/>
          <w:b/>
          <w:bCs/>
          <w:color w:val="auto"/>
          <w:szCs w:val="21"/>
          <w:highlight w:val="none"/>
          <w:lang w:eastAsia="zh-CN"/>
        </w:rPr>
        <w:t>　</w:t>
      </w:r>
      <w:r>
        <w:rPr>
          <w:rFonts w:cs="宋体"/>
          <w:color w:val="auto"/>
          <w:highlight w:val="none"/>
          <w:lang w:eastAsia="zh-CN"/>
        </w:rPr>
        <w:t>发出中标通知书后，中标人无正当理由拒签合同的，招标人取消其中标资</w:t>
      </w:r>
      <w:r>
        <w:rPr>
          <w:rFonts w:cs="宋体"/>
          <w:color w:val="auto"/>
          <w:spacing w:val="0"/>
          <w:szCs w:val="21"/>
          <w:highlight w:val="none"/>
          <w:lang w:eastAsia="zh-CN"/>
        </w:rPr>
        <w:t>格，其投标保证金不予退还；给招标人造成的损失超过投标保证金数额的，中标人还应当对超过部分予以赔偿。</w:t>
      </w:r>
    </w:p>
    <w:p w14:paraId="3F335324">
      <w:pPr>
        <w:pStyle w:val="3"/>
        <w:kinsoku/>
        <w:wordWrap/>
        <w:spacing w:before="0" w:beforeLines="0" w:afterLines="0"/>
        <w:ind w:left="0"/>
        <w:jc w:val="both"/>
        <w:outlineLvl w:val="1"/>
        <w:rPr>
          <w:rStyle w:val="60"/>
          <w:rFonts w:cs="宋体"/>
          <w:b/>
          <w:bCs/>
          <w:color w:val="auto"/>
          <w:sz w:val="30"/>
          <w:szCs w:val="30"/>
          <w:highlight w:val="none"/>
          <w:lang w:eastAsia="zh-CN"/>
        </w:rPr>
      </w:pPr>
      <w:bookmarkStart w:id="328" w:name="_Toc7642"/>
      <w:bookmarkStart w:id="329" w:name="_Toc20877"/>
      <w:bookmarkStart w:id="330" w:name="_Toc17076"/>
      <w:bookmarkStart w:id="331" w:name="_Toc4724"/>
      <w:bookmarkStart w:id="332" w:name="_Toc12587"/>
      <w:bookmarkStart w:id="333" w:name="_Toc5540"/>
      <w:bookmarkStart w:id="334" w:name="_Toc22597"/>
      <w:bookmarkStart w:id="335" w:name="_Toc27759"/>
      <w:bookmarkStart w:id="336" w:name="_Toc28518"/>
      <w:bookmarkStart w:id="337" w:name="_Toc16302"/>
      <w:bookmarkStart w:id="338" w:name="_Toc2918"/>
      <w:bookmarkStart w:id="339" w:name="_Toc8397"/>
      <w:bookmarkStart w:id="340" w:name="_Toc18757"/>
      <w:bookmarkStart w:id="341" w:name="_Toc20696"/>
      <w:bookmarkStart w:id="342" w:name="_Toc1443"/>
      <w:r>
        <w:rPr>
          <w:rStyle w:val="60"/>
          <w:rFonts w:hint="eastAsia" w:ascii="宋体" w:hAnsi="宋体" w:eastAsia="宋体" w:cs="宋体"/>
          <w:b/>
          <w:bCs/>
          <w:color w:val="auto"/>
          <w:spacing w:val="6"/>
          <w:sz w:val="30"/>
          <w:szCs w:val="30"/>
          <w:highlight w:val="none"/>
        </w:rPr>
        <w:t>8</w:t>
      </w:r>
      <w:r>
        <w:rPr>
          <w:rStyle w:val="60"/>
          <w:rFonts w:hint="eastAsia" w:cs="宋体"/>
          <w:b/>
          <w:bCs/>
          <w:color w:val="auto"/>
          <w:spacing w:val="6"/>
          <w:sz w:val="30"/>
          <w:szCs w:val="30"/>
          <w:highlight w:val="none"/>
        </w:rPr>
        <w:t>　</w:t>
      </w:r>
      <w:r>
        <w:rPr>
          <w:rStyle w:val="60"/>
          <w:rFonts w:cs="宋体"/>
          <w:b/>
          <w:bCs/>
          <w:color w:val="auto"/>
          <w:spacing w:val="6"/>
          <w:sz w:val="30"/>
          <w:szCs w:val="30"/>
          <w:highlight w:val="none"/>
        </w:rPr>
        <w:t>重新招标和不再招标</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969026E">
      <w:pPr>
        <w:pStyle w:val="4"/>
        <w:kinsoku/>
        <w:spacing w:before="0" w:beforeLines="0" w:afterLines="0"/>
        <w:jc w:val="both"/>
        <w:rPr>
          <w:rFonts w:hint="eastAsia" w:ascii="宋体" w:hAnsi="宋体" w:eastAsia="宋体" w:cs="宋体"/>
          <w:b/>
          <w:bCs/>
          <w:color w:val="auto"/>
          <w:szCs w:val="24"/>
          <w:highlight w:val="none"/>
          <w:lang w:eastAsia="zh-CN"/>
        </w:rPr>
      </w:pPr>
      <w:bookmarkStart w:id="343" w:name="_Toc12721"/>
      <w:bookmarkStart w:id="344" w:name="_Toc245"/>
      <w:bookmarkStart w:id="345" w:name="_Toc12437"/>
      <w:r>
        <w:rPr>
          <w:rFonts w:hint="eastAsia" w:ascii="宋体" w:hAnsi="宋体" w:eastAsia="宋体" w:cs="宋体"/>
          <w:b/>
          <w:bCs/>
          <w:color w:val="auto"/>
          <w:spacing w:val="-4"/>
          <w:szCs w:val="24"/>
          <w:highlight w:val="none"/>
        </w:rPr>
        <w:t>8.1</w:t>
      </w:r>
      <w:r>
        <w:rPr>
          <w:rFonts w:hint="eastAsia" w:cs="宋体"/>
          <w:b/>
          <w:bCs/>
          <w:color w:val="auto"/>
          <w:szCs w:val="24"/>
          <w:highlight w:val="none"/>
          <w:lang w:eastAsia="zh-CN"/>
        </w:rPr>
        <w:t>　</w:t>
      </w:r>
      <w:r>
        <w:rPr>
          <w:rFonts w:hint="eastAsia" w:ascii="宋体" w:hAnsi="宋体" w:eastAsia="宋体" w:cs="宋体"/>
          <w:b/>
          <w:bCs/>
          <w:color w:val="auto"/>
          <w:spacing w:val="-4"/>
          <w:szCs w:val="24"/>
          <w:highlight w:val="none"/>
        </w:rPr>
        <w:t>重新招标</w:t>
      </w:r>
      <w:bookmarkEnd w:id="343"/>
      <w:bookmarkEnd w:id="344"/>
      <w:bookmarkEnd w:id="345"/>
    </w:p>
    <w:p w14:paraId="2F778B63">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有下列情形之一的，招标人将重新招标：</w:t>
      </w:r>
    </w:p>
    <w:p w14:paraId="6A009894">
      <w:pPr>
        <w:kinsoku/>
        <w:spacing w:before="0" w:beforeLines="0" w:afterLines="0"/>
        <w:ind w:left="0" w:firstLine="420"/>
        <w:jc w:val="left"/>
        <w:rPr>
          <w:rFonts w:cs="宋体"/>
          <w:color w:val="auto"/>
          <w:szCs w:val="21"/>
          <w:highlight w:val="none"/>
          <w:lang w:eastAsia="zh-CN"/>
        </w:rPr>
      </w:pPr>
      <w:r>
        <w:rPr>
          <w:rFonts w:cs="宋体"/>
          <w:color w:val="auto"/>
          <w:position w:val="0"/>
          <w:szCs w:val="21"/>
          <w:highlight w:val="none"/>
          <w:lang w:eastAsia="zh-CN"/>
        </w:rPr>
        <w:t>（</w:t>
      </w:r>
      <w:r>
        <w:rPr>
          <w:rFonts w:ascii="宋体" w:hAnsi="Times New Roman" w:eastAsia="宋体" w:cs="Times New Roman"/>
          <w:color w:val="auto"/>
          <w:position w:val="0"/>
          <w:szCs w:val="21"/>
          <w:highlight w:val="none"/>
          <w:lang w:eastAsia="zh-CN"/>
        </w:rPr>
        <w:t>1</w:t>
      </w:r>
      <w:r>
        <w:rPr>
          <w:rFonts w:cs="宋体"/>
          <w:color w:val="auto"/>
          <w:position w:val="0"/>
          <w:highlight w:val="none"/>
          <w:lang w:eastAsia="zh-CN"/>
        </w:rPr>
        <w:t>）</w:t>
      </w:r>
      <w:r>
        <w:rPr>
          <w:rFonts w:cs="宋体"/>
          <w:color w:val="auto"/>
          <w:position w:val="0"/>
          <w:szCs w:val="21"/>
          <w:highlight w:val="none"/>
          <w:lang w:eastAsia="zh-CN"/>
        </w:rPr>
        <w:t>投标报名截止时间止，报名参加投标的潜在投标人少于</w:t>
      </w:r>
      <w:r>
        <w:rPr>
          <w:rFonts w:ascii="宋体" w:hAnsi="Times New Roman" w:eastAsia="宋体" w:cs="Times New Roman"/>
          <w:color w:val="auto"/>
          <w:position w:val="0"/>
          <w:szCs w:val="21"/>
          <w:highlight w:val="none"/>
          <w:lang w:eastAsia="zh-CN"/>
        </w:rPr>
        <w:t>3</w:t>
      </w:r>
      <w:r>
        <w:rPr>
          <w:rFonts w:cs="宋体"/>
          <w:color w:val="auto"/>
          <w:position w:val="0"/>
          <w:highlight w:val="none"/>
          <w:lang w:eastAsia="zh-CN"/>
        </w:rPr>
        <w:t>个的；或投标截</w:t>
      </w:r>
      <w:r>
        <w:rPr>
          <w:rFonts w:cs="宋体"/>
          <w:color w:val="auto"/>
          <w:spacing w:val="0"/>
          <w:szCs w:val="21"/>
          <w:highlight w:val="none"/>
          <w:lang w:eastAsia="zh-CN"/>
        </w:rPr>
        <w:t>止时间止，投标人少于</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个的。</w:t>
      </w:r>
    </w:p>
    <w:p w14:paraId="52597AB3">
      <w:pPr>
        <w:kinsoku/>
        <w:spacing w:before="0" w:beforeLines="0" w:afterLines="0"/>
        <w:ind w:left="0" w:firstLine="420"/>
        <w:jc w:val="left"/>
        <w:rPr>
          <w:rFonts w:cs="宋体"/>
          <w:color w:val="auto"/>
          <w:spacing w:val="0"/>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）经评标委员会评审后否决所有投标的。</w:t>
      </w:r>
    </w:p>
    <w:p w14:paraId="51022ABD">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）评标委员会否决不合格投标后因有效标不足</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个使得投标明显缺乏竞争，评</w:t>
      </w:r>
      <w:r>
        <w:rPr>
          <w:rFonts w:cs="宋体"/>
          <w:color w:val="auto"/>
          <w:spacing w:val="0"/>
          <w:szCs w:val="21"/>
          <w:highlight w:val="none"/>
          <w:lang w:eastAsia="zh-CN"/>
        </w:rPr>
        <w:t>标委员会否决全部投标的。</w:t>
      </w:r>
    </w:p>
    <w:p w14:paraId="668C312D">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4</w:t>
      </w:r>
      <w:r>
        <w:rPr>
          <w:rFonts w:cs="宋体"/>
          <w:color w:val="auto"/>
          <w:spacing w:val="0"/>
          <w:position w:val="0"/>
          <w:highlight w:val="none"/>
          <w:lang w:eastAsia="zh-CN"/>
        </w:rPr>
        <w:t>）同意延长投标有效期的投标人少于</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个的。</w:t>
      </w:r>
    </w:p>
    <w:p w14:paraId="3E2126FD">
      <w:pPr>
        <w:kinsoku/>
        <w:spacing w:before="0" w:beforeLines="0" w:afterLines="0"/>
        <w:ind w:left="0" w:firstLine="420"/>
        <w:jc w:val="left"/>
        <w:rPr>
          <w:rFonts w:cs="宋体"/>
          <w:color w:val="auto"/>
          <w:spacing w:val="0"/>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）中标候选人均未与招标人签订合同的。</w:t>
      </w:r>
    </w:p>
    <w:p w14:paraId="50E11D09">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6</w:t>
      </w:r>
      <w:r>
        <w:rPr>
          <w:rFonts w:cs="宋体"/>
          <w:color w:val="auto"/>
          <w:spacing w:val="0"/>
          <w:highlight w:val="none"/>
          <w:lang w:eastAsia="zh-CN"/>
        </w:rPr>
        <w:t>）出现本须知第</w:t>
      </w:r>
      <w:r>
        <w:rPr>
          <w:rFonts w:ascii="宋体" w:hAnsi="Times New Roman" w:eastAsia="宋体" w:cs="Times New Roman"/>
          <w:color w:val="auto"/>
          <w:spacing w:val="0"/>
          <w:szCs w:val="21"/>
          <w:highlight w:val="none"/>
          <w:lang w:eastAsia="zh-CN"/>
        </w:rPr>
        <w:t>7.1.7</w:t>
      </w:r>
      <w:r>
        <w:rPr>
          <w:rFonts w:cs="宋体"/>
          <w:color w:val="auto"/>
          <w:spacing w:val="0"/>
          <w:highlight w:val="none"/>
          <w:lang w:eastAsia="zh-CN"/>
        </w:rPr>
        <w:t>项情形的。</w:t>
      </w:r>
    </w:p>
    <w:p w14:paraId="0671CC11">
      <w:pPr>
        <w:pStyle w:val="4"/>
        <w:kinsoku/>
        <w:spacing w:before="0" w:beforeLines="0" w:afterLines="0"/>
        <w:jc w:val="both"/>
        <w:rPr>
          <w:rFonts w:hint="eastAsia" w:ascii="宋体" w:hAnsi="宋体" w:eastAsia="宋体" w:cs="宋体"/>
          <w:b/>
          <w:bCs/>
          <w:color w:val="auto"/>
          <w:szCs w:val="24"/>
          <w:highlight w:val="none"/>
          <w:lang w:eastAsia="zh-CN"/>
        </w:rPr>
      </w:pPr>
      <w:bookmarkStart w:id="346" w:name="_Toc23854"/>
      <w:bookmarkStart w:id="347" w:name="_Toc8927"/>
      <w:bookmarkStart w:id="348" w:name="_Toc16067"/>
      <w:r>
        <w:rPr>
          <w:rFonts w:hint="eastAsia" w:ascii="宋体" w:hAnsi="宋体" w:eastAsia="宋体" w:cs="宋体"/>
          <w:b/>
          <w:bCs/>
          <w:color w:val="auto"/>
          <w:spacing w:val="-4"/>
          <w:szCs w:val="24"/>
          <w:highlight w:val="none"/>
        </w:rPr>
        <w:t>8.2</w:t>
      </w:r>
      <w:r>
        <w:rPr>
          <w:rFonts w:hint="eastAsia" w:cs="宋体"/>
          <w:b/>
          <w:bCs/>
          <w:color w:val="auto"/>
          <w:szCs w:val="24"/>
          <w:highlight w:val="none"/>
          <w:lang w:eastAsia="zh-CN"/>
        </w:rPr>
        <w:t>　</w:t>
      </w:r>
      <w:r>
        <w:rPr>
          <w:rFonts w:hint="eastAsia" w:ascii="宋体" w:hAnsi="宋体" w:eastAsia="宋体" w:cs="宋体"/>
          <w:b/>
          <w:bCs/>
          <w:color w:val="auto"/>
          <w:spacing w:val="-4"/>
          <w:szCs w:val="24"/>
          <w:highlight w:val="none"/>
        </w:rPr>
        <w:t>不再招标</w:t>
      </w:r>
      <w:bookmarkEnd w:id="346"/>
      <w:bookmarkEnd w:id="347"/>
      <w:bookmarkEnd w:id="348"/>
    </w:p>
    <w:p w14:paraId="2A7F93A3">
      <w:pPr>
        <w:kinsoku/>
        <w:spacing w:before="0" w:beforeLines="0" w:afterLines="0"/>
        <w:ind w:left="0" w:firstLine="420"/>
        <w:jc w:val="left"/>
        <w:rPr>
          <w:rFonts w:cs="宋体"/>
          <w:color w:val="auto"/>
          <w:spacing w:val="0"/>
          <w:position w:val="0"/>
          <w:highlight w:val="none"/>
          <w:lang w:eastAsia="zh-CN"/>
        </w:rPr>
      </w:pPr>
      <w:r>
        <w:rPr>
          <w:rFonts w:cs="宋体"/>
          <w:color w:val="auto"/>
          <w:spacing w:val="0"/>
          <w:position w:val="0"/>
          <w:highlight w:val="none"/>
          <w:lang w:eastAsia="zh-CN"/>
        </w:rPr>
        <w:t>重新招标后，仍出现本章</w:t>
      </w:r>
      <w:r>
        <w:rPr>
          <w:rFonts w:ascii="宋体" w:hAnsi="Times New Roman" w:eastAsia="宋体" w:cs="Times New Roman"/>
          <w:color w:val="auto"/>
          <w:spacing w:val="0"/>
          <w:position w:val="0"/>
          <w:szCs w:val="21"/>
          <w:highlight w:val="none"/>
          <w:lang w:eastAsia="zh-CN"/>
        </w:rPr>
        <w:t>8.1</w:t>
      </w:r>
      <w:r>
        <w:rPr>
          <w:rFonts w:cs="宋体"/>
          <w:color w:val="auto"/>
          <w:spacing w:val="0"/>
          <w:position w:val="0"/>
          <w:highlight w:val="none"/>
          <w:lang w:eastAsia="zh-CN"/>
        </w:rPr>
        <w:t>款（</w:t>
      </w:r>
      <w:r>
        <w:rPr>
          <w:rFonts w:ascii="宋体" w:hAnsi="Times New Roman" w:eastAsia="宋体" w:cs="Times New Roman"/>
          <w:color w:val="auto"/>
          <w:spacing w:val="0"/>
          <w:position w:val="0"/>
          <w:szCs w:val="21"/>
          <w:highlight w:val="none"/>
          <w:lang w:eastAsia="zh-CN"/>
        </w:rPr>
        <w:t>1</w:t>
      </w:r>
      <w:r>
        <w:rPr>
          <w:rFonts w:cs="宋体"/>
          <w:color w:val="auto"/>
          <w:spacing w:val="0"/>
          <w:position w:val="0"/>
          <w:highlight w:val="none"/>
          <w:lang w:eastAsia="zh-CN"/>
        </w:rPr>
        <w:t>）规定情形的，属于必须审批、核准的水利工</w:t>
      </w:r>
      <w:r>
        <w:rPr>
          <w:rFonts w:cs="宋体"/>
          <w:color w:val="auto"/>
          <w:spacing w:val="0"/>
          <w:szCs w:val="21"/>
          <w:highlight w:val="none"/>
          <w:lang w:eastAsia="zh-CN"/>
        </w:rPr>
        <w:t>程建设项目，经原审批、核准部门审批、核准后不再进行招标。</w:t>
      </w:r>
    </w:p>
    <w:p w14:paraId="68D4688B">
      <w:pPr>
        <w:pStyle w:val="3"/>
        <w:kinsoku/>
        <w:wordWrap/>
        <w:spacing w:before="0" w:beforeLines="0" w:afterLines="0"/>
        <w:ind w:left="0"/>
        <w:jc w:val="both"/>
        <w:outlineLvl w:val="1"/>
        <w:rPr>
          <w:rFonts w:cs="宋体"/>
          <w:b/>
          <w:bCs/>
          <w:color w:val="auto"/>
          <w:sz w:val="30"/>
          <w:szCs w:val="30"/>
          <w:highlight w:val="none"/>
          <w:lang w:eastAsia="zh-CN"/>
        </w:rPr>
      </w:pPr>
      <w:bookmarkStart w:id="349" w:name="_Toc20296"/>
      <w:bookmarkStart w:id="350" w:name="_Toc9598"/>
      <w:bookmarkStart w:id="351" w:name="_Toc14336"/>
      <w:bookmarkStart w:id="352" w:name="_Toc6007"/>
      <w:bookmarkStart w:id="353" w:name="_Toc18826"/>
      <w:bookmarkStart w:id="354" w:name="_Toc19854"/>
      <w:bookmarkStart w:id="355" w:name="_Toc16877"/>
      <w:bookmarkStart w:id="356" w:name="_Toc203"/>
      <w:bookmarkStart w:id="357" w:name="_Toc9873"/>
      <w:bookmarkStart w:id="358" w:name="_Toc5362"/>
      <w:bookmarkStart w:id="359" w:name="_Toc26568"/>
      <w:bookmarkStart w:id="360" w:name="_Toc28592"/>
      <w:bookmarkStart w:id="361" w:name="_Toc27381"/>
      <w:bookmarkStart w:id="362" w:name="_Toc5172"/>
      <w:bookmarkStart w:id="363" w:name="_Toc2489"/>
      <w:r>
        <w:rPr>
          <w:rStyle w:val="60"/>
          <w:rFonts w:hint="eastAsia" w:ascii="宋体" w:hAnsi="宋体" w:eastAsia="宋体" w:cs="宋体"/>
          <w:b/>
          <w:bCs/>
          <w:color w:val="auto"/>
          <w:spacing w:val="2"/>
          <w:sz w:val="30"/>
          <w:szCs w:val="30"/>
          <w:highlight w:val="none"/>
        </w:rPr>
        <w:t>9</w:t>
      </w:r>
      <w:r>
        <w:rPr>
          <w:rFonts w:hint="eastAsia" w:cs="宋体"/>
          <w:b/>
          <w:bCs/>
          <w:color w:val="auto"/>
          <w:szCs w:val="30"/>
          <w:highlight w:val="none"/>
          <w:lang w:eastAsia="zh-CN"/>
        </w:rPr>
        <w:t>　</w:t>
      </w:r>
      <w:r>
        <w:rPr>
          <w:rStyle w:val="60"/>
          <w:rFonts w:cs="宋体"/>
          <w:b/>
          <w:bCs/>
          <w:color w:val="auto"/>
          <w:spacing w:val="2"/>
          <w:sz w:val="30"/>
          <w:szCs w:val="30"/>
          <w:highlight w:val="none"/>
        </w:rPr>
        <w:t>纪律和监督</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2E288806">
      <w:pPr>
        <w:pStyle w:val="4"/>
        <w:kinsoku/>
        <w:spacing w:before="0" w:beforeLines="0" w:afterLines="0"/>
        <w:jc w:val="both"/>
        <w:rPr>
          <w:rFonts w:hint="eastAsia" w:ascii="宋体" w:hAnsi="宋体" w:eastAsia="宋体" w:cs="宋体"/>
          <w:b/>
          <w:bCs/>
          <w:color w:val="auto"/>
          <w:szCs w:val="24"/>
          <w:highlight w:val="none"/>
          <w:lang w:eastAsia="zh-CN"/>
        </w:rPr>
      </w:pPr>
      <w:bookmarkStart w:id="364" w:name="_Toc16021"/>
      <w:bookmarkStart w:id="365" w:name="_Toc3260"/>
      <w:bookmarkStart w:id="366" w:name="_Toc9186"/>
      <w:r>
        <w:rPr>
          <w:rFonts w:hint="eastAsia" w:ascii="宋体" w:hAnsi="宋体" w:eastAsia="宋体" w:cs="宋体"/>
          <w:b/>
          <w:bCs/>
          <w:color w:val="auto"/>
          <w:spacing w:val="-2"/>
          <w:szCs w:val="24"/>
          <w:highlight w:val="none"/>
        </w:rPr>
        <w:t>9.1</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对招标人的纪律要求</w:t>
      </w:r>
      <w:bookmarkEnd w:id="364"/>
      <w:bookmarkEnd w:id="365"/>
      <w:bookmarkEnd w:id="366"/>
    </w:p>
    <w:p w14:paraId="70829875">
      <w:pPr>
        <w:kinsoku/>
        <w:spacing w:before="0" w:beforeLines="0" w:afterLines="0"/>
        <w:ind w:left="0" w:firstLine="420"/>
        <w:jc w:val="left"/>
        <w:rPr>
          <w:rFonts w:cs="宋体"/>
          <w:color w:val="auto"/>
          <w:spacing w:val="0"/>
          <w:position w:val="0"/>
          <w:highlight w:val="none"/>
          <w:lang w:eastAsia="zh-CN"/>
        </w:rPr>
      </w:pPr>
      <w:r>
        <w:rPr>
          <w:rFonts w:cs="宋体"/>
          <w:color w:val="auto"/>
          <w:spacing w:val="0"/>
          <w:position w:val="0"/>
          <w:highlight w:val="none"/>
          <w:lang w:eastAsia="zh-CN"/>
        </w:rPr>
        <w:t>招标人不得泄漏招标投标活动中应当保密的情况和资料，不得与投标人串通损害</w:t>
      </w:r>
      <w:r>
        <w:rPr>
          <w:rFonts w:cs="宋体"/>
          <w:color w:val="auto"/>
          <w:spacing w:val="0"/>
          <w:szCs w:val="21"/>
          <w:highlight w:val="none"/>
          <w:lang w:eastAsia="zh-CN"/>
        </w:rPr>
        <w:t>国家利益、社会公共利益或者他人合法权益。</w:t>
      </w:r>
    </w:p>
    <w:p w14:paraId="25D89B26">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下列行为均属招标人与投标人串通投标：</w:t>
      </w:r>
    </w:p>
    <w:p w14:paraId="6B2FCFAD">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）招标人在开标前开启投标文件并将有关信息泄露给其他投标人。</w:t>
      </w:r>
    </w:p>
    <w:p w14:paraId="3E63E177">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）招标人直接或者间接向投标人泄露标底、评标委员会成员等信息。</w:t>
      </w:r>
    </w:p>
    <w:p w14:paraId="50793E17">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）招标人明示或者暗示投标人压低或者抬高投标报价。</w:t>
      </w:r>
    </w:p>
    <w:p w14:paraId="61E8DD52">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4</w:t>
      </w:r>
      <w:r>
        <w:rPr>
          <w:rFonts w:cs="宋体"/>
          <w:color w:val="auto"/>
          <w:spacing w:val="0"/>
          <w:highlight w:val="none"/>
          <w:lang w:eastAsia="zh-CN"/>
        </w:rPr>
        <w:t>）招标人授意投标人撤换、修改投标文件。</w:t>
      </w:r>
    </w:p>
    <w:p w14:paraId="03CC7B6E">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）招标人明示或者暗示投标人为特定投标人中标提供方便。</w:t>
      </w:r>
    </w:p>
    <w:p w14:paraId="47E1C7D5">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6</w:t>
      </w:r>
      <w:r>
        <w:rPr>
          <w:rFonts w:cs="宋体"/>
          <w:color w:val="auto"/>
          <w:spacing w:val="0"/>
          <w:highlight w:val="none"/>
          <w:lang w:eastAsia="zh-CN"/>
        </w:rPr>
        <w:t>）招标人与投标人为谋求特定投标人中标而采取的其他串通行为。</w:t>
      </w:r>
    </w:p>
    <w:p w14:paraId="3117A7B8">
      <w:pPr>
        <w:pStyle w:val="4"/>
        <w:kinsoku/>
        <w:spacing w:before="0" w:beforeLines="0" w:afterLines="0"/>
        <w:jc w:val="both"/>
        <w:rPr>
          <w:rFonts w:hint="eastAsia" w:ascii="宋体" w:hAnsi="宋体" w:eastAsia="宋体" w:cs="宋体"/>
          <w:b/>
          <w:bCs/>
          <w:color w:val="auto"/>
          <w:szCs w:val="24"/>
          <w:highlight w:val="none"/>
          <w:lang w:eastAsia="zh-CN"/>
        </w:rPr>
      </w:pPr>
      <w:bookmarkStart w:id="367" w:name="_Toc11722"/>
      <w:bookmarkStart w:id="368" w:name="_Toc4106"/>
      <w:bookmarkStart w:id="369" w:name="_Toc12542"/>
      <w:r>
        <w:rPr>
          <w:rFonts w:hint="eastAsia" w:ascii="宋体" w:hAnsi="宋体" w:eastAsia="宋体" w:cs="宋体"/>
          <w:b/>
          <w:bCs/>
          <w:color w:val="auto"/>
          <w:spacing w:val="-2"/>
          <w:szCs w:val="24"/>
          <w:highlight w:val="none"/>
        </w:rPr>
        <w:t>9.2</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对投标人的纪律要求</w:t>
      </w:r>
      <w:bookmarkEnd w:id="367"/>
      <w:bookmarkEnd w:id="368"/>
      <w:bookmarkEnd w:id="369"/>
    </w:p>
    <w:p w14:paraId="2637D735">
      <w:pPr>
        <w:kinsoku/>
        <w:spacing w:before="0" w:beforeLines="0" w:afterLines="0"/>
        <w:ind w:left="0" w:right="0" w:firstLine="420"/>
        <w:jc w:val="left"/>
        <w:rPr>
          <w:rFonts w:cs="宋体"/>
          <w:color w:val="auto"/>
          <w:szCs w:val="21"/>
          <w:highlight w:val="none"/>
          <w:lang w:eastAsia="zh-CN"/>
        </w:rPr>
      </w:pPr>
      <w:r>
        <w:rPr>
          <w:rFonts w:cs="宋体"/>
          <w:color w:val="auto"/>
          <w:spacing w:val="0"/>
          <w:highlight w:val="none"/>
          <w:lang w:eastAsia="zh-CN"/>
        </w:rPr>
        <w:t>投标人不得相互串通投标或者与招标人串通投标，不得向招标人或者评标委员会成员行贿谋取中标，不得以他人名义投标或者以其它方式弄虚作假骗取中标；投标人不得以任何方式干扰、影响评标工作。具体行为见投标人须知前附表。</w:t>
      </w:r>
    </w:p>
    <w:p w14:paraId="358E4AFB">
      <w:pPr>
        <w:pStyle w:val="4"/>
        <w:kinsoku/>
        <w:spacing w:before="0" w:beforeLines="0" w:afterLines="0"/>
        <w:jc w:val="both"/>
        <w:rPr>
          <w:rFonts w:hint="eastAsia" w:ascii="宋体" w:hAnsi="宋体" w:eastAsia="宋体" w:cs="宋体"/>
          <w:b/>
          <w:bCs/>
          <w:color w:val="auto"/>
          <w:szCs w:val="24"/>
          <w:highlight w:val="none"/>
          <w:lang w:eastAsia="zh-CN"/>
        </w:rPr>
      </w:pPr>
      <w:bookmarkStart w:id="370" w:name="_Toc3798"/>
      <w:bookmarkStart w:id="371" w:name="_Toc1724"/>
      <w:bookmarkStart w:id="372" w:name="_Toc16465"/>
      <w:r>
        <w:rPr>
          <w:rFonts w:hint="eastAsia" w:ascii="宋体" w:hAnsi="宋体" w:eastAsia="宋体" w:cs="宋体"/>
          <w:b/>
          <w:bCs/>
          <w:color w:val="auto"/>
          <w:spacing w:val="-2"/>
          <w:szCs w:val="24"/>
          <w:highlight w:val="none"/>
        </w:rPr>
        <w:t>9.3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对评标委员会成员的纪律要求</w:t>
      </w:r>
      <w:bookmarkEnd w:id="370"/>
      <w:bookmarkEnd w:id="371"/>
      <w:bookmarkEnd w:id="372"/>
    </w:p>
    <w:p w14:paraId="01F4E595">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评标委员会成员不得私下接触投标人，不得收受投标人给予的财物或者其他好处，不得向招标人征询确定中标人的意向，不得接受任何单位或者个人明示或者暗示提出</w:t>
      </w:r>
      <w:r>
        <w:rPr>
          <w:rFonts w:cs="宋体"/>
          <w:color w:val="auto"/>
          <w:spacing w:val="0"/>
          <w:szCs w:val="21"/>
          <w:highlight w:val="none"/>
          <w:lang w:eastAsia="zh-CN"/>
        </w:rPr>
        <w:t>的倾向或者排斥特定投标人的要求，不得有其他不客观、不公正履行职务的行为。</w:t>
      </w:r>
    </w:p>
    <w:p w14:paraId="7435D9BD">
      <w:pPr>
        <w:pStyle w:val="4"/>
        <w:kinsoku/>
        <w:spacing w:before="0" w:beforeLines="0" w:afterLines="0"/>
        <w:jc w:val="both"/>
        <w:rPr>
          <w:rFonts w:hint="eastAsia" w:ascii="宋体" w:hAnsi="宋体" w:eastAsia="宋体" w:cs="宋体"/>
          <w:b/>
          <w:bCs/>
          <w:color w:val="auto"/>
          <w:szCs w:val="24"/>
          <w:highlight w:val="none"/>
          <w:lang w:eastAsia="zh-CN"/>
        </w:rPr>
      </w:pPr>
      <w:bookmarkStart w:id="373" w:name="_Toc30553"/>
      <w:bookmarkStart w:id="374" w:name="_Toc7909"/>
      <w:bookmarkStart w:id="375" w:name="_Toc11580"/>
      <w:r>
        <w:rPr>
          <w:rFonts w:hint="eastAsia" w:ascii="宋体" w:hAnsi="宋体" w:eastAsia="宋体" w:cs="宋体"/>
          <w:b/>
          <w:bCs/>
          <w:color w:val="auto"/>
          <w:spacing w:val="-2"/>
          <w:szCs w:val="24"/>
          <w:highlight w:val="none"/>
        </w:rPr>
        <w:t>9.4</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对与评标活动有关的工作人员的纪律要求</w:t>
      </w:r>
      <w:bookmarkEnd w:id="373"/>
      <w:bookmarkEnd w:id="374"/>
      <w:bookmarkEnd w:id="375"/>
    </w:p>
    <w:p w14:paraId="1D55A71A">
      <w:pPr>
        <w:kinsoku/>
        <w:spacing w:before="0" w:beforeLines="0" w:afterLines="0"/>
        <w:ind w:right="0" w:firstLine="420"/>
        <w:jc w:val="left"/>
        <w:rPr>
          <w:rFonts w:cs="宋体"/>
          <w:color w:val="auto"/>
          <w:szCs w:val="21"/>
          <w:highlight w:val="none"/>
          <w:lang w:eastAsia="zh-CN"/>
        </w:rPr>
      </w:pPr>
      <w:r>
        <w:rPr>
          <w:rFonts w:cs="宋体"/>
          <w:color w:val="auto"/>
          <w:spacing w:val="0"/>
          <w:highlight w:val="none"/>
          <w:lang w:eastAsia="zh-CN"/>
        </w:rPr>
        <w:t>与评标活动有关的工作人员不得收受他人的财物或者其他好处，不得向他人透漏对投标文件的评审和比较、中标候选人的推荐情况以及评标有关的其他情况。在评</w:t>
      </w:r>
      <w:r>
        <w:rPr>
          <w:rFonts w:hint="eastAsia" w:cs="宋体"/>
          <w:color w:val="auto"/>
          <w:spacing w:val="0"/>
          <w:szCs w:val="21"/>
          <w:highlight w:val="none"/>
          <w:lang w:eastAsia="zh-CN"/>
        </w:rPr>
        <w:t>标</w:t>
      </w:r>
      <w:r>
        <w:rPr>
          <w:rFonts w:cs="宋体"/>
          <w:color w:val="auto"/>
          <w:spacing w:val="0"/>
          <w:szCs w:val="21"/>
          <w:highlight w:val="none"/>
          <w:lang w:eastAsia="zh-CN"/>
        </w:rPr>
        <w:t>活动中，与评标活动有关的工作人员不得擅离职守，影响评标程序正常进行。</w:t>
      </w:r>
    </w:p>
    <w:p w14:paraId="2877530C">
      <w:pPr>
        <w:pStyle w:val="4"/>
        <w:kinsoku/>
        <w:spacing w:before="0" w:beforeLines="0" w:afterLines="0"/>
        <w:jc w:val="both"/>
        <w:rPr>
          <w:rFonts w:hint="eastAsia" w:ascii="宋体" w:hAnsi="宋体" w:eastAsia="宋体" w:cs="宋体"/>
          <w:b/>
          <w:bCs/>
          <w:color w:val="auto"/>
          <w:szCs w:val="24"/>
          <w:highlight w:val="none"/>
          <w:lang w:eastAsia="zh-CN"/>
        </w:rPr>
      </w:pPr>
      <w:bookmarkStart w:id="376" w:name="_Toc5100"/>
      <w:bookmarkStart w:id="377" w:name="_Toc31231"/>
      <w:bookmarkStart w:id="378" w:name="_Toc30050"/>
      <w:r>
        <w:rPr>
          <w:rFonts w:hint="eastAsia" w:ascii="宋体" w:hAnsi="宋体" w:eastAsia="宋体" w:cs="宋体"/>
          <w:b/>
          <w:bCs/>
          <w:color w:val="auto"/>
          <w:szCs w:val="24"/>
          <w:highlight w:val="none"/>
        </w:rPr>
        <w:t>9.5</w:t>
      </w:r>
      <w:r>
        <w:rPr>
          <w:rFonts w:hint="eastAsia" w:cs="宋体"/>
          <w:b/>
          <w:bCs/>
          <w:color w:val="auto"/>
          <w:szCs w:val="24"/>
          <w:highlight w:val="none"/>
          <w:lang w:eastAsia="zh-CN"/>
        </w:rPr>
        <w:t>　</w:t>
      </w:r>
      <w:r>
        <w:rPr>
          <w:rFonts w:hint="eastAsia" w:ascii="宋体" w:hAnsi="宋体" w:eastAsia="宋体" w:cs="宋体"/>
          <w:b/>
          <w:bCs/>
          <w:color w:val="auto"/>
          <w:szCs w:val="24"/>
          <w:highlight w:val="none"/>
        </w:rPr>
        <w:t>异议与投诉</w:t>
      </w:r>
      <w:bookmarkEnd w:id="376"/>
      <w:bookmarkEnd w:id="377"/>
      <w:bookmarkEnd w:id="378"/>
    </w:p>
    <w:p w14:paraId="09E6CC03">
      <w:pPr>
        <w:kinsoku/>
        <w:spacing w:before="0" w:beforeLines="0" w:afterLines="0"/>
        <w:ind w:firstLine="420"/>
        <w:jc w:val="left"/>
        <w:rPr>
          <w:rFonts w:cs="宋体"/>
          <w:color w:val="auto"/>
          <w:szCs w:val="21"/>
          <w:highlight w:val="none"/>
          <w:lang w:eastAsia="zh-CN"/>
        </w:rPr>
      </w:pPr>
      <w:r>
        <w:rPr>
          <w:rFonts w:cs="宋体"/>
          <w:color w:val="auto"/>
          <w:highlight w:val="none"/>
          <w:lang w:eastAsia="zh-CN"/>
        </w:rPr>
        <w:t>投标人和其他利害关系人认为本次招标活动违反法律、法规和规章规定的，</w:t>
      </w:r>
      <w:r>
        <w:rPr>
          <w:rFonts w:cs="宋体"/>
          <w:color w:val="auto"/>
          <w:szCs w:val="21"/>
          <w:highlight w:val="none"/>
          <w:lang w:eastAsia="zh-CN"/>
        </w:rPr>
        <w:t>有权按照《中华人民共和国招标投标法实施条例》等规定提出书面异议和投诉。异议与投诉见投标人须知前附表。</w:t>
      </w:r>
    </w:p>
    <w:p w14:paraId="7911FA9F">
      <w:pPr>
        <w:pStyle w:val="3"/>
        <w:kinsoku/>
        <w:wordWrap/>
        <w:spacing w:before="0" w:beforeLines="0" w:afterLines="0"/>
        <w:ind w:left="0"/>
        <w:jc w:val="both"/>
        <w:outlineLvl w:val="1"/>
        <w:rPr>
          <w:rFonts w:cs="宋体"/>
          <w:b/>
          <w:bCs/>
          <w:color w:val="auto"/>
          <w:sz w:val="30"/>
          <w:szCs w:val="30"/>
          <w:highlight w:val="none"/>
          <w:lang w:eastAsia="zh-CN"/>
        </w:rPr>
      </w:pPr>
      <w:bookmarkStart w:id="379" w:name="_Toc7457"/>
      <w:bookmarkStart w:id="380" w:name="_Toc14435"/>
      <w:bookmarkStart w:id="381" w:name="_Toc14391"/>
      <w:bookmarkStart w:id="382" w:name="_Toc19933"/>
      <w:bookmarkStart w:id="383" w:name="_Toc12014"/>
      <w:bookmarkStart w:id="384" w:name="_Toc14769"/>
      <w:bookmarkStart w:id="385" w:name="_Toc20930"/>
      <w:bookmarkStart w:id="386" w:name="_Toc879"/>
      <w:bookmarkStart w:id="387" w:name="_Toc833"/>
      <w:bookmarkStart w:id="388" w:name="_Toc13393"/>
      <w:bookmarkStart w:id="389" w:name="_Toc25395"/>
      <w:bookmarkStart w:id="390" w:name="_Toc18004"/>
      <w:bookmarkStart w:id="391" w:name="_Toc4464"/>
      <w:bookmarkStart w:id="392" w:name="_Toc24704"/>
      <w:bookmarkStart w:id="393" w:name="_Toc15650"/>
      <w:r>
        <w:rPr>
          <w:rStyle w:val="60"/>
          <w:rFonts w:hint="eastAsia" w:ascii="宋体" w:hAnsi="宋体" w:eastAsia="宋体" w:cs="宋体"/>
          <w:b/>
          <w:bCs/>
          <w:color w:val="auto"/>
          <w:spacing w:val="1"/>
          <w:sz w:val="30"/>
          <w:szCs w:val="30"/>
          <w:highlight w:val="none"/>
        </w:rPr>
        <w:t>10</w:t>
      </w:r>
      <w:r>
        <w:rPr>
          <w:rStyle w:val="60"/>
          <w:rFonts w:hint="eastAsia" w:cs="宋体"/>
          <w:b/>
          <w:bCs/>
          <w:color w:val="auto"/>
          <w:szCs w:val="30"/>
          <w:highlight w:val="none"/>
        </w:rPr>
        <w:t>　</w:t>
      </w:r>
      <w:r>
        <w:rPr>
          <w:rStyle w:val="60"/>
          <w:rFonts w:cs="宋体"/>
          <w:b/>
          <w:bCs/>
          <w:color w:val="auto"/>
          <w:spacing w:val="1"/>
          <w:sz w:val="30"/>
          <w:szCs w:val="30"/>
          <w:highlight w:val="none"/>
        </w:rPr>
        <w:t>其他内容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3F70C23D">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394" w:name="_Toc229"/>
      <w:bookmarkStart w:id="395" w:name="_Toc18428"/>
      <w:bookmarkStart w:id="396" w:name="_Toc1315"/>
      <w:r>
        <w:rPr>
          <w:rFonts w:hint="eastAsia" w:ascii="宋体" w:hAnsi="宋体" w:eastAsia="宋体" w:cs="宋体"/>
          <w:b/>
          <w:bCs/>
          <w:color w:val="auto"/>
          <w:spacing w:val="-6"/>
          <w:szCs w:val="24"/>
          <w:highlight w:val="none"/>
        </w:rPr>
        <w:t>10.1</w:t>
      </w:r>
      <w:r>
        <w:rPr>
          <w:rFonts w:hint="eastAsia" w:cs="宋体"/>
          <w:b/>
          <w:bCs/>
          <w:color w:val="auto"/>
          <w:szCs w:val="24"/>
          <w:highlight w:val="none"/>
          <w:lang w:eastAsia="zh-CN"/>
        </w:rPr>
        <w:t>　</w:t>
      </w:r>
      <w:r>
        <w:rPr>
          <w:rFonts w:hint="eastAsia" w:ascii="宋体" w:hAnsi="宋体" w:eastAsia="宋体" w:cs="宋体"/>
          <w:b/>
          <w:bCs/>
          <w:color w:val="auto"/>
          <w:spacing w:val="-6"/>
          <w:szCs w:val="24"/>
          <w:highlight w:val="none"/>
        </w:rPr>
        <w:t>类似项目</w:t>
      </w:r>
      <w:bookmarkEnd w:id="394"/>
      <w:bookmarkEnd w:id="395"/>
      <w:bookmarkEnd w:id="396"/>
    </w:p>
    <w:p w14:paraId="693B606C">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类似项目的要求见投标人须知前附表。</w:t>
      </w:r>
    </w:p>
    <w:p w14:paraId="344E18DB">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397" w:name="_Toc29151"/>
      <w:bookmarkStart w:id="398" w:name="_Toc26509"/>
      <w:bookmarkStart w:id="399" w:name="_Toc22122"/>
      <w:r>
        <w:rPr>
          <w:rFonts w:hint="eastAsia" w:ascii="宋体" w:hAnsi="宋体" w:eastAsia="宋体" w:cs="宋体"/>
          <w:b/>
          <w:bCs/>
          <w:color w:val="auto"/>
          <w:spacing w:val="-2"/>
          <w:szCs w:val="24"/>
          <w:highlight w:val="none"/>
        </w:rPr>
        <w:t>10.2</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投标文件的澄清、说明</w:t>
      </w:r>
      <w:bookmarkEnd w:id="397"/>
      <w:bookmarkEnd w:id="398"/>
      <w:bookmarkEnd w:id="399"/>
    </w:p>
    <w:p w14:paraId="500230E6">
      <w:pPr>
        <w:kinsoku/>
        <w:spacing w:before="0" w:beforeLines="0" w:afterLines="0"/>
        <w:ind w:left="0" w:right="0" w:firstLine="420"/>
        <w:jc w:val="left"/>
        <w:rPr>
          <w:rFonts w:cs="宋体"/>
          <w:color w:val="auto"/>
          <w:spacing w:val="0"/>
          <w:highlight w:val="none"/>
          <w:lang w:eastAsia="zh-CN"/>
        </w:rPr>
      </w:pPr>
      <w:r>
        <w:rPr>
          <w:rFonts w:cs="宋体"/>
          <w:color w:val="auto"/>
          <w:spacing w:val="0"/>
          <w:highlight w:val="none"/>
          <w:lang w:eastAsia="zh-CN"/>
        </w:rPr>
        <w:t>评标过程中，评标委员会认为有必要对投标文件中的问题进行询标，或拟作出否决投标决定前对相关投标人进行询问核实，投标文件的澄清、质询见投标人须知前附</w:t>
      </w:r>
      <w:r>
        <w:rPr>
          <w:rFonts w:cs="宋体"/>
          <w:color w:val="auto"/>
          <w:spacing w:val="0"/>
          <w:szCs w:val="21"/>
          <w:highlight w:val="none"/>
          <w:lang w:eastAsia="zh-CN"/>
        </w:rPr>
        <w:t>表。</w:t>
      </w:r>
    </w:p>
    <w:p w14:paraId="31FD1969">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400" w:name="_Toc1275"/>
      <w:bookmarkStart w:id="401" w:name="_Toc15060"/>
      <w:bookmarkStart w:id="402" w:name="_Toc23807"/>
      <w:r>
        <w:rPr>
          <w:rFonts w:hint="eastAsia" w:ascii="宋体" w:hAnsi="宋体" w:eastAsia="宋体" w:cs="宋体"/>
          <w:b/>
          <w:bCs/>
          <w:color w:val="auto"/>
          <w:spacing w:val="-2"/>
          <w:szCs w:val="24"/>
          <w:highlight w:val="none"/>
        </w:rPr>
        <w:t>10.3</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实质性响应招标文件资料及评审打分资料</w:t>
      </w:r>
      <w:bookmarkEnd w:id="400"/>
      <w:bookmarkEnd w:id="401"/>
      <w:bookmarkEnd w:id="402"/>
    </w:p>
    <w:p w14:paraId="535D1CF1">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实质性响应招标文件资料及评审打分资料详见投标人须知前附表。</w:t>
      </w:r>
    </w:p>
    <w:p w14:paraId="741F01FE">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403" w:name="_Toc17119"/>
      <w:bookmarkStart w:id="404" w:name="_Toc23592"/>
      <w:bookmarkStart w:id="405" w:name="_Toc31291"/>
      <w:r>
        <w:rPr>
          <w:rFonts w:hint="eastAsia" w:ascii="宋体" w:hAnsi="宋体" w:eastAsia="宋体" w:cs="宋体"/>
          <w:b/>
          <w:bCs/>
          <w:color w:val="auto"/>
          <w:spacing w:val="-6"/>
          <w:szCs w:val="24"/>
          <w:highlight w:val="none"/>
        </w:rPr>
        <w:t>10.4</w:t>
      </w:r>
      <w:r>
        <w:rPr>
          <w:rFonts w:hint="eastAsia" w:cs="宋体"/>
          <w:b/>
          <w:bCs/>
          <w:color w:val="auto"/>
          <w:szCs w:val="24"/>
          <w:highlight w:val="none"/>
          <w:lang w:eastAsia="zh-CN"/>
        </w:rPr>
        <w:t>　</w:t>
      </w:r>
      <w:r>
        <w:rPr>
          <w:rFonts w:hint="eastAsia" w:ascii="宋体" w:hAnsi="宋体" w:eastAsia="宋体" w:cs="宋体"/>
          <w:b/>
          <w:bCs/>
          <w:color w:val="auto"/>
          <w:spacing w:val="-6"/>
          <w:szCs w:val="24"/>
          <w:highlight w:val="none"/>
        </w:rPr>
        <w:t>中标人的投标文件</w:t>
      </w:r>
      <w:bookmarkEnd w:id="403"/>
      <w:bookmarkEnd w:id="404"/>
      <w:bookmarkEnd w:id="405"/>
    </w:p>
    <w:p w14:paraId="5F6803F6">
      <w:pPr>
        <w:kinsoku/>
        <w:spacing w:before="0" w:beforeLines="0" w:afterLines="0"/>
        <w:ind w:firstLine="420"/>
        <w:jc w:val="left"/>
        <w:rPr>
          <w:rFonts w:cs="宋体"/>
          <w:color w:val="auto"/>
          <w:szCs w:val="21"/>
          <w:highlight w:val="none"/>
          <w:lang w:eastAsia="zh-CN"/>
        </w:rPr>
      </w:pPr>
      <w:r>
        <w:rPr>
          <w:rFonts w:cs="宋体"/>
          <w:color w:val="auto"/>
          <w:spacing w:val="0"/>
          <w:position w:val="0"/>
          <w:highlight w:val="none"/>
          <w:lang w:eastAsia="zh-CN"/>
        </w:rPr>
        <w:t>中标人须在签订合同前向招标人另行提交投标人须知前附表规定份数的投标文</w:t>
      </w:r>
      <w:r>
        <w:rPr>
          <w:rFonts w:cs="宋体"/>
          <w:color w:val="auto"/>
          <w:spacing w:val="0"/>
          <w:szCs w:val="21"/>
          <w:highlight w:val="none"/>
          <w:lang w:eastAsia="zh-CN"/>
        </w:rPr>
        <w:t>件副本。</w:t>
      </w:r>
    </w:p>
    <w:p w14:paraId="370BDAAB">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406" w:name="_Toc25438"/>
      <w:bookmarkStart w:id="407" w:name="_Toc31970"/>
      <w:bookmarkStart w:id="408" w:name="_Toc23065"/>
      <w:r>
        <w:rPr>
          <w:rFonts w:hint="eastAsia" w:ascii="宋体" w:hAnsi="宋体" w:eastAsia="宋体" w:cs="宋体"/>
          <w:b/>
          <w:bCs/>
          <w:color w:val="auto"/>
          <w:spacing w:val="-2"/>
          <w:szCs w:val="24"/>
          <w:highlight w:val="none"/>
        </w:rPr>
        <w:t>10.5</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招标人最高投标限价或其计算方法</w:t>
      </w:r>
      <w:bookmarkEnd w:id="406"/>
      <w:bookmarkEnd w:id="407"/>
      <w:bookmarkEnd w:id="408"/>
    </w:p>
    <w:p w14:paraId="508D5E1B">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招标人最高投标限价或其计算方法见投标人须知前附表。</w:t>
      </w:r>
    </w:p>
    <w:p w14:paraId="1C2C4581">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409" w:name="_Toc10089"/>
      <w:bookmarkStart w:id="410" w:name="_Toc3933"/>
      <w:bookmarkStart w:id="411" w:name="_Toc31557"/>
      <w:r>
        <w:rPr>
          <w:rFonts w:hint="eastAsia" w:ascii="宋体" w:hAnsi="宋体" w:eastAsia="宋体" w:cs="宋体"/>
          <w:b/>
          <w:bCs/>
          <w:color w:val="auto"/>
          <w:spacing w:val="-2"/>
          <w:szCs w:val="24"/>
          <w:highlight w:val="none"/>
        </w:rPr>
        <w:t>10.6</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在建合同工程的认定及变更证明</w:t>
      </w:r>
      <w:bookmarkEnd w:id="409"/>
      <w:bookmarkEnd w:id="410"/>
      <w:bookmarkEnd w:id="411"/>
    </w:p>
    <w:p w14:paraId="2FC69649">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在建合同工程的认定及变更证明见投标人须知前附表。</w:t>
      </w:r>
    </w:p>
    <w:p w14:paraId="502FE466">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412" w:name="_Toc31966"/>
      <w:bookmarkStart w:id="413" w:name="_Toc27865"/>
      <w:bookmarkStart w:id="414" w:name="_Toc13677"/>
      <w:r>
        <w:rPr>
          <w:rFonts w:hint="eastAsia" w:ascii="宋体" w:hAnsi="宋体" w:eastAsia="宋体" w:cs="宋体"/>
          <w:b/>
          <w:bCs/>
          <w:color w:val="auto"/>
          <w:spacing w:val="-5"/>
          <w:szCs w:val="24"/>
          <w:highlight w:val="none"/>
        </w:rPr>
        <w:t>10.7</w:t>
      </w:r>
      <w:r>
        <w:rPr>
          <w:rFonts w:hint="eastAsia" w:cs="宋体"/>
          <w:b/>
          <w:bCs/>
          <w:color w:val="auto"/>
          <w:szCs w:val="24"/>
          <w:highlight w:val="none"/>
          <w:lang w:eastAsia="zh-CN"/>
        </w:rPr>
        <w:t>　</w:t>
      </w:r>
      <w:r>
        <w:rPr>
          <w:rFonts w:hint="eastAsia" w:ascii="宋体" w:hAnsi="宋体" w:eastAsia="宋体" w:cs="宋体"/>
          <w:b/>
          <w:bCs/>
          <w:color w:val="auto"/>
          <w:spacing w:val="-5"/>
          <w:szCs w:val="24"/>
          <w:highlight w:val="none"/>
        </w:rPr>
        <w:t>特别说明</w:t>
      </w:r>
      <w:bookmarkEnd w:id="412"/>
      <w:bookmarkEnd w:id="413"/>
      <w:bookmarkEnd w:id="414"/>
    </w:p>
    <w:p w14:paraId="475BF5B8">
      <w:pPr>
        <w:kinsoku/>
        <w:spacing w:before="0" w:beforeLines="0" w:afterLines="0"/>
        <w:ind w:left="0" w:firstLine="420"/>
        <w:jc w:val="left"/>
        <w:rPr>
          <w:rFonts w:cs="宋体"/>
          <w:color w:val="auto"/>
          <w:szCs w:val="21"/>
          <w:highlight w:val="none"/>
          <w:lang w:eastAsia="zh-CN"/>
        </w:rPr>
      </w:pPr>
      <w:r>
        <w:rPr>
          <w:rFonts w:cs="宋体"/>
          <w:color w:val="auto"/>
          <w:spacing w:val="0"/>
          <w:highlight w:val="none"/>
          <w:lang w:eastAsia="zh-CN"/>
        </w:rPr>
        <w:t>特别说明见投标人须知前附表。</w:t>
      </w:r>
    </w:p>
    <w:p w14:paraId="40FA3926">
      <w:pPr>
        <w:pStyle w:val="3"/>
        <w:kinsoku/>
        <w:wordWrap/>
        <w:spacing w:before="0" w:beforeLines="0" w:afterLines="0"/>
        <w:ind w:left="0"/>
        <w:jc w:val="both"/>
        <w:outlineLvl w:val="1"/>
        <w:rPr>
          <w:rFonts w:cs="宋体"/>
          <w:b/>
          <w:bCs/>
          <w:color w:val="auto"/>
          <w:sz w:val="30"/>
          <w:szCs w:val="30"/>
          <w:highlight w:val="none"/>
          <w:lang w:eastAsia="zh-CN"/>
        </w:rPr>
      </w:pPr>
      <w:bookmarkStart w:id="415" w:name="_Toc10451"/>
      <w:bookmarkStart w:id="416" w:name="_Toc27610"/>
      <w:bookmarkStart w:id="417" w:name="_Toc26262"/>
      <w:bookmarkStart w:id="418" w:name="_Toc8743"/>
      <w:bookmarkStart w:id="419" w:name="_Toc11403"/>
      <w:bookmarkStart w:id="420" w:name="_Toc21925"/>
      <w:bookmarkStart w:id="421" w:name="_Toc21348"/>
      <w:bookmarkStart w:id="422" w:name="_Toc10779"/>
      <w:bookmarkStart w:id="423" w:name="_Toc15973"/>
      <w:bookmarkStart w:id="424" w:name="_Toc12255"/>
      <w:bookmarkStart w:id="425" w:name="_Toc22174"/>
      <w:bookmarkStart w:id="426" w:name="_Toc9153"/>
      <w:bookmarkStart w:id="427" w:name="_Toc19902"/>
      <w:bookmarkStart w:id="428" w:name="_Toc23737"/>
      <w:r>
        <w:rPr>
          <w:rStyle w:val="60"/>
          <w:rFonts w:hint="eastAsia" w:ascii="宋体" w:hAnsi="宋体" w:eastAsia="宋体" w:cs="宋体"/>
          <w:b/>
          <w:bCs/>
          <w:color w:val="auto"/>
          <w:spacing w:val="2"/>
          <w:sz w:val="30"/>
          <w:szCs w:val="30"/>
          <w:highlight w:val="none"/>
        </w:rPr>
        <w:t>11</w:t>
      </w:r>
      <w:r>
        <w:rPr>
          <w:rFonts w:hint="eastAsia" w:cs="宋体"/>
          <w:b/>
          <w:bCs/>
          <w:color w:val="auto"/>
          <w:szCs w:val="30"/>
          <w:highlight w:val="none"/>
          <w:lang w:eastAsia="zh-CN"/>
        </w:rPr>
        <w:t>　</w:t>
      </w:r>
      <w:r>
        <w:rPr>
          <w:rStyle w:val="60"/>
          <w:rFonts w:cs="宋体"/>
          <w:b/>
          <w:bCs/>
          <w:color w:val="auto"/>
          <w:spacing w:val="2"/>
          <w:sz w:val="30"/>
          <w:szCs w:val="30"/>
          <w:highlight w:val="none"/>
        </w:rPr>
        <w:t>需要补充的内容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54698AB7">
      <w:pPr>
        <w:kinsoku/>
        <w:spacing w:beforeLines="0" w:afterLines="0"/>
        <w:ind w:firstLine="420"/>
        <w:jc w:val="left"/>
        <w:rPr>
          <w:rFonts w:cs="宋体"/>
          <w:color w:val="auto"/>
          <w:spacing w:val="0"/>
          <w:szCs w:val="21"/>
          <w:highlight w:val="none"/>
          <w:lang w:eastAsia="zh-CN"/>
        </w:rPr>
      </w:pPr>
      <w:r>
        <w:rPr>
          <w:rFonts w:cs="宋体"/>
          <w:color w:val="auto"/>
          <w:spacing w:val="0"/>
          <w:highlight w:val="none"/>
          <w:lang w:eastAsia="zh-CN"/>
        </w:rPr>
        <w:t>需要补充的内容：见投标人须知前附表。</w:t>
      </w:r>
    </w:p>
    <w:p w14:paraId="40A22960">
      <w:pPr>
        <w:kinsoku/>
        <w:spacing w:before="0" w:beforeLines="0" w:afterLines="0"/>
        <w:ind w:left="0" w:firstLine="420"/>
        <w:jc w:val="left"/>
        <w:rPr>
          <w:rFonts w:cs="宋体"/>
          <w:color w:val="auto"/>
          <w:spacing w:val="0"/>
          <w:szCs w:val="21"/>
          <w:highlight w:val="none"/>
          <w:lang w:eastAsia="zh-CN"/>
        </w:rPr>
      </w:pPr>
    </w:p>
    <w:p w14:paraId="43C83D7C">
      <w:pPr>
        <w:kinsoku/>
        <w:spacing w:before="0" w:beforeLines="0" w:afterLines="0"/>
        <w:ind w:left="0" w:firstLine="420"/>
        <w:jc w:val="left"/>
        <w:rPr>
          <w:rFonts w:cs="宋体"/>
          <w:color w:val="auto"/>
          <w:spacing w:val="0"/>
          <w:szCs w:val="21"/>
          <w:highlight w:val="none"/>
          <w:lang w:eastAsia="zh-CN"/>
        </w:rPr>
      </w:pPr>
    </w:p>
    <w:p w14:paraId="3E326704">
      <w:pPr>
        <w:kinsoku/>
        <w:adjustRightInd/>
        <w:snapToGrid/>
        <w:spacing w:beforeLines="0" w:afterLines="0" w:line="240" w:lineRule="auto"/>
        <w:ind w:firstLine="420"/>
        <w:jc w:val="left"/>
        <w:textAlignment w:val="auto"/>
        <w:rPr>
          <w:rFonts w:cs="宋体"/>
          <w:color w:val="auto"/>
          <w:spacing w:val="0"/>
          <w:szCs w:val="24"/>
          <w:highlight w:val="none"/>
          <w:lang w:eastAsia="zh-CN"/>
        </w:rPr>
      </w:pPr>
      <w:r>
        <w:rPr>
          <w:rFonts w:cs="宋体"/>
          <w:color w:val="auto"/>
          <w:spacing w:val="0"/>
          <w:szCs w:val="24"/>
          <w:highlight w:val="none"/>
          <w:lang w:eastAsia="zh-CN"/>
        </w:rPr>
        <w:br w:type="page"/>
      </w:r>
    </w:p>
    <w:p w14:paraId="141716C0">
      <w:pPr>
        <w:pStyle w:val="3"/>
        <w:kinsoku/>
        <w:spacing w:before="0" w:beforeLines="0" w:afterLines="0"/>
        <w:ind w:left="0"/>
        <w:jc w:val="both"/>
        <w:rPr>
          <w:rFonts w:hint="eastAsia" w:cs="宋体"/>
          <w:b/>
          <w:bCs/>
          <w:color w:val="auto"/>
          <w:szCs w:val="30"/>
          <w:highlight w:val="none"/>
        </w:rPr>
      </w:pPr>
      <w:bookmarkStart w:id="429" w:name="_Toc26225"/>
      <w:bookmarkStart w:id="430" w:name="_Toc6991"/>
      <w:bookmarkStart w:id="431" w:name="_Toc6462"/>
      <w:bookmarkStart w:id="432" w:name="_Toc23561"/>
      <w:bookmarkStart w:id="433" w:name="_Toc5607"/>
      <w:bookmarkStart w:id="434" w:name="_Toc17596"/>
      <w:bookmarkStart w:id="435" w:name="_Toc2700"/>
      <w:bookmarkStart w:id="436" w:name="_Toc9947"/>
      <w:bookmarkStart w:id="437" w:name="_Toc22391"/>
      <w:bookmarkStart w:id="438" w:name="_Toc22235"/>
      <w:bookmarkStart w:id="439" w:name="_Toc16898"/>
      <w:bookmarkStart w:id="440" w:name="_Toc11452"/>
      <w:bookmarkStart w:id="441" w:name="_Toc28447"/>
      <w:bookmarkStart w:id="442" w:name="_Toc4786"/>
      <w:r>
        <w:rPr>
          <w:rFonts w:cs="宋体"/>
          <w:b/>
          <w:bCs/>
          <w:color w:val="auto"/>
          <w:spacing w:val="-4"/>
          <w:sz w:val="30"/>
          <w:szCs w:val="30"/>
          <w:highlight w:val="none"/>
        </w:rPr>
        <w:t>附件一：</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37AE43C2">
      <w:pPr>
        <w:pStyle w:val="7"/>
        <w:kinsoku/>
        <w:spacing w:beforeLines="0" w:afterLines="0"/>
        <w:ind w:firstLine="420"/>
        <w:jc w:val="left"/>
        <w:rPr>
          <w:color w:val="auto"/>
          <w:highlight w:val="none"/>
          <w:lang w:eastAsia="zh-CN"/>
        </w:rPr>
      </w:pPr>
    </w:p>
    <w:p w14:paraId="35EE0CBC">
      <w:pPr>
        <w:pStyle w:val="7"/>
        <w:kinsoku/>
        <w:spacing w:beforeLines="0" w:afterLines="0"/>
        <w:ind w:firstLine="420"/>
        <w:jc w:val="left"/>
        <w:rPr>
          <w:color w:val="auto"/>
          <w:highlight w:val="none"/>
          <w:lang w:eastAsia="zh-CN"/>
        </w:rPr>
      </w:pPr>
    </w:p>
    <w:p w14:paraId="7F45AD51">
      <w:pPr>
        <w:pStyle w:val="7"/>
        <w:kinsoku/>
        <w:spacing w:beforeLines="0" w:afterLines="0"/>
        <w:ind w:firstLine="420"/>
        <w:jc w:val="left"/>
        <w:rPr>
          <w:color w:val="auto"/>
          <w:highlight w:val="none"/>
          <w:lang w:eastAsia="zh-CN"/>
        </w:rPr>
      </w:pPr>
    </w:p>
    <w:p w14:paraId="3B4CE4CE">
      <w:pPr>
        <w:kinsoku/>
        <w:spacing w:before="0" w:beforeLines="0" w:afterLines="0"/>
        <w:ind w:left="0" w:firstLine="0" w:firstLineChars="0"/>
        <w:jc w:val="center"/>
        <w:rPr>
          <w:rFonts w:cs="宋体"/>
          <w:color w:val="auto"/>
          <w:sz w:val="27"/>
          <w:szCs w:val="27"/>
          <w:highlight w:val="none"/>
          <w:lang w:eastAsia="zh-CN"/>
        </w:rPr>
      </w:pPr>
      <w:bookmarkStart w:id="443" w:name="_Toc14372"/>
      <w:r>
        <w:rPr>
          <w:rFonts w:cs="宋体"/>
          <w:b/>
          <w:bCs/>
          <w:color w:val="auto"/>
          <w:spacing w:val="0"/>
          <w:sz w:val="27"/>
          <w:szCs w:val="27"/>
          <w:highlight w:val="none"/>
          <w:lang w:eastAsia="zh-CN"/>
        </w:rPr>
        <w:t>招标文件澄清申请函</w:t>
      </w:r>
      <w:bookmarkEnd w:id="443"/>
    </w:p>
    <w:p w14:paraId="7AD2DAC6">
      <w:pPr>
        <w:kinsoku/>
        <w:spacing w:before="0" w:beforeLines="0" w:afterLines="0"/>
        <w:ind w:left="0" w:firstLine="0" w:firstLineChars="0"/>
        <w:jc w:val="center"/>
        <w:rPr>
          <w:rFonts w:cs="宋体"/>
          <w:color w:val="auto"/>
          <w:szCs w:val="24"/>
          <w:highlight w:val="none"/>
          <w:lang w:eastAsia="zh-CN"/>
        </w:rPr>
      </w:pPr>
      <w:r>
        <w:rPr>
          <w:rFonts w:cs="宋体"/>
          <w:color w:val="auto"/>
          <w:spacing w:val="0"/>
          <w:szCs w:val="24"/>
          <w:highlight w:val="none"/>
          <w:lang w:eastAsia="zh-CN"/>
        </w:rPr>
        <w:t>编号：</w:t>
      </w:r>
    </w:p>
    <w:p w14:paraId="76981951">
      <w:pPr>
        <w:pStyle w:val="7"/>
        <w:kinsoku/>
        <w:spacing w:beforeLines="0" w:afterLines="0"/>
        <w:ind w:firstLine="420"/>
        <w:jc w:val="left"/>
        <w:rPr>
          <w:color w:val="auto"/>
          <w:highlight w:val="none"/>
          <w:lang w:eastAsia="zh-CN"/>
        </w:rPr>
      </w:pPr>
    </w:p>
    <w:p w14:paraId="03038BE0">
      <w:pPr>
        <w:pStyle w:val="7"/>
        <w:kinsoku/>
        <w:spacing w:beforeLines="0" w:afterLines="0"/>
        <w:ind w:firstLine="420"/>
        <w:jc w:val="left"/>
        <w:rPr>
          <w:color w:val="auto"/>
          <w:highlight w:val="none"/>
          <w:lang w:eastAsia="zh-CN"/>
        </w:rPr>
      </w:pPr>
    </w:p>
    <w:p w14:paraId="578ACBA4">
      <w:pPr>
        <w:tabs>
          <w:tab w:val="left" w:pos="1920"/>
        </w:tabs>
        <w:kinsoku/>
        <w:spacing w:before="0" w:beforeLines="0" w:afterLines="0"/>
        <w:ind w:firstLine="0" w:firstLineChars="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（招标人名称）：</w:t>
      </w:r>
    </w:p>
    <w:p w14:paraId="2CC4883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经过仔细阅读（项目名称）（标段名称）招标文件后，我方申请对以下问题予以澄清：</w:t>
      </w:r>
    </w:p>
    <w:p w14:paraId="01A58063">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1.</w:t>
      </w:r>
      <w:r>
        <w:rPr>
          <w:rFonts w:ascii="Times New Roman" w:hAnsi="Times New Roman" w:cs="Times New Roman"/>
          <w:strike/>
          <w:color w:val="auto"/>
          <w:highlight w:val="none"/>
        </w:rPr>
        <w:t>ⅆⅆ</w:t>
      </w:r>
    </w:p>
    <w:p w14:paraId="4870DC93">
      <w:pPr>
        <w:kinsoku/>
        <w:spacing w:before="0" w:beforeLines="0" w:afterLines="0"/>
        <w:ind w:left="0" w:firstLine="420"/>
        <w:jc w:val="left"/>
        <w:rPr>
          <w:color w:val="auto"/>
          <w:highlight w:val="none"/>
          <w:lang w:eastAsia="zh-CN"/>
        </w:rPr>
      </w:pPr>
      <w:r>
        <w:rPr>
          <w:rFonts w:ascii="宋体" w:hAnsi="宋体" w:eastAsia="宋体" w:cs="Arial"/>
          <w:color w:val="auto"/>
          <w:spacing w:val="0"/>
          <w:w w:val="100"/>
          <w:szCs w:val="21"/>
          <w:highlight w:val="none"/>
          <w:lang w:eastAsia="zh-CN"/>
        </w:rPr>
        <w:t>2.</w:t>
      </w:r>
      <w:r>
        <w:rPr>
          <w:rFonts w:ascii="Times New Roman" w:hAnsi="Times New Roman" w:cs="Times New Roman"/>
          <w:strike/>
          <w:color w:val="auto"/>
          <w:highlight w:val="none"/>
        </w:rPr>
        <w:t>ⅆⅆ</w:t>
      </w:r>
    </w:p>
    <w:p w14:paraId="50C06DCC">
      <w:pPr>
        <w:kinsoku/>
        <w:spacing w:beforeLines="0" w:afterLines="0"/>
        <w:ind w:firstLine="420"/>
        <w:jc w:val="left"/>
        <w:rPr>
          <w:color w:val="auto"/>
          <w:highlight w:val="none"/>
          <w:lang w:eastAsia="zh-CN"/>
        </w:rPr>
      </w:pPr>
    </w:p>
    <w:p w14:paraId="0BD6AB27">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w:t>
      </w:r>
    </w:p>
    <w:p w14:paraId="560535EE">
      <w:pPr>
        <w:kinsoku/>
        <w:spacing w:beforeLines="0" w:afterLines="0"/>
        <w:ind w:firstLine="420"/>
        <w:jc w:val="left"/>
        <w:rPr>
          <w:color w:val="auto"/>
          <w:highlight w:val="none"/>
          <w:lang w:eastAsia="zh-CN"/>
        </w:rPr>
      </w:pPr>
    </w:p>
    <w:p w14:paraId="21465EA2">
      <w:pPr>
        <w:kinsoku/>
        <w:spacing w:before="0" w:beforeLines="0" w:afterLines="0"/>
        <w:ind w:left="0" w:firstLine="420"/>
        <w:jc w:val="left"/>
        <w:rPr>
          <w:rFonts w:cs="Arial"/>
          <w:color w:val="auto"/>
          <w:spacing w:val="0"/>
          <w:highlight w:val="none"/>
          <w:lang w:eastAsia="zh-CN"/>
        </w:rPr>
      </w:pPr>
    </w:p>
    <w:p w14:paraId="2025751D">
      <w:pPr>
        <w:kinsoku/>
        <w:spacing w:before="0" w:beforeLines="0" w:afterLines="0"/>
        <w:ind w:left="0" w:firstLine="420"/>
        <w:jc w:val="left"/>
        <w:rPr>
          <w:rFonts w:cs="Arial"/>
          <w:color w:val="auto"/>
          <w:spacing w:val="0"/>
          <w:highlight w:val="none"/>
          <w:lang w:eastAsia="zh-CN"/>
        </w:rPr>
      </w:pPr>
    </w:p>
    <w:p w14:paraId="0EF75B5E">
      <w:pPr>
        <w:kinsoku/>
        <w:spacing w:before="0" w:beforeLines="0" w:afterLines="0"/>
        <w:ind w:left="0" w:firstLine="420"/>
        <w:jc w:val="left"/>
        <w:rPr>
          <w:rFonts w:cs="Arial"/>
          <w:color w:val="auto"/>
          <w:spacing w:val="0"/>
          <w:highlight w:val="none"/>
          <w:lang w:eastAsia="zh-CN"/>
        </w:rPr>
      </w:pPr>
    </w:p>
    <w:p w14:paraId="319C20C6">
      <w:pPr>
        <w:kinsoku/>
        <w:spacing w:before="0" w:beforeLines="0" w:afterLines="0"/>
        <w:ind w:left="0" w:firstLine="420"/>
        <w:jc w:val="left"/>
        <w:rPr>
          <w:rFonts w:cs="Arial"/>
          <w:color w:val="auto"/>
          <w:spacing w:val="0"/>
          <w:highlight w:val="none"/>
          <w:lang w:eastAsia="zh-CN"/>
        </w:rPr>
      </w:pPr>
    </w:p>
    <w:p w14:paraId="34D3C29B">
      <w:pPr>
        <w:kinsoku/>
        <w:spacing w:before="0" w:beforeLines="0" w:afterLines="0"/>
        <w:ind w:left="0" w:firstLine="420"/>
        <w:jc w:val="left"/>
        <w:rPr>
          <w:rFonts w:cs="Arial"/>
          <w:color w:val="auto"/>
          <w:spacing w:val="0"/>
          <w:highlight w:val="none"/>
          <w:lang w:eastAsia="zh-CN"/>
        </w:rPr>
      </w:pPr>
    </w:p>
    <w:p w14:paraId="7FF1CE6C">
      <w:pPr>
        <w:kinsoku/>
        <w:spacing w:before="0" w:beforeLines="0" w:afterLines="0"/>
        <w:ind w:left="0" w:firstLine="420"/>
        <w:jc w:val="left"/>
        <w:rPr>
          <w:rFonts w:cs="宋体"/>
          <w:color w:val="auto"/>
          <w:highlight w:val="none"/>
          <w:lang w:eastAsia="zh-CN"/>
        </w:rPr>
      </w:pPr>
      <w:r>
        <w:rPr>
          <w:rFonts w:cs="宋体"/>
          <w:color w:val="auto"/>
          <w:spacing w:val="0"/>
          <w:highlight w:val="none"/>
          <w:lang w:eastAsia="zh-CN"/>
        </w:rPr>
        <w:t>注：投标人要求招标人澄清招标文件有关问题时，适用于本格式。</w:t>
      </w:r>
    </w:p>
    <w:p w14:paraId="0D72EC98">
      <w:pPr>
        <w:kinsoku/>
        <w:spacing w:beforeLines="0" w:afterLines="0"/>
        <w:ind w:firstLine="420"/>
        <w:jc w:val="left"/>
        <w:rPr>
          <w:rFonts w:cs="宋体"/>
          <w:color w:val="auto"/>
          <w:highlight w:val="none"/>
          <w:lang w:eastAsia="zh-CN"/>
        </w:rPr>
      </w:pPr>
    </w:p>
    <w:p w14:paraId="232051E9">
      <w:pPr>
        <w:kinsoku/>
        <w:adjustRightInd/>
        <w:snapToGrid/>
        <w:spacing w:beforeLines="0" w:afterLines="0" w:line="240" w:lineRule="auto"/>
        <w:ind w:firstLine="420"/>
        <w:jc w:val="left"/>
        <w:textAlignment w:val="auto"/>
        <w:rPr>
          <w:rFonts w:cs="宋体"/>
          <w:color w:val="auto"/>
          <w:highlight w:val="none"/>
          <w:lang w:eastAsia="zh-CN"/>
        </w:rPr>
      </w:pPr>
      <w:r>
        <w:rPr>
          <w:rFonts w:cs="宋体"/>
          <w:color w:val="auto"/>
          <w:highlight w:val="none"/>
          <w:lang w:eastAsia="zh-CN"/>
        </w:rPr>
        <w:br w:type="page"/>
      </w:r>
    </w:p>
    <w:p w14:paraId="48371D62">
      <w:pPr>
        <w:pStyle w:val="3"/>
        <w:kinsoku/>
        <w:spacing w:before="0" w:beforeLines="0" w:afterLines="0"/>
        <w:ind w:left="0"/>
        <w:jc w:val="both"/>
        <w:rPr>
          <w:rFonts w:hint="eastAsia" w:cs="宋体"/>
          <w:b/>
          <w:bCs/>
          <w:color w:val="auto"/>
          <w:szCs w:val="30"/>
          <w:highlight w:val="none"/>
        </w:rPr>
      </w:pPr>
      <w:bookmarkStart w:id="444" w:name="_Toc21640"/>
      <w:bookmarkStart w:id="445" w:name="_Toc17402"/>
      <w:bookmarkStart w:id="446" w:name="_Toc29086"/>
      <w:bookmarkStart w:id="447" w:name="_Toc733"/>
      <w:bookmarkStart w:id="448" w:name="_Toc17991"/>
      <w:bookmarkStart w:id="449" w:name="_Toc18506"/>
      <w:bookmarkStart w:id="450" w:name="_Toc12990"/>
      <w:bookmarkStart w:id="451" w:name="_Toc21868"/>
      <w:bookmarkStart w:id="452" w:name="_Toc6430"/>
      <w:bookmarkStart w:id="453" w:name="_Toc530"/>
      <w:bookmarkStart w:id="454" w:name="_Toc31695"/>
      <w:bookmarkStart w:id="455" w:name="_Toc6676"/>
      <w:bookmarkStart w:id="456" w:name="_Toc8650"/>
      <w:bookmarkStart w:id="457" w:name="_Toc8288"/>
      <w:r>
        <w:rPr>
          <w:rFonts w:cs="宋体"/>
          <w:b/>
          <w:bCs/>
          <w:color w:val="auto"/>
          <w:spacing w:val="-15"/>
          <w:sz w:val="30"/>
          <w:szCs w:val="30"/>
          <w:highlight w:val="none"/>
        </w:rPr>
        <w:t>附件二：</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24ADD353">
      <w:pPr>
        <w:pStyle w:val="7"/>
        <w:kinsoku/>
        <w:spacing w:beforeLines="0" w:afterLines="0"/>
        <w:ind w:firstLine="420"/>
        <w:jc w:val="left"/>
        <w:rPr>
          <w:color w:val="auto"/>
          <w:highlight w:val="none"/>
          <w:lang w:eastAsia="zh-CN"/>
        </w:rPr>
      </w:pPr>
    </w:p>
    <w:p w14:paraId="12F2A7EE">
      <w:pPr>
        <w:pStyle w:val="7"/>
        <w:kinsoku/>
        <w:spacing w:beforeLines="0" w:afterLines="0"/>
        <w:ind w:firstLine="420"/>
        <w:jc w:val="left"/>
        <w:rPr>
          <w:color w:val="auto"/>
          <w:highlight w:val="none"/>
          <w:lang w:eastAsia="zh-CN"/>
        </w:rPr>
      </w:pPr>
    </w:p>
    <w:p w14:paraId="4D5BDF68">
      <w:pPr>
        <w:kinsoku/>
        <w:spacing w:before="0" w:beforeLines="0" w:afterLines="0"/>
        <w:ind w:left="0" w:firstLine="0" w:firstLineChars="0"/>
        <w:jc w:val="center"/>
        <w:rPr>
          <w:rFonts w:cs="宋体"/>
          <w:color w:val="auto"/>
          <w:sz w:val="27"/>
          <w:szCs w:val="27"/>
          <w:highlight w:val="none"/>
          <w:lang w:eastAsia="zh-CN"/>
        </w:rPr>
      </w:pPr>
      <w:r>
        <w:rPr>
          <w:rFonts w:cs="宋体"/>
          <w:b/>
          <w:bCs/>
          <w:color w:val="auto"/>
          <w:spacing w:val="0"/>
          <w:sz w:val="27"/>
          <w:szCs w:val="27"/>
          <w:highlight w:val="none"/>
          <w:lang w:eastAsia="zh-CN"/>
        </w:rPr>
        <w:t>招标文件澄清通知</w:t>
      </w:r>
    </w:p>
    <w:p w14:paraId="16BD9E7F">
      <w:pPr>
        <w:kinsoku/>
        <w:spacing w:before="0" w:beforeLines="0" w:afterLines="0"/>
        <w:ind w:left="0" w:firstLine="0" w:firstLineChars="0"/>
        <w:jc w:val="center"/>
        <w:rPr>
          <w:rFonts w:cs="宋体"/>
          <w:color w:val="auto"/>
          <w:szCs w:val="24"/>
          <w:highlight w:val="none"/>
          <w:lang w:eastAsia="zh-CN"/>
        </w:rPr>
      </w:pPr>
      <w:r>
        <w:rPr>
          <w:rFonts w:cs="宋体"/>
          <w:color w:val="auto"/>
          <w:spacing w:val="0"/>
          <w:szCs w:val="24"/>
          <w:highlight w:val="none"/>
          <w:lang w:eastAsia="zh-CN"/>
        </w:rPr>
        <w:t>编号：</w:t>
      </w:r>
    </w:p>
    <w:p w14:paraId="33C0741B">
      <w:pPr>
        <w:pStyle w:val="7"/>
        <w:kinsoku/>
        <w:spacing w:beforeLines="0" w:afterLines="0"/>
        <w:ind w:firstLine="420"/>
        <w:jc w:val="left"/>
        <w:rPr>
          <w:color w:val="auto"/>
          <w:highlight w:val="none"/>
          <w:lang w:eastAsia="zh-CN"/>
        </w:rPr>
      </w:pPr>
    </w:p>
    <w:p w14:paraId="74006701">
      <w:pPr>
        <w:pStyle w:val="7"/>
        <w:kinsoku/>
        <w:spacing w:beforeLines="0" w:afterLines="0"/>
        <w:ind w:firstLine="420"/>
        <w:jc w:val="left"/>
        <w:rPr>
          <w:color w:val="auto"/>
          <w:highlight w:val="none"/>
          <w:lang w:eastAsia="zh-CN"/>
        </w:rPr>
      </w:pPr>
    </w:p>
    <w:p w14:paraId="1CDA1024">
      <w:pPr>
        <w:kinsoku/>
        <w:spacing w:before="0" w:beforeLines="0" w:afterLines="0"/>
        <w:ind w:left="0" w:firstLine="420"/>
        <w:jc w:val="left"/>
        <w:rPr>
          <w:color w:val="auto"/>
          <w:highlight w:val="none"/>
          <w:lang w:eastAsia="zh-CN"/>
        </w:rPr>
      </w:pPr>
      <w:r>
        <w:rPr>
          <w:rFonts w:cs="Arial"/>
          <w:color w:val="auto"/>
          <w:spacing w:val="0"/>
          <w:szCs w:val="21"/>
          <w:highlight w:val="none"/>
          <w:lang w:eastAsia="zh-CN"/>
        </w:rPr>
        <w:t>各投标人：</w:t>
      </w:r>
    </w:p>
    <w:p w14:paraId="5A01DA17">
      <w:pPr>
        <w:kinsoku/>
        <w:spacing w:beforeLines="0" w:afterLines="0"/>
        <w:ind w:firstLine="420"/>
        <w:jc w:val="left"/>
        <w:rPr>
          <w:color w:val="auto"/>
          <w:highlight w:val="none"/>
          <w:lang w:eastAsia="zh-CN"/>
        </w:rPr>
      </w:pPr>
    </w:p>
    <w:p w14:paraId="0E8A9EF4">
      <w:pPr>
        <w:kinsoku/>
        <w:spacing w:beforeLines="0" w:afterLines="0"/>
        <w:ind w:firstLine="420"/>
        <w:jc w:val="left"/>
        <w:rPr>
          <w:color w:val="auto"/>
          <w:highlight w:val="none"/>
          <w:lang w:eastAsia="zh-CN"/>
        </w:rPr>
      </w:pPr>
    </w:p>
    <w:p w14:paraId="2F8B4808">
      <w:pPr>
        <w:kinsoku/>
        <w:spacing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经研究，对（项目名称）（标段名称）招标文件，作如下澄清：</w:t>
      </w:r>
    </w:p>
    <w:p w14:paraId="692DD975">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1.</w:t>
      </w:r>
      <w:r>
        <w:rPr>
          <w:rFonts w:ascii="Times New Roman" w:hAnsi="Times New Roman" w:cs="Times New Roman"/>
          <w:strike/>
          <w:color w:val="auto"/>
          <w:highlight w:val="none"/>
        </w:rPr>
        <w:t>ⅆⅆ</w:t>
      </w:r>
    </w:p>
    <w:p w14:paraId="24BCE1E4">
      <w:pPr>
        <w:kinsoku/>
        <w:spacing w:before="0" w:beforeLines="0" w:afterLines="0"/>
        <w:ind w:left="0" w:firstLine="420"/>
        <w:jc w:val="left"/>
        <w:rPr>
          <w:color w:val="auto"/>
          <w:highlight w:val="none"/>
          <w:lang w:eastAsia="zh-CN"/>
        </w:rPr>
      </w:pPr>
      <w:r>
        <w:rPr>
          <w:rFonts w:ascii="宋体" w:hAnsi="宋体" w:eastAsia="宋体" w:cs="Arial"/>
          <w:color w:val="auto"/>
          <w:spacing w:val="0"/>
          <w:w w:val="100"/>
          <w:szCs w:val="21"/>
          <w:highlight w:val="none"/>
          <w:lang w:eastAsia="zh-CN"/>
        </w:rPr>
        <w:t>2.</w:t>
      </w:r>
      <w:r>
        <w:rPr>
          <w:rFonts w:ascii="Times New Roman" w:hAnsi="Times New Roman" w:cs="Times New Roman"/>
          <w:strike/>
          <w:color w:val="auto"/>
          <w:highlight w:val="none"/>
        </w:rPr>
        <w:t>ⅆⅆ</w:t>
      </w:r>
    </w:p>
    <w:p w14:paraId="0B4BB04F">
      <w:pPr>
        <w:kinsoku/>
        <w:spacing w:beforeLines="0" w:afterLines="0"/>
        <w:ind w:firstLine="420"/>
        <w:jc w:val="left"/>
        <w:rPr>
          <w:color w:val="auto"/>
          <w:highlight w:val="none"/>
          <w:lang w:eastAsia="zh-CN"/>
        </w:rPr>
      </w:pPr>
    </w:p>
    <w:p w14:paraId="77A12255">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w:t>
      </w:r>
    </w:p>
    <w:p w14:paraId="05C26B3D">
      <w:pPr>
        <w:kinsoku/>
        <w:spacing w:beforeLines="0" w:afterLines="0"/>
        <w:ind w:firstLine="420"/>
        <w:jc w:val="left"/>
        <w:rPr>
          <w:color w:val="auto"/>
          <w:highlight w:val="none"/>
          <w:lang w:eastAsia="zh-CN"/>
        </w:rPr>
      </w:pPr>
    </w:p>
    <w:p w14:paraId="1A278A90">
      <w:pPr>
        <w:kinsoku/>
        <w:spacing w:beforeLines="0" w:afterLines="0"/>
        <w:ind w:firstLine="420"/>
        <w:jc w:val="left"/>
        <w:rPr>
          <w:color w:val="auto"/>
          <w:highlight w:val="none"/>
          <w:lang w:eastAsia="zh-CN"/>
        </w:rPr>
      </w:pPr>
    </w:p>
    <w:p w14:paraId="71F15840">
      <w:pPr>
        <w:kinsoku/>
        <w:spacing w:beforeLines="0" w:afterLines="0"/>
        <w:ind w:firstLine="420"/>
        <w:jc w:val="left"/>
        <w:rPr>
          <w:color w:val="auto"/>
          <w:highlight w:val="none"/>
          <w:lang w:eastAsia="zh-CN"/>
        </w:rPr>
      </w:pPr>
    </w:p>
    <w:p w14:paraId="2BB390F9">
      <w:pPr>
        <w:kinsoku/>
        <w:spacing w:beforeLines="0" w:afterLines="0"/>
        <w:ind w:firstLine="420"/>
        <w:jc w:val="left"/>
        <w:rPr>
          <w:color w:val="auto"/>
          <w:highlight w:val="none"/>
          <w:lang w:eastAsia="zh-CN"/>
        </w:rPr>
      </w:pPr>
    </w:p>
    <w:p w14:paraId="4A41B350">
      <w:pPr>
        <w:kinsoku/>
        <w:spacing w:beforeLines="0" w:afterLines="0"/>
        <w:ind w:firstLine="420"/>
        <w:jc w:val="left"/>
        <w:rPr>
          <w:color w:val="auto"/>
          <w:highlight w:val="none"/>
          <w:lang w:eastAsia="zh-CN"/>
        </w:rPr>
      </w:pPr>
    </w:p>
    <w:p w14:paraId="363F66F6">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招标人：（盖单位公章）</w:t>
      </w:r>
    </w:p>
    <w:p w14:paraId="61F99779">
      <w:pPr>
        <w:pStyle w:val="7"/>
        <w:kinsoku/>
        <w:spacing w:beforeLines="0" w:afterLines="0"/>
        <w:ind w:firstLine="420"/>
        <w:jc w:val="left"/>
        <w:rPr>
          <w:color w:val="auto"/>
          <w:highlight w:val="none"/>
          <w:lang w:eastAsia="zh-CN"/>
        </w:rPr>
      </w:pPr>
      <w:r>
        <w:rPr>
          <w:rFonts w:hint="eastAsia" w:cs="宋体"/>
          <w:color w:val="auto"/>
          <w:szCs w:val="24"/>
          <w:highlight w:val="none"/>
          <w:u w:val="none"/>
          <w:lang w:eastAsia="zh-CN"/>
        </w:rPr>
        <w:tab/>
      </w:r>
      <w:r>
        <w:rPr>
          <w:rFonts w:hint="eastAsia" w:cs="宋体"/>
          <w:color w:val="auto"/>
          <w:szCs w:val="24"/>
          <w:highlight w:val="none"/>
          <w:u w:val="none"/>
          <w:lang w:eastAsia="zh-CN"/>
        </w:rPr>
        <w:t>　年</w:t>
      </w:r>
      <w:r>
        <w:rPr>
          <w:rFonts w:hint="eastAsia" w:cs="宋体"/>
          <w:color w:val="auto"/>
          <w:szCs w:val="24"/>
          <w:highlight w:val="none"/>
          <w:u w:val="none"/>
          <w:lang w:val="en-US" w:eastAsia="zh-CN"/>
        </w:rPr>
        <w:tab/>
      </w:r>
      <w:r>
        <w:rPr>
          <w:rFonts w:hint="eastAsia" w:cs="宋体"/>
          <w:color w:val="auto"/>
          <w:szCs w:val="24"/>
          <w:highlight w:val="none"/>
          <w:u w:val="none"/>
          <w:lang w:eastAsia="zh-CN"/>
        </w:rPr>
        <w:t>月</w:t>
      </w:r>
      <w:r>
        <w:rPr>
          <w:rFonts w:hint="eastAsia" w:cs="宋体"/>
          <w:color w:val="auto"/>
          <w:szCs w:val="24"/>
          <w:highlight w:val="none"/>
          <w:u w:val="none"/>
          <w:lang w:val="en-US" w:eastAsia="zh-CN"/>
        </w:rPr>
        <w:tab/>
      </w:r>
      <w:r>
        <w:rPr>
          <w:rFonts w:hint="eastAsia" w:cs="宋体"/>
          <w:color w:val="auto"/>
          <w:szCs w:val="24"/>
          <w:highlight w:val="none"/>
          <w:u w:val="none"/>
          <w:lang w:eastAsia="zh-CN"/>
        </w:rPr>
        <w:t>日</w:t>
      </w:r>
    </w:p>
    <w:p w14:paraId="28065FFB">
      <w:pPr>
        <w:kinsoku/>
        <w:spacing w:beforeLines="0" w:afterLines="0" w:line="240" w:lineRule="auto"/>
        <w:ind w:firstLine="420"/>
        <w:jc w:val="left"/>
        <w:rPr>
          <w:rFonts w:cs="宋体"/>
          <w:color w:val="auto"/>
          <w:highlight w:val="none"/>
          <w:lang w:eastAsia="zh-CN"/>
        </w:rPr>
      </w:pPr>
      <w:r>
        <w:rPr>
          <w:rFonts w:cs="Arial"/>
          <w:color w:val="auto"/>
          <w:spacing w:val="0"/>
          <w:position w:val="0"/>
          <w:highlight w:val="none"/>
          <w:lang w:eastAsia="zh-CN"/>
        </w:rPr>
        <w:t>注：招标人对招标文件有关问题澄清时，适用于本格式。招标人可根据需要将</w:t>
      </w:r>
      <w:r>
        <w:rPr>
          <w:rFonts w:hint="eastAsia" w:cs="Arial"/>
          <w:color w:val="auto"/>
          <w:spacing w:val="0"/>
          <w:position w:val="0"/>
          <w:highlight w:val="none"/>
          <w:lang w:eastAsia="zh-CN"/>
        </w:rPr>
        <w:t>附件</w:t>
      </w:r>
      <w:r>
        <w:rPr>
          <w:rFonts w:hint="eastAsia" w:cs="宋体"/>
          <w:color w:val="auto"/>
          <w:spacing w:val="0"/>
          <w:highlight w:val="none"/>
          <w:lang w:eastAsia="zh-CN"/>
        </w:rPr>
        <w:t>二与附件</w:t>
      </w:r>
      <w:r>
        <w:rPr>
          <w:rFonts w:cs="宋体"/>
          <w:color w:val="auto"/>
          <w:spacing w:val="0"/>
          <w:highlight w:val="none"/>
          <w:lang w:eastAsia="zh-CN"/>
        </w:rPr>
        <w:t>三内容合并发出。</w:t>
      </w:r>
    </w:p>
    <w:p w14:paraId="3EAB4DF3">
      <w:pPr>
        <w:pStyle w:val="7"/>
        <w:kinsoku/>
        <w:spacing w:beforeLines="0" w:afterLines="0"/>
        <w:ind w:firstLine="420"/>
        <w:jc w:val="left"/>
        <w:rPr>
          <w:color w:val="auto"/>
          <w:highlight w:val="none"/>
          <w:lang w:eastAsia="zh-CN"/>
        </w:rPr>
      </w:pPr>
    </w:p>
    <w:p w14:paraId="4C9EE4BF">
      <w:pPr>
        <w:pStyle w:val="7"/>
        <w:kinsoku/>
        <w:spacing w:beforeLines="0" w:afterLines="0"/>
        <w:ind w:firstLine="420"/>
        <w:jc w:val="left"/>
        <w:rPr>
          <w:color w:val="auto"/>
          <w:highlight w:val="none"/>
          <w:lang w:eastAsia="zh-CN"/>
        </w:rPr>
      </w:pPr>
    </w:p>
    <w:p w14:paraId="3F40BC70">
      <w:pPr>
        <w:kinsoku/>
        <w:spacing w:beforeLines="0" w:afterLines="0"/>
        <w:ind w:firstLine="542"/>
        <w:jc w:val="left"/>
        <w:rPr>
          <w:rFonts w:cs="宋体"/>
          <w:b/>
          <w:bCs/>
          <w:color w:val="auto"/>
          <w:spacing w:val="0"/>
          <w:sz w:val="27"/>
          <w:szCs w:val="27"/>
          <w:highlight w:val="none"/>
          <w:lang w:eastAsia="zh-CN"/>
        </w:rPr>
      </w:pPr>
      <w:r>
        <w:rPr>
          <w:rFonts w:cs="宋体"/>
          <w:b/>
          <w:bCs/>
          <w:color w:val="auto"/>
          <w:spacing w:val="0"/>
          <w:sz w:val="27"/>
          <w:szCs w:val="27"/>
          <w:highlight w:val="none"/>
          <w:lang w:eastAsia="zh-CN"/>
        </w:rPr>
        <w:br w:type="page"/>
      </w:r>
    </w:p>
    <w:p w14:paraId="6AB20ADB">
      <w:pPr>
        <w:pStyle w:val="3"/>
        <w:kinsoku/>
        <w:spacing w:before="0" w:beforeLines="0" w:afterLines="0"/>
        <w:ind w:left="0"/>
        <w:jc w:val="both"/>
        <w:rPr>
          <w:rFonts w:hint="eastAsia" w:cs="宋体"/>
          <w:b/>
          <w:bCs/>
          <w:color w:val="auto"/>
          <w:szCs w:val="30"/>
          <w:highlight w:val="none"/>
        </w:rPr>
      </w:pPr>
      <w:bookmarkStart w:id="458" w:name="_Toc24126"/>
      <w:bookmarkStart w:id="459" w:name="_Toc7013"/>
      <w:bookmarkStart w:id="460" w:name="_Toc3186"/>
      <w:bookmarkStart w:id="461" w:name="_Toc30082"/>
      <w:bookmarkStart w:id="462" w:name="_Toc27925"/>
      <w:bookmarkStart w:id="463" w:name="_Toc27632"/>
      <w:bookmarkStart w:id="464" w:name="_Toc26622"/>
      <w:bookmarkStart w:id="465" w:name="_Toc16802"/>
      <w:bookmarkStart w:id="466" w:name="_Toc11654"/>
      <w:bookmarkStart w:id="467" w:name="_Toc21285"/>
      <w:bookmarkStart w:id="468" w:name="_Toc10933"/>
      <w:bookmarkStart w:id="469" w:name="_Toc12760"/>
      <w:bookmarkStart w:id="470" w:name="_Toc19549"/>
      <w:bookmarkStart w:id="471" w:name="_Toc4528"/>
      <w:r>
        <w:rPr>
          <w:rFonts w:cs="宋体"/>
          <w:b/>
          <w:bCs/>
          <w:color w:val="auto"/>
          <w:spacing w:val="-15"/>
          <w:sz w:val="30"/>
          <w:szCs w:val="30"/>
          <w:highlight w:val="none"/>
        </w:rPr>
        <w:t>附件三：</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FB05028">
      <w:pPr>
        <w:pStyle w:val="7"/>
        <w:kinsoku/>
        <w:spacing w:beforeLines="0" w:afterLines="0"/>
        <w:ind w:firstLine="420"/>
        <w:jc w:val="left"/>
        <w:rPr>
          <w:color w:val="auto"/>
          <w:highlight w:val="none"/>
          <w:lang w:eastAsia="zh-CN"/>
        </w:rPr>
      </w:pPr>
    </w:p>
    <w:p w14:paraId="45227061">
      <w:pPr>
        <w:pStyle w:val="7"/>
        <w:kinsoku/>
        <w:spacing w:beforeLines="0" w:afterLines="0"/>
        <w:ind w:firstLine="420"/>
        <w:jc w:val="left"/>
        <w:rPr>
          <w:color w:val="auto"/>
          <w:highlight w:val="none"/>
          <w:lang w:eastAsia="zh-CN"/>
        </w:rPr>
      </w:pPr>
    </w:p>
    <w:p w14:paraId="2A138855">
      <w:pPr>
        <w:kinsoku/>
        <w:spacing w:before="0" w:beforeLines="0" w:afterLines="0"/>
        <w:ind w:left="0" w:firstLine="0" w:firstLineChars="0"/>
        <w:jc w:val="center"/>
        <w:rPr>
          <w:rFonts w:cs="宋体"/>
          <w:color w:val="auto"/>
          <w:sz w:val="27"/>
          <w:szCs w:val="27"/>
          <w:highlight w:val="none"/>
          <w:lang w:eastAsia="zh-CN"/>
        </w:rPr>
      </w:pPr>
      <w:r>
        <w:rPr>
          <w:rFonts w:cs="宋体"/>
          <w:b/>
          <w:bCs/>
          <w:color w:val="auto"/>
          <w:spacing w:val="0"/>
          <w:sz w:val="27"/>
          <w:szCs w:val="27"/>
          <w:highlight w:val="none"/>
          <w:lang w:eastAsia="zh-CN"/>
        </w:rPr>
        <w:t>招标文件修改通知</w:t>
      </w:r>
    </w:p>
    <w:p w14:paraId="47AE3EC3">
      <w:pPr>
        <w:kinsoku/>
        <w:spacing w:before="0" w:beforeLines="0" w:afterLines="0"/>
        <w:ind w:left="0" w:firstLine="0" w:firstLineChars="0"/>
        <w:jc w:val="center"/>
        <w:rPr>
          <w:rFonts w:cs="宋体"/>
          <w:color w:val="auto"/>
          <w:szCs w:val="24"/>
          <w:highlight w:val="none"/>
          <w:lang w:eastAsia="zh-CN"/>
        </w:rPr>
      </w:pPr>
      <w:r>
        <w:rPr>
          <w:rFonts w:cs="宋体"/>
          <w:color w:val="auto"/>
          <w:spacing w:val="0"/>
          <w:szCs w:val="24"/>
          <w:highlight w:val="none"/>
          <w:lang w:eastAsia="zh-CN"/>
        </w:rPr>
        <w:t>编号：</w:t>
      </w:r>
    </w:p>
    <w:p w14:paraId="5BAD91AC">
      <w:pPr>
        <w:kinsoku/>
        <w:spacing w:beforeLines="0" w:afterLines="0"/>
        <w:ind w:firstLine="420"/>
        <w:jc w:val="left"/>
        <w:rPr>
          <w:color w:val="auto"/>
          <w:highlight w:val="none"/>
          <w:lang w:eastAsia="zh-CN"/>
        </w:rPr>
      </w:pPr>
    </w:p>
    <w:p w14:paraId="1AB94749">
      <w:pPr>
        <w:kinsoku/>
        <w:spacing w:beforeLines="0" w:afterLines="0"/>
        <w:ind w:firstLine="420"/>
        <w:jc w:val="left"/>
        <w:rPr>
          <w:color w:val="auto"/>
          <w:highlight w:val="none"/>
          <w:lang w:eastAsia="zh-CN"/>
        </w:rPr>
      </w:pPr>
    </w:p>
    <w:p w14:paraId="4FFCF597">
      <w:pPr>
        <w:kinsoku/>
        <w:spacing w:before="0" w:beforeLines="0" w:afterLines="0"/>
        <w:ind w:left="0" w:firstLine="420"/>
        <w:jc w:val="left"/>
        <w:rPr>
          <w:color w:val="auto"/>
          <w:highlight w:val="none"/>
          <w:lang w:eastAsia="zh-CN"/>
        </w:rPr>
      </w:pPr>
      <w:r>
        <w:rPr>
          <w:rFonts w:cs="Arial"/>
          <w:color w:val="auto"/>
          <w:spacing w:val="0"/>
          <w:szCs w:val="21"/>
          <w:highlight w:val="none"/>
          <w:lang w:eastAsia="zh-CN"/>
        </w:rPr>
        <w:t>各投标人：</w:t>
      </w:r>
    </w:p>
    <w:p w14:paraId="34BB3134">
      <w:pPr>
        <w:kinsoku/>
        <w:spacing w:beforeLines="0" w:afterLines="0"/>
        <w:ind w:firstLine="420"/>
        <w:jc w:val="left"/>
        <w:rPr>
          <w:color w:val="auto"/>
          <w:highlight w:val="none"/>
          <w:lang w:eastAsia="zh-CN"/>
        </w:rPr>
      </w:pPr>
    </w:p>
    <w:p w14:paraId="798F7F28">
      <w:pPr>
        <w:kinsoku/>
        <w:spacing w:beforeLines="0" w:afterLines="0"/>
        <w:ind w:firstLine="420"/>
        <w:jc w:val="left"/>
        <w:rPr>
          <w:color w:val="auto"/>
          <w:highlight w:val="none"/>
          <w:lang w:eastAsia="zh-CN"/>
        </w:rPr>
      </w:pPr>
    </w:p>
    <w:p w14:paraId="280F060D">
      <w:pPr>
        <w:kinsoku/>
        <w:spacing w:before="0" w:beforeLines="0" w:afterLines="0"/>
        <w:ind w:firstLine="420"/>
        <w:jc w:val="left"/>
        <w:rPr>
          <w:color w:val="auto"/>
          <w:highlight w:val="none"/>
          <w:lang w:eastAsia="zh-CN"/>
        </w:rPr>
      </w:pPr>
      <w:r>
        <w:rPr>
          <w:rFonts w:cs="宋体"/>
          <w:color w:val="auto"/>
          <w:spacing w:val="0"/>
          <w:szCs w:val="24"/>
          <w:highlight w:val="none"/>
          <w:lang w:eastAsia="zh-CN"/>
        </w:rPr>
        <w:t>经研究，对（项目名称）（标段名称）招标文件，</w:t>
      </w:r>
      <w:r>
        <w:rPr>
          <w:rFonts w:cs="Arial"/>
          <w:color w:val="auto"/>
          <w:spacing w:val="0"/>
          <w:szCs w:val="21"/>
          <w:highlight w:val="none"/>
          <w:lang w:eastAsia="zh-CN"/>
        </w:rPr>
        <w:t>作如下修改：</w:t>
      </w:r>
    </w:p>
    <w:p w14:paraId="40A972F7">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1.</w:t>
      </w:r>
      <w:r>
        <w:rPr>
          <w:rFonts w:ascii="Times New Roman" w:hAnsi="Times New Roman" w:cs="Times New Roman"/>
          <w:strike/>
          <w:color w:val="auto"/>
          <w:highlight w:val="none"/>
        </w:rPr>
        <w:t>ⅆⅆ</w:t>
      </w:r>
    </w:p>
    <w:p w14:paraId="0254F828">
      <w:pPr>
        <w:kinsoku/>
        <w:spacing w:before="0" w:beforeLines="0" w:afterLines="0"/>
        <w:ind w:left="0" w:firstLine="420"/>
        <w:jc w:val="left"/>
        <w:rPr>
          <w:color w:val="auto"/>
          <w:highlight w:val="none"/>
          <w:lang w:eastAsia="zh-CN"/>
        </w:rPr>
      </w:pPr>
      <w:r>
        <w:rPr>
          <w:rFonts w:ascii="宋体" w:hAnsi="宋体" w:eastAsia="宋体" w:cs="Arial"/>
          <w:color w:val="auto"/>
          <w:spacing w:val="0"/>
          <w:w w:val="100"/>
          <w:szCs w:val="21"/>
          <w:highlight w:val="none"/>
          <w:lang w:eastAsia="zh-CN"/>
        </w:rPr>
        <w:t>2.</w:t>
      </w:r>
      <w:r>
        <w:rPr>
          <w:rFonts w:ascii="Times New Roman" w:hAnsi="Times New Roman" w:cs="Times New Roman"/>
          <w:strike/>
          <w:color w:val="auto"/>
          <w:highlight w:val="none"/>
        </w:rPr>
        <w:t>ⅆⅆ</w:t>
      </w:r>
    </w:p>
    <w:p w14:paraId="35084715">
      <w:pPr>
        <w:kinsoku/>
        <w:spacing w:beforeLines="0" w:afterLines="0"/>
        <w:ind w:firstLine="420"/>
        <w:jc w:val="left"/>
        <w:rPr>
          <w:color w:val="auto"/>
          <w:highlight w:val="none"/>
          <w:lang w:eastAsia="zh-CN"/>
        </w:rPr>
      </w:pPr>
    </w:p>
    <w:p w14:paraId="769AD4CF">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w:t>
      </w:r>
    </w:p>
    <w:p w14:paraId="6460D0A2">
      <w:pPr>
        <w:kinsoku/>
        <w:spacing w:beforeLines="0" w:afterLines="0"/>
        <w:ind w:firstLine="420"/>
        <w:jc w:val="left"/>
        <w:rPr>
          <w:color w:val="auto"/>
          <w:highlight w:val="none"/>
          <w:lang w:eastAsia="zh-CN"/>
        </w:rPr>
      </w:pPr>
    </w:p>
    <w:p w14:paraId="0A5B33DD">
      <w:pPr>
        <w:kinsoku/>
        <w:spacing w:beforeLines="0" w:afterLines="0"/>
        <w:ind w:firstLine="420"/>
        <w:jc w:val="left"/>
        <w:rPr>
          <w:color w:val="auto"/>
          <w:highlight w:val="none"/>
          <w:lang w:eastAsia="zh-CN"/>
        </w:rPr>
      </w:pPr>
    </w:p>
    <w:p w14:paraId="708BDB05">
      <w:pPr>
        <w:kinsoku/>
        <w:spacing w:beforeLines="0" w:afterLines="0"/>
        <w:ind w:firstLine="420"/>
        <w:jc w:val="left"/>
        <w:rPr>
          <w:color w:val="auto"/>
          <w:highlight w:val="none"/>
          <w:lang w:eastAsia="zh-CN"/>
        </w:rPr>
      </w:pPr>
    </w:p>
    <w:p w14:paraId="4809486D">
      <w:pPr>
        <w:kinsoku/>
        <w:spacing w:beforeLines="0" w:afterLines="0"/>
        <w:ind w:firstLine="420"/>
        <w:jc w:val="left"/>
        <w:rPr>
          <w:color w:val="auto"/>
          <w:highlight w:val="none"/>
          <w:lang w:eastAsia="zh-CN"/>
        </w:rPr>
      </w:pPr>
    </w:p>
    <w:p w14:paraId="679F2FCF">
      <w:pPr>
        <w:kinsoku/>
        <w:spacing w:beforeLines="0" w:afterLines="0"/>
        <w:ind w:firstLine="420"/>
        <w:jc w:val="left"/>
        <w:rPr>
          <w:color w:val="auto"/>
          <w:highlight w:val="none"/>
          <w:lang w:eastAsia="zh-CN"/>
        </w:rPr>
      </w:pPr>
    </w:p>
    <w:p w14:paraId="4992CEBC">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招标人：（盖单位公章）</w:t>
      </w:r>
    </w:p>
    <w:p w14:paraId="4DE7AFF1">
      <w:pPr>
        <w:pStyle w:val="7"/>
        <w:kinsoku/>
        <w:spacing w:beforeLines="0" w:afterLines="0"/>
        <w:ind w:firstLine="420"/>
        <w:jc w:val="left"/>
        <w:rPr>
          <w:color w:val="auto"/>
          <w:highlight w:val="none"/>
          <w:lang w:eastAsia="zh-CN"/>
        </w:rPr>
      </w:pPr>
      <w:r>
        <w:rPr>
          <w:rFonts w:hint="eastAsia" w:cs="宋体"/>
          <w:color w:val="auto"/>
          <w:szCs w:val="24"/>
          <w:highlight w:val="none"/>
          <w:u w:val="none"/>
          <w:lang w:eastAsia="zh-CN"/>
        </w:rPr>
        <w:tab/>
      </w:r>
      <w:r>
        <w:rPr>
          <w:rFonts w:hint="eastAsia" w:cs="宋体"/>
          <w:color w:val="auto"/>
          <w:szCs w:val="24"/>
          <w:highlight w:val="none"/>
          <w:u w:val="none"/>
          <w:lang w:eastAsia="zh-CN"/>
        </w:rPr>
        <w:t>　年</w:t>
      </w:r>
      <w:r>
        <w:rPr>
          <w:rFonts w:hint="eastAsia" w:cs="宋体"/>
          <w:color w:val="auto"/>
          <w:szCs w:val="24"/>
          <w:highlight w:val="none"/>
          <w:u w:val="none"/>
          <w:lang w:val="en-US" w:eastAsia="zh-CN"/>
        </w:rPr>
        <w:tab/>
      </w:r>
      <w:r>
        <w:rPr>
          <w:rFonts w:hint="eastAsia" w:cs="宋体"/>
          <w:color w:val="auto"/>
          <w:szCs w:val="24"/>
          <w:highlight w:val="none"/>
          <w:u w:val="none"/>
          <w:lang w:eastAsia="zh-CN"/>
        </w:rPr>
        <w:t>月</w:t>
      </w:r>
      <w:r>
        <w:rPr>
          <w:rFonts w:hint="eastAsia" w:cs="宋体"/>
          <w:color w:val="auto"/>
          <w:szCs w:val="24"/>
          <w:highlight w:val="none"/>
          <w:u w:val="none"/>
          <w:lang w:val="en-US" w:eastAsia="zh-CN"/>
        </w:rPr>
        <w:tab/>
      </w:r>
      <w:r>
        <w:rPr>
          <w:rFonts w:hint="eastAsia" w:cs="宋体"/>
          <w:color w:val="auto"/>
          <w:szCs w:val="24"/>
          <w:highlight w:val="none"/>
          <w:u w:val="none"/>
          <w:lang w:eastAsia="zh-CN"/>
        </w:rPr>
        <w:t>日</w:t>
      </w:r>
    </w:p>
    <w:p w14:paraId="19438A57">
      <w:pPr>
        <w:pStyle w:val="7"/>
        <w:kinsoku/>
        <w:spacing w:beforeLines="0" w:afterLines="0"/>
        <w:ind w:firstLine="420"/>
        <w:jc w:val="left"/>
        <w:rPr>
          <w:color w:val="auto"/>
          <w:highlight w:val="none"/>
          <w:lang w:eastAsia="zh-CN"/>
        </w:rPr>
      </w:pPr>
    </w:p>
    <w:p w14:paraId="7C081CAD">
      <w:pPr>
        <w:pStyle w:val="7"/>
        <w:kinsoku/>
        <w:spacing w:beforeLines="0" w:afterLines="0"/>
        <w:ind w:firstLine="420"/>
        <w:jc w:val="left"/>
        <w:rPr>
          <w:color w:val="auto"/>
          <w:highlight w:val="none"/>
          <w:lang w:eastAsia="zh-CN"/>
        </w:rPr>
      </w:pPr>
    </w:p>
    <w:p w14:paraId="0920FEDC">
      <w:pPr>
        <w:pStyle w:val="7"/>
        <w:kinsoku/>
        <w:spacing w:beforeLines="0" w:afterLines="0"/>
        <w:ind w:firstLine="420"/>
        <w:jc w:val="left"/>
        <w:rPr>
          <w:color w:val="auto"/>
          <w:highlight w:val="none"/>
          <w:lang w:eastAsia="zh-CN"/>
        </w:rPr>
      </w:pPr>
    </w:p>
    <w:p w14:paraId="12DDD855">
      <w:pPr>
        <w:kinsoku/>
        <w:spacing w:before="0" w:beforeLines="0" w:afterLines="0"/>
        <w:ind w:left="0" w:firstLine="420"/>
        <w:jc w:val="left"/>
        <w:rPr>
          <w:color w:val="auto"/>
          <w:highlight w:val="none"/>
          <w:lang w:eastAsia="zh-CN"/>
        </w:rPr>
      </w:pPr>
      <w:r>
        <w:rPr>
          <w:rFonts w:cs="Arial"/>
          <w:color w:val="auto"/>
          <w:spacing w:val="0"/>
          <w:highlight w:val="none"/>
          <w:lang w:eastAsia="zh-CN"/>
        </w:rPr>
        <w:t>注：招标人对招标文件修改时，适用于本格式。</w:t>
      </w:r>
    </w:p>
    <w:p w14:paraId="6C1C9C88">
      <w:pPr>
        <w:kinsoku/>
        <w:adjustRightInd/>
        <w:snapToGrid/>
        <w:spacing w:beforeLines="0" w:afterLines="0" w:line="240" w:lineRule="auto"/>
        <w:ind w:firstLine="420"/>
        <w:jc w:val="left"/>
        <w:textAlignment w:val="auto"/>
        <w:rPr>
          <w:rFonts w:cs="宋体"/>
          <w:color w:val="auto"/>
          <w:highlight w:val="none"/>
          <w:lang w:eastAsia="zh-CN"/>
        </w:rPr>
      </w:pPr>
      <w:r>
        <w:rPr>
          <w:rFonts w:cs="宋体"/>
          <w:color w:val="auto"/>
          <w:highlight w:val="none"/>
          <w:lang w:eastAsia="zh-CN"/>
        </w:rPr>
        <w:br w:type="page"/>
      </w:r>
    </w:p>
    <w:p w14:paraId="5E3F73A2">
      <w:pPr>
        <w:pStyle w:val="3"/>
        <w:kinsoku/>
        <w:spacing w:before="0" w:beforeLines="0" w:afterLines="0"/>
        <w:ind w:left="0"/>
        <w:jc w:val="both"/>
        <w:rPr>
          <w:rFonts w:hint="eastAsia" w:cs="宋体"/>
          <w:b/>
          <w:bCs/>
          <w:color w:val="auto"/>
          <w:szCs w:val="30"/>
          <w:highlight w:val="none"/>
        </w:rPr>
      </w:pPr>
      <w:bookmarkStart w:id="472" w:name="_Toc21255"/>
      <w:bookmarkStart w:id="473" w:name="_Toc22306"/>
      <w:bookmarkStart w:id="474" w:name="_Toc11909"/>
      <w:bookmarkStart w:id="475" w:name="_Toc30663"/>
      <w:bookmarkStart w:id="476" w:name="_Toc10646"/>
      <w:bookmarkStart w:id="477" w:name="_Toc26607"/>
      <w:bookmarkStart w:id="478" w:name="_Toc19080"/>
      <w:bookmarkStart w:id="479" w:name="_Toc10826"/>
      <w:bookmarkStart w:id="480" w:name="_Toc3275"/>
      <w:bookmarkStart w:id="481" w:name="_Toc30677"/>
      <w:bookmarkStart w:id="482" w:name="_Toc7174"/>
      <w:bookmarkStart w:id="483" w:name="_Toc6756"/>
      <w:bookmarkStart w:id="484" w:name="_Toc21200"/>
      <w:bookmarkStart w:id="485" w:name="_Toc29810"/>
      <w:r>
        <w:rPr>
          <w:rFonts w:cs="宋体"/>
          <w:b/>
          <w:bCs/>
          <w:color w:val="auto"/>
          <w:spacing w:val="-15"/>
          <w:sz w:val="30"/>
          <w:szCs w:val="30"/>
          <w:highlight w:val="none"/>
        </w:rPr>
        <w:t>附件四：</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0FBEFB01">
      <w:pPr>
        <w:pStyle w:val="4"/>
        <w:kinsoku/>
        <w:spacing w:before="0" w:beforeLines="0" w:afterLines="0"/>
        <w:ind w:left="0"/>
        <w:jc w:val="center"/>
        <w:rPr>
          <w:rFonts w:hint="eastAsia" w:ascii="宋体" w:hAnsi="宋体" w:cs="宋体"/>
          <w:b/>
          <w:bCs/>
          <w:color w:val="auto"/>
          <w:szCs w:val="24"/>
          <w:highlight w:val="none"/>
        </w:rPr>
      </w:pPr>
      <w:bookmarkStart w:id="486" w:name="_Toc16024"/>
      <w:bookmarkStart w:id="487" w:name="_Toc20068"/>
      <w:bookmarkStart w:id="488" w:name="_Toc18968"/>
      <w:r>
        <w:rPr>
          <w:rFonts w:ascii="宋体" w:hAnsi="宋体" w:cs="宋体"/>
          <w:b/>
          <w:bCs/>
          <w:color w:val="auto"/>
          <w:spacing w:val="5"/>
          <w:sz w:val="24"/>
          <w:szCs w:val="24"/>
          <w:highlight w:val="none"/>
        </w:rPr>
        <w:t>开标记录表</w:t>
      </w:r>
      <w:bookmarkEnd w:id="486"/>
      <w:bookmarkEnd w:id="487"/>
      <w:bookmarkEnd w:id="488"/>
    </w:p>
    <w:p w14:paraId="3A3BCB31">
      <w:pPr>
        <w:kinsoku/>
        <w:spacing w:beforeLines="0" w:afterLines="0"/>
        <w:ind w:firstLine="420"/>
        <w:jc w:val="left"/>
        <w:rPr>
          <w:color w:val="auto"/>
          <w:highlight w:val="none"/>
          <w:lang w:eastAsia="zh-CN"/>
        </w:rPr>
      </w:pPr>
    </w:p>
    <w:p w14:paraId="4C1E9F64">
      <w:pPr>
        <w:tabs>
          <w:tab w:val="left" w:pos="2466"/>
        </w:tabs>
        <w:kinsoku/>
        <w:spacing w:before="0" w:beforeLines="0" w:afterLines="0"/>
        <w:ind w:left="0" w:firstLine="42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（项目名称）（标段名称）</w:t>
      </w:r>
    </w:p>
    <w:p w14:paraId="1C26D341">
      <w:pPr>
        <w:kinsoku/>
        <w:spacing w:beforeLines="0" w:afterLines="0"/>
        <w:ind w:left="0" w:firstLine="420"/>
        <w:jc w:val="left"/>
        <w:rPr>
          <w:rFonts w:cs="宋体"/>
          <w:color w:val="auto"/>
          <w:szCs w:val="24"/>
          <w:highlight w:val="none"/>
        </w:rPr>
      </w:pPr>
      <w:r>
        <w:rPr>
          <w:rFonts w:cs="宋体"/>
          <w:color w:val="auto"/>
          <w:spacing w:val="0"/>
          <w:szCs w:val="24"/>
          <w:highlight w:val="none"/>
        </w:rPr>
        <w:t>开标时间：</w:t>
      </w:r>
      <w:r>
        <w:rPr>
          <w:rFonts w:hint="eastAsia" w:cs="宋体"/>
          <w:color w:val="auto"/>
          <w:spacing w:val="0"/>
          <w:szCs w:val="24"/>
          <w:highlight w:val="none"/>
          <w:lang w:val="en-US" w:eastAsia="zh-CN"/>
        </w:rPr>
        <w:tab/>
      </w:r>
      <w:r>
        <w:rPr>
          <w:rFonts w:cs="宋体"/>
          <w:color w:val="auto"/>
          <w:spacing w:val="0"/>
          <w:szCs w:val="24"/>
          <w:highlight w:val="none"/>
        </w:rPr>
        <w:t>年</w:t>
      </w:r>
      <w:r>
        <w:rPr>
          <w:rFonts w:hint="eastAsia" w:cs="宋体"/>
          <w:color w:val="auto"/>
          <w:spacing w:val="0"/>
          <w:szCs w:val="24"/>
          <w:highlight w:val="none"/>
          <w:lang w:val="en-US" w:eastAsia="zh-CN"/>
        </w:rPr>
        <w:tab/>
      </w:r>
      <w:r>
        <w:rPr>
          <w:rFonts w:cs="宋体"/>
          <w:color w:val="auto"/>
          <w:spacing w:val="0"/>
          <w:szCs w:val="24"/>
          <w:highlight w:val="none"/>
        </w:rPr>
        <w:t>月</w:t>
      </w:r>
      <w:r>
        <w:rPr>
          <w:rFonts w:hint="eastAsia" w:cs="宋体"/>
          <w:color w:val="auto"/>
          <w:spacing w:val="0"/>
          <w:szCs w:val="24"/>
          <w:highlight w:val="none"/>
          <w:lang w:val="en-US" w:eastAsia="zh-CN"/>
        </w:rPr>
        <w:tab/>
      </w:r>
      <w:r>
        <w:rPr>
          <w:rFonts w:cs="宋体"/>
          <w:color w:val="auto"/>
          <w:spacing w:val="0"/>
          <w:szCs w:val="24"/>
          <w:highlight w:val="none"/>
        </w:rPr>
        <w:t>日</w:t>
      </w:r>
      <w:r>
        <w:rPr>
          <w:rFonts w:hint="eastAsia" w:cs="宋体"/>
          <w:color w:val="auto"/>
          <w:spacing w:val="0"/>
          <w:szCs w:val="24"/>
          <w:highlight w:val="none"/>
          <w:lang w:val="en-US" w:eastAsia="zh-CN"/>
        </w:rPr>
        <w:tab/>
      </w:r>
      <w:r>
        <w:rPr>
          <w:rFonts w:cs="宋体"/>
          <w:color w:val="auto"/>
          <w:spacing w:val="0"/>
          <w:szCs w:val="24"/>
          <w:highlight w:val="none"/>
        </w:rPr>
        <w:t>时</w:t>
      </w:r>
      <w:r>
        <w:rPr>
          <w:rFonts w:hint="eastAsia" w:cs="宋体"/>
          <w:color w:val="auto"/>
          <w:spacing w:val="0"/>
          <w:szCs w:val="24"/>
          <w:highlight w:val="none"/>
          <w:lang w:val="en-US" w:eastAsia="zh-CN"/>
        </w:rPr>
        <w:tab/>
      </w:r>
      <w:r>
        <w:rPr>
          <w:rFonts w:cs="宋体"/>
          <w:color w:val="auto"/>
          <w:spacing w:val="0"/>
          <w:szCs w:val="24"/>
          <w:highlight w:val="none"/>
        </w:rPr>
        <w:t>分</w:t>
      </w:r>
    </w:p>
    <w:p w14:paraId="45928A86">
      <w:pPr>
        <w:kinsoku/>
        <w:spacing w:beforeLines="0" w:afterLines="0" w:line="240" w:lineRule="auto"/>
        <w:ind w:firstLine="420"/>
        <w:jc w:val="left"/>
        <w:rPr>
          <w:color w:val="auto"/>
          <w:highlight w:val="none"/>
        </w:rPr>
      </w:pP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14"/>
        <w:gridCol w:w="1143"/>
        <w:gridCol w:w="886"/>
        <w:gridCol w:w="1118"/>
        <w:gridCol w:w="731"/>
        <w:gridCol w:w="673"/>
        <w:gridCol w:w="938"/>
        <w:gridCol w:w="1164"/>
        <w:gridCol w:w="1853"/>
      </w:tblGrid>
      <w:tr w14:paraId="110DD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4A831353">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序号</w:t>
            </w:r>
          </w:p>
        </w:tc>
        <w:tc>
          <w:tcPr>
            <w:tcW w:w="626" w:type="pct"/>
            <w:tcBorders>
              <w:tl2br w:val="nil"/>
              <w:tr2bl w:val="nil"/>
            </w:tcBorders>
            <w:vAlign w:val="center"/>
          </w:tcPr>
          <w:p w14:paraId="44DD1734">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投标人</w:t>
            </w:r>
          </w:p>
        </w:tc>
        <w:tc>
          <w:tcPr>
            <w:tcW w:w="486" w:type="pct"/>
            <w:tcBorders>
              <w:tl2br w:val="nil"/>
              <w:tr2bl w:val="nil"/>
            </w:tcBorders>
            <w:vAlign w:val="center"/>
          </w:tcPr>
          <w:p w14:paraId="70C83B67">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投标</w:t>
            </w:r>
          </w:p>
          <w:p w14:paraId="72B2E8C2">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保证金</w:t>
            </w:r>
          </w:p>
        </w:tc>
        <w:tc>
          <w:tcPr>
            <w:tcW w:w="613" w:type="pct"/>
            <w:tcBorders>
              <w:tl2br w:val="nil"/>
              <w:tr2bl w:val="nil"/>
            </w:tcBorders>
            <w:vAlign w:val="center"/>
          </w:tcPr>
          <w:p w14:paraId="6CA01809">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投标报价（元）</w:t>
            </w:r>
          </w:p>
        </w:tc>
        <w:tc>
          <w:tcPr>
            <w:tcW w:w="401" w:type="pct"/>
            <w:tcBorders>
              <w:tl2br w:val="nil"/>
              <w:tr2bl w:val="nil"/>
            </w:tcBorders>
            <w:vAlign w:val="center"/>
          </w:tcPr>
          <w:p w14:paraId="0E6CADBE">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质量</w:t>
            </w:r>
          </w:p>
          <w:p w14:paraId="44530038">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目标</w:t>
            </w:r>
          </w:p>
        </w:tc>
        <w:tc>
          <w:tcPr>
            <w:tcW w:w="369" w:type="pct"/>
            <w:tcBorders>
              <w:tl2br w:val="nil"/>
              <w:tr2bl w:val="nil"/>
            </w:tcBorders>
            <w:vAlign w:val="center"/>
          </w:tcPr>
          <w:p w14:paraId="509D00CD">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工期</w:t>
            </w:r>
          </w:p>
        </w:tc>
        <w:tc>
          <w:tcPr>
            <w:tcW w:w="514" w:type="pct"/>
            <w:tcBorders>
              <w:tl2br w:val="nil"/>
              <w:tr2bl w:val="nil"/>
            </w:tcBorders>
            <w:vAlign w:val="center"/>
          </w:tcPr>
          <w:p w14:paraId="15FD420A">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项目</w:t>
            </w:r>
          </w:p>
          <w:p w14:paraId="05B9C1CA">
            <w:pPr>
              <w:pStyle w:val="23"/>
              <w:kinsoku/>
              <w:spacing w:before="0" w:beforeLines="0" w:afterLines="0" w:line="0" w:lineRule="atLeast"/>
              <w:ind w:left="0" w:right="0" w:firstLine="0" w:firstLineChars="0"/>
              <w:jc w:val="center"/>
              <w:rPr>
                <w:color w:val="auto"/>
                <w:sz w:val="21"/>
                <w:szCs w:val="21"/>
                <w:highlight w:val="none"/>
              </w:rPr>
            </w:pPr>
            <w:r>
              <w:rPr>
                <w:color w:val="auto"/>
                <w:spacing w:val="0"/>
                <w:sz w:val="21"/>
                <w:szCs w:val="21"/>
                <w:highlight w:val="none"/>
              </w:rPr>
              <w:t>负责人</w:t>
            </w:r>
          </w:p>
        </w:tc>
        <w:tc>
          <w:tcPr>
            <w:tcW w:w="638" w:type="pct"/>
            <w:tcBorders>
              <w:tl2br w:val="nil"/>
              <w:tr2bl w:val="nil"/>
            </w:tcBorders>
            <w:vAlign w:val="center"/>
          </w:tcPr>
          <w:p w14:paraId="039AD2A1">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标书备注</w:t>
            </w:r>
          </w:p>
        </w:tc>
        <w:tc>
          <w:tcPr>
            <w:tcW w:w="1013" w:type="pct"/>
            <w:tcBorders>
              <w:tl2br w:val="nil"/>
              <w:tr2bl w:val="nil"/>
            </w:tcBorders>
            <w:vAlign w:val="center"/>
          </w:tcPr>
          <w:p w14:paraId="3A4C39D3">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开标备注</w:t>
            </w:r>
          </w:p>
        </w:tc>
      </w:tr>
      <w:tr w14:paraId="34DB3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57D48016">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3835442E">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0E5228CC">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159061FD">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533DB026">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33529B59">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16233CC8">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374F1BB0">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7E44F464">
            <w:pPr>
              <w:kinsoku/>
              <w:spacing w:beforeLines="0" w:afterLines="0" w:line="0" w:lineRule="atLeast"/>
              <w:ind w:firstLine="0" w:firstLineChars="0"/>
              <w:jc w:val="center"/>
              <w:rPr>
                <w:color w:val="auto"/>
                <w:sz w:val="21"/>
                <w:highlight w:val="none"/>
              </w:rPr>
            </w:pPr>
          </w:p>
        </w:tc>
      </w:tr>
      <w:tr w14:paraId="6C4E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1F084E27">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1D46B1A5">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10E92100">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2C881C3E">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6130C39C">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1B6B58FF">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09EB3AF5">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0E1584EC">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1367057A">
            <w:pPr>
              <w:kinsoku/>
              <w:spacing w:beforeLines="0" w:afterLines="0" w:line="0" w:lineRule="atLeast"/>
              <w:ind w:firstLine="0" w:firstLineChars="0"/>
              <w:jc w:val="center"/>
              <w:rPr>
                <w:color w:val="auto"/>
                <w:sz w:val="21"/>
                <w:highlight w:val="none"/>
              </w:rPr>
            </w:pPr>
          </w:p>
        </w:tc>
      </w:tr>
      <w:tr w14:paraId="1793A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1F235A78">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01B9238D">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5A432451">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314EE10B">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41E9ACBC">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4657B8C0">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69A168D1">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0CA88A79">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67022EB4">
            <w:pPr>
              <w:kinsoku/>
              <w:spacing w:beforeLines="0" w:afterLines="0" w:line="0" w:lineRule="atLeast"/>
              <w:ind w:firstLine="0" w:firstLineChars="0"/>
              <w:jc w:val="center"/>
              <w:rPr>
                <w:color w:val="auto"/>
                <w:sz w:val="21"/>
                <w:highlight w:val="none"/>
              </w:rPr>
            </w:pPr>
          </w:p>
        </w:tc>
      </w:tr>
      <w:tr w14:paraId="2A01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336" w:type="pct"/>
            <w:tcBorders>
              <w:tl2br w:val="nil"/>
              <w:tr2bl w:val="nil"/>
            </w:tcBorders>
            <w:vAlign w:val="center"/>
          </w:tcPr>
          <w:p w14:paraId="05367077">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3A653FE0">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0F325F07">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615E9F08">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798162B9">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0761CEE9">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37858266">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0361E23A">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3518A119">
            <w:pPr>
              <w:kinsoku/>
              <w:spacing w:beforeLines="0" w:afterLines="0" w:line="0" w:lineRule="atLeast"/>
              <w:ind w:firstLine="0" w:firstLineChars="0"/>
              <w:jc w:val="center"/>
              <w:rPr>
                <w:color w:val="auto"/>
                <w:sz w:val="21"/>
                <w:highlight w:val="none"/>
              </w:rPr>
            </w:pPr>
          </w:p>
        </w:tc>
      </w:tr>
      <w:tr w14:paraId="2BA5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0419BBF8">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4798859E">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452D7C1C">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6781AD97">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67940BED">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2183F91D">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60855EBA">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11C97A1C">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04F6062E">
            <w:pPr>
              <w:kinsoku/>
              <w:spacing w:beforeLines="0" w:afterLines="0" w:line="0" w:lineRule="atLeast"/>
              <w:ind w:firstLine="0" w:firstLineChars="0"/>
              <w:jc w:val="center"/>
              <w:rPr>
                <w:color w:val="auto"/>
                <w:sz w:val="21"/>
                <w:highlight w:val="none"/>
              </w:rPr>
            </w:pPr>
          </w:p>
        </w:tc>
      </w:tr>
      <w:tr w14:paraId="22F1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186EE1F3">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7EDACA73">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7AE83188">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569B1368">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637094AF">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68F86304">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6A40A3AB">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2E839B92">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03D015CE">
            <w:pPr>
              <w:kinsoku/>
              <w:spacing w:beforeLines="0" w:afterLines="0" w:line="0" w:lineRule="atLeast"/>
              <w:ind w:firstLine="0" w:firstLineChars="0"/>
              <w:jc w:val="center"/>
              <w:rPr>
                <w:color w:val="auto"/>
                <w:sz w:val="21"/>
                <w:highlight w:val="none"/>
              </w:rPr>
            </w:pPr>
          </w:p>
        </w:tc>
      </w:tr>
      <w:tr w14:paraId="5310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434D592B">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5F0C85B3">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547C16C8">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47425F33">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00863163">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702FEF2B">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5FEE1E06">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33A16B92">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64F5EAA6">
            <w:pPr>
              <w:kinsoku/>
              <w:spacing w:beforeLines="0" w:afterLines="0" w:line="0" w:lineRule="atLeast"/>
              <w:ind w:firstLine="0" w:firstLineChars="0"/>
              <w:jc w:val="center"/>
              <w:rPr>
                <w:color w:val="auto"/>
                <w:sz w:val="21"/>
                <w:highlight w:val="none"/>
              </w:rPr>
            </w:pPr>
          </w:p>
        </w:tc>
      </w:tr>
      <w:tr w14:paraId="198D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0721D003">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7D8A88AB">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7DCB5292">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70AF0B74">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51C5D50F">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25BB75DB">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2318C3D2">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7938BEEE">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37C5AB64">
            <w:pPr>
              <w:kinsoku/>
              <w:spacing w:beforeLines="0" w:afterLines="0" w:line="0" w:lineRule="atLeast"/>
              <w:ind w:firstLine="0" w:firstLineChars="0"/>
              <w:jc w:val="center"/>
              <w:rPr>
                <w:color w:val="auto"/>
                <w:sz w:val="21"/>
                <w:highlight w:val="none"/>
              </w:rPr>
            </w:pPr>
          </w:p>
        </w:tc>
      </w:tr>
      <w:tr w14:paraId="66E9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2A3CEC48">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12E7EEA2">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48A9EDA4">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5584D950">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10D92DE3">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45ED7263">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59C89220">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36084CD5">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0BF85E3C">
            <w:pPr>
              <w:kinsoku/>
              <w:spacing w:beforeLines="0" w:afterLines="0" w:line="0" w:lineRule="atLeast"/>
              <w:ind w:firstLine="0" w:firstLineChars="0"/>
              <w:jc w:val="center"/>
              <w:rPr>
                <w:color w:val="auto"/>
                <w:sz w:val="21"/>
                <w:highlight w:val="none"/>
              </w:rPr>
            </w:pPr>
          </w:p>
        </w:tc>
      </w:tr>
      <w:tr w14:paraId="2175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336" w:type="pct"/>
            <w:tcBorders>
              <w:tl2br w:val="nil"/>
              <w:tr2bl w:val="nil"/>
            </w:tcBorders>
            <w:vAlign w:val="center"/>
          </w:tcPr>
          <w:p w14:paraId="373F9904">
            <w:pPr>
              <w:kinsoku/>
              <w:spacing w:beforeLines="0" w:afterLines="0" w:line="0" w:lineRule="atLeast"/>
              <w:ind w:firstLine="0" w:firstLineChars="0"/>
              <w:jc w:val="center"/>
              <w:rPr>
                <w:color w:val="auto"/>
                <w:sz w:val="21"/>
                <w:highlight w:val="none"/>
              </w:rPr>
            </w:pPr>
          </w:p>
        </w:tc>
        <w:tc>
          <w:tcPr>
            <w:tcW w:w="626" w:type="pct"/>
            <w:tcBorders>
              <w:tl2br w:val="nil"/>
              <w:tr2bl w:val="nil"/>
            </w:tcBorders>
            <w:vAlign w:val="center"/>
          </w:tcPr>
          <w:p w14:paraId="25435418">
            <w:pPr>
              <w:kinsoku/>
              <w:spacing w:beforeLines="0" w:afterLines="0" w:line="0" w:lineRule="atLeast"/>
              <w:ind w:firstLine="0" w:firstLineChars="0"/>
              <w:jc w:val="center"/>
              <w:rPr>
                <w:color w:val="auto"/>
                <w:sz w:val="21"/>
                <w:highlight w:val="none"/>
              </w:rPr>
            </w:pPr>
          </w:p>
        </w:tc>
        <w:tc>
          <w:tcPr>
            <w:tcW w:w="486" w:type="pct"/>
            <w:tcBorders>
              <w:tl2br w:val="nil"/>
              <w:tr2bl w:val="nil"/>
            </w:tcBorders>
            <w:vAlign w:val="center"/>
          </w:tcPr>
          <w:p w14:paraId="1B6FA3E5">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315C592C">
            <w:pPr>
              <w:kinsoku/>
              <w:spacing w:beforeLines="0" w:afterLines="0" w:line="0" w:lineRule="atLeast"/>
              <w:ind w:firstLine="0" w:firstLineChars="0"/>
              <w:jc w:val="center"/>
              <w:rPr>
                <w:color w:val="auto"/>
                <w:sz w:val="21"/>
                <w:highlight w:val="none"/>
              </w:rPr>
            </w:pPr>
          </w:p>
        </w:tc>
        <w:tc>
          <w:tcPr>
            <w:tcW w:w="401" w:type="pct"/>
            <w:tcBorders>
              <w:tl2br w:val="nil"/>
              <w:tr2bl w:val="nil"/>
            </w:tcBorders>
            <w:vAlign w:val="center"/>
          </w:tcPr>
          <w:p w14:paraId="27D3AF58">
            <w:pPr>
              <w:kinsoku/>
              <w:spacing w:beforeLines="0" w:afterLines="0" w:line="0" w:lineRule="atLeast"/>
              <w:ind w:firstLine="0" w:firstLineChars="0"/>
              <w:jc w:val="center"/>
              <w:rPr>
                <w:color w:val="auto"/>
                <w:sz w:val="21"/>
                <w:highlight w:val="none"/>
              </w:rPr>
            </w:pPr>
          </w:p>
        </w:tc>
        <w:tc>
          <w:tcPr>
            <w:tcW w:w="369" w:type="pct"/>
            <w:tcBorders>
              <w:tl2br w:val="nil"/>
              <w:tr2bl w:val="nil"/>
            </w:tcBorders>
            <w:vAlign w:val="center"/>
          </w:tcPr>
          <w:p w14:paraId="3059241C">
            <w:pPr>
              <w:kinsoku/>
              <w:spacing w:beforeLines="0" w:afterLines="0" w:line="0" w:lineRule="atLeast"/>
              <w:ind w:firstLine="0" w:firstLineChars="0"/>
              <w:jc w:val="center"/>
              <w:rPr>
                <w:color w:val="auto"/>
                <w:sz w:val="21"/>
                <w:highlight w:val="none"/>
              </w:rPr>
            </w:pPr>
          </w:p>
        </w:tc>
        <w:tc>
          <w:tcPr>
            <w:tcW w:w="514" w:type="pct"/>
            <w:tcBorders>
              <w:tl2br w:val="nil"/>
              <w:tr2bl w:val="nil"/>
            </w:tcBorders>
            <w:vAlign w:val="center"/>
          </w:tcPr>
          <w:p w14:paraId="2E9EE1A3">
            <w:pPr>
              <w:kinsoku/>
              <w:spacing w:beforeLines="0" w:afterLines="0" w:line="0" w:lineRule="atLeast"/>
              <w:ind w:firstLine="0" w:firstLineChars="0"/>
              <w:jc w:val="center"/>
              <w:rPr>
                <w:color w:val="auto"/>
                <w:sz w:val="21"/>
                <w:highlight w:val="none"/>
              </w:rPr>
            </w:pPr>
          </w:p>
        </w:tc>
        <w:tc>
          <w:tcPr>
            <w:tcW w:w="638" w:type="pct"/>
            <w:tcBorders>
              <w:tl2br w:val="nil"/>
              <w:tr2bl w:val="nil"/>
            </w:tcBorders>
            <w:vAlign w:val="center"/>
          </w:tcPr>
          <w:p w14:paraId="0AC9B476">
            <w:pPr>
              <w:kinsoku/>
              <w:spacing w:beforeLines="0" w:afterLines="0" w:line="0" w:lineRule="atLeast"/>
              <w:ind w:firstLine="0" w:firstLineChars="0"/>
              <w:jc w:val="center"/>
              <w:rPr>
                <w:color w:val="auto"/>
                <w:sz w:val="21"/>
                <w:highlight w:val="none"/>
              </w:rPr>
            </w:pPr>
          </w:p>
        </w:tc>
        <w:tc>
          <w:tcPr>
            <w:tcW w:w="1013" w:type="pct"/>
            <w:tcBorders>
              <w:tl2br w:val="nil"/>
              <w:tr2bl w:val="nil"/>
            </w:tcBorders>
            <w:vAlign w:val="center"/>
          </w:tcPr>
          <w:p w14:paraId="111EBEFE">
            <w:pPr>
              <w:kinsoku/>
              <w:spacing w:beforeLines="0" w:afterLines="0" w:line="0" w:lineRule="atLeast"/>
              <w:ind w:firstLine="0" w:firstLineChars="0"/>
              <w:jc w:val="center"/>
              <w:rPr>
                <w:color w:val="auto"/>
                <w:sz w:val="21"/>
                <w:highlight w:val="none"/>
              </w:rPr>
            </w:pPr>
          </w:p>
        </w:tc>
      </w:tr>
      <w:tr w14:paraId="4DFE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448" w:type="pct"/>
            <w:gridSpan w:val="3"/>
            <w:tcBorders>
              <w:tl2br w:val="nil"/>
              <w:tr2bl w:val="nil"/>
            </w:tcBorders>
            <w:vAlign w:val="center"/>
          </w:tcPr>
          <w:p w14:paraId="0B42F9CD">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招标人最高投标限价</w:t>
            </w:r>
          </w:p>
        </w:tc>
        <w:tc>
          <w:tcPr>
            <w:tcW w:w="3551" w:type="pct"/>
            <w:gridSpan w:val="6"/>
            <w:tcBorders>
              <w:tl2br w:val="nil"/>
              <w:tr2bl w:val="nil"/>
            </w:tcBorders>
            <w:vAlign w:val="center"/>
          </w:tcPr>
          <w:p w14:paraId="0A799302">
            <w:pPr>
              <w:kinsoku/>
              <w:spacing w:beforeLines="0" w:afterLines="0" w:line="0" w:lineRule="atLeast"/>
              <w:ind w:firstLine="0" w:firstLineChars="0"/>
              <w:jc w:val="center"/>
              <w:rPr>
                <w:color w:val="auto"/>
                <w:sz w:val="21"/>
                <w:highlight w:val="none"/>
              </w:rPr>
            </w:pPr>
          </w:p>
        </w:tc>
      </w:tr>
    </w:tbl>
    <w:p w14:paraId="657EE35B">
      <w:pPr>
        <w:kinsoku/>
        <w:spacing w:before="0" w:beforeLines="0" w:afterLines="0"/>
        <w:ind w:left="0" w:firstLine="420"/>
        <w:jc w:val="left"/>
        <w:rPr>
          <w:color w:val="auto"/>
          <w:highlight w:val="none"/>
          <w:lang w:eastAsia="zh-CN"/>
        </w:rPr>
      </w:pPr>
    </w:p>
    <w:p w14:paraId="68E7DA69">
      <w:pPr>
        <w:kinsoku/>
        <w:spacing w:before="0" w:beforeLines="0" w:afterLines="0"/>
        <w:ind w:left="0" w:firstLine="420"/>
        <w:jc w:val="left"/>
        <w:rPr>
          <w:color w:val="auto"/>
          <w:highlight w:val="none"/>
          <w:lang w:eastAsia="zh-CN"/>
        </w:rPr>
      </w:pPr>
      <w:r>
        <w:rPr>
          <w:rFonts w:cs="Arial"/>
          <w:color w:val="auto"/>
          <w:spacing w:val="0"/>
          <w:szCs w:val="21"/>
          <w:highlight w:val="none"/>
          <w:lang w:eastAsia="zh-CN"/>
        </w:rPr>
        <w:t>开标结束时间：</w:t>
      </w:r>
      <w:r>
        <w:rPr>
          <w:rFonts w:hint="eastAsia"/>
          <w:color w:val="auto"/>
          <w:highlight w:val="none"/>
          <w:lang w:eastAsia="zh-CN"/>
        </w:rPr>
        <w:t xml:space="preserve">    </w:t>
      </w:r>
      <w:r>
        <w:rPr>
          <w:rFonts w:cs="Arial"/>
          <w:color w:val="auto"/>
          <w:spacing w:val="0"/>
          <w:szCs w:val="21"/>
          <w:highlight w:val="none"/>
          <w:lang w:eastAsia="zh-CN"/>
        </w:rPr>
        <w:t>年</w:t>
      </w:r>
      <w:r>
        <w:rPr>
          <w:rFonts w:hint="eastAsia"/>
          <w:color w:val="auto"/>
          <w:highlight w:val="none"/>
          <w:lang w:eastAsia="zh-CN"/>
        </w:rPr>
        <w:t xml:space="preserve">    </w:t>
      </w:r>
      <w:r>
        <w:rPr>
          <w:rFonts w:cs="Arial"/>
          <w:color w:val="auto"/>
          <w:spacing w:val="0"/>
          <w:szCs w:val="21"/>
          <w:highlight w:val="none"/>
          <w:lang w:eastAsia="zh-CN"/>
        </w:rPr>
        <w:t>月</w:t>
      </w:r>
      <w:r>
        <w:rPr>
          <w:rFonts w:hint="eastAsia"/>
          <w:color w:val="auto"/>
          <w:highlight w:val="none"/>
          <w:lang w:eastAsia="zh-CN"/>
        </w:rPr>
        <w:t xml:space="preserve">    </w:t>
      </w:r>
      <w:r>
        <w:rPr>
          <w:rFonts w:cs="Arial"/>
          <w:color w:val="auto"/>
          <w:spacing w:val="0"/>
          <w:szCs w:val="21"/>
          <w:highlight w:val="none"/>
          <w:lang w:eastAsia="zh-CN"/>
        </w:rPr>
        <w:t>日</w:t>
      </w:r>
      <w:r>
        <w:rPr>
          <w:rFonts w:hint="eastAsia"/>
          <w:color w:val="auto"/>
          <w:highlight w:val="none"/>
          <w:lang w:eastAsia="zh-CN"/>
        </w:rPr>
        <w:t xml:space="preserve">    </w:t>
      </w:r>
      <w:r>
        <w:rPr>
          <w:rFonts w:cs="Arial"/>
          <w:color w:val="auto"/>
          <w:spacing w:val="0"/>
          <w:szCs w:val="21"/>
          <w:highlight w:val="none"/>
          <w:lang w:eastAsia="zh-CN"/>
        </w:rPr>
        <w:t>时</w:t>
      </w:r>
      <w:r>
        <w:rPr>
          <w:rFonts w:hint="eastAsia"/>
          <w:color w:val="auto"/>
          <w:highlight w:val="none"/>
          <w:lang w:eastAsia="zh-CN"/>
        </w:rPr>
        <w:t xml:space="preserve">    </w:t>
      </w:r>
      <w:r>
        <w:rPr>
          <w:rFonts w:cs="Arial"/>
          <w:color w:val="auto"/>
          <w:spacing w:val="0"/>
          <w:szCs w:val="21"/>
          <w:highlight w:val="none"/>
          <w:lang w:eastAsia="zh-CN"/>
        </w:rPr>
        <w:t>分</w:t>
      </w:r>
    </w:p>
    <w:p w14:paraId="1081C81D">
      <w:pPr>
        <w:kinsoku/>
        <w:spacing w:before="0" w:beforeLines="0" w:afterLines="0"/>
        <w:ind w:left="0" w:firstLine="420"/>
        <w:jc w:val="left"/>
        <w:rPr>
          <w:color w:val="auto"/>
          <w:highlight w:val="none"/>
          <w:lang w:eastAsia="zh-CN"/>
        </w:rPr>
      </w:pPr>
      <w:r>
        <w:rPr>
          <w:rFonts w:cs="Arial"/>
          <w:color w:val="auto"/>
          <w:spacing w:val="0"/>
          <w:w w:val="100"/>
          <w:szCs w:val="21"/>
          <w:highlight w:val="none"/>
          <w:lang w:eastAsia="zh-CN"/>
        </w:rPr>
        <w:t>招标人代表：</w:t>
      </w:r>
    </w:p>
    <w:p w14:paraId="345AB203">
      <w:pPr>
        <w:kinsoku/>
        <w:spacing w:before="0" w:beforeLines="0" w:afterLines="0"/>
        <w:ind w:left="0" w:firstLine="420"/>
        <w:jc w:val="left"/>
        <w:rPr>
          <w:color w:val="auto"/>
          <w:highlight w:val="none"/>
          <w:lang w:eastAsia="zh-CN"/>
        </w:rPr>
      </w:pPr>
      <w:r>
        <w:rPr>
          <w:rFonts w:cs="Arial"/>
          <w:color w:val="auto"/>
          <w:spacing w:val="0"/>
          <w:w w:val="100"/>
          <w:szCs w:val="21"/>
          <w:highlight w:val="none"/>
          <w:lang w:eastAsia="zh-CN"/>
        </w:rPr>
        <w:t>记录人：</w:t>
      </w:r>
    </w:p>
    <w:p w14:paraId="211632F4">
      <w:pPr>
        <w:kinsoku/>
        <w:spacing w:before="0" w:beforeLines="0" w:afterLines="0"/>
        <w:ind w:left="0" w:firstLine="420"/>
        <w:jc w:val="left"/>
        <w:rPr>
          <w:color w:val="auto"/>
          <w:highlight w:val="none"/>
          <w:lang w:eastAsia="zh-CN"/>
        </w:rPr>
      </w:pPr>
      <w:r>
        <w:rPr>
          <w:rFonts w:cs="Arial"/>
          <w:color w:val="auto"/>
          <w:spacing w:val="0"/>
          <w:w w:val="100"/>
          <w:szCs w:val="21"/>
          <w:highlight w:val="none"/>
          <w:lang w:eastAsia="zh-CN"/>
        </w:rPr>
        <w:t>监标人：</w:t>
      </w:r>
    </w:p>
    <w:p w14:paraId="5A09710B">
      <w:pPr>
        <w:kinsoku/>
        <w:spacing w:before="0" w:beforeLines="0" w:afterLines="0"/>
        <w:ind w:left="0" w:firstLine="420"/>
        <w:jc w:val="left"/>
        <w:rPr>
          <w:rFonts w:cs="宋体"/>
          <w:color w:val="auto"/>
          <w:szCs w:val="24"/>
          <w:highlight w:val="none"/>
          <w:lang w:eastAsia="zh-CN"/>
        </w:rPr>
      </w:pPr>
      <w:r>
        <w:rPr>
          <w:rFonts w:cs="宋体"/>
          <w:color w:val="auto"/>
          <w:szCs w:val="24"/>
          <w:highlight w:val="none"/>
          <w:u w:val="none"/>
          <w:lang w:eastAsia="zh-CN"/>
        </w:rPr>
        <w:t xml:space="preserve">     </w:t>
      </w:r>
      <w:r>
        <w:rPr>
          <w:rFonts w:cs="宋体"/>
          <w:color w:val="auto"/>
          <w:spacing w:val="0"/>
          <w:szCs w:val="24"/>
          <w:highlight w:val="none"/>
          <w:lang w:eastAsia="zh-CN"/>
        </w:rPr>
        <w:t>年</w:t>
      </w:r>
      <w:r>
        <w:rPr>
          <w:rFonts w:cs="宋体"/>
          <w:color w:val="auto"/>
          <w:szCs w:val="24"/>
          <w:highlight w:val="none"/>
          <w:lang w:eastAsia="zh-CN"/>
        </w:rPr>
        <w:t xml:space="preserve">    </w:t>
      </w:r>
      <w:r>
        <w:rPr>
          <w:rFonts w:cs="宋体"/>
          <w:color w:val="auto"/>
          <w:spacing w:val="0"/>
          <w:szCs w:val="24"/>
          <w:highlight w:val="none"/>
          <w:lang w:eastAsia="zh-CN"/>
        </w:rPr>
        <w:t>月</w:t>
      </w:r>
      <w:r>
        <w:rPr>
          <w:rFonts w:cs="宋体"/>
          <w:color w:val="auto"/>
          <w:szCs w:val="24"/>
          <w:highlight w:val="none"/>
          <w:lang w:eastAsia="zh-CN"/>
        </w:rPr>
        <w:t xml:space="preserve">    </w:t>
      </w:r>
      <w:r>
        <w:rPr>
          <w:rFonts w:cs="宋体"/>
          <w:color w:val="auto"/>
          <w:spacing w:val="0"/>
          <w:szCs w:val="24"/>
          <w:highlight w:val="none"/>
          <w:lang w:eastAsia="zh-CN"/>
        </w:rPr>
        <w:t>日</w:t>
      </w:r>
    </w:p>
    <w:p w14:paraId="40F68D5A">
      <w:pPr>
        <w:kinsoku/>
        <w:spacing w:beforeLines="0" w:afterLines="0"/>
        <w:ind w:firstLine="420"/>
        <w:jc w:val="left"/>
        <w:rPr>
          <w:color w:val="auto"/>
          <w:highlight w:val="none"/>
          <w:lang w:eastAsia="zh-CN"/>
        </w:rPr>
      </w:pPr>
    </w:p>
    <w:p w14:paraId="2057A586">
      <w:pPr>
        <w:kinsoku/>
        <w:spacing w:before="0" w:beforeLines="0" w:afterLines="0"/>
        <w:ind w:left="0" w:firstLine="420"/>
        <w:jc w:val="left"/>
        <w:rPr>
          <w:rFonts w:cs="宋体"/>
          <w:color w:val="auto"/>
          <w:highlight w:val="none"/>
          <w:lang w:eastAsia="zh-CN"/>
        </w:rPr>
      </w:pPr>
      <w:r>
        <w:rPr>
          <w:rFonts w:cs="宋体"/>
          <w:color w:val="auto"/>
          <w:spacing w:val="0"/>
          <w:highlight w:val="none"/>
          <w:lang w:eastAsia="zh-CN"/>
        </w:rPr>
        <w:t>注：可以根据招标项目的实际需要对本开标记录表进行适当修改。</w:t>
      </w:r>
    </w:p>
    <w:p w14:paraId="15407C4D">
      <w:pPr>
        <w:kinsoku/>
        <w:adjustRightInd/>
        <w:snapToGrid/>
        <w:spacing w:beforeLines="0" w:afterLines="0" w:line="240" w:lineRule="auto"/>
        <w:ind w:firstLine="420"/>
        <w:jc w:val="left"/>
        <w:textAlignment w:val="auto"/>
        <w:rPr>
          <w:rFonts w:cs="宋体"/>
          <w:color w:val="auto"/>
          <w:highlight w:val="none"/>
          <w:lang w:eastAsia="zh-CN"/>
        </w:rPr>
      </w:pPr>
      <w:r>
        <w:rPr>
          <w:rFonts w:cs="宋体"/>
          <w:color w:val="auto"/>
          <w:highlight w:val="none"/>
          <w:lang w:eastAsia="zh-CN"/>
        </w:rPr>
        <w:br w:type="page"/>
      </w:r>
    </w:p>
    <w:p w14:paraId="46939B47">
      <w:pPr>
        <w:pStyle w:val="3"/>
        <w:kinsoku/>
        <w:spacing w:before="0" w:beforeLines="0" w:afterLines="0"/>
        <w:ind w:left="0"/>
        <w:jc w:val="both"/>
        <w:rPr>
          <w:rFonts w:hint="eastAsia" w:cs="宋体"/>
          <w:b/>
          <w:bCs/>
          <w:color w:val="auto"/>
          <w:szCs w:val="30"/>
          <w:highlight w:val="none"/>
        </w:rPr>
      </w:pPr>
      <w:bookmarkStart w:id="489" w:name="_Toc30682"/>
      <w:bookmarkStart w:id="490" w:name="_Toc9209"/>
      <w:bookmarkStart w:id="491" w:name="_Toc2212"/>
      <w:bookmarkStart w:id="492" w:name="_Toc24911"/>
      <w:bookmarkStart w:id="493" w:name="_Toc29130"/>
      <w:bookmarkStart w:id="494" w:name="_Toc20885"/>
      <w:bookmarkStart w:id="495" w:name="_Toc31429"/>
      <w:bookmarkStart w:id="496" w:name="_Toc9896"/>
      <w:bookmarkStart w:id="497" w:name="_Toc8779"/>
      <w:bookmarkStart w:id="498" w:name="_Toc30759"/>
      <w:bookmarkStart w:id="499" w:name="_Toc23978"/>
      <w:bookmarkStart w:id="500" w:name="_Toc29877"/>
      <w:bookmarkStart w:id="501" w:name="_Toc30545"/>
      <w:bookmarkStart w:id="502" w:name="_Toc1186"/>
      <w:r>
        <w:rPr>
          <w:rFonts w:cs="宋体"/>
          <w:b/>
          <w:bCs/>
          <w:color w:val="auto"/>
          <w:spacing w:val="-15"/>
          <w:sz w:val="30"/>
          <w:szCs w:val="30"/>
          <w:highlight w:val="none"/>
        </w:rPr>
        <w:t>附件五：</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0AE4016A">
      <w:pPr>
        <w:pStyle w:val="4"/>
        <w:kinsoku/>
        <w:spacing w:before="0" w:beforeLines="0" w:afterLines="0"/>
        <w:ind w:left="0"/>
        <w:jc w:val="center"/>
        <w:rPr>
          <w:rFonts w:hint="eastAsia" w:ascii="宋体" w:hAnsi="宋体" w:cs="宋体"/>
          <w:b/>
          <w:bCs/>
          <w:color w:val="auto"/>
          <w:szCs w:val="24"/>
          <w:highlight w:val="none"/>
        </w:rPr>
      </w:pPr>
      <w:bookmarkStart w:id="503" w:name="_Toc23367"/>
      <w:bookmarkStart w:id="504" w:name="_Toc27748"/>
      <w:bookmarkStart w:id="505" w:name="_Toc23311"/>
      <w:r>
        <w:rPr>
          <w:rFonts w:hint="eastAsia" w:ascii="宋体" w:hAnsi="宋体" w:cs="宋体"/>
          <w:b/>
          <w:bCs/>
          <w:color w:val="auto"/>
          <w:szCs w:val="24"/>
          <w:highlight w:val="none"/>
        </w:rPr>
        <w:t>中标通知书</w:t>
      </w:r>
      <w:bookmarkEnd w:id="503"/>
      <w:bookmarkEnd w:id="504"/>
      <w:bookmarkEnd w:id="505"/>
    </w:p>
    <w:p w14:paraId="048E1F9B">
      <w:pPr>
        <w:kinsoku/>
        <w:spacing w:before="0" w:beforeLines="0" w:afterLines="0"/>
        <w:ind w:left="0" w:firstLine="0" w:firstLineChars="0"/>
        <w:jc w:val="center"/>
        <w:rPr>
          <w:color w:val="auto"/>
          <w:highlight w:val="none"/>
          <w:lang w:eastAsia="zh-CN"/>
        </w:rPr>
      </w:pPr>
      <w:r>
        <w:rPr>
          <w:rFonts w:cs="Arial"/>
          <w:color w:val="auto"/>
          <w:spacing w:val="0"/>
          <w:szCs w:val="21"/>
          <w:highlight w:val="none"/>
          <w:lang w:eastAsia="zh-CN"/>
        </w:rPr>
        <w:t>编号：</w:t>
      </w:r>
    </w:p>
    <w:p w14:paraId="521C60D3">
      <w:pPr>
        <w:kinsoku/>
        <w:spacing w:beforeLines="0" w:afterLines="0"/>
        <w:ind w:firstLine="420"/>
        <w:jc w:val="left"/>
        <w:rPr>
          <w:color w:val="auto"/>
          <w:highlight w:val="none"/>
          <w:lang w:eastAsia="zh-CN"/>
        </w:rPr>
      </w:pPr>
    </w:p>
    <w:p w14:paraId="43F1E76C">
      <w:pPr>
        <w:kinsoku/>
        <w:spacing w:beforeLines="0" w:afterLines="0"/>
        <w:ind w:firstLine="420"/>
        <w:jc w:val="left"/>
        <w:rPr>
          <w:color w:val="auto"/>
          <w:highlight w:val="none"/>
          <w:lang w:eastAsia="zh-CN"/>
        </w:rPr>
      </w:pPr>
    </w:p>
    <w:p w14:paraId="393EA14A">
      <w:pPr>
        <w:tabs>
          <w:tab w:val="left" w:pos="2400"/>
        </w:tabs>
        <w:kinsoku/>
        <w:spacing w:before="0" w:beforeLines="0" w:afterLines="0"/>
        <w:ind w:firstLine="42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（中标单位名称）：</w:t>
      </w:r>
    </w:p>
    <w:p w14:paraId="7BFA8BB2">
      <w:pPr>
        <w:kinsoku/>
        <w:spacing w:before="0" w:beforeLines="0" w:afterLines="0"/>
        <w:ind w:left="0" w:firstLine="420"/>
        <w:jc w:val="left"/>
        <w:rPr>
          <w:color w:val="auto"/>
          <w:highlight w:val="none"/>
          <w:lang w:eastAsia="zh-CN"/>
        </w:rPr>
      </w:pPr>
      <w:r>
        <w:rPr>
          <w:rFonts w:cs="宋体"/>
          <w:color w:val="auto"/>
          <w:spacing w:val="0"/>
          <w:szCs w:val="24"/>
          <w:highlight w:val="none"/>
          <w:lang w:eastAsia="zh-CN"/>
        </w:rPr>
        <w:t>你方于（投标日期）所递交的（项目名称）（标</w:t>
      </w:r>
      <w:r>
        <w:rPr>
          <w:rFonts w:cs="Arial"/>
          <w:color w:val="auto"/>
          <w:spacing w:val="0"/>
          <w:szCs w:val="21"/>
          <w:highlight w:val="none"/>
          <w:lang w:eastAsia="zh-CN"/>
        </w:rPr>
        <w:t>段名称）投标文件已被我方接受，并被确定为中标人。</w:t>
      </w:r>
    </w:p>
    <w:p w14:paraId="5B82ADCF">
      <w:pPr>
        <w:kinsoku/>
        <w:spacing w:before="0" w:beforeLines="0" w:afterLines="0"/>
        <w:ind w:left="0" w:firstLine="420"/>
        <w:jc w:val="left"/>
        <w:rPr>
          <w:color w:val="auto"/>
          <w:highlight w:val="none"/>
          <w:lang w:eastAsia="zh-CN"/>
        </w:rPr>
      </w:pPr>
      <w:r>
        <w:rPr>
          <w:rFonts w:cs="Arial"/>
          <w:color w:val="auto"/>
          <w:spacing w:val="0"/>
          <w:szCs w:val="21"/>
          <w:highlight w:val="none"/>
          <w:lang w:eastAsia="zh-CN"/>
        </w:rPr>
        <w:t>中标价：元。</w:t>
      </w:r>
    </w:p>
    <w:p w14:paraId="6ADCA439">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工期： 个月</w:t>
      </w:r>
      <w:r>
        <w:rPr>
          <w:rFonts w:ascii="微软雅黑" w:hAnsi="微软雅黑" w:eastAsia="微软雅黑" w:cs="微软雅黑"/>
          <w:color w:val="auto"/>
          <w:spacing w:val="0"/>
          <w:szCs w:val="24"/>
          <w:highlight w:val="none"/>
          <w:lang w:eastAsia="zh-CN"/>
        </w:rPr>
        <w:t>（</w:t>
      </w:r>
      <w:r>
        <w:rPr>
          <w:rFonts w:cs="宋体"/>
          <w:color w:val="auto"/>
          <w:spacing w:val="0"/>
          <w:szCs w:val="24"/>
          <w:highlight w:val="none"/>
          <w:lang w:eastAsia="zh-CN"/>
        </w:rPr>
        <w:t>或日历天）。</w:t>
      </w:r>
    </w:p>
    <w:p w14:paraId="5FE9D2A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工程质量：</w:t>
      </w:r>
      <w:r>
        <w:rPr>
          <w:rFonts w:hint="eastAsia" w:cs="宋体"/>
          <w:color w:val="auto"/>
          <w:spacing w:val="0"/>
          <w:szCs w:val="24"/>
          <w:highlight w:val="none"/>
          <w:lang w:eastAsia="zh-CN"/>
        </w:rPr>
        <w:t>优良</w:t>
      </w:r>
      <w:r>
        <w:rPr>
          <w:rFonts w:cs="宋体"/>
          <w:color w:val="auto"/>
          <w:spacing w:val="0"/>
          <w:szCs w:val="24"/>
          <w:highlight w:val="none"/>
          <w:lang w:eastAsia="zh-CN"/>
        </w:rPr>
        <w:t>。</w:t>
      </w:r>
    </w:p>
    <w:p w14:paraId="5A62E144">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项目负责人：（姓名）。</w:t>
      </w:r>
    </w:p>
    <w:p w14:paraId="1184D593">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技术负责人：（姓名）。</w:t>
      </w:r>
    </w:p>
    <w:p w14:paraId="2B0C59A3">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请你方在接到本通知书后的日内到（详细地址）与我方签订施工合同协议书，在此之前按招标文件第</w:t>
      </w:r>
      <w:r>
        <w:rPr>
          <w:rFonts w:ascii="宋体" w:hAnsi="宋体" w:eastAsia="宋体" w:cs="宋体"/>
          <w:color w:val="auto"/>
          <w:spacing w:val="0"/>
          <w:szCs w:val="24"/>
          <w:highlight w:val="none"/>
          <w:lang w:eastAsia="zh-CN"/>
        </w:rPr>
        <w:t>2</w:t>
      </w:r>
      <w:r>
        <w:rPr>
          <w:rFonts w:cs="宋体"/>
          <w:color w:val="auto"/>
          <w:spacing w:val="0"/>
          <w:szCs w:val="24"/>
          <w:highlight w:val="none"/>
          <w:lang w:eastAsia="zh-CN"/>
        </w:rPr>
        <w:t>章投标人须知第</w:t>
      </w:r>
      <w:r>
        <w:rPr>
          <w:rFonts w:ascii="宋体" w:hAnsi="宋体" w:eastAsia="宋体" w:cs="宋体"/>
          <w:color w:val="auto"/>
          <w:spacing w:val="0"/>
          <w:szCs w:val="24"/>
          <w:highlight w:val="none"/>
          <w:lang w:eastAsia="zh-CN"/>
        </w:rPr>
        <w:t>7.3</w:t>
      </w:r>
      <w:r>
        <w:rPr>
          <w:rFonts w:cs="宋体"/>
          <w:color w:val="auto"/>
          <w:spacing w:val="0"/>
          <w:szCs w:val="24"/>
          <w:highlight w:val="none"/>
          <w:lang w:eastAsia="zh-CN"/>
        </w:rPr>
        <w:t>条规定向我方提交履约担保。</w:t>
      </w:r>
    </w:p>
    <w:p w14:paraId="00320156">
      <w:pPr>
        <w:kinsoku/>
        <w:spacing w:before="0" w:beforeLines="0" w:afterLines="0"/>
        <w:ind w:left="0" w:firstLine="420"/>
        <w:jc w:val="left"/>
        <w:rPr>
          <w:color w:val="auto"/>
          <w:highlight w:val="none"/>
          <w:lang w:eastAsia="zh-CN"/>
        </w:rPr>
      </w:pPr>
      <w:r>
        <w:rPr>
          <w:rFonts w:cs="Arial"/>
          <w:color w:val="auto"/>
          <w:spacing w:val="0"/>
          <w:szCs w:val="21"/>
          <w:highlight w:val="none"/>
          <w:lang w:eastAsia="zh-CN"/>
        </w:rPr>
        <w:t>特此通知。</w:t>
      </w:r>
    </w:p>
    <w:p w14:paraId="5073BFE8">
      <w:pPr>
        <w:kinsoku/>
        <w:spacing w:beforeLines="0" w:afterLines="0"/>
        <w:ind w:firstLine="420"/>
        <w:jc w:val="left"/>
        <w:rPr>
          <w:color w:val="auto"/>
          <w:highlight w:val="none"/>
          <w:lang w:eastAsia="zh-CN"/>
        </w:rPr>
      </w:pPr>
    </w:p>
    <w:p w14:paraId="2931D076">
      <w:pPr>
        <w:kinsoku/>
        <w:spacing w:beforeLines="0" w:afterLines="0"/>
        <w:ind w:firstLine="420"/>
        <w:jc w:val="left"/>
        <w:rPr>
          <w:color w:val="auto"/>
          <w:highlight w:val="none"/>
          <w:lang w:eastAsia="zh-CN"/>
        </w:rPr>
      </w:pPr>
    </w:p>
    <w:p w14:paraId="1882E502">
      <w:pPr>
        <w:kinsoku/>
        <w:spacing w:beforeLines="0" w:afterLines="0"/>
        <w:ind w:firstLine="420"/>
        <w:jc w:val="left"/>
        <w:rPr>
          <w:color w:val="auto"/>
          <w:highlight w:val="none"/>
          <w:lang w:eastAsia="zh-CN"/>
        </w:rPr>
      </w:pPr>
    </w:p>
    <w:p w14:paraId="19DA6520">
      <w:pPr>
        <w:kinsoku/>
        <w:spacing w:beforeLines="0" w:afterLines="0"/>
        <w:ind w:firstLine="420"/>
        <w:jc w:val="left"/>
        <w:rPr>
          <w:color w:val="auto"/>
          <w:highlight w:val="none"/>
          <w:lang w:eastAsia="zh-CN"/>
        </w:rPr>
      </w:pPr>
    </w:p>
    <w:p w14:paraId="3638D50B">
      <w:pPr>
        <w:kinsoku/>
        <w:spacing w:beforeLines="0" w:afterLines="0"/>
        <w:ind w:firstLine="420"/>
        <w:jc w:val="left"/>
        <w:rPr>
          <w:color w:val="auto"/>
          <w:highlight w:val="none"/>
          <w:lang w:eastAsia="zh-CN"/>
        </w:rPr>
      </w:pPr>
    </w:p>
    <w:p w14:paraId="2A363F36">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招标人：（盖单位公章）</w:t>
      </w:r>
    </w:p>
    <w:p w14:paraId="2D1134C8">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法定代表人：（签字或盖章）</w:t>
      </w:r>
    </w:p>
    <w:p w14:paraId="7AFD33C3">
      <w:pPr>
        <w:kinsoku/>
        <w:spacing w:before="0" w:beforeLines="0" w:afterLines="0"/>
        <w:ind w:left="0" w:firstLine="420"/>
        <w:jc w:val="left"/>
        <w:rPr>
          <w:rFonts w:cs="宋体"/>
          <w:color w:val="auto"/>
          <w:szCs w:val="24"/>
          <w:highlight w:val="none"/>
          <w:lang w:eastAsia="zh-CN"/>
        </w:rPr>
      </w:pPr>
      <w:r>
        <w:rPr>
          <w:rFonts w:hint="eastAsia" w:cs="宋体"/>
          <w:color w:val="auto"/>
          <w:szCs w:val="24"/>
          <w:highlight w:val="none"/>
          <w:lang w:eastAsia="zh-CN"/>
        </w:rPr>
        <w:t xml:space="preserve">    </w:t>
      </w:r>
      <w:r>
        <w:rPr>
          <w:rFonts w:cs="宋体"/>
          <w:color w:val="auto"/>
          <w:spacing w:val="0"/>
          <w:szCs w:val="24"/>
          <w:highlight w:val="none"/>
          <w:lang w:eastAsia="zh-CN"/>
        </w:rPr>
        <w:t>年</w:t>
      </w:r>
      <w:r>
        <w:rPr>
          <w:rFonts w:hint="eastAsia" w:cs="宋体"/>
          <w:color w:val="auto"/>
          <w:szCs w:val="24"/>
          <w:highlight w:val="none"/>
          <w:lang w:eastAsia="zh-CN"/>
        </w:rPr>
        <w:t xml:space="preserve">    </w:t>
      </w:r>
      <w:r>
        <w:rPr>
          <w:rFonts w:cs="宋体"/>
          <w:color w:val="auto"/>
          <w:spacing w:val="0"/>
          <w:szCs w:val="24"/>
          <w:highlight w:val="none"/>
          <w:lang w:eastAsia="zh-CN"/>
        </w:rPr>
        <w:t>月</w:t>
      </w:r>
      <w:r>
        <w:rPr>
          <w:rFonts w:hint="eastAsia" w:cs="宋体"/>
          <w:color w:val="auto"/>
          <w:szCs w:val="24"/>
          <w:highlight w:val="none"/>
          <w:lang w:eastAsia="zh-CN"/>
        </w:rPr>
        <w:t xml:space="preserve">    </w:t>
      </w:r>
      <w:r>
        <w:rPr>
          <w:rFonts w:cs="宋体"/>
          <w:color w:val="auto"/>
          <w:spacing w:val="0"/>
          <w:szCs w:val="24"/>
          <w:highlight w:val="none"/>
          <w:lang w:eastAsia="zh-CN"/>
        </w:rPr>
        <w:t>日</w:t>
      </w:r>
    </w:p>
    <w:p w14:paraId="5357CFBC">
      <w:pPr>
        <w:kinsoku/>
        <w:spacing w:beforeLines="0" w:afterLines="0"/>
        <w:ind w:firstLine="420"/>
        <w:jc w:val="left"/>
        <w:rPr>
          <w:rFonts w:cs="宋体"/>
          <w:color w:val="auto"/>
          <w:szCs w:val="24"/>
          <w:highlight w:val="none"/>
          <w:lang w:eastAsia="zh-CN"/>
        </w:rPr>
      </w:pPr>
    </w:p>
    <w:p w14:paraId="538562AA">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219EC71E">
      <w:pPr>
        <w:pStyle w:val="3"/>
        <w:kinsoku/>
        <w:spacing w:before="0" w:beforeLines="0" w:afterLines="0"/>
        <w:ind w:left="0"/>
        <w:jc w:val="both"/>
        <w:rPr>
          <w:rFonts w:hint="eastAsia" w:cs="宋体"/>
          <w:b/>
          <w:bCs/>
          <w:color w:val="auto"/>
          <w:szCs w:val="30"/>
          <w:highlight w:val="none"/>
        </w:rPr>
      </w:pPr>
      <w:bookmarkStart w:id="506" w:name="_Toc14532"/>
      <w:bookmarkStart w:id="507" w:name="_Toc17718"/>
      <w:bookmarkStart w:id="508" w:name="_Toc7521"/>
      <w:bookmarkStart w:id="509" w:name="_Toc13105"/>
      <w:bookmarkStart w:id="510" w:name="_Toc22819"/>
      <w:bookmarkStart w:id="511" w:name="_Toc30594"/>
      <w:bookmarkStart w:id="512" w:name="_Toc15238"/>
      <w:bookmarkStart w:id="513" w:name="_Toc20838"/>
      <w:bookmarkStart w:id="514" w:name="_Toc1445"/>
      <w:bookmarkStart w:id="515" w:name="_Toc17652"/>
      <w:bookmarkStart w:id="516" w:name="_Toc18008"/>
      <w:bookmarkStart w:id="517" w:name="_Toc2776"/>
      <w:bookmarkStart w:id="518" w:name="_Toc32395"/>
      <w:bookmarkStart w:id="519" w:name="_Toc7363"/>
      <w:r>
        <w:rPr>
          <w:rFonts w:cs="宋体"/>
          <w:b/>
          <w:bCs/>
          <w:color w:val="auto"/>
          <w:spacing w:val="-15"/>
          <w:sz w:val="30"/>
          <w:szCs w:val="30"/>
          <w:highlight w:val="none"/>
        </w:rPr>
        <w:t>附件六：</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748CFAF0">
      <w:pPr>
        <w:kinsoku/>
        <w:spacing w:beforeLines="0" w:afterLines="0"/>
        <w:ind w:firstLine="420"/>
        <w:jc w:val="left"/>
        <w:rPr>
          <w:color w:val="auto"/>
          <w:highlight w:val="none"/>
          <w:lang w:eastAsia="zh-CN"/>
        </w:rPr>
      </w:pPr>
    </w:p>
    <w:p w14:paraId="5AFD235C">
      <w:pPr>
        <w:kinsoku/>
        <w:spacing w:beforeLines="0" w:afterLines="0"/>
        <w:ind w:firstLine="420"/>
        <w:jc w:val="left"/>
        <w:rPr>
          <w:color w:val="auto"/>
          <w:highlight w:val="none"/>
          <w:lang w:eastAsia="zh-CN"/>
        </w:rPr>
      </w:pPr>
    </w:p>
    <w:p w14:paraId="25F6DACD">
      <w:pPr>
        <w:pStyle w:val="4"/>
        <w:kinsoku/>
        <w:spacing w:before="0" w:beforeLines="0" w:afterLines="0"/>
        <w:ind w:left="0"/>
        <w:jc w:val="center"/>
        <w:rPr>
          <w:rFonts w:hint="eastAsia" w:ascii="宋体" w:hAnsi="宋体" w:cs="宋体"/>
          <w:b/>
          <w:bCs/>
          <w:color w:val="auto"/>
          <w:szCs w:val="24"/>
          <w:highlight w:val="none"/>
        </w:rPr>
      </w:pPr>
      <w:bookmarkStart w:id="520" w:name="_Toc28981"/>
      <w:bookmarkStart w:id="521" w:name="_Toc30812"/>
      <w:bookmarkStart w:id="522" w:name="_Toc18695"/>
      <w:r>
        <w:rPr>
          <w:rFonts w:ascii="宋体" w:hAnsi="宋体" w:cs="宋体"/>
          <w:b/>
          <w:bCs/>
          <w:color w:val="auto"/>
          <w:spacing w:val="2"/>
          <w:sz w:val="24"/>
          <w:szCs w:val="24"/>
          <w:highlight w:val="none"/>
        </w:rPr>
        <w:t>中标结果通知书</w:t>
      </w:r>
      <w:bookmarkEnd w:id="520"/>
      <w:bookmarkEnd w:id="521"/>
      <w:bookmarkEnd w:id="522"/>
    </w:p>
    <w:p w14:paraId="7C186C33">
      <w:pPr>
        <w:kinsoku/>
        <w:spacing w:before="0" w:beforeLines="0" w:afterLines="0"/>
        <w:ind w:left="0" w:firstLine="0" w:firstLineChars="0"/>
        <w:jc w:val="center"/>
        <w:rPr>
          <w:color w:val="auto"/>
          <w:highlight w:val="none"/>
          <w:lang w:eastAsia="zh-CN"/>
        </w:rPr>
      </w:pPr>
      <w:r>
        <w:rPr>
          <w:rFonts w:cs="Arial"/>
          <w:color w:val="auto"/>
          <w:spacing w:val="0"/>
          <w:szCs w:val="21"/>
          <w:highlight w:val="none"/>
          <w:lang w:eastAsia="zh-CN"/>
        </w:rPr>
        <w:t>编号：</w:t>
      </w:r>
    </w:p>
    <w:p w14:paraId="40E99E7A">
      <w:pPr>
        <w:kinsoku/>
        <w:spacing w:beforeLines="0" w:afterLines="0"/>
        <w:ind w:firstLine="420"/>
        <w:jc w:val="left"/>
        <w:rPr>
          <w:color w:val="auto"/>
          <w:highlight w:val="none"/>
          <w:lang w:eastAsia="zh-CN"/>
        </w:rPr>
      </w:pPr>
    </w:p>
    <w:p w14:paraId="139289ED">
      <w:pPr>
        <w:kinsoku/>
        <w:spacing w:beforeLines="0" w:afterLines="0"/>
        <w:ind w:firstLine="420"/>
        <w:jc w:val="left"/>
        <w:rPr>
          <w:color w:val="auto"/>
          <w:highlight w:val="none"/>
          <w:lang w:eastAsia="zh-CN"/>
        </w:rPr>
      </w:pPr>
    </w:p>
    <w:p w14:paraId="35846AE3">
      <w:pPr>
        <w:tabs>
          <w:tab w:val="left" w:pos="2520"/>
        </w:tabs>
        <w:kinsoku/>
        <w:spacing w:before="0" w:beforeLines="0" w:afterLines="0"/>
        <w:ind w:firstLine="42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（未中标人名称）：</w:t>
      </w:r>
    </w:p>
    <w:p w14:paraId="4483D325">
      <w:pPr>
        <w:kinsoku/>
        <w:spacing w:beforeLines="0" w:afterLines="0"/>
        <w:ind w:firstLine="420"/>
        <w:jc w:val="left"/>
        <w:rPr>
          <w:color w:val="auto"/>
          <w:highlight w:val="none"/>
          <w:lang w:eastAsia="zh-CN"/>
        </w:rPr>
      </w:pPr>
    </w:p>
    <w:p w14:paraId="23873251">
      <w:pPr>
        <w:kinsoku/>
        <w:spacing w:beforeLines="0" w:afterLines="0"/>
        <w:ind w:firstLine="420"/>
        <w:jc w:val="left"/>
        <w:rPr>
          <w:color w:val="auto"/>
          <w:highlight w:val="none"/>
          <w:lang w:eastAsia="zh-CN"/>
        </w:rPr>
      </w:pPr>
    </w:p>
    <w:p w14:paraId="4ECB01D9">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我方已接受 （中标人名称）于（投标日期） 所递交的（项目名称）（标段名称）投标文件，确定 （中标人名称）为中标人。</w:t>
      </w:r>
    </w:p>
    <w:p w14:paraId="638EA378">
      <w:pPr>
        <w:kinsoku/>
        <w:spacing w:beforeLines="0" w:afterLines="0"/>
        <w:ind w:firstLine="420"/>
        <w:jc w:val="left"/>
        <w:rPr>
          <w:color w:val="auto"/>
          <w:highlight w:val="none"/>
          <w:lang w:eastAsia="zh-CN"/>
        </w:rPr>
      </w:pPr>
    </w:p>
    <w:p w14:paraId="02C47ED4">
      <w:pPr>
        <w:kinsoku/>
        <w:spacing w:beforeLines="0" w:afterLines="0"/>
        <w:ind w:firstLine="420"/>
        <w:jc w:val="left"/>
        <w:rPr>
          <w:color w:val="auto"/>
          <w:highlight w:val="none"/>
          <w:lang w:eastAsia="zh-CN"/>
        </w:rPr>
      </w:pPr>
    </w:p>
    <w:p w14:paraId="7F47628C">
      <w:pPr>
        <w:kinsoku/>
        <w:spacing w:before="0" w:beforeLines="0" w:afterLines="0"/>
        <w:ind w:left="0" w:firstLine="420"/>
        <w:jc w:val="left"/>
        <w:rPr>
          <w:rFonts w:ascii="Times New Roman" w:hAnsi="Times New Roman" w:eastAsia="Times New Roman" w:cs="Times New Roman"/>
          <w:color w:val="auto"/>
          <w:szCs w:val="24"/>
          <w:highlight w:val="none"/>
          <w:lang w:eastAsia="zh-CN"/>
        </w:rPr>
      </w:pPr>
      <w:r>
        <w:rPr>
          <w:rFonts w:cs="宋体"/>
          <w:color w:val="auto"/>
          <w:spacing w:val="0"/>
          <w:szCs w:val="24"/>
          <w:highlight w:val="none"/>
          <w:lang w:eastAsia="zh-CN"/>
        </w:rPr>
        <w:t>感谢你单位对我方工作的大力支持</w:t>
      </w:r>
      <w:r>
        <w:rPr>
          <w:rFonts w:ascii="Times New Roman" w:hAnsi="Times New Roman" w:eastAsia="Times New Roman" w:cs="Times New Roman"/>
          <w:color w:val="auto"/>
          <w:spacing w:val="0"/>
          <w:szCs w:val="24"/>
          <w:highlight w:val="none"/>
          <w:lang w:eastAsia="zh-CN"/>
        </w:rPr>
        <w:t>!</w:t>
      </w:r>
    </w:p>
    <w:p w14:paraId="23300065">
      <w:pPr>
        <w:kinsoku/>
        <w:spacing w:beforeLines="0" w:afterLines="0"/>
        <w:ind w:firstLine="420"/>
        <w:jc w:val="left"/>
        <w:rPr>
          <w:color w:val="auto"/>
          <w:highlight w:val="none"/>
          <w:lang w:eastAsia="zh-CN"/>
        </w:rPr>
      </w:pPr>
    </w:p>
    <w:p w14:paraId="681496D5">
      <w:pPr>
        <w:kinsoku/>
        <w:spacing w:beforeLines="0" w:afterLines="0"/>
        <w:ind w:firstLine="420"/>
        <w:jc w:val="left"/>
        <w:rPr>
          <w:color w:val="auto"/>
          <w:highlight w:val="none"/>
          <w:lang w:eastAsia="zh-CN"/>
        </w:rPr>
      </w:pPr>
    </w:p>
    <w:p w14:paraId="3CECC729">
      <w:pPr>
        <w:kinsoku/>
        <w:spacing w:beforeLines="0" w:afterLines="0"/>
        <w:ind w:firstLine="420"/>
        <w:jc w:val="left"/>
        <w:rPr>
          <w:color w:val="auto"/>
          <w:highlight w:val="none"/>
          <w:lang w:eastAsia="zh-CN"/>
        </w:rPr>
      </w:pPr>
    </w:p>
    <w:p w14:paraId="21A137B8">
      <w:pPr>
        <w:kinsoku/>
        <w:spacing w:beforeLines="0" w:afterLines="0"/>
        <w:ind w:firstLine="420"/>
        <w:jc w:val="left"/>
        <w:rPr>
          <w:color w:val="auto"/>
          <w:highlight w:val="none"/>
          <w:lang w:eastAsia="zh-CN"/>
        </w:rPr>
      </w:pPr>
    </w:p>
    <w:p w14:paraId="7C1520DF">
      <w:pPr>
        <w:kinsoku/>
        <w:spacing w:beforeLines="0" w:afterLines="0"/>
        <w:ind w:firstLine="420"/>
        <w:jc w:val="left"/>
        <w:rPr>
          <w:color w:val="auto"/>
          <w:highlight w:val="none"/>
          <w:lang w:eastAsia="zh-CN"/>
        </w:rPr>
      </w:pPr>
    </w:p>
    <w:p w14:paraId="26585556">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招标人：（盖单位公章）</w:t>
      </w:r>
    </w:p>
    <w:p w14:paraId="62FD5633">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法定代表人：（签字或盖章）</w:t>
      </w:r>
    </w:p>
    <w:p w14:paraId="3E5BD13E">
      <w:pPr>
        <w:kinsoku/>
        <w:spacing w:beforeLines="0" w:afterLines="0"/>
        <w:ind w:firstLine="420"/>
        <w:jc w:val="left"/>
        <w:rPr>
          <w:rFonts w:cs="宋体"/>
          <w:color w:val="auto"/>
          <w:szCs w:val="24"/>
          <w:highlight w:val="none"/>
          <w:lang w:eastAsia="zh-CN"/>
        </w:rPr>
      </w:pPr>
      <w:r>
        <w:rPr>
          <w:rFonts w:hint="eastAsia" w:cs="宋体"/>
          <w:color w:val="auto"/>
          <w:szCs w:val="24"/>
          <w:highlight w:val="none"/>
          <w:lang w:eastAsia="zh-CN"/>
        </w:rPr>
        <w:t xml:space="preserve">     </w:t>
      </w:r>
      <w:r>
        <w:rPr>
          <w:rFonts w:cs="宋体"/>
          <w:color w:val="auto"/>
          <w:szCs w:val="24"/>
          <w:highlight w:val="none"/>
          <w:lang w:eastAsia="zh-CN"/>
        </w:rPr>
        <w:t>年</w:t>
      </w:r>
      <w:r>
        <w:rPr>
          <w:rFonts w:hint="eastAsia" w:cs="宋体"/>
          <w:color w:val="auto"/>
          <w:szCs w:val="24"/>
          <w:highlight w:val="none"/>
          <w:lang w:eastAsia="zh-CN"/>
        </w:rPr>
        <w:t xml:space="preserve">    </w:t>
      </w:r>
      <w:r>
        <w:rPr>
          <w:rFonts w:cs="宋体"/>
          <w:color w:val="auto"/>
          <w:szCs w:val="24"/>
          <w:highlight w:val="none"/>
          <w:lang w:eastAsia="zh-CN"/>
        </w:rPr>
        <w:t>月</w:t>
      </w:r>
      <w:r>
        <w:rPr>
          <w:rFonts w:hint="eastAsia" w:cs="宋体"/>
          <w:color w:val="auto"/>
          <w:szCs w:val="24"/>
          <w:highlight w:val="none"/>
          <w:lang w:eastAsia="zh-CN"/>
        </w:rPr>
        <w:t xml:space="preserve">    </w:t>
      </w:r>
      <w:r>
        <w:rPr>
          <w:rFonts w:cs="宋体"/>
          <w:color w:val="auto"/>
          <w:szCs w:val="24"/>
          <w:highlight w:val="none"/>
          <w:lang w:eastAsia="zh-CN"/>
        </w:rPr>
        <w:t>日</w:t>
      </w:r>
    </w:p>
    <w:p w14:paraId="4F750A4A">
      <w:pPr>
        <w:kinsoku/>
        <w:spacing w:beforeLines="0" w:afterLines="0"/>
        <w:ind w:firstLine="420"/>
        <w:jc w:val="left"/>
        <w:rPr>
          <w:color w:val="auto"/>
          <w:highlight w:val="none"/>
          <w:lang w:eastAsia="zh-CN"/>
        </w:rPr>
      </w:pPr>
    </w:p>
    <w:p w14:paraId="1034F2CA">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45685059">
      <w:pPr>
        <w:pStyle w:val="2"/>
        <w:kinsoku/>
        <w:spacing w:before="0" w:beforeLines="0" w:afterLines="0"/>
        <w:ind w:left="0"/>
        <w:jc w:val="center"/>
        <w:outlineLvl w:val="0"/>
        <w:rPr>
          <w:rFonts w:hint="eastAsia" w:cs="宋体"/>
          <w:b/>
          <w:bCs w:val="0"/>
          <w:color w:val="auto"/>
          <w:szCs w:val="32"/>
          <w:highlight w:val="none"/>
          <w:lang w:eastAsia="zh-CN"/>
        </w:rPr>
      </w:pPr>
      <w:bookmarkStart w:id="523" w:name="_Toc7569"/>
      <w:bookmarkStart w:id="524" w:name="_Toc5891"/>
      <w:bookmarkStart w:id="525" w:name="_Toc28519"/>
      <w:bookmarkStart w:id="526" w:name="_Toc13492"/>
      <w:bookmarkStart w:id="527" w:name="_Toc12846"/>
      <w:bookmarkStart w:id="528" w:name="_Toc4151"/>
      <w:bookmarkStart w:id="529" w:name="_Toc15438"/>
      <w:bookmarkStart w:id="530" w:name="_Toc1228"/>
      <w:bookmarkStart w:id="531" w:name="_Toc28298"/>
      <w:bookmarkStart w:id="532" w:name="_Toc29927"/>
      <w:bookmarkStart w:id="533" w:name="_Toc24522"/>
      <w:bookmarkStart w:id="534" w:name="_Toc21050"/>
      <w:bookmarkStart w:id="535" w:name="_Toc25226"/>
      <w:bookmarkStart w:id="536" w:name="_Toc25672"/>
      <w:bookmarkStart w:id="537" w:name="_Toc4650"/>
      <w:r>
        <w:rPr>
          <w:rFonts w:cs="宋体"/>
          <w:b/>
          <w:bCs w:val="0"/>
          <w:color w:val="auto"/>
          <w:spacing w:val="-5"/>
          <w:sz w:val="32"/>
          <w:szCs w:val="32"/>
          <w:highlight w:val="none"/>
          <w:lang w:eastAsia="zh-CN"/>
        </w:rPr>
        <w:t>第三章</w:t>
      </w:r>
      <w:r>
        <w:rPr>
          <w:rFonts w:hint="eastAsia" w:cs="宋体"/>
          <w:b/>
          <w:bCs w:val="0"/>
          <w:color w:val="auto"/>
          <w:szCs w:val="32"/>
          <w:highlight w:val="none"/>
          <w:lang w:eastAsia="zh-CN"/>
        </w:rPr>
        <w:t xml:space="preserve">  </w:t>
      </w:r>
      <w:r>
        <w:rPr>
          <w:rFonts w:cs="宋体"/>
          <w:b/>
          <w:bCs w:val="0"/>
          <w:color w:val="auto"/>
          <w:spacing w:val="-5"/>
          <w:sz w:val="32"/>
          <w:szCs w:val="32"/>
          <w:highlight w:val="none"/>
          <w:lang w:eastAsia="zh-CN"/>
        </w:rPr>
        <w:t>评标定标办法（综合评估法）</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19C0E4DC">
      <w:pPr>
        <w:pStyle w:val="3"/>
        <w:kinsoku/>
        <w:wordWrap/>
        <w:spacing w:before="0" w:beforeLines="0" w:afterLines="0"/>
        <w:ind w:left="0"/>
        <w:jc w:val="both"/>
        <w:outlineLvl w:val="1"/>
        <w:rPr>
          <w:rFonts w:cs="宋体"/>
          <w:b/>
          <w:bCs/>
          <w:color w:val="auto"/>
          <w:sz w:val="30"/>
          <w:szCs w:val="30"/>
          <w:highlight w:val="none"/>
          <w:lang w:eastAsia="zh-CN"/>
        </w:rPr>
      </w:pPr>
      <w:bookmarkStart w:id="538" w:name="_Toc22660"/>
      <w:bookmarkStart w:id="539" w:name="_Toc5766"/>
      <w:bookmarkStart w:id="540" w:name="_Toc11708"/>
      <w:bookmarkStart w:id="541" w:name="_Toc5877"/>
      <w:bookmarkStart w:id="542" w:name="_Toc15277"/>
      <w:bookmarkStart w:id="543" w:name="_Toc30024"/>
      <w:bookmarkStart w:id="544" w:name="_Toc5499"/>
      <w:bookmarkStart w:id="545" w:name="_Toc32309"/>
      <w:bookmarkStart w:id="546" w:name="_Toc14779"/>
      <w:bookmarkStart w:id="547" w:name="_Toc19728"/>
      <w:bookmarkStart w:id="548" w:name="_Toc17498"/>
      <w:bookmarkStart w:id="549" w:name="_Toc3980"/>
      <w:bookmarkStart w:id="550" w:name="_Toc29680"/>
      <w:bookmarkStart w:id="551" w:name="_Toc12697"/>
      <w:bookmarkStart w:id="552" w:name="_Toc6080"/>
      <w:r>
        <w:rPr>
          <w:rStyle w:val="60"/>
          <w:rFonts w:hint="eastAsia" w:ascii="宋体" w:hAnsi="宋体" w:eastAsia="宋体" w:cs="宋体"/>
          <w:b/>
          <w:bCs/>
          <w:color w:val="auto"/>
          <w:spacing w:val="-5"/>
          <w:sz w:val="30"/>
          <w:szCs w:val="30"/>
          <w:highlight w:val="none"/>
        </w:rPr>
        <w:t>1</w:t>
      </w:r>
      <w:r>
        <w:rPr>
          <w:rStyle w:val="60"/>
          <w:rFonts w:hint="eastAsia" w:cs="宋体"/>
          <w:b/>
          <w:bCs/>
          <w:color w:val="auto"/>
          <w:szCs w:val="30"/>
          <w:highlight w:val="none"/>
        </w:rPr>
        <w:t>　</w:t>
      </w:r>
      <w:r>
        <w:rPr>
          <w:rStyle w:val="60"/>
          <w:rFonts w:cs="宋体"/>
          <w:b/>
          <w:bCs/>
          <w:color w:val="auto"/>
          <w:spacing w:val="-5"/>
          <w:sz w:val="30"/>
          <w:szCs w:val="30"/>
          <w:highlight w:val="none"/>
        </w:rPr>
        <w:t>依据</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45A79546">
      <w:pPr>
        <w:kinsoku/>
        <w:spacing w:before="0"/>
        <w:ind w:left="0" w:firstLine="0"/>
        <w:rPr>
          <w:rFonts w:cs="宋体"/>
          <w:color w:val="auto"/>
          <w:spacing w:val="0"/>
          <w:highlight w:val="none"/>
          <w:lang w:eastAsia="zh-CN"/>
        </w:rPr>
      </w:pPr>
      <w:r>
        <w:rPr>
          <w:rFonts w:cs="宋体"/>
          <w:color w:val="auto"/>
          <w:spacing w:val="0"/>
          <w:highlight w:val="none"/>
          <w:lang w:eastAsia="zh-CN"/>
        </w:rPr>
        <w:t>为规范招标的评标工作，根据《中华人民共和国招标投标法》《中华人民共和国招标投标法实施条例》《评标委员会和评标办法暂行规定》（原国家发展计划委员会等七部委令第</w:t>
      </w:r>
      <w:r>
        <w:rPr>
          <w:rFonts w:ascii="宋体" w:hAnsi="Times New Roman" w:eastAsia="宋体" w:cs="Times New Roman"/>
          <w:color w:val="auto"/>
          <w:spacing w:val="0"/>
          <w:szCs w:val="21"/>
          <w:highlight w:val="none"/>
          <w:lang w:eastAsia="zh-CN"/>
        </w:rPr>
        <w:t>12</w:t>
      </w:r>
      <w:r>
        <w:rPr>
          <w:rFonts w:cs="宋体"/>
          <w:color w:val="auto"/>
          <w:spacing w:val="0"/>
          <w:highlight w:val="none"/>
          <w:lang w:eastAsia="zh-CN"/>
        </w:rPr>
        <w:t>号）、《工程建设项目施工招标投标办法》（原国家发展计划委员会等七部委令第</w:t>
      </w:r>
      <w:r>
        <w:rPr>
          <w:rFonts w:ascii="宋体" w:hAnsi="Times New Roman" w:eastAsia="宋体" w:cs="Times New Roman"/>
          <w:color w:val="auto"/>
          <w:spacing w:val="0"/>
          <w:szCs w:val="21"/>
          <w:highlight w:val="none"/>
          <w:lang w:eastAsia="zh-CN"/>
        </w:rPr>
        <w:t>30</w:t>
      </w:r>
      <w:r>
        <w:rPr>
          <w:rFonts w:cs="宋体"/>
          <w:color w:val="auto"/>
          <w:spacing w:val="0"/>
          <w:highlight w:val="none"/>
          <w:lang w:eastAsia="zh-CN"/>
        </w:rPr>
        <w:t>号）、《关于废止和修改部分招标投标规章和规范性文件的决定》（九部委第</w:t>
      </w:r>
      <w:r>
        <w:rPr>
          <w:rFonts w:ascii="宋体" w:hAnsi="Times New Roman" w:eastAsia="宋体" w:cs="Times New Roman"/>
          <w:color w:val="auto"/>
          <w:spacing w:val="0"/>
          <w:szCs w:val="21"/>
          <w:highlight w:val="none"/>
          <w:lang w:eastAsia="zh-CN"/>
        </w:rPr>
        <w:t>23</w:t>
      </w:r>
      <w:r>
        <w:rPr>
          <w:rFonts w:cs="宋体"/>
          <w:color w:val="auto"/>
          <w:spacing w:val="0"/>
          <w:highlight w:val="none"/>
          <w:lang w:eastAsia="zh-CN"/>
        </w:rPr>
        <w:t>号令）、《浙江省招标投标条例》等有关的法律、法规和规章制度规定，</w:t>
      </w:r>
      <w:r>
        <w:rPr>
          <w:rFonts w:cs="宋体"/>
          <w:color w:val="auto"/>
          <w:spacing w:val="0"/>
          <w:szCs w:val="21"/>
          <w:highlight w:val="none"/>
          <w:lang w:eastAsia="zh-CN"/>
        </w:rPr>
        <w:t>制定本办法。</w:t>
      </w:r>
    </w:p>
    <w:p w14:paraId="35ED8FC3">
      <w:pPr>
        <w:pStyle w:val="3"/>
        <w:kinsoku/>
        <w:wordWrap/>
        <w:spacing w:before="0" w:beforeLines="0" w:afterLines="0"/>
        <w:ind w:left="0"/>
        <w:jc w:val="both"/>
        <w:outlineLvl w:val="1"/>
        <w:rPr>
          <w:rFonts w:cs="宋体"/>
          <w:b/>
          <w:bCs/>
          <w:color w:val="auto"/>
          <w:sz w:val="30"/>
          <w:szCs w:val="30"/>
          <w:highlight w:val="none"/>
          <w:lang w:eastAsia="zh-CN"/>
        </w:rPr>
      </w:pPr>
      <w:bookmarkStart w:id="553" w:name="_Toc29847"/>
      <w:bookmarkStart w:id="554" w:name="_Toc3892"/>
      <w:bookmarkStart w:id="555" w:name="_Toc2268"/>
      <w:bookmarkStart w:id="556" w:name="_Toc17434"/>
      <w:bookmarkStart w:id="557" w:name="_Toc20667"/>
      <w:bookmarkStart w:id="558" w:name="_Toc15593"/>
      <w:bookmarkStart w:id="559" w:name="_Toc20652"/>
      <w:bookmarkStart w:id="560" w:name="_Toc21962"/>
      <w:bookmarkStart w:id="561" w:name="_Toc24476"/>
      <w:bookmarkStart w:id="562" w:name="_Toc15880"/>
      <w:bookmarkStart w:id="563" w:name="_Toc3343"/>
      <w:bookmarkStart w:id="564" w:name="_Toc22363"/>
      <w:bookmarkStart w:id="565" w:name="_Toc10806"/>
      <w:bookmarkStart w:id="566" w:name="_Toc21380"/>
      <w:bookmarkStart w:id="567" w:name="_Toc28071"/>
      <w:r>
        <w:rPr>
          <w:rStyle w:val="60"/>
          <w:rFonts w:hint="eastAsia" w:ascii="宋体" w:hAnsi="宋体" w:eastAsia="宋体" w:cs="宋体"/>
          <w:b/>
          <w:bCs/>
          <w:color w:val="auto"/>
          <w:spacing w:val="3"/>
          <w:sz w:val="30"/>
          <w:szCs w:val="30"/>
          <w:highlight w:val="none"/>
        </w:rPr>
        <w:t>2</w:t>
      </w:r>
      <w:r>
        <w:rPr>
          <w:rStyle w:val="60"/>
          <w:rFonts w:hint="eastAsia" w:cs="宋体"/>
          <w:b/>
          <w:bCs/>
          <w:color w:val="auto"/>
          <w:sz w:val="30"/>
          <w:szCs w:val="30"/>
          <w:highlight w:val="none"/>
        </w:rPr>
        <w:t>　</w:t>
      </w:r>
      <w:r>
        <w:rPr>
          <w:rStyle w:val="60"/>
          <w:rFonts w:cs="宋体"/>
          <w:b/>
          <w:bCs/>
          <w:color w:val="auto"/>
          <w:spacing w:val="3"/>
          <w:sz w:val="30"/>
          <w:szCs w:val="30"/>
          <w:highlight w:val="none"/>
        </w:rPr>
        <w:t>评标原则</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04FB0670">
      <w:pPr>
        <w:kinsoku/>
        <w:spacing w:before="0" w:beforeLines="0" w:afterLines="0"/>
        <w:ind w:left="0" w:firstLine="420"/>
        <w:jc w:val="left"/>
        <w:rPr>
          <w:rFonts w:cs="Arial"/>
          <w:color w:val="auto"/>
          <w:szCs w:val="21"/>
          <w:highlight w:val="none"/>
          <w:lang w:eastAsia="zh-CN"/>
        </w:rPr>
      </w:pPr>
      <w:r>
        <w:rPr>
          <w:rFonts w:cs="Arial"/>
          <w:color w:val="auto"/>
          <w:spacing w:val="0"/>
          <w:highlight w:val="none"/>
          <w:lang w:eastAsia="zh-CN"/>
        </w:rPr>
        <w:t>评标应遵循公平、公正、科学、择优的原则。</w:t>
      </w:r>
    </w:p>
    <w:p w14:paraId="1FE66C24">
      <w:pPr>
        <w:kinsoku/>
        <w:spacing w:before="0" w:beforeLines="0" w:afterLines="0"/>
        <w:ind w:firstLine="0" w:firstLineChars="0"/>
        <w:outlineLvl w:val="1"/>
        <w:rPr>
          <w:rFonts w:cs="宋体"/>
          <w:color w:val="auto"/>
          <w:sz w:val="24"/>
          <w:szCs w:val="24"/>
          <w:highlight w:val="none"/>
          <w:lang w:eastAsia="zh-CN"/>
        </w:rPr>
      </w:pPr>
      <w:bookmarkStart w:id="568" w:name="_Toc20472"/>
      <w:bookmarkStart w:id="569" w:name="_Toc31409"/>
      <w:bookmarkStart w:id="570" w:name="_Toc256"/>
      <w:bookmarkStart w:id="571" w:name="_Toc24190"/>
      <w:bookmarkStart w:id="572" w:name="_Toc11699"/>
      <w:bookmarkStart w:id="573" w:name="_Toc16047"/>
      <w:bookmarkStart w:id="574" w:name="_Toc24584"/>
      <w:bookmarkStart w:id="575" w:name="_Toc23178"/>
      <w:bookmarkStart w:id="576" w:name="_Toc2603"/>
      <w:bookmarkStart w:id="577" w:name="_Toc12965"/>
      <w:bookmarkStart w:id="578" w:name="_Toc10415"/>
      <w:bookmarkStart w:id="579" w:name="_Toc21731"/>
      <w:bookmarkStart w:id="580" w:name="_Toc24673"/>
      <w:bookmarkStart w:id="581" w:name="_Toc24379"/>
      <w:bookmarkStart w:id="582" w:name="_Toc9782"/>
      <w:r>
        <w:rPr>
          <w:rStyle w:val="60"/>
          <w:rFonts w:hint="eastAsia" w:ascii="宋体" w:hAnsi="宋体" w:eastAsia="宋体" w:cs="宋体"/>
          <w:b/>
          <w:bCs/>
          <w:color w:val="auto"/>
          <w:spacing w:val="4"/>
          <w:sz w:val="30"/>
          <w:szCs w:val="30"/>
          <w:highlight w:val="none"/>
          <w:lang w:eastAsia="zh-CN"/>
        </w:rPr>
        <w:t>3</w:t>
      </w:r>
      <w:r>
        <w:rPr>
          <w:rStyle w:val="60"/>
          <w:rFonts w:hint="eastAsia" w:cs="宋体"/>
          <w:b/>
          <w:bCs/>
          <w:color w:val="auto"/>
          <w:sz w:val="30"/>
          <w:szCs w:val="30"/>
          <w:highlight w:val="none"/>
          <w:lang w:eastAsia="zh-CN"/>
        </w:rPr>
        <w:t>　</w:t>
      </w:r>
      <w:r>
        <w:rPr>
          <w:rStyle w:val="60"/>
          <w:rFonts w:cs="宋体"/>
          <w:b/>
          <w:bCs/>
          <w:color w:val="auto"/>
          <w:spacing w:val="4"/>
          <w:sz w:val="30"/>
          <w:szCs w:val="30"/>
          <w:highlight w:val="none"/>
          <w:lang w:eastAsia="zh-CN"/>
        </w:rPr>
        <w:t>评标组织</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06CB9619">
      <w:pPr>
        <w:kinsoku/>
        <w:spacing w:before="0" w:beforeLines="0" w:afterLines="0"/>
        <w:ind w:left="0" w:firstLine="480"/>
        <w:jc w:val="left"/>
        <w:rPr>
          <w:rFonts w:cs="宋体"/>
          <w:color w:val="auto"/>
          <w:szCs w:val="21"/>
          <w:highlight w:val="none"/>
          <w:lang w:eastAsia="zh-CN"/>
        </w:rPr>
      </w:pPr>
      <w:r>
        <w:rPr>
          <w:rFonts w:cs="Arial"/>
          <w:color w:val="auto"/>
          <w:spacing w:val="0"/>
          <w:position w:val="0"/>
          <w:highlight w:val="none"/>
          <w:lang w:eastAsia="zh-CN"/>
        </w:rPr>
        <w:t>评标工作由招标人依法组建的评标委员会负责，评标委员会的组建办法详见投标</w:t>
      </w:r>
      <w:r>
        <w:rPr>
          <w:rFonts w:cs="宋体"/>
          <w:color w:val="auto"/>
          <w:spacing w:val="0"/>
          <w:szCs w:val="21"/>
          <w:highlight w:val="none"/>
          <w:lang w:eastAsia="zh-CN"/>
        </w:rPr>
        <w:t>人须知前附表。</w:t>
      </w:r>
    </w:p>
    <w:p w14:paraId="3524AA40">
      <w:pPr>
        <w:wordWrap/>
        <w:autoSpaceDE/>
        <w:autoSpaceDN/>
        <w:spacing w:beforeLines="0" w:afterLines="0"/>
        <w:outlineLvl w:val="9"/>
        <w:rPr>
          <w:rStyle w:val="60"/>
          <w:rFonts w:hint="eastAsia" w:ascii="宋体" w:hAnsi="宋体" w:cs="宋体"/>
          <w:b/>
          <w:bCs/>
          <w:snapToGrid w:val="0"/>
          <w:color w:val="auto"/>
          <w:sz w:val="30"/>
          <w:szCs w:val="30"/>
          <w:highlight w:val="none"/>
          <w:lang w:bidi="ar-SA"/>
        </w:rPr>
      </w:pPr>
      <w:bookmarkStart w:id="583" w:name="_Toc13401"/>
      <w:bookmarkStart w:id="584" w:name="_Toc19041"/>
      <w:bookmarkStart w:id="585" w:name="_Toc8202"/>
      <w:bookmarkStart w:id="586" w:name="_Toc24512"/>
      <w:bookmarkStart w:id="587" w:name="_Toc29041"/>
      <w:bookmarkStart w:id="588" w:name="_Toc23064"/>
      <w:bookmarkStart w:id="589" w:name="_Toc4760"/>
      <w:bookmarkStart w:id="590" w:name="_Toc15617"/>
      <w:bookmarkStart w:id="591" w:name="_Toc27492"/>
      <w:bookmarkStart w:id="592" w:name="_Toc11315"/>
    </w:p>
    <w:p w14:paraId="7C195620">
      <w:pPr>
        <w:pStyle w:val="3"/>
        <w:kinsoku/>
        <w:wordWrap/>
        <w:autoSpaceDE/>
        <w:autoSpaceDN/>
        <w:adjustRightInd w:val="0"/>
        <w:snapToGrid w:val="0"/>
        <w:spacing w:beforeLines="0" w:afterLines="0"/>
        <w:jc w:val="both"/>
        <w:textAlignment w:val="baseline"/>
        <w:rPr>
          <w:rStyle w:val="60"/>
          <w:rFonts w:hint="eastAsia" w:ascii="宋体" w:hAnsi="宋体" w:cs="宋体"/>
          <w:b/>
          <w:bCs/>
          <w:snapToGrid w:val="0"/>
          <w:color w:val="auto"/>
          <w:sz w:val="30"/>
          <w:szCs w:val="30"/>
          <w:highlight w:val="none"/>
          <w:lang w:bidi="ar-SA"/>
        </w:rPr>
      </w:pPr>
      <w:bookmarkStart w:id="593" w:name="_Toc10974"/>
      <w:bookmarkStart w:id="594" w:name="_Toc29368"/>
      <w:bookmarkStart w:id="595" w:name="_Toc31744"/>
      <w:bookmarkStart w:id="596" w:name="_Toc20584"/>
      <w:bookmarkStart w:id="597" w:name="_Toc28749"/>
      <w:r>
        <w:rPr>
          <w:rStyle w:val="60"/>
          <w:rFonts w:hint="eastAsia" w:ascii="宋体" w:hAnsi="宋体" w:cs="宋体"/>
          <w:b/>
          <w:bCs/>
          <w:snapToGrid w:val="0"/>
          <w:color w:val="auto"/>
          <w:sz w:val="30"/>
          <w:szCs w:val="30"/>
          <w:highlight w:val="none"/>
          <w:lang w:bidi="ar-SA"/>
        </w:rPr>
        <w:t>4</w:t>
      </w:r>
      <w:r>
        <w:rPr>
          <w:rStyle w:val="60"/>
          <w:rFonts w:hint="eastAsia" w:cs="宋体"/>
          <w:b/>
          <w:bCs/>
          <w:snapToGrid w:val="0"/>
          <w:color w:val="auto"/>
          <w:sz w:val="30"/>
          <w:szCs w:val="30"/>
          <w:highlight w:val="none"/>
          <w:lang w:bidi="ar-SA"/>
        </w:rPr>
        <w:t>　</w:t>
      </w:r>
      <w:r>
        <w:rPr>
          <w:rStyle w:val="60"/>
          <w:rFonts w:hint="eastAsia" w:ascii="宋体" w:hAnsi="宋体" w:cs="宋体"/>
          <w:b/>
          <w:bCs/>
          <w:snapToGrid w:val="0"/>
          <w:color w:val="auto"/>
          <w:sz w:val="30"/>
          <w:szCs w:val="30"/>
          <w:highlight w:val="none"/>
          <w:lang w:bidi="ar-SA"/>
        </w:rPr>
        <w:t>评标程序和内容</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225C7B19">
      <w:pPr>
        <w:pStyle w:val="4"/>
        <w:kinsoku/>
        <w:spacing w:before="0" w:beforeLines="0" w:afterLines="0"/>
        <w:ind w:left="0"/>
        <w:jc w:val="both"/>
        <w:rPr>
          <w:rFonts w:hint="eastAsia" w:ascii="宋体" w:hAnsi="宋体" w:eastAsia="宋体" w:cs="宋体"/>
          <w:b/>
          <w:bCs/>
          <w:color w:val="auto"/>
          <w:szCs w:val="24"/>
          <w:highlight w:val="none"/>
          <w:lang w:eastAsia="zh-CN"/>
        </w:rPr>
      </w:pPr>
      <w:bookmarkStart w:id="598" w:name="_Toc30241"/>
      <w:bookmarkStart w:id="599" w:name="_Toc30652"/>
      <w:bookmarkStart w:id="600" w:name="_Toc465"/>
      <w:r>
        <w:rPr>
          <w:rFonts w:hint="eastAsia" w:ascii="宋体" w:hAnsi="宋体" w:eastAsia="宋体" w:cs="宋体"/>
          <w:b/>
          <w:bCs/>
          <w:color w:val="auto"/>
          <w:spacing w:val="-2"/>
          <w:szCs w:val="24"/>
          <w:highlight w:val="none"/>
        </w:rPr>
        <w:t>4.1</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评标的一般程序</w:t>
      </w:r>
      <w:bookmarkEnd w:id="598"/>
      <w:bookmarkEnd w:id="599"/>
      <w:bookmarkEnd w:id="600"/>
    </w:p>
    <w:p w14:paraId="7609BC2A">
      <w:pPr>
        <w:kinsoku/>
        <w:spacing w:before="0" w:beforeLines="0" w:afterLines="0"/>
        <w:ind w:left="0" w:firstLine="420"/>
        <w:jc w:val="left"/>
        <w:rPr>
          <w:rFonts w:cs="宋体"/>
          <w:color w:val="auto"/>
          <w:szCs w:val="21"/>
          <w:highlight w:val="none"/>
          <w:lang w:eastAsia="zh-CN"/>
        </w:rPr>
      </w:pPr>
      <w:r>
        <w:rPr>
          <w:rFonts w:cs="宋体"/>
          <w:color w:val="auto"/>
          <w:spacing w:val="0"/>
          <w:position w:val="0"/>
          <w:highlight w:val="none"/>
          <w:lang w:eastAsia="zh-CN"/>
        </w:rPr>
        <w:t>（</w:t>
      </w:r>
      <w:r>
        <w:rPr>
          <w:rFonts w:ascii="宋体" w:hAnsi="Times New Roman" w:eastAsia="宋体" w:cs="Times New Roman"/>
          <w:color w:val="auto"/>
          <w:spacing w:val="0"/>
          <w:position w:val="0"/>
          <w:szCs w:val="21"/>
          <w:highlight w:val="none"/>
          <w:lang w:eastAsia="zh-CN"/>
        </w:rPr>
        <w:t>1</w:t>
      </w:r>
      <w:r>
        <w:rPr>
          <w:rFonts w:cs="宋体"/>
          <w:color w:val="auto"/>
          <w:spacing w:val="0"/>
          <w:position w:val="0"/>
          <w:highlight w:val="none"/>
          <w:lang w:eastAsia="zh-CN"/>
        </w:rPr>
        <w:t>）熟悉招标文件和评标办法。</w:t>
      </w:r>
    </w:p>
    <w:p w14:paraId="63E3CB8D">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）投标文件的符合性审查。</w:t>
      </w:r>
    </w:p>
    <w:p w14:paraId="1E377993">
      <w:pPr>
        <w:kinsoku/>
        <w:spacing w:before="0"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）投标文件的技术评审。</w:t>
      </w:r>
    </w:p>
    <w:p w14:paraId="2EBE743A">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4</w:t>
      </w:r>
      <w:r>
        <w:rPr>
          <w:rFonts w:cs="宋体"/>
          <w:color w:val="auto"/>
          <w:spacing w:val="0"/>
          <w:position w:val="0"/>
          <w:highlight w:val="none"/>
          <w:lang w:eastAsia="zh-CN"/>
        </w:rPr>
        <w:t>）投标文件的商务评审。</w:t>
      </w:r>
    </w:p>
    <w:p w14:paraId="2E9D87E6">
      <w:pPr>
        <w:kinsoku/>
        <w:spacing w:beforeLines="0" w:afterLines="0"/>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）投标文件的资信评审。</w:t>
      </w:r>
    </w:p>
    <w:p w14:paraId="3B989D4B">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6</w:t>
      </w:r>
      <w:r>
        <w:rPr>
          <w:rFonts w:cs="宋体"/>
          <w:color w:val="auto"/>
          <w:spacing w:val="0"/>
          <w:position w:val="0"/>
          <w:highlight w:val="none"/>
          <w:lang w:eastAsia="zh-CN"/>
        </w:rPr>
        <w:t>）必要时对投标文件中的问题进行询标，拟作出否决投标决定前，应对相关</w:t>
      </w:r>
      <w:r>
        <w:rPr>
          <w:rFonts w:cs="宋体"/>
          <w:color w:val="auto"/>
          <w:spacing w:val="0"/>
          <w:szCs w:val="21"/>
          <w:highlight w:val="none"/>
          <w:lang w:eastAsia="zh-CN"/>
        </w:rPr>
        <w:t>投标人进行询问核实。</w:t>
      </w:r>
    </w:p>
    <w:p w14:paraId="3883237E">
      <w:pPr>
        <w:kinsoku/>
        <w:spacing w:before="0" w:beforeLines="0" w:afterLines="0"/>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7</w:t>
      </w:r>
      <w:r>
        <w:rPr>
          <w:rFonts w:cs="宋体"/>
          <w:color w:val="auto"/>
          <w:spacing w:val="0"/>
          <w:position w:val="0"/>
          <w:highlight w:val="none"/>
          <w:lang w:eastAsia="zh-CN"/>
        </w:rPr>
        <w:t>）推荐中标候选人。</w:t>
      </w:r>
    </w:p>
    <w:p w14:paraId="32F981B2">
      <w:pPr>
        <w:kinsoku/>
        <w:spacing w:beforeLines="0" w:afterLines="0"/>
        <w:ind w:left="0" w:firstLine="420"/>
        <w:jc w:val="left"/>
        <w:rPr>
          <w:rFonts w:cs="Arial"/>
          <w:color w:val="auto"/>
          <w:spacing w:val="0"/>
          <w:szCs w:val="21"/>
          <w:highlight w:val="none"/>
          <w:lang w:eastAsia="zh-CN"/>
        </w:rPr>
      </w:pPr>
      <w:r>
        <w:rPr>
          <w:rFonts w:cs="Arial"/>
          <w:color w:val="auto"/>
          <w:spacing w:val="0"/>
          <w:szCs w:val="21"/>
          <w:highlight w:val="none"/>
          <w:lang w:eastAsia="zh-CN"/>
        </w:rPr>
        <w:t>（8）完成评标报告。</w:t>
      </w:r>
    </w:p>
    <w:p w14:paraId="6E55B697">
      <w:pPr>
        <w:kinsoku/>
        <w:spacing w:beforeLines="0" w:afterLines="0"/>
        <w:ind w:left="0" w:firstLine="420"/>
        <w:jc w:val="left"/>
        <w:rPr>
          <w:rFonts w:cs="Arial"/>
          <w:color w:val="auto"/>
          <w:spacing w:val="0"/>
          <w:szCs w:val="21"/>
          <w:highlight w:val="none"/>
          <w:lang w:eastAsia="zh-CN"/>
        </w:rPr>
      </w:pPr>
    </w:p>
    <w:p w14:paraId="11EA7010">
      <w:pPr>
        <w:kinsoku/>
        <w:spacing w:beforeLines="0" w:afterLines="0"/>
        <w:ind w:left="0" w:firstLine="420"/>
        <w:jc w:val="left"/>
        <w:rPr>
          <w:rFonts w:cs="Arial"/>
          <w:color w:val="auto"/>
          <w:szCs w:val="21"/>
          <w:highlight w:val="none"/>
          <w:lang w:eastAsia="zh-CN"/>
        </w:rPr>
      </w:pPr>
    </w:p>
    <w:p w14:paraId="612B7CB9">
      <w:pPr>
        <w:kinsoku/>
        <w:spacing w:before="0" w:beforeLines="0" w:afterLines="0" w:line="360" w:lineRule="auto"/>
        <w:ind w:left="0" w:firstLine="0" w:firstLineChars="0"/>
        <w:jc w:val="center"/>
        <w:outlineLvl w:val="3"/>
        <w:rPr>
          <w:rStyle w:val="41"/>
          <w:rFonts w:hint="eastAsia" w:ascii="宋体" w:hAnsi="宋体" w:cs="宋体"/>
          <w:b/>
          <w:bCs/>
          <w:color w:val="auto"/>
          <w:spacing w:val="7"/>
          <w:sz w:val="24"/>
          <w:szCs w:val="24"/>
          <w:highlight w:val="none"/>
          <w:lang w:eastAsia="zh-CN"/>
        </w:rPr>
      </w:pPr>
      <w:bookmarkStart w:id="601" w:name="_Toc7439"/>
      <w:bookmarkStart w:id="602" w:name="_Toc12011"/>
      <w:bookmarkStart w:id="603" w:name="_Toc1379"/>
      <w:r>
        <w:rPr>
          <w:rStyle w:val="41"/>
          <w:rFonts w:hint="eastAsia" w:cs="宋体"/>
          <w:b/>
          <w:bCs/>
          <w:color w:val="auto"/>
          <w:spacing w:val="7"/>
          <w:sz w:val="24"/>
          <w:szCs w:val="24"/>
          <w:highlight w:val="none"/>
          <w:lang w:val="en-US" w:eastAsia="zh-CN"/>
        </w:rPr>
        <w:t>方法四：</w:t>
      </w:r>
      <w:r>
        <w:rPr>
          <w:rStyle w:val="41"/>
          <w:rFonts w:hint="eastAsia" w:ascii="宋体" w:hAnsi="宋体" w:cs="宋体"/>
          <w:b/>
          <w:bCs/>
          <w:color w:val="auto"/>
          <w:spacing w:val="7"/>
          <w:sz w:val="24"/>
          <w:szCs w:val="24"/>
          <w:highlight w:val="none"/>
          <w:lang w:eastAsia="zh-CN"/>
        </w:rPr>
        <w:t>技术打分制的综合评估法</w:t>
      </w:r>
      <w:bookmarkEnd w:id="601"/>
      <w:bookmarkEnd w:id="602"/>
      <w:bookmarkEnd w:id="603"/>
    </w:p>
    <w:p w14:paraId="593D84A0">
      <w:pPr>
        <w:pStyle w:val="4"/>
        <w:kinsoku/>
        <w:spacing w:before="0" w:beforeLines="0" w:afterLines="0" w:line="360" w:lineRule="auto"/>
        <w:jc w:val="both"/>
        <w:rPr>
          <w:rFonts w:hint="eastAsia" w:ascii="宋体" w:hAnsi="宋体" w:eastAsia="宋体" w:cs="宋体"/>
          <w:b/>
          <w:bCs/>
          <w:color w:val="auto"/>
          <w:szCs w:val="24"/>
          <w:highlight w:val="none"/>
          <w:lang w:eastAsia="zh-CN"/>
        </w:rPr>
      </w:pPr>
      <w:r>
        <w:rPr>
          <w:rFonts w:hint="eastAsia" w:ascii="宋体" w:hAnsi="宋体" w:eastAsia="宋体" w:cs="宋体"/>
          <w:b/>
          <w:bCs/>
          <w:color w:val="auto"/>
          <w:spacing w:val="-2"/>
          <w:szCs w:val="24"/>
          <w:highlight w:val="none"/>
        </w:rPr>
        <w:t>4.2</w:t>
      </w:r>
      <w:r>
        <w:rPr>
          <w:rFonts w:hint="eastAsia" w:cs="宋体"/>
          <w:b/>
          <w:bCs/>
          <w:color w:val="auto"/>
          <w:spacing w:val="-2"/>
          <w:szCs w:val="24"/>
          <w:highlight w:val="none"/>
          <w:lang w:eastAsia="zh-CN"/>
        </w:rPr>
        <w:t>　</w:t>
      </w:r>
      <w:r>
        <w:rPr>
          <w:rFonts w:hint="eastAsia" w:ascii="宋体" w:hAnsi="宋体" w:eastAsia="宋体" w:cs="宋体"/>
          <w:b/>
          <w:bCs/>
          <w:color w:val="auto"/>
          <w:spacing w:val="-2"/>
          <w:szCs w:val="24"/>
          <w:highlight w:val="none"/>
        </w:rPr>
        <w:t>投标文件的符合性审查</w:t>
      </w:r>
    </w:p>
    <w:p w14:paraId="2803FF45">
      <w:pPr>
        <w:kinsoku/>
        <w:spacing w:beforeLines="0" w:afterLines="0" w:line="360" w:lineRule="auto"/>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4.2.1</w:t>
      </w:r>
      <w:r>
        <w:rPr>
          <w:rFonts w:hint="eastAsia" w:hAnsi="Times New Roman" w:cs="Times New Roman"/>
          <w:b/>
          <w:bCs/>
          <w:color w:val="auto"/>
          <w:spacing w:val="0"/>
          <w:szCs w:val="21"/>
          <w:highlight w:val="none"/>
          <w:lang w:eastAsia="zh-CN"/>
        </w:rPr>
        <w:t>　</w:t>
      </w:r>
      <w:r>
        <w:rPr>
          <w:rFonts w:cs="宋体"/>
          <w:color w:val="auto"/>
          <w:spacing w:val="0"/>
          <w:highlight w:val="none"/>
          <w:lang w:eastAsia="zh-CN"/>
        </w:rPr>
        <w:t>评标委员会应依照招标文件的要求和规定，首先对投标人的投标资格和投</w:t>
      </w:r>
      <w:r>
        <w:rPr>
          <w:rFonts w:cs="宋体"/>
          <w:color w:val="auto"/>
          <w:spacing w:val="0"/>
          <w:szCs w:val="21"/>
          <w:highlight w:val="none"/>
          <w:lang w:eastAsia="zh-CN"/>
        </w:rPr>
        <w:t>标文件进行符合性审查，符合性审查应包括三个方面内容：投标人资格审查、投标文件实质性格式要求响应性审查、投标文件实质性内容要求响应性审查。符合性审查未通过的投标文件不再进入后续评审。</w:t>
      </w:r>
    </w:p>
    <w:p w14:paraId="3C9C5043">
      <w:pPr>
        <w:kinsoku/>
        <w:spacing w:before="0" w:beforeLines="0" w:afterLines="0" w:line="360" w:lineRule="auto"/>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position w:val="0"/>
          <w:szCs w:val="21"/>
          <w:highlight w:val="none"/>
          <w:lang w:eastAsia="zh-CN"/>
        </w:rPr>
        <w:t>4.2.2</w:t>
      </w:r>
      <w:r>
        <w:rPr>
          <w:rFonts w:hint="eastAsia" w:hAnsi="Times New Roman" w:cs="Times New Roman"/>
          <w:b/>
          <w:bCs/>
          <w:color w:val="auto"/>
          <w:spacing w:val="0"/>
          <w:position w:val="0"/>
          <w:szCs w:val="21"/>
          <w:highlight w:val="none"/>
          <w:lang w:eastAsia="zh-CN"/>
        </w:rPr>
        <w:t>　</w:t>
      </w:r>
      <w:r>
        <w:rPr>
          <w:rFonts w:cs="宋体"/>
          <w:color w:val="auto"/>
          <w:spacing w:val="0"/>
          <w:position w:val="0"/>
          <w:highlight w:val="none"/>
          <w:lang w:eastAsia="zh-CN"/>
        </w:rPr>
        <w:t>投标人不得通过补充、修改或撤销投标文件中的内容使其成为实质性响应</w:t>
      </w:r>
      <w:r>
        <w:rPr>
          <w:rFonts w:cs="宋体"/>
          <w:color w:val="auto"/>
          <w:spacing w:val="0"/>
          <w:szCs w:val="21"/>
          <w:highlight w:val="none"/>
          <w:lang w:eastAsia="zh-CN"/>
        </w:rPr>
        <w:t>的投标。投标人在投标截止以后不得提交任何资料作为评标依据。</w:t>
      </w:r>
    </w:p>
    <w:p w14:paraId="759DA34B">
      <w:pPr>
        <w:kinsoku/>
        <w:spacing w:beforeLines="0" w:afterLines="0" w:line="360" w:lineRule="auto"/>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4.2.3</w:t>
      </w:r>
      <w:r>
        <w:rPr>
          <w:rFonts w:hint="eastAsia" w:hAnsi="Times New Roman" w:cs="Times New Roman"/>
          <w:b/>
          <w:bCs/>
          <w:color w:val="auto"/>
          <w:spacing w:val="0"/>
          <w:szCs w:val="21"/>
          <w:highlight w:val="none"/>
          <w:lang w:eastAsia="zh-CN"/>
        </w:rPr>
        <w:t>　</w:t>
      </w:r>
      <w:r>
        <w:rPr>
          <w:rFonts w:cs="宋体"/>
          <w:color w:val="auto"/>
          <w:spacing w:val="0"/>
          <w:highlight w:val="none"/>
          <w:lang w:eastAsia="zh-CN"/>
        </w:rPr>
        <w:t>投标文件如存在以下情况之一的，由评标委员会全体成员按照少数服从多</w:t>
      </w:r>
      <w:r>
        <w:rPr>
          <w:rFonts w:cs="宋体"/>
          <w:color w:val="auto"/>
          <w:spacing w:val="0"/>
          <w:szCs w:val="21"/>
          <w:highlight w:val="none"/>
          <w:lang w:eastAsia="zh-CN"/>
        </w:rPr>
        <w:t>数的原则记名投票（不得弃权）认定，作为符合性审查未通过予以否决其投标，不再进行技术和商务的评审：</w:t>
      </w:r>
    </w:p>
    <w:p w14:paraId="02AE37E1">
      <w:pPr>
        <w:kinsoku/>
        <w:spacing w:before="0" w:beforeLines="0" w:afterLines="0" w:line="360" w:lineRule="auto"/>
        <w:ind w:left="0" w:firstLine="420"/>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．技术标符合性审查未通过的情形：</w:t>
      </w:r>
    </w:p>
    <w:p w14:paraId="64E4021E">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1</w:t>
      </w:r>
      <w:r>
        <w:rPr>
          <w:rFonts w:cs="宋体"/>
          <w:color w:val="auto"/>
          <w:spacing w:val="0"/>
          <w:position w:val="0"/>
          <w:highlight w:val="none"/>
          <w:lang w:eastAsia="zh-CN"/>
        </w:rPr>
        <w:t>）投标人未按招标文件要求加盖单位印章或投标人的法定代表人（或其委托</w:t>
      </w:r>
      <w:r>
        <w:rPr>
          <w:rFonts w:cs="宋体"/>
          <w:color w:val="auto"/>
          <w:spacing w:val="0"/>
          <w:szCs w:val="21"/>
          <w:highlight w:val="none"/>
          <w:lang w:eastAsia="zh-CN"/>
        </w:rPr>
        <w:t>代理人）未按招标文件要求签字或盖章的。</w:t>
      </w:r>
    </w:p>
    <w:p w14:paraId="423572E4">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2</w:t>
      </w:r>
      <w:r>
        <w:rPr>
          <w:rFonts w:cs="宋体"/>
          <w:color w:val="auto"/>
          <w:spacing w:val="0"/>
          <w:position w:val="0"/>
          <w:highlight w:val="none"/>
          <w:lang w:eastAsia="zh-CN"/>
        </w:rPr>
        <w:t>）投标人法定代表人授权委托代理人签署投标文件，未提供有效授权委托书</w:t>
      </w:r>
      <w:r>
        <w:rPr>
          <w:rFonts w:cs="宋体"/>
          <w:color w:val="auto"/>
          <w:spacing w:val="0"/>
          <w:szCs w:val="21"/>
          <w:highlight w:val="none"/>
          <w:lang w:eastAsia="zh-CN"/>
        </w:rPr>
        <w:t>的或投标人法定代表人亲自签署投标文件，未提供法定代表人身份证明的。</w:t>
      </w:r>
    </w:p>
    <w:p w14:paraId="70037917">
      <w:pPr>
        <w:kinsoku/>
        <w:spacing w:before="0" w:beforeLines="0" w:afterLines="0" w:line="360" w:lineRule="auto"/>
        <w:ind w:left="0" w:firstLine="420"/>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）联合体投标未附有效的联合体协议书的。</w:t>
      </w:r>
    </w:p>
    <w:p w14:paraId="56E8E9B8">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4</w:t>
      </w:r>
      <w:r>
        <w:rPr>
          <w:rFonts w:cs="宋体"/>
          <w:color w:val="auto"/>
          <w:spacing w:val="0"/>
          <w:position w:val="0"/>
          <w:highlight w:val="none"/>
          <w:lang w:eastAsia="zh-CN"/>
        </w:rPr>
        <w:t>）投标人的投标资格不满足招标文件载明的强制性要求的（以投标人须知前</w:t>
      </w:r>
      <w:r>
        <w:rPr>
          <w:rFonts w:cs="宋体"/>
          <w:color w:val="auto"/>
          <w:spacing w:val="0"/>
          <w:szCs w:val="21"/>
          <w:highlight w:val="none"/>
          <w:lang w:eastAsia="zh-CN"/>
        </w:rPr>
        <w:t>附表第</w:t>
      </w:r>
      <w:r>
        <w:rPr>
          <w:rFonts w:ascii="宋体" w:hAnsi="Times New Roman" w:eastAsia="宋体" w:cs="Times New Roman"/>
          <w:color w:val="auto"/>
          <w:spacing w:val="0"/>
          <w:szCs w:val="21"/>
          <w:highlight w:val="none"/>
          <w:lang w:eastAsia="zh-CN"/>
        </w:rPr>
        <w:t>10.3</w:t>
      </w:r>
      <w:r>
        <w:rPr>
          <w:rFonts w:cs="宋体"/>
          <w:color w:val="auto"/>
          <w:spacing w:val="0"/>
          <w:highlight w:val="none"/>
          <w:lang w:eastAsia="zh-CN"/>
        </w:rPr>
        <w:t>款实质性响应招标文件资料为准），或不满足国家有关规定的。</w:t>
      </w:r>
    </w:p>
    <w:p w14:paraId="78FDFB35">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5</w:t>
      </w:r>
      <w:r>
        <w:rPr>
          <w:rFonts w:cs="宋体"/>
          <w:color w:val="auto"/>
          <w:spacing w:val="0"/>
          <w:position w:val="0"/>
          <w:highlight w:val="none"/>
          <w:lang w:eastAsia="zh-CN"/>
        </w:rPr>
        <w:t>）拟实行分包的，其分包的工作不满足招标文件载明的强制性要求的（以投</w:t>
      </w:r>
      <w:r>
        <w:rPr>
          <w:rFonts w:cs="宋体"/>
          <w:color w:val="auto"/>
          <w:spacing w:val="0"/>
          <w:szCs w:val="21"/>
          <w:highlight w:val="none"/>
          <w:lang w:eastAsia="zh-CN"/>
        </w:rPr>
        <w:t>标人须知前附表第</w:t>
      </w:r>
      <w:r>
        <w:rPr>
          <w:rFonts w:ascii="宋体" w:hAnsi="Times New Roman" w:eastAsia="宋体" w:cs="Times New Roman"/>
          <w:color w:val="auto"/>
          <w:spacing w:val="0"/>
          <w:szCs w:val="21"/>
          <w:highlight w:val="none"/>
          <w:lang w:eastAsia="zh-CN"/>
        </w:rPr>
        <w:t>1.11</w:t>
      </w:r>
      <w:r>
        <w:rPr>
          <w:rFonts w:cs="宋体"/>
          <w:color w:val="auto"/>
          <w:spacing w:val="0"/>
          <w:highlight w:val="none"/>
          <w:lang w:eastAsia="zh-CN"/>
        </w:rPr>
        <w:t>款为准）。</w:t>
      </w:r>
    </w:p>
    <w:p w14:paraId="55EECBF0">
      <w:pPr>
        <w:kinsoku/>
        <w:spacing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6</w:t>
      </w:r>
      <w:r>
        <w:rPr>
          <w:rFonts w:cs="宋体"/>
          <w:color w:val="auto"/>
          <w:spacing w:val="0"/>
          <w:position w:val="0"/>
          <w:highlight w:val="none"/>
          <w:lang w:eastAsia="zh-CN"/>
        </w:rPr>
        <w:t>）同一投标人提交两个以上不同的投标文件且未声明哪一个有效的（招标文</w:t>
      </w:r>
      <w:r>
        <w:rPr>
          <w:rFonts w:cs="宋体"/>
          <w:color w:val="auto"/>
          <w:spacing w:val="0"/>
          <w:szCs w:val="21"/>
          <w:highlight w:val="none"/>
          <w:lang w:eastAsia="zh-CN"/>
        </w:rPr>
        <w:t>件要求提交备选投标的除外）。</w:t>
      </w:r>
    </w:p>
    <w:p w14:paraId="3B359EC3">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7</w:t>
      </w:r>
      <w:r>
        <w:rPr>
          <w:rFonts w:cs="宋体"/>
          <w:color w:val="auto"/>
          <w:spacing w:val="0"/>
          <w:position w:val="0"/>
          <w:highlight w:val="none"/>
          <w:lang w:eastAsia="zh-CN"/>
        </w:rPr>
        <w:t>）投标人不以自己的名义或未按招标文件要求提供投标保证金或提供的投标</w:t>
      </w:r>
      <w:r>
        <w:rPr>
          <w:rFonts w:cs="宋体"/>
          <w:color w:val="auto"/>
          <w:spacing w:val="0"/>
          <w:szCs w:val="21"/>
          <w:highlight w:val="none"/>
          <w:lang w:eastAsia="zh-CN"/>
        </w:rPr>
        <w:t>保证金有缺陷而不能接受的。</w:t>
      </w:r>
    </w:p>
    <w:p w14:paraId="5F3B518B">
      <w:pPr>
        <w:kinsoku/>
        <w:spacing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8</w:t>
      </w:r>
      <w:r>
        <w:rPr>
          <w:rFonts w:cs="宋体"/>
          <w:color w:val="auto"/>
          <w:spacing w:val="0"/>
          <w:position w:val="0"/>
          <w:highlight w:val="none"/>
          <w:lang w:eastAsia="zh-CN"/>
        </w:rPr>
        <w:t>）投标工期和质量不满足招标文件要求的（以投标人须知前附表第</w:t>
      </w:r>
      <w:r>
        <w:rPr>
          <w:rFonts w:ascii="宋体" w:hAnsi="Times New Roman" w:eastAsia="宋体" w:cs="Times New Roman"/>
          <w:color w:val="auto"/>
          <w:spacing w:val="0"/>
          <w:position w:val="0"/>
          <w:szCs w:val="21"/>
          <w:highlight w:val="none"/>
          <w:lang w:eastAsia="zh-CN"/>
        </w:rPr>
        <w:t>1.3.2</w:t>
      </w:r>
      <w:r>
        <w:rPr>
          <w:rFonts w:cs="宋体"/>
          <w:color w:val="auto"/>
          <w:spacing w:val="0"/>
          <w:position w:val="0"/>
          <w:highlight w:val="none"/>
          <w:lang w:eastAsia="zh-CN"/>
        </w:rPr>
        <w:t>、</w:t>
      </w:r>
      <w:r>
        <w:rPr>
          <w:rFonts w:ascii="宋体" w:hAnsi="Times New Roman" w:eastAsia="宋体" w:cs="Times New Roman"/>
          <w:color w:val="auto"/>
          <w:spacing w:val="0"/>
          <w:position w:val="0"/>
          <w:szCs w:val="21"/>
          <w:highlight w:val="none"/>
          <w:lang w:eastAsia="zh-CN"/>
        </w:rPr>
        <w:t>1.3.3</w:t>
      </w:r>
      <w:r>
        <w:rPr>
          <w:rFonts w:cs="宋体"/>
          <w:color w:val="auto"/>
          <w:spacing w:val="0"/>
          <w:highlight w:val="none"/>
          <w:lang w:eastAsia="zh-CN"/>
        </w:rPr>
        <w:t>项为准）。</w:t>
      </w:r>
    </w:p>
    <w:p w14:paraId="7DC630DD">
      <w:pPr>
        <w:kinsoku/>
        <w:spacing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9</w:t>
      </w:r>
      <w:r>
        <w:rPr>
          <w:rFonts w:cs="宋体"/>
          <w:color w:val="auto"/>
          <w:spacing w:val="0"/>
          <w:position w:val="0"/>
          <w:highlight w:val="none"/>
          <w:lang w:eastAsia="zh-CN"/>
        </w:rPr>
        <w:t>）采用的验收标准或主要技术指标达不到国家强制性标准或招标文件以下条</w:t>
      </w:r>
      <w:r>
        <w:rPr>
          <w:rFonts w:cs="宋体"/>
          <w:color w:val="auto"/>
          <w:spacing w:val="0"/>
          <w:szCs w:val="21"/>
          <w:highlight w:val="none"/>
          <w:lang w:eastAsia="zh-CN"/>
        </w:rPr>
        <w:t>款规定的：</w:t>
      </w:r>
      <w:r>
        <w:rPr>
          <w:rFonts w:hint="eastAsia" w:cs="宋体"/>
          <w:color w:val="auto"/>
          <w:spacing w:val="0"/>
          <w:szCs w:val="21"/>
          <w:highlight w:val="none"/>
          <w:lang w:eastAsia="zh-CN"/>
        </w:rPr>
        <w:t>无</w:t>
      </w:r>
    </w:p>
    <w:p w14:paraId="6AF020C7">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10</w:t>
      </w:r>
      <w:r>
        <w:rPr>
          <w:rFonts w:cs="宋体"/>
          <w:color w:val="auto"/>
          <w:spacing w:val="0"/>
          <w:position w:val="0"/>
          <w:highlight w:val="none"/>
          <w:lang w:eastAsia="zh-CN"/>
        </w:rPr>
        <w:t>）采用的施工工艺、方法或质量安全管理措施不能满足国家强制性标准或</w:t>
      </w:r>
      <w:r>
        <w:rPr>
          <w:rFonts w:cs="宋体"/>
          <w:color w:val="auto"/>
          <w:spacing w:val="0"/>
          <w:szCs w:val="21"/>
          <w:highlight w:val="none"/>
          <w:lang w:eastAsia="zh-CN"/>
        </w:rPr>
        <w:t>要求的。</w:t>
      </w:r>
    </w:p>
    <w:p w14:paraId="60CDA318">
      <w:pPr>
        <w:kinsoku/>
        <w:spacing w:before="0" w:beforeLines="0" w:afterLines="0"/>
        <w:ind w:firstLine="420"/>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11</w:t>
      </w:r>
      <w:r>
        <w:rPr>
          <w:rFonts w:cs="宋体"/>
          <w:color w:val="auto"/>
          <w:highlight w:val="none"/>
          <w:lang w:eastAsia="zh-CN"/>
        </w:rPr>
        <w:t>）投标人存在投标人须知第</w:t>
      </w:r>
      <w:r>
        <w:rPr>
          <w:rFonts w:cs="宋体"/>
          <w:color w:val="auto"/>
          <w:szCs w:val="21"/>
          <w:highlight w:val="none"/>
          <w:lang w:eastAsia="zh-CN"/>
        </w:rPr>
        <w:t>“</w:t>
      </w:r>
      <w:r>
        <w:rPr>
          <w:rFonts w:ascii="宋体" w:hAnsi="Times New Roman" w:eastAsia="宋体" w:cs="Times New Roman"/>
          <w:color w:val="auto"/>
          <w:szCs w:val="21"/>
          <w:highlight w:val="none"/>
          <w:lang w:eastAsia="zh-CN"/>
        </w:rPr>
        <w:t xml:space="preserve">1.4.3 </w:t>
      </w:r>
      <w:r>
        <w:rPr>
          <w:rFonts w:cs="宋体"/>
          <w:color w:val="auto"/>
          <w:highlight w:val="none"/>
          <w:lang w:eastAsia="zh-CN"/>
        </w:rPr>
        <w:t>投标人不得存在下列情形之一</w:t>
      </w:r>
      <w:r>
        <w:rPr>
          <w:rFonts w:ascii="宋体" w:hAnsi="Times New Roman" w:eastAsia="宋体" w:cs="Times New Roman"/>
          <w:color w:val="auto"/>
          <w:szCs w:val="21"/>
          <w:highlight w:val="none"/>
          <w:lang w:eastAsia="zh-CN"/>
        </w:rPr>
        <w:t>”</w:t>
      </w:r>
      <w:r>
        <w:rPr>
          <w:rFonts w:cs="宋体"/>
          <w:color w:val="auto"/>
          <w:highlight w:val="none"/>
          <w:lang w:eastAsia="zh-CN"/>
        </w:rPr>
        <w:t>项或投</w:t>
      </w:r>
      <w:r>
        <w:rPr>
          <w:rFonts w:cs="宋体"/>
          <w:color w:val="auto"/>
          <w:szCs w:val="21"/>
          <w:highlight w:val="none"/>
          <w:lang w:eastAsia="zh-CN"/>
        </w:rPr>
        <w:t>标人须知</w:t>
      </w:r>
      <w:r>
        <w:rPr>
          <w:rFonts w:ascii="宋体" w:hAnsi="Times New Roman" w:eastAsia="宋体" w:cs="Times New Roman"/>
          <w:color w:val="auto"/>
          <w:szCs w:val="21"/>
          <w:highlight w:val="none"/>
          <w:lang w:eastAsia="zh-CN"/>
        </w:rPr>
        <w:t xml:space="preserve">“9.2 </w:t>
      </w:r>
      <w:r>
        <w:rPr>
          <w:rFonts w:cs="宋体"/>
          <w:color w:val="auto"/>
          <w:highlight w:val="none"/>
          <w:lang w:eastAsia="zh-CN"/>
        </w:rPr>
        <w:t>对投标人的纪律要求</w:t>
      </w:r>
      <w:r>
        <w:rPr>
          <w:rFonts w:ascii="宋体" w:hAnsi="Times New Roman" w:eastAsia="宋体" w:cs="Times New Roman"/>
          <w:color w:val="auto"/>
          <w:szCs w:val="21"/>
          <w:highlight w:val="none"/>
          <w:lang w:eastAsia="zh-CN"/>
        </w:rPr>
        <w:t>”</w:t>
      </w:r>
      <w:r>
        <w:rPr>
          <w:rFonts w:cs="宋体"/>
          <w:color w:val="auto"/>
          <w:highlight w:val="none"/>
          <w:lang w:eastAsia="zh-CN"/>
        </w:rPr>
        <w:t>项规定情形之一的。</w:t>
      </w:r>
    </w:p>
    <w:p w14:paraId="02B875AC">
      <w:pPr>
        <w:kinsoku/>
        <w:spacing w:before="0" w:beforeLines="0" w:afterLines="0" w:line="360" w:lineRule="auto"/>
        <w:ind w:firstLine="420"/>
        <w:rPr>
          <w:rFonts w:hint="eastAsia" w:cs="宋体"/>
          <w:color w:val="auto"/>
          <w:spacing w:val="0"/>
          <w:szCs w:val="21"/>
          <w:highlight w:val="none"/>
          <w:lang w:eastAsia="zh-CN"/>
        </w:rPr>
      </w:pPr>
      <w:r>
        <w:rPr>
          <w:rFonts w:hint="eastAsia" w:cs="宋体"/>
          <w:color w:val="auto"/>
          <w:spacing w:val="0"/>
          <w:szCs w:val="21"/>
          <w:highlight w:val="none"/>
          <w:lang w:eastAsia="zh-CN"/>
        </w:rPr>
        <w:t>（12）…</w:t>
      </w:r>
      <w:r>
        <w:rPr>
          <w:rFonts w:hint="eastAsia" w:cs="宋体"/>
          <w:color w:val="auto"/>
          <w:spacing w:val="0"/>
          <w:szCs w:val="21"/>
          <w:highlight w:val="none"/>
          <w:lang w:val="en-US" w:eastAsia="zh-CN"/>
        </w:rPr>
        <w:t>/</w:t>
      </w:r>
      <w:r>
        <w:rPr>
          <w:rFonts w:hint="eastAsia" w:cs="宋体"/>
          <w:color w:val="auto"/>
          <w:spacing w:val="0"/>
          <w:szCs w:val="21"/>
          <w:highlight w:val="none"/>
          <w:lang w:eastAsia="zh-CN"/>
        </w:rPr>
        <w:t>…（由招标人自行扩充）</w:t>
      </w:r>
    </w:p>
    <w:p w14:paraId="7BF888C7">
      <w:pPr>
        <w:kinsoku/>
        <w:spacing w:before="0" w:beforeLines="0" w:afterLines="0" w:line="360" w:lineRule="auto"/>
        <w:ind w:firstLine="420"/>
        <w:rPr>
          <w:rFonts w:cs="宋体"/>
          <w:color w:val="auto"/>
          <w:szCs w:val="21"/>
          <w:highlight w:val="none"/>
          <w:lang w:eastAsia="zh-CN"/>
        </w:rPr>
      </w:pPr>
      <w:r>
        <w:rPr>
          <w:rFonts w:cs="宋体"/>
          <w:color w:val="auto"/>
          <w:spacing w:val="0"/>
          <w:position w:val="0"/>
          <w:highlight w:val="none"/>
          <w:lang w:eastAsia="zh-CN"/>
        </w:rPr>
        <w:t>（</w:t>
      </w:r>
      <w:r>
        <w:rPr>
          <w:rFonts w:ascii="宋体" w:hAnsi="Times New Roman" w:eastAsia="宋体" w:cs="Times New Roman"/>
          <w:color w:val="auto"/>
          <w:spacing w:val="0"/>
          <w:position w:val="0"/>
          <w:szCs w:val="21"/>
          <w:highlight w:val="none"/>
          <w:lang w:eastAsia="zh-CN"/>
        </w:rPr>
        <w:t>13</w:t>
      </w:r>
      <w:r>
        <w:rPr>
          <w:rFonts w:cs="宋体"/>
          <w:color w:val="auto"/>
          <w:spacing w:val="0"/>
          <w:position w:val="0"/>
          <w:highlight w:val="none"/>
          <w:lang w:eastAsia="zh-CN"/>
        </w:rPr>
        <w:t>）存在法律、法规、规章规定的其他无效投标情况的。</w:t>
      </w:r>
    </w:p>
    <w:p w14:paraId="12D78D2A">
      <w:pPr>
        <w:kinsoku/>
        <w:spacing w:beforeLines="0" w:afterLines="0" w:line="360" w:lineRule="auto"/>
        <w:ind w:left="0" w:firstLine="420"/>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．商务标符合性审查未通过的情形：</w:t>
      </w:r>
    </w:p>
    <w:p w14:paraId="08E391A4">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1</w:t>
      </w:r>
      <w:r>
        <w:rPr>
          <w:rFonts w:cs="宋体"/>
          <w:color w:val="auto"/>
          <w:spacing w:val="0"/>
          <w:position w:val="0"/>
          <w:highlight w:val="none"/>
          <w:lang w:eastAsia="zh-CN"/>
        </w:rPr>
        <w:t>）投标人未按招标文件要求加盖单位印章或投标人的法定代表人（或其委托</w:t>
      </w:r>
      <w:r>
        <w:rPr>
          <w:rFonts w:cs="宋体"/>
          <w:color w:val="auto"/>
          <w:spacing w:val="0"/>
          <w:szCs w:val="21"/>
          <w:highlight w:val="none"/>
          <w:lang w:eastAsia="zh-CN"/>
        </w:rPr>
        <w:t>代理人）未按招标文件要求签字或盖章的</w:t>
      </w:r>
    </w:p>
    <w:p w14:paraId="5752AF3F">
      <w:pPr>
        <w:kinsoku/>
        <w:spacing w:before="0" w:beforeLines="0" w:afterLines="0" w:line="360" w:lineRule="auto"/>
        <w:ind w:left="0" w:firstLine="420"/>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2</w:t>
      </w:r>
      <w:r>
        <w:rPr>
          <w:rFonts w:cs="宋体"/>
          <w:color w:val="auto"/>
          <w:spacing w:val="0"/>
          <w:position w:val="0"/>
          <w:highlight w:val="none"/>
          <w:lang w:eastAsia="zh-CN"/>
        </w:rPr>
        <w:t>）同一投标人提交两个以上不同的投标报价且未声明哪一个有效的（招标文</w:t>
      </w:r>
      <w:r>
        <w:rPr>
          <w:rFonts w:cs="宋体"/>
          <w:color w:val="auto"/>
          <w:spacing w:val="0"/>
          <w:szCs w:val="21"/>
          <w:highlight w:val="none"/>
          <w:lang w:eastAsia="zh-CN"/>
        </w:rPr>
        <w:t>件要求提交备选投标的除外）。</w:t>
      </w:r>
    </w:p>
    <w:p w14:paraId="6D8A5E00">
      <w:pPr>
        <w:kinsoku/>
        <w:spacing w:before="0" w:beforeLines="0" w:afterLines="0" w:line="360" w:lineRule="auto"/>
        <w:ind w:left="0" w:firstLine="420"/>
        <w:rPr>
          <w:rFonts w:cs="宋体"/>
          <w:color w:val="auto"/>
          <w:spacing w:val="0"/>
          <w:position w:val="0"/>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3</w:t>
      </w:r>
      <w:r>
        <w:rPr>
          <w:rFonts w:cs="宋体"/>
          <w:color w:val="auto"/>
          <w:spacing w:val="0"/>
          <w:position w:val="0"/>
          <w:highlight w:val="none"/>
          <w:lang w:eastAsia="zh-CN"/>
        </w:rPr>
        <w:t>）投标函载明的投标工期和质量不满足招标文件要求的</w:t>
      </w:r>
      <w:r>
        <w:rPr>
          <w:rFonts w:hint="eastAsia" w:cs="宋体"/>
          <w:color w:val="auto"/>
          <w:spacing w:val="0"/>
          <w:position w:val="0"/>
          <w:highlight w:val="none"/>
          <w:lang w:eastAsia="zh-CN"/>
        </w:rPr>
        <w:t>（</w:t>
      </w:r>
      <w:r>
        <w:rPr>
          <w:rFonts w:cs="宋体"/>
          <w:color w:val="auto"/>
          <w:spacing w:val="0"/>
          <w:position w:val="0"/>
          <w:szCs w:val="21"/>
          <w:highlight w:val="none"/>
          <w:lang w:eastAsia="zh-CN"/>
        </w:rPr>
        <w:t>以投标人须知前附表第1.3.2、1.3.3项为准）。</w:t>
      </w:r>
    </w:p>
    <w:p w14:paraId="4D2491F5">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4</w:t>
      </w:r>
      <w:r>
        <w:rPr>
          <w:rFonts w:cs="宋体"/>
          <w:color w:val="auto"/>
          <w:spacing w:val="0"/>
          <w:highlight w:val="none"/>
          <w:lang w:eastAsia="zh-CN"/>
        </w:rPr>
        <w:t>）投标报价高于招标文件设定的最高投标限价的或分项限价的。</w:t>
      </w:r>
    </w:p>
    <w:p w14:paraId="1E6A224F">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）改变招标人提供的工程量清单中的项目编码、项目名</w:t>
      </w:r>
      <w:r>
        <w:rPr>
          <w:rFonts w:cs="宋体"/>
          <w:color w:val="auto"/>
          <w:szCs w:val="21"/>
          <w:highlight w:val="none"/>
          <w:lang w:eastAsia="zh-CN"/>
        </w:rPr>
        <w:t>称、项目主要特征、</w:t>
      </w:r>
      <w:r>
        <w:rPr>
          <w:rFonts w:cs="宋体"/>
          <w:color w:val="auto"/>
          <w:spacing w:val="0"/>
          <w:szCs w:val="21"/>
          <w:highlight w:val="none"/>
          <w:lang w:eastAsia="zh-CN"/>
        </w:rPr>
        <w:t>计量单位、工程数量、主要技术条款编码、金额等内容的（但按照国家规范所作的修改和招标文件规定的除外）。</w:t>
      </w:r>
    </w:p>
    <w:p w14:paraId="6697FF76">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6</w:t>
      </w:r>
      <w:r>
        <w:rPr>
          <w:rFonts w:cs="宋体"/>
          <w:color w:val="auto"/>
          <w:spacing w:val="0"/>
          <w:position w:val="0"/>
          <w:highlight w:val="none"/>
          <w:lang w:eastAsia="zh-CN"/>
        </w:rPr>
        <w:t>）投标人存在投标人须知</w:t>
      </w:r>
      <w:r>
        <w:rPr>
          <w:rFonts w:ascii="宋体" w:hAnsi="Times New Roman" w:eastAsia="宋体" w:cs="Times New Roman"/>
          <w:color w:val="auto"/>
          <w:spacing w:val="0"/>
          <w:position w:val="0"/>
          <w:szCs w:val="21"/>
          <w:highlight w:val="none"/>
          <w:lang w:eastAsia="zh-CN"/>
        </w:rPr>
        <w:t xml:space="preserve">“9.2 </w:t>
      </w:r>
      <w:r>
        <w:rPr>
          <w:rFonts w:cs="宋体"/>
          <w:color w:val="auto"/>
          <w:spacing w:val="0"/>
          <w:position w:val="0"/>
          <w:highlight w:val="none"/>
          <w:lang w:eastAsia="zh-CN"/>
        </w:rPr>
        <w:t>对投标人的纪律要求</w:t>
      </w:r>
      <w:r>
        <w:rPr>
          <w:rFonts w:ascii="宋体" w:hAnsi="Times New Roman" w:eastAsia="宋体" w:cs="Times New Roman"/>
          <w:color w:val="auto"/>
          <w:spacing w:val="0"/>
          <w:position w:val="0"/>
          <w:szCs w:val="21"/>
          <w:highlight w:val="none"/>
          <w:lang w:eastAsia="zh-CN"/>
        </w:rPr>
        <w:t>”</w:t>
      </w:r>
      <w:r>
        <w:rPr>
          <w:rFonts w:cs="宋体"/>
          <w:color w:val="auto"/>
          <w:spacing w:val="0"/>
          <w:position w:val="0"/>
          <w:highlight w:val="none"/>
          <w:lang w:eastAsia="zh-CN"/>
        </w:rPr>
        <w:t>项规定情形之一的。</w:t>
      </w:r>
    </w:p>
    <w:p w14:paraId="458713D1">
      <w:pPr>
        <w:kinsoku/>
        <w:spacing w:before="0" w:beforeLines="0" w:afterLines="0" w:line="360" w:lineRule="auto"/>
        <w:ind w:left="0" w:firstLine="420"/>
        <w:jc w:val="left"/>
        <w:rPr>
          <w:rFonts w:cs="宋体"/>
          <w:color w:val="auto"/>
          <w:sz w:val="24"/>
          <w:szCs w:val="24"/>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7</w:t>
      </w:r>
      <w:r>
        <w:rPr>
          <w:rFonts w:cs="宋体"/>
          <w:color w:val="auto"/>
          <w:spacing w:val="0"/>
          <w:highlight w:val="none"/>
          <w:lang w:eastAsia="zh-CN"/>
        </w:rPr>
        <w:t xml:space="preserve">） </w:t>
      </w:r>
      <w:r>
        <w:rPr>
          <w:rFonts w:ascii="宋体" w:hAnsi="Times New Roman" w:cs="Times New Roman"/>
          <w:color w:val="auto"/>
          <w:spacing w:val="0"/>
          <w:szCs w:val="21"/>
          <w:highlight w:val="none"/>
          <w:lang w:eastAsia="zh-CN"/>
        </w:rPr>
        <w:t xml:space="preserve">/  </w:t>
      </w:r>
      <w:r>
        <w:rPr>
          <w:rFonts w:cs="宋体"/>
          <w:color w:val="auto"/>
          <w:spacing w:val="0"/>
          <w:sz w:val="24"/>
          <w:szCs w:val="24"/>
          <w:highlight w:val="none"/>
          <w:lang w:eastAsia="zh-CN"/>
        </w:rPr>
        <w:t>（由招标人自行扩充）</w:t>
      </w:r>
    </w:p>
    <w:p w14:paraId="344314DF">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highlight w:val="none"/>
          <w:lang w:eastAsia="zh-CN"/>
        </w:rPr>
        <w:t>（</w:t>
      </w:r>
      <w:r>
        <w:rPr>
          <w:rFonts w:ascii="宋体" w:hAnsi="Times New Roman" w:eastAsia="宋体" w:cs="Times New Roman"/>
          <w:color w:val="auto"/>
          <w:spacing w:val="0"/>
          <w:szCs w:val="21"/>
          <w:highlight w:val="none"/>
          <w:lang w:eastAsia="zh-CN"/>
        </w:rPr>
        <w:t>8</w:t>
      </w:r>
      <w:r>
        <w:rPr>
          <w:rFonts w:cs="宋体"/>
          <w:color w:val="auto"/>
          <w:spacing w:val="0"/>
          <w:highlight w:val="none"/>
          <w:lang w:eastAsia="zh-CN"/>
        </w:rPr>
        <w:t>）存在法律、法规、规章规定的其他无效投标情况的。</w:t>
      </w:r>
    </w:p>
    <w:p w14:paraId="24AD5DC5">
      <w:pPr>
        <w:keepNext/>
        <w:keepLines/>
        <w:widowControl w:val="0"/>
        <w:kinsoku/>
        <w:adjustRightInd w:val="0"/>
        <w:snapToGrid w:val="0"/>
        <w:spacing w:before="0" w:beforeLines="0" w:afterLines="0" w:line="360" w:lineRule="auto"/>
        <w:ind w:left="0"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2"/>
          <w:sz w:val="24"/>
          <w:szCs w:val="24"/>
          <w:highlight w:val="none"/>
          <w:lang w:val="en-US" w:eastAsia="zh-CN" w:bidi="ar-SA"/>
        </w:rPr>
        <w:t>4.3　投标文件的技术评分</w:t>
      </w:r>
    </w:p>
    <w:p w14:paraId="084DFD27">
      <w:pPr>
        <w:kinsoku/>
        <w:spacing w:before="0" w:beforeLines="0" w:afterLines="0" w:line="360" w:lineRule="auto"/>
        <w:ind w:left="0" w:right="0" w:firstLine="420"/>
        <w:jc w:val="left"/>
        <w:rPr>
          <w:rFonts w:cs="宋体"/>
          <w:color w:val="auto"/>
          <w:spacing w:val="0"/>
          <w:sz w:val="24"/>
          <w:szCs w:val="24"/>
          <w:highlight w:val="none"/>
          <w:lang w:eastAsia="zh-CN"/>
        </w:rPr>
      </w:pPr>
      <w:r>
        <w:rPr>
          <w:rFonts w:cs="宋体"/>
          <w:color w:val="auto"/>
          <w:spacing w:val="0"/>
          <w:highlight w:val="none"/>
          <w:lang w:eastAsia="zh-CN"/>
        </w:rPr>
        <w:t>评标委员会对通过符合性评审的投标文件进行技术评分，评标专家对投标文件的技术部分进行详细评审后采用记名方式各自评分，技术评分为全体评标专家评分</w:t>
      </w:r>
      <w:r>
        <w:rPr>
          <w:rFonts w:cs="宋体"/>
          <w:color w:val="auto"/>
          <w:szCs w:val="21"/>
          <w:highlight w:val="none"/>
          <w:lang w:eastAsia="zh-CN"/>
        </w:rPr>
        <w:t>（扣除一个最高和一个最低分）的算术平均值（保留</w:t>
      </w:r>
      <w:r>
        <w:rPr>
          <w:rFonts w:ascii="宋体" w:hAnsi="Times New Roman" w:eastAsia="宋体" w:cs="Times New Roman"/>
          <w:color w:val="auto"/>
          <w:szCs w:val="21"/>
          <w:highlight w:val="none"/>
          <w:lang w:eastAsia="zh-CN"/>
        </w:rPr>
        <w:t>2</w:t>
      </w:r>
      <w:r>
        <w:rPr>
          <w:rFonts w:cs="宋体"/>
          <w:color w:val="auto"/>
          <w:highlight w:val="none"/>
          <w:lang w:eastAsia="zh-CN"/>
        </w:rPr>
        <w:t>位小数，四舍五入）。如某一</w:t>
      </w:r>
      <w:r>
        <w:rPr>
          <w:rFonts w:cs="宋体"/>
          <w:color w:val="auto"/>
          <w:spacing w:val="0"/>
          <w:szCs w:val="21"/>
          <w:highlight w:val="none"/>
          <w:lang w:eastAsia="zh-CN"/>
        </w:rPr>
        <w:t>份评分表的某一项评分，超过评分细则所规定的分值范围，则该份评分表无效。技术评分满分</w:t>
      </w:r>
      <w:r>
        <w:rPr>
          <w:rFonts w:hint="eastAsia" w:cs="宋体"/>
          <w:color w:val="auto"/>
          <w:spacing w:val="0"/>
          <w:szCs w:val="21"/>
          <w:highlight w:val="none"/>
          <w:lang w:val="en-US" w:eastAsia="zh-CN"/>
        </w:rPr>
        <w:t xml:space="preserve"> </w:t>
      </w:r>
      <w:r>
        <w:rPr>
          <w:rFonts w:cs="宋体"/>
          <w:color w:val="auto"/>
          <w:spacing w:val="0"/>
          <w:szCs w:val="21"/>
          <w:highlight w:val="none"/>
          <w:u w:val="single"/>
          <w:lang w:eastAsia="zh-CN"/>
        </w:rPr>
        <w:t>27</w:t>
      </w:r>
      <w:r>
        <w:rPr>
          <w:rFonts w:cs="宋体"/>
          <w:color w:val="auto"/>
          <w:spacing w:val="0"/>
          <w:szCs w:val="21"/>
          <w:highlight w:val="none"/>
          <w:lang w:eastAsia="zh-CN"/>
        </w:rPr>
        <w:t>分（与资信评分之和不得超过</w:t>
      </w:r>
      <w:r>
        <w:rPr>
          <w:rFonts w:ascii="宋体" w:hAnsi="Times New Roman" w:eastAsia="宋体" w:cs="Times New Roman"/>
          <w:color w:val="auto"/>
          <w:spacing w:val="0"/>
          <w:szCs w:val="21"/>
          <w:highlight w:val="none"/>
          <w:lang w:eastAsia="zh-CN"/>
        </w:rPr>
        <w:t>30</w:t>
      </w:r>
      <w:r>
        <w:rPr>
          <w:rFonts w:cs="宋体"/>
          <w:color w:val="auto"/>
          <w:spacing w:val="0"/>
          <w:sz w:val="24"/>
          <w:szCs w:val="24"/>
          <w:highlight w:val="none"/>
          <w:lang w:eastAsia="zh-CN"/>
        </w:rPr>
        <w:t>分，且各分项最低得分不得低于分项最高得分的</w:t>
      </w:r>
      <w:r>
        <w:rPr>
          <w:rFonts w:ascii="宋体" w:hAnsi="Times New Roman" w:eastAsia="宋体" w:cs="Times New Roman"/>
          <w:color w:val="auto"/>
          <w:spacing w:val="0"/>
          <w:szCs w:val="21"/>
          <w:highlight w:val="none"/>
          <w:lang w:eastAsia="zh-CN"/>
        </w:rPr>
        <w:t>60%</w:t>
      </w:r>
      <w:r>
        <w:rPr>
          <w:rFonts w:cs="宋体"/>
          <w:color w:val="auto"/>
          <w:spacing w:val="0"/>
          <w:sz w:val="24"/>
          <w:szCs w:val="24"/>
          <w:highlight w:val="none"/>
          <w:lang w:eastAsia="zh-CN"/>
        </w:rPr>
        <w:t>，缺项不受最低分限制按零分计）。</w:t>
      </w:r>
    </w:p>
    <w:p w14:paraId="5DFBC951">
      <w:pPr>
        <w:spacing w:beforeLines="0" w:afterLines="0"/>
        <w:ind w:firstLine="0" w:firstLineChars="0"/>
        <w:jc w:val="center"/>
        <w:rPr>
          <w:rFonts w:cs="宋体"/>
          <w:color w:val="auto"/>
          <w:spacing w:val="-12"/>
          <w:sz w:val="24"/>
          <w:szCs w:val="24"/>
          <w:highlight w:val="none"/>
        </w:rPr>
      </w:pPr>
      <w:r>
        <w:rPr>
          <w:rFonts w:hint="eastAsia" w:cs="宋体"/>
          <w:b/>
          <w:bCs/>
          <w:color w:val="auto"/>
          <w:spacing w:val="-12"/>
          <w:sz w:val="24"/>
          <w:szCs w:val="24"/>
          <w:highlight w:val="none"/>
        </w:rPr>
        <w:t>技术评分标准表</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867"/>
        <w:gridCol w:w="6505"/>
        <w:gridCol w:w="847"/>
        <w:gridCol w:w="901"/>
      </w:tblGrid>
      <w:tr w14:paraId="56C5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475" w:type="pct"/>
            <w:vMerge w:val="restart"/>
            <w:tcBorders>
              <w:tl2br w:val="nil"/>
              <w:tr2bl w:val="nil"/>
            </w:tcBorders>
            <w:vAlign w:val="center"/>
          </w:tcPr>
          <w:p w14:paraId="2F800363">
            <w:pPr>
              <w:wordWrap w:val="0"/>
              <w:overflowPunct w:val="0"/>
              <w:autoSpaceDE/>
              <w:autoSpaceDN/>
              <w:spacing w:beforeLines="0" w:afterLines="0" w:line="320" w:lineRule="exact"/>
              <w:ind w:firstLine="0" w:firstLineChars="0"/>
              <w:jc w:val="center"/>
              <w:rPr>
                <w:rFonts w:cs="宋体"/>
                <w:snapToGrid/>
                <w:color w:val="auto"/>
                <w:spacing w:val="0"/>
                <w:sz w:val="21"/>
                <w:highlight w:val="none"/>
                <w:lang w:eastAsia="zh-CN" w:bidi="en-US"/>
              </w:rPr>
            </w:pPr>
            <w:r>
              <w:rPr>
                <w:rFonts w:hint="eastAsia" w:cs="宋体"/>
                <w:color w:val="auto"/>
                <w:spacing w:val="0"/>
                <w:sz w:val="21"/>
                <w:highlight w:val="none"/>
                <w:lang w:eastAsia="zh-CN"/>
              </w:rPr>
              <w:t>序号</w:t>
            </w:r>
          </w:p>
        </w:tc>
        <w:tc>
          <w:tcPr>
            <w:tcW w:w="3565" w:type="pct"/>
            <w:vMerge w:val="restart"/>
            <w:tcBorders>
              <w:tl2br w:val="nil"/>
              <w:tr2bl w:val="nil"/>
            </w:tcBorders>
            <w:vAlign w:val="center"/>
          </w:tcPr>
          <w:p w14:paraId="33433DAD">
            <w:pPr>
              <w:wordWrap w:val="0"/>
              <w:overflowPunct w:val="0"/>
              <w:autoSpaceDE/>
              <w:autoSpaceDN/>
              <w:spacing w:beforeLines="0" w:afterLines="0" w:line="320" w:lineRule="exact"/>
              <w:ind w:firstLine="0" w:firstLineChars="0"/>
              <w:jc w:val="center"/>
              <w:rPr>
                <w:rFonts w:cs="宋体"/>
                <w:snapToGrid/>
                <w:color w:val="auto"/>
                <w:spacing w:val="0"/>
                <w:sz w:val="21"/>
                <w:highlight w:val="none"/>
                <w:lang w:eastAsia="zh-CN" w:bidi="en-US"/>
              </w:rPr>
            </w:pPr>
            <w:r>
              <w:rPr>
                <w:rFonts w:hint="eastAsia" w:cs="宋体"/>
                <w:color w:val="auto"/>
                <w:spacing w:val="0"/>
                <w:sz w:val="21"/>
                <w:highlight w:val="none"/>
                <w:lang w:eastAsia="zh-CN"/>
              </w:rPr>
              <w:t>内容要求</w:t>
            </w:r>
          </w:p>
        </w:tc>
        <w:tc>
          <w:tcPr>
            <w:tcW w:w="958" w:type="pct"/>
            <w:gridSpan w:val="2"/>
            <w:tcBorders>
              <w:tl2br w:val="nil"/>
              <w:tr2bl w:val="nil"/>
            </w:tcBorders>
            <w:vAlign w:val="center"/>
          </w:tcPr>
          <w:p w14:paraId="106533DD">
            <w:pPr>
              <w:wordWrap w:val="0"/>
              <w:overflowPunct w:val="0"/>
              <w:autoSpaceDE/>
              <w:autoSpaceDN/>
              <w:spacing w:beforeLines="0" w:afterLines="0" w:line="320" w:lineRule="exact"/>
              <w:ind w:firstLine="0" w:firstLineChars="0"/>
              <w:jc w:val="center"/>
              <w:rPr>
                <w:color w:val="auto"/>
                <w:sz w:val="21"/>
                <w:highlight w:val="none"/>
                <w:lang w:eastAsia="zh-CN"/>
              </w:rPr>
            </w:pPr>
            <w:r>
              <w:rPr>
                <w:rFonts w:hint="eastAsia" w:cs="宋体"/>
                <w:color w:val="auto"/>
                <w:spacing w:val="0"/>
                <w:sz w:val="21"/>
                <w:highlight w:val="none"/>
                <w:lang w:eastAsia="zh-CN"/>
              </w:rPr>
              <w:t>得分</w:t>
            </w:r>
          </w:p>
        </w:tc>
      </w:tr>
      <w:tr w14:paraId="4E79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475" w:type="pct"/>
            <w:vMerge w:val="continue"/>
            <w:tcBorders>
              <w:tl2br w:val="nil"/>
              <w:tr2bl w:val="nil"/>
            </w:tcBorders>
            <w:vAlign w:val="center"/>
          </w:tcPr>
          <w:p w14:paraId="064FEA15">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p>
        </w:tc>
        <w:tc>
          <w:tcPr>
            <w:tcW w:w="3565" w:type="pct"/>
            <w:vMerge w:val="continue"/>
            <w:tcBorders>
              <w:tl2br w:val="nil"/>
              <w:tr2bl w:val="nil"/>
            </w:tcBorders>
            <w:vAlign w:val="center"/>
          </w:tcPr>
          <w:p w14:paraId="4E36643E">
            <w:pPr>
              <w:wordWrap w:val="0"/>
              <w:overflowPunct w:val="0"/>
              <w:autoSpaceDE/>
              <w:autoSpaceDN/>
              <w:spacing w:beforeLines="0" w:afterLines="0" w:line="320" w:lineRule="exact"/>
              <w:ind w:firstLine="0" w:firstLineChars="0"/>
              <w:jc w:val="left"/>
              <w:rPr>
                <w:rFonts w:cs="宋体"/>
                <w:color w:val="auto"/>
                <w:spacing w:val="0"/>
                <w:sz w:val="21"/>
                <w:highlight w:val="none"/>
                <w:lang w:eastAsia="zh-CN"/>
              </w:rPr>
            </w:pPr>
          </w:p>
        </w:tc>
        <w:tc>
          <w:tcPr>
            <w:tcW w:w="464" w:type="pct"/>
            <w:tcBorders>
              <w:tl2br w:val="nil"/>
              <w:tr2bl w:val="nil"/>
            </w:tcBorders>
            <w:vAlign w:val="center"/>
          </w:tcPr>
          <w:p w14:paraId="3BF72576">
            <w:pPr>
              <w:wordWrap w:val="0"/>
              <w:overflowPunct w:val="0"/>
              <w:autoSpaceDE/>
              <w:autoSpaceDN/>
              <w:spacing w:beforeLines="0" w:afterLines="0" w:line="320" w:lineRule="exact"/>
              <w:ind w:firstLine="0" w:firstLineChars="0"/>
              <w:jc w:val="center"/>
              <w:rPr>
                <w:rFonts w:ascii="宋体" w:hAnsi="Times New Roman" w:cs="Mongolian Baiti"/>
                <w:b/>
                <w:bCs/>
                <w:snapToGrid/>
                <w:color w:val="auto"/>
                <w:sz w:val="21"/>
                <w:highlight w:val="none"/>
                <w:lang w:eastAsia="zh-CN" w:bidi="en-US"/>
              </w:rPr>
            </w:pPr>
            <w:r>
              <w:rPr>
                <w:rFonts w:hint="eastAsia" w:cs="宋体"/>
                <w:color w:val="auto"/>
                <w:spacing w:val="0"/>
                <w:sz w:val="21"/>
                <w:highlight w:val="none"/>
                <w:lang w:eastAsia="zh-CN"/>
              </w:rPr>
              <w:t>最高</w:t>
            </w:r>
          </w:p>
        </w:tc>
        <w:tc>
          <w:tcPr>
            <w:tcW w:w="493" w:type="pct"/>
            <w:tcBorders>
              <w:tl2br w:val="nil"/>
              <w:tr2bl w:val="nil"/>
            </w:tcBorders>
            <w:vAlign w:val="center"/>
          </w:tcPr>
          <w:p w14:paraId="55D57958">
            <w:pPr>
              <w:wordWrap w:val="0"/>
              <w:overflowPunct w:val="0"/>
              <w:autoSpaceDE/>
              <w:autoSpaceDN/>
              <w:spacing w:beforeLines="0" w:afterLines="0" w:line="320" w:lineRule="exact"/>
              <w:ind w:firstLine="0" w:firstLineChars="0"/>
              <w:jc w:val="center"/>
              <w:rPr>
                <w:rFonts w:ascii="宋体" w:hAnsi="Times New Roman" w:cs="Mongolian Baiti"/>
                <w:b/>
                <w:bCs/>
                <w:snapToGrid/>
                <w:color w:val="auto"/>
                <w:sz w:val="21"/>
                <w:highlight w:val="none"/>
                <w:lang w:eastAsia="zh-CN" w:bidi="en-US"/>
              </w:rPr>
            </w:pPr>
            <w:r>
              <w:rPr>
                <w:rFonts w:hint="eastAsia" w:cs="宋体"/>
                <w:color w:val="auto"/>
                <w:spacing w:val="0"/>
                <w:sz w:val="21"/>
                <w:highlight w:val="none"/>
                <w:lang w:eastAsia="zh-CN"/>
              </w:rPr>
              <w:t>最低</w:t>
            </w:r>
          </w:p>
        </w:tc>
      </w:tr>
      <w:tr w14:paraId="05B7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6F82F02F">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1</w:t>
            </w:r>
          </w:p>
        </w:tc>
        <w:tc>
          <w:tcPr>
            <w:tcW w:w="3565" w:type="pct"/>
            <w:tcBorders>
              <w:tl2br w:val="nil"/>
              <w:tr2bl w:val="nil"/>
            </w:tcBorders>
            <w:vAlign w:val="center"/>
          </w:tcPr>
          <w:p w14:paraId="6FF9D3B6">
            <w:pPr>
              <w:wordWrap w:val="0"/>
              <w:overflowPunct w:val="0"/>
              <w:autoSpaceDE/>
              <w:autoSpaceDN/>
              <w:spacing w:beforeLines="0" w:afterLines="0" w:line="320" w:lineRule="exact"/>
              <w:ind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项目管理人员的配备和专业配置（项目组织机构是否完整、各专业配置是否齐全，岗位职责是否明确，管理人员是否具有资格证书及职称）</w:t>
            </w:r>
          </w:p>
          <w:p w14:paraId="75A0E918">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一般：项目管理人员的配备和专业配置</w:t>
            </w:r>
            <w:r>
              <w:rPr>
                <w:rFonts w:hint="eastAsia" w:asciiTheme="minorEastAsia" w:hAnsiTheme="minorEastAsia" w:eastAsiaTheme="minorEastAsia" w:cstheme="minorEastAsia"/>
                <w:color w:val="auto"/>
                <w:spacing w:val="0"/>
                <w:sz w:val="21"/>
                <w:highlight w:val="none"/>
                <w:lang w:val="en-US" w:eastAsia="zh-CN"/>
              </w:rPr>
              <w:t>基本合理的（</w:t>
            </w:r>
            <w:r>
              <w:rPr>
                <w:rFonts w:hint="eastAsia" w:asciiTheme="minorEastAsia" w:hAnsiTheme="minorEastAsia" w:eastAsiaTheme="minorEastAsia" w:cstheme="minorEastAsia"/>
                <w:color w:val="auto"/>
                <w:spacing w:val="0"/>
                <w:sz w:val="21"/>
                <w:highlight w:val="none"/>
                <w:lang w:eastAsia="zh-CN"/>
              </w:rPr>
              <w:t>人员需配置项目负责人、技术负责人、质检员、施工员、</w:t>
            </w:r>
            <w:r>
              <w:rPr>
                <w:rFonts w:hint="eastAsia" w:asciiTheme="minorEastAsia" w:hAnsiTheme="minorEastAsia" w:eastAsiaTheme="minorEastAsia" w:cstheme="minorEastAsia"/>
                <w:color w:val="auto"/>
                <w:spacing w:val="0"/>
                <w:sz w:val="21"/>
                <w:highlight w:val="none"/>
                <w:lang w:val="en-US" w:eastAsia="zh-CN"/>
              </w:rPr>
              <w:t>安全员</w:t>
            </w:r>
            <w:r>
              <w:rPr>
                <w:rFonts w:hint="eastAsia" w:asciiTheme="minorEastAsia" w:hAnsiTheme="minorEastAsia" w:eastAsiaTheme="minorEastAsia" w:cstheme="minorEastAsia"/>
                <w:color w:val="auto"/>
                <w:spacing w:val="0"/>
                <w:sz w:val="21"/>
                <w:highlight w:val="none"/>
                <w:lang w:eastAsia="zh-CN"/>
              </w:rPr>
              <w:t>各1人，专职安全生产管理人员3人）</w:t>
            </w:r>
            <w:r>
              <w:rPr>
                <w:rFonts w:hint="eastAsia" w:asciiTheme="minorEastAsia" w:hAnsiTheme="minorEastAsia" w:eastAsiaTheme="minorEastAsia" w:cstheme="minorEastAsia"/>
                <w:color w:val="auto"/>
                <w:spacing w:val="0"/>
                <w:sz w:val="21"/>
                <w:highlight w:val="none"/>
                <w:lang w:val="en-US" w:eastAsia="zh-CN"/>
              </w:rPr>
              <w:t>，</w:t>
            </w:r>
            <w:r>
              <w:rPr>
                <w:rFonts w:hint="eastAsia" w:asciiTheme="minorEastAsia" w:hAnsiTheme="minorEastAsia" w:eastAsiaTheme="minorEastAsia" w:cstheme="minorEastAsia"/>
                <w:color w:val="auto"/>
                <w:spacing w:val="0"/>
                <w:sz w:val="21"/>
                <w:highlight w:val="none"/>
                <w:lang w:eastAsia="zh-CN"/>
              </w:rPr>
              <w:t>得分：【2.4-2.8）分</w:t>
            </w:r>
          </w:p>
          <w:p w14:paraId="5CABA9C4">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良好：项目管理人员的配备和专业配置</w:t>
            </w:r>
            <w:r>
              <w:rPr>
                <w:rFonts w:hint="eastAsia" w:asciiTheme="minorEastAsia" w:hAnsiTheme="minorEastAsia" w:eastAsiaTheme="minorEastAsia" w:cstheme="minorEastAsia"/>
                <w:color w:val="auto"/>
                <w:spacing w:val="0"/>
                <w:sz w:val="21"/>
                <w:highlight w:val="none"/>
                <w:lang w:val="en-US" w:eastAsia="zh-CN"/>
              </w:rPr>
              <w:t>相对合理的</w:t>
            </w:r>
            <w:r>
              <w:rPr>
                <w:rFonts w:hint="eastAsia" w:asciiTheme="minorEastAsia" w:hAnsiTheme="minorEastAsia" w:eastAsiaTheme="minorEastAsia" w:cstheme="minorEastAsia"/>
                <w:color w:val="auto"/>
                <w:spacing w:val="0"/>
                <w:sz w:val="21"/>
                <w:highlight w:val="none"/>
                <w:lang w:eastAsia="zh-CN"/>
              </w:rPr>
              <w:t>，</w:t>
            </w:r>
            <w:r>
              <w:rPr>
                <w:rFonts w:hint="eastAsia" w:asciiTheme="minorEastAsia" w:hAnsiTheme="minorEastAsia" w:eastAsiaTheme="minorEastAsia" w:cstheme="minorEastAsia"/>
                <w:color w:val="auto"/>
                <w:spacing w:val="0"/>
                <w:sz w:val="21"/>
                <w:highlight w:val="none"/>
                <w:lang w:val="en-US" w:eastAsia="zh-CN"/>
              </w:rPr>
              <w:t>且</w:t>
            </w:r>
            <w:r>
              <w:rPr>
                <w:rFonts w:hint="eastAsia" w:asciiTheme="minorEastAsia" w:hAnsiTheme="minorEastAsia" w:eastAsiaTheme="minorEastAsia" w:cstheme="minorEastAsia"/>
                <w:color w:val="auto"/>
                <w:spacing w:val="0"/>
                <w:sz w:val="21"/>
                <w:highlight w:val="none"/>
                <w:lang w:eastAsia="zh-CN"/>
              </w:rPr>
              <w:t>管理人员增加质检员、施工员、</w:t>
            </w:r>
            <w:r>
              <w:rPr>
                <w:rFonts w:hint="eastAsia" w:asciiTheme="minorEastAsia" w:hAnsiTheme="minorEastAsia" w:eastAsiaTheme="minorEastAsia" w:cstheme="minorEastAsia"/>
                <w:color w:val="auto"/>
                <w:spacing w:val="0"/>
                <w:sz w:val="21"/>
                <w:highlight w:val="none"/>
                <w:lang w:val="en-US" w:eastAsia="zh-CN"/>
              </w:rPr>
              <w:t>水利</w:t>
            </w:r>
            <w:r>
              <w:rPr>
                <w:rFonts w:hint="eastAsia" w:asciiTheme="minorEastAsia" w:hAnsiTheme="minorEastAsia" w:eastAsiaTheme="minorEastAsia" w:cstheme="minorEastAsia"/>
                <w:color w:val="auto"/>
                <w:spacing w:val="0"/>
                <w:sz w:val="21"/>
                <w:highlight w:val="none"/>
                <w:lang w:eastAsia="zh-CN"/>
              </w:rPr>
              <w:t>造价工程师各1人，得分：【2.8-3.6）分</w:t>
            </w:r>
          </w:p>
          <w:p w14:paraId="38F97AF9">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优秀：项目管理人员的配备和专业配置</w:t>
            </w:r>
            <w:r>
              <w:rPr>
                <w:rFonts w:hint="eastAsia" w:asciiTheme="minorEastAsia" w:hAnsiTheme="minorEastAsia" w:eastAsiaTheme="minorEastAsia" w:cstheme="minorEastAsia"/>
                <w:color w:val="auto"/>
                <w:spacing w:val="0"/>
                <w:sz w:val="21"/>
                <w:highlight w:val="none"/>
                <w:lang w:val="en-US" w:eastAsia="zh-CN"/>
              </w:rPr>
              <w:t>合理可行的</w:t>
            </w:r>
            <w:r>
              <w:rPr>
                <w:rFonts w:hint="eastAsia" w:asciiTheme="minorEastAsia" w:hAnsiTheme="minorEastAsia" w:eastAsiaTheme="minorEastAsia" w:cstheme="minorEastAsia"/>
                <w:color w:val="auto"/>
                <w:spacing w:val="0"/>
                <w:sz w:val="21"/>
                <w:highlight w:val="none"/>
                <w:lang w:eastAsia="zh-CN"/>
              </w:rPr>
              <w:t>，</w:t>
            </w:r>
            <w:r>
              <w:rPr>
                <w:rFonts w:hint="eastAsia" w:asciiTheme="minorEastAsia" w:hAnsiTheme="minorEastAsia" w:eastAsiaTheme="minorEastAsia" w:cstheme="minorEastAsia"/>
                <w:color w:val="auto"/>
                <w:spacing w:val="0"/>
                <w:sz w:val="21"/>
                <w:highlight w:val="none"/>
                <w:lang w:val="en-US" w:eastAsia="zh-CN"/>
              </w:rPr>
              <w:t>且管理人员增加</w:t>
            </w:r>
            <w:r>
              <w:rPr>
                <w:rFonts w:hint="eastAsia" w:asciiTheme="minorEastAsia" w:hAnsiTheme="minorEastAsia" w:eastAsiaTheme="minorEastAsia" w:cstheme="minorEastAsia"/>
                <w:color w:val="auto"/>
                <w:spacing w:val="0"/>
                <w:sz w:val="21"/>
                <w:highlight w:val="none"/>
                <w:lang w:eastAsia="zh-CN"/>
              </w:rPr>
              <w:t>质检员、施工员、</w:t>
            </w:r>
            <w:r>
              <w:rPr>
                <w:rFonts w:hint="eastAsia" w:asciiTheme="minorEastAsia" w:hAnsiTheme="minorEastAsia" w:eastAsiaTheme="minorEastAsia" w:cstheme="minorEastAsia"/>
                <w:color w:val="auto"/>
                <w:spacing w:val="0"/>
                <w:sz w:val="21"/>
                <w:highlight w:val="none"/>
                <w:lang w:val="en-US" w:eastAsia="zh-CN"/>
              </w:rPr>
              <w:t>水利</w:t>
            </w:r>
            <w:r>
              <w:rPr>
                <w:rFonts w:hint="eastAsia" w:asciiTheme="minorEastAsia" w:hAnsiTheme="minorEastAsia" w:eastAsiaTheme="minorEastAsia" w:cstheme="minorEastAsia"/>
                <w:color w:val="auto"/>
                <w:spacing w:val="0"/>
                <w:sz w:val="21"/>
                <w:highlight w:val="none"/>
                <w:lang w:eastAsia="zh-CN"/>
              </w:rPr>
              <w:t>造价工程师</w:t>
            </w:r>
            <w:r>
              <w:rPr>
                <w:rFonts w:hint="eastAsia" w:asciiTheme="minorEastAsia" w:hAnsiTheme="minorEastAsia" w:eastAsiaTheme="minorEastAsia" w:cstheme="minorEastAsia"/>
                <w:color w:val="auto"/>
                <w:spacing w:val="0"/>
                <w:sz w:val="21"/>
                <w:highlight w:val="none"/>
                <w:lang w:val="en-US" w:eastAsia="zh-CN"/>
              </w:rPr>
              <w:t>、</w:t>
            </w:r>
            <w:r>
              <w:rPr>
                <w:rFonts w:hint="eastAsia" w:asciiTheme="minorEastAsia" w:hAnsiTheme="minorEastAsia" w:eastAsiaTheme="minorEastAsia" w:cstheme="minorEastAsia"/>
                <w:color w:val="auto"/>
                <w:spacing w:val="0"/>
                <w:sz w:val="21"/>
                <w:highlight w:val="none"/>
                <w:lang w:eastAsia="zh-CN"/>
              </w:rPr>
              <w:t>安全员、</w:t>
            </w:r>
            <w:r>
              <w:rPr>
                <w:rFonts w:hint="eastAsia" w:asciiTheme="minorEastAsia" w:hAnsiTheme="minorEastAsia" w:eastAsiaTheme="minorEastAsia" w:cstheme="minorEastAsia"/>
                <w:color w:val="auto"/>
                <w:spacing w:val="0"/>
                <w:sz w:val="21"/>
                <w:highlight w:val="none"/>
                <w:lang w:val="en-US" w:eastAsia="zh-CN"/>
              </w:rPr>
              <w:t>地质工程师</w:t>
            </w:r>
            <w:r>
              <w:rPr>
                <w:rFonts w:hint="eastAsia" w:asciiTheme="minorEastAsia" w:hAnsiTheme="minorEastAsia" w:eastAsiaTheme="minorEastAsia" w:cstheme="minorEastAsia"/>
                <w:color w:val="auto"/>
                <w:spacing w:val="0"/>
                <w:sz w:val="21"/>
                <w:highlight w:val="none"/>
                <w:lang w:eastAsia="zh-CN"/>
              </w:rPr>
              <w:t>各1人，得分：【3.6-4】分</w:t>
            </w:r>
          </w:p>
          <w:p w14:paraId="2F8280CD">
            <w:pPr>
              <w:wordWrap w:val="0"/>
              <w:overflowPunct w:val="0"/>
              <w:autoSpaceDE/>
              <w:autoSpaceDN/>
              <w:spacing w:beforeLines="0" w:afterLines="0" w:line="320" w:lineRule="exact"/>
              <w:ind w:left="0" w:firstLine="0" w:firstLineChars="0"/>
              <w:jc w:val="left"/>
              <w:rPr>
                <w:rFonts w:hint="default" w:asciiTheme="minorEastAsia" w:hAnsiTheme="minorEastAsia" w:eastAsiaTheme="minorEastAsia" w:cstheme="minorEastAsia"/>
                <w:color w:val="auto"/>
                <w:spacing w:val="0"/>
                <w:sz w:val="21"/>
                <w:highlight w:val="none"/>
                <w:lang w:val="en-US" w:eastAsia="zh-CN"/>
              </w:rPr>
            </w:pPr>
            <w:r>
              <w:rPr>
                <w:rFonts w:hint="eastAsia" w:asciiTheme="minorEastAsia" w:hAnsiTheme="minorEastAsia" w:eastAsiaTheme="minorEastAsia" w:cstheme="minorEastAsia"/>
                <w:color w:val="auto"/>
                <w:spacing w:val="0"/>
                <w:sz w:val="21"/>
                <w:highlight w:val="none"/>
                <w:lang w:val="en-US" w:eastAsia="zh-CN"/>
              </w:rPr>
              <w:t>人员证明材料：①社保证明（</w:t>
            </w:r>
            <w:r>
              <w:rPr>
                <w:rFonts w:hint="eastAsia" w:asciiTheme="minorEastAsia" w:hAnsiTheme="minorEastAsia" w:eastAsiaTheme="minorEastAsia" w:cstheme="minorEastAsia"/>
                <w:color w:val="auto"/>
                <w:sz w:val="21"/>
                <w:highlight w:val="none"/>
                <w:lang w:eastAsia="zh-CN"/>
              </w:rPr>
              <w:t>2024年5月以来投标人为其缴纳的任意一个月的社保证明</w:t>
            </w:r>
            <w:r>
              <w:rPr>
                <w:rFonts w:hint="eastAsia" w:asciiTheme="minorEastAsia" w:hAnsiTheme="minorEastAsia" w:eastAsiaTheme="minorEastAsia" w:cstheme="minorEastAsia"/>
                <w:color w:val="auto"/>
                <w:spacing w:val="0"/>
                <w:sz w:val="21"/>
                <w:highlight w:val="none"/>
                <w:lang w:val="en-US" w:eastAsia="zh-CN"/>
              </w:rPr>
              <w:t>），②职称证书等；其中：</w:t>
            </w:r>
          </w:p>
          <w:p w14:paraId="0812CE28">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项目安全员、质检员和施工员的证明材料：中国水利工程协会或中国水利企业协会颁发的全国水利水电工程施工现场管理人员培训合格证书。</w:t>
            </w:r>
          </w:p>
          <w:p w14:paraId="4936A8B1">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水利造价工程师的证明材料：水利部颁发的水利工程专业一级造价工程师注册证书。</w:t>
            </w:r>
          </w:p>
          <w:p w14:paraId="2380694C">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地质工程师的证明材料：职称证书，如职称证书无法体现地质专业</w:t>
            </w:r>
          </w:p>
          <w:p w14:paraId="6D57F591">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eastAsia="zh-CN"/>
              </w:rPr>
              <w:t>的，可补充地质专业的学历证书。</w:t>
            </w:r>
          </w:p>
        </w:tc>
        <w:tc>
          <w:tcPr>
            <w:tcW w:w="464" w:type="pct"/>
            <w:tcBorders>
              <w:tl2br w:val="nil"/>
              <w:tr2bl w:val="nil"/>
            </w:tcBorders>
            <w:vAlign w:val="center"/>
          </w:tcPr>
          <w:p w14:paraId="797D4349">
            <w:pPr>
              <w:wordWrap w:val="0"/>
              <w:overflowPunct w:val="0"/>
              <w:autoSpaceDE/>
              <w:autoSpaceDN/>
              <w:spacing w:beforeLines="0" w:afterLines="0" w:line="320" w:lineRule="exact"/>
              <w:ind w:firstLine="0" w:firstLineChars="0"/>
              <w:jc w:val="center"/>
              <w:rPr>
                <w:rFonts w:ascii="宋体" w:eastAsia="宋体" w:hAnsiTheme="minorEastAsia" w:cstheme="minorEastAsia"/>
                <w:color w:val="auto"/>
                <w:spacing w:val="0"/>
                <w:sz w:val="21"/>
                <w:highlight w:val="none"/>
                <w:lang w:eastAsia="zh-CN"/>
              </w:rPr>
            </w:pPr>
            <w:r>
              <w:rPr>
                <w:rFonts w:ascii="宋体" w:eastAsia="宋体" w:hAnsiTheme="minorEastAsia" w:cstheme="minorEastAsia"/>
                <w:color w:val="auto"/>
                <w:sz w:val="21"/>
                <w:highlight w:val="none"/>
                <w:lang w:eastAsia="zh-CN"/>
              </w:rPr>
              <w:t>4</w:t>
            </w:r>
          </w:p>
        </w:tc>
        <w:tc>
          <w:tcPr>
            <w:tcW w:w="493" w:type="pct"/>
            <w:tcBorders>
              <w:tl2br w:val="nil"/>
              <w:tr2bl w:val="nil"/>
            </w:tcBorders>
            <w:vAlign w:val="center"/>
          </w:tcPr>
          <w:p w14:paraId="5C3B6C75">
            <w:pPr>
              <w:wordWrap w:val="0"/>
              <w:overflowPunct w:val="0"/>
              <w:autoSpaceDE/>
              <w:autoSpaceDN/>
              <w:spacing w:beforeLines="0" w:afterLines="0" w:line="320" w:lineRule="exact"/>
              <w:ind w:firstLine="0" w:firstLineChars="0"/>
              <w:jc w:val="center"/>
              <w:rPr>
                <w:rFonts w:ascii="宋体" w:eastAsia="宋体" w:hAnsiTheme="minorEastAsia" w:cstheme="minorEastAsia"/>
                <w:color w:val="auto"/>
                <w:spacing w:val="0"/>
                <w:sz w:val="21"/>
                <w:highlight w:val="none"/>
                <w:lang w:eastAsia="zh-CN"/>
              </w:rPr>
            </w:pPr>
            <w:r>
              <w:rPr>
                <w:rFonts w:ascii="宋体" w:eastAsia="宋体" w:hAnsiTheme="minorEastAsia" w:cstheme="minorEastAsia"/>
                <w:color w:val="auto"/>
                <w:spacing w:val="0"/>
                <w:sz w:val="21"/>
                <w:highlight w:val="none"/>
                <w:lang w:eastAsia="zh-CN"/>
              </w:rPr>
              <w:t>2.4</w:t>
            </w:r>
          </w:p>
        </w:tc>
      </w:tr>
      <w:tr w14:paraId="151C3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7C7DDAA4">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2</w:t>
            </w:r>
          </w:p>
        </w:tc>
        <w:tc>
          <w:tcPr>
            <w:tcW w:w="3565" w:type="pct"/>
            <w:tcBorders>
              <w:tl2br w:val="nil"/>
              <w:tr2bl w:val="nil"/>
            </w:tcBorders>
            <w:vAlign w:val="center"/>
          </w:tcPr>
          <w:p w14:paraId="0251E1BE">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施工总平面布置（总体规划布置包括但不限于工区布置、临时用电、交通组织、临时堆场布置、临建搭设规模及标准等方案是否合理。</w:t>
            </w:r>
          </w:p>
          <w:p w14:paraId="32E3F9C3">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（1）临时用电</w:t>
            </w:r>
          </w:p>
          <w:p w14:paraId="3BEFB189">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一般：布置基本合理，缺少详细负荷计算和应急预案。</w:t>
            </w:r>
          </w:p>
          <w:p w14:paraId="089913D2">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良好：布置</w:t>
            </w:r>
            <w:r>
              <w:rPr>
                <w:rFonts w:hint="eastAsia" w:asciiTheme="minorEastAsia" w:hAnsiTheme="minorEastAsia" w:eastAsiaTheme="minorEastAsia" w:cstheme="minorEastAsia"/>
                <w:snapToGrid w:val="0"/>
                <w:color w:val="auto"/>
                <w:sz w:val="21"/>
                <w:szCs w:val="20"/>
                <w:highlight w:val="none"/>
                <w:lang w:val="en-US" w:eastAsia="zh-CN" w:bidi="ar-SA"/>
              </w:rPr>
              <w:t>相对</w:t>
            </w:r>
            <w:r>
              <w:rPr>
                <w:rFonts w:hint="eastAsia" w:asciiTheme="minorEastAsia" w:hAnsiTheme="minorEastAsia" w:eastAsiaTheme="minorEastAsia" w:cstheme="minorEastAsia"/>
                <w:snapToGrid w:val="0"/>
                <w:color w:val="auto"/>
                <w:sz w:val="21"/>
                <w:szCs w:val="20"/>
                <w:highlight w:val="none"/>
                <w:lang w:val="en-US" w:eastAsia="en-US" w:bidi="ar-SA"/>
              </w:rPr>
              <w:t>合理，满足施工需要，电缆铺设规范，具备基本安全措施和应急预案。</w:t>
            </w:r>
          </w:p>
          <w:p w14:paraId="0C7BA455">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优秀：布置合理</w:t>
            </w:r>
            <w:r>
              <w:rPr>
                <w:rFonts w:hint="eastAsia" w:asciiTheme="minorEastAsia" w:hAnsiTheme="minorEastAsia" w:eastAsiaTheme="minorEastAsia" w:cstheme="minorEastAsia"/>
                <w:snapToGrid w:val="0"/>
                <w:color w:val="auto"/>
                <w:sz w:val="21"/>
                <w:szCs w:val="20"/>
                <w:highlight w:val="none"/>
                <w:lang w:val="en-US" w:eastAsia="zh-CN" w:bidi="ar-SA"/>
              </w:rPr>
              <w:t>可行</w:t>
            </w:r>
            <w:r>
              <w:rPr>
                <w:rFonts w:hint="eastAsia" w:asciiTheme="minorEastAsia" w:hAnsiTheme="minorEastAsia" w:eastAsiaTheme="minorEastAsia" w:cstheme="minorEastAsia"/>
                <w:snapToGrid w:val="0"/>
                <w:color w:val="auto"/>
                <w:sz w:val="21"/>
                <w:szCs w:val="20"/>
                <w:highlight w:val="none"/>
                <w:lang w:val="en-US" w:eastAsia="en-US" w:bidi="ar-SA"/>
              </w:rPr>
              <w:t>，完全满足所有规范，清晰标明电缆铺设路径、配电箱位置及用电负荷计算，规划明确，具备详细的应急预案。</w:t>
            </w:r>
          </w:p>
          <w:p w14:paraId="7A0A62EF">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（2）交通组织</w:t>
            </w:r>
          </w:p>
          <w:p w14:paraId="6484A956">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一般：布置</w:t>
            </w:r>
            <w:r>
              <w:rPr>
                <w:rFonts w:hint="eastAsia" w:asciiTheme="minorEastAsia" w:hAnsiTheme="minorEastAsia" w:eastAsiaTheme="minorEastAsia" w:cstheme="minorEastAsia"/>
                <w:snapToGrid w:val="0"/>
                <w:color w:val="auto"/>
                <w:sz w:val="21"/>
                <w:szCs w:val="20"/>
                <w:highlight w:val="none"/>
                <w:lang w:val="en-US" w:eastAsia="zh-CN" w:bidi="ar-SA"/>
              </w:rPr>
              <w:t>基本</w:t>
            </w:r>
            <w:r>
              <w:rPr>
                <w:rFonts w:hint="eastAsia" w:asciiTheme="minorEastAsia" w:hAnsiTheme="minorEastAsia" w:eastAsiaTheme="minorEastAsia" w:cstheme="minorEastAsia"/>
                <w:snapToGrid w:val="0"/>
                <w:color w:val="auto"/>
                <w:sz w:val="21"/>
                <w:szCs w:val="20"/>
                <w:highlight w:val="none"/>
                <w:lang w:val="en-US" w:eastAsia="en-US" w:bidi="ar-SA"/>
              </w:rPr>
              <w:t>合理，交通组织及维护方案不详细。</w:t>
            </w:r>
          </w:p>
          <w:p w14:paraId="235B0BCC">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良好：布置</w:t>
            </w:r>
            <w:r>
              <w:rPr>
                <w:rFonts w:hint="eastAsia" w:asciiTheme="minorEastAsia" w:hAnsiTheme="minorEastAsia" w:eastAsiaTheme="minorEastAsia" w:cstheme="minorEastAsia"/>
                <w:snapToGrid w:val="0"/>
                <w:color w:val="auto"/>
                <w:sz w:val="21"/>
                <w:szCs w:val="20"/>
                <w:highlight w:val="none"/>
                <w:lang w:val="en-US" w:eastAsia="zh-CN" w:bidi="ar-SA"/>
              </w:rPr>
              <w:t>相对</w:t>
            </w:r>
            <w:r>
              <w:rPr>
                <w:rFonts w:hint="eastAsia" w:asciiTheme="minorEastAsia" w:hAnsiTheme="minorEastAsia" w:eastAsiaTheme="minorEastAsia" w:cstheme="minorEastAsia"/>
                <w:snapToGrid w:val="0"/>
                <w:color w:val="auto"/>
                <w:sz w:val="21"/>
                <w:szCs w:val="20"/>
                <w:highlight w:val="none"/>
                <w:lang w:val="en-US" w:eastAsia="en-US" w:bidi="ar-SA"/>
              </w:rPr>
              <w:t>合理，满足施工运输要求，具备基本交通组织及维护方案。</w:t>
            </w:r>
          </w:p>
          <w:p w14:paraId="111600E6">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优秀：布置合理</w:t>
            </w:r>
            <w:r>
              <w:rPr>
                <w:rFonts w:hint="eastAsia" w:asciiTheme="minorEastAsia" w:hAnsiTheme="minorEastAsia" w:eastAsiaTheme="minorEastAsia" w:cstheme="minorEastAsia"/>
                <w:snapToGrid w:val="0"/>
                <w:color w:val="auto"/>
                <w:sz w:val="21"/>
                <w:szCs w:val="20"/>
                <w:highlight w:val="none"/>
                <w:lang w:val="en-US" w:eastAsia="zh-CN" w:bidi="ar-SA"/>
              </w:rPr>
              <w:t>可行</w:t>
            </w:r>
            <w:r>
              <w:rPr>
                <w:rFonts w:hint="eastAsia" w:asciiTheme="minorEastAsia" w:hAnsiTheme="minorEastAsia" w:eastAsiaTheme="minorEastAsia" w:cstheme="minorEastAsia"/>
                <w:snapToGrid w:val="0"/>
                <w:color w:val="auto"/>
                <w:sz w:val="21"/>
                <w:szCs w:val="20"/>
                <w:highlight w:val="none"/>
                <w:lang w:val="en-US" w:eastAsia="en-US" w:bidi="ar-SA"/>
              </w:rPr>
              <w:t>，符合施工需要，不影响进度，具备明确的交通组织及维护方案，布置图详细。</w:t>
            </w:r>
          </w:p>
          <w:p w14:paraId="69DEE379">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（3）临时堆场布置</w:t>
            </w:r>
          </w:p>
          <w:p w14:paraId="39779601">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一般：布置基本合理，缺乏充分的防护措施</w:t>
            </w:r>
            <w:r>
              <w:rPr>
                <w:rFonts w:hint="eastAsia" w:asciiTheme="minorEastAsia" w:hAnsiTheme="minorEastAsia" w:eastAsiaTheme="minorEastAsia" w:cstheme="minorEastAsia"/>
                <w:snapToGrid w:val="0"/>
                <w:color w:val="auto"/>
                <w:sz w:val="21"/>
                <w:szCs w:val="20"/>
                <w:highlight w:val="none"/>
                <w:lang w:val="en-US" w:eastAsia="zh-CN" w:bidi="ar-SA"/>
              </w:rPr>
              <w:t>，渣料处置方案基本合理</w:t>
            </w:r>
            <w:r>
              <w:rPr>
                <w:rFonts w:hint="eastAsia" w:asciiTheme="minorEastAsia" w:hAnsiTheme="minorEastAsia" w:eastAsiaTheme="minorEastAsia" w:cstheme="minorEastAsia"/>
                <w:snapToGrid w:val="0"/>
                <w:color w:val="auto"/>
                <w:sz w:val="21"/>
                <w:szCs w:val="20"/>
                <w:highlight w:val="none"/>
                <w:lang w:val="en-US" w:eastAsia="en-US" w:bidi="ar-SA"/>
              </w:rPr>
              <w:t>。</w:t>
            </w:r>
          </w:p>
          <w:p w14:paraId="5AC9EF06">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良好：布置</w:t>
            </w:r>
            <w:r>
              <w:rPr>
                <w:rFonts w:hint="eastAsia" w:asciiTheme="minorEastAsia" w:hAnsiTheme="minorEastAsia" w:eastAsiaTheme="minorEastAsia" w:cstheme="minorEastAsia"/>
                <w:snapToGrid w:val="0"/>
                <w:color w:val="auto"/>
                <w:sz w:val="21"/>
                <w:szCs w:val="20"/>
                <w:highlight w:val="none"/>
                <w:lang w:val="en-US" w:eastAsia="zh-CN" w:bidi="ar-SA"/>
              </w:rPr>
              <w:t>相对</w:t>
            </w:r>
            <w:r>
              <w:rPr>
                <w:rFonts w:hint="eastAsia" w:asciiTheme="minorEastAsia" w:hAnsiTheme="minorEastAsia" w:eastAsiaTheme="minorEastAsia" w:cstheme="minorEastAsia"/>
                <w:snapToGrid w:val="0"/>
                <w:color w:val="auto"/>
                <w:sz w:val="21"/>
                <w:szCs w:val="20"/>
                <w:highlight w:val="none"/>
                <w:lang w:val="en-US" w:eastAsia="en-US" w:bidi="ar-SA"/>
              </w:rPr>
              <w:t>合理，满足堆放需求，分区明确，有基本防护措施</w:t>
            </w:r>
            <w:r>
              <w:rPr>
                <w:rFonts w:hint="eastAsia" w:asciiTheme="minorEastAsia" w:hAnsiTheme="minorEastAsia" w:eastAsiaTheme="minorEastAsia" w:cstheme="minorEastAsia"/>
                <w:snapToGrid w:val="0"/>
                <w:color w:val="auto"/>
                <w:sz w:val="21"/>
                <w:szCs w:val="20"/>
                <w:highlight w:val="none"/>
                <w:lang w:val="en-US" w:eastAsia="zh-CN" w:bidi="ar-SA"/>
              </w:rPr>
              <w:t>，渣料处置方案相对合理</w:t>
            </w:r>
            <w:r>
              <w:rPr>
                <w:rFonts w:hint="eastAsia" w:asciiTheme="minorEastAsia" w:hAnsiTheme="minorEastAsia" w:eastAsiaTheme="minorEastAsia" w:cstheme="minorEastAsia"/>
                <w:snapToGrid w:val="0"/>
                <w:color w:val="auto"/>
                <w:sz w:val="21"/>
                <w:szCs w:val="20"/>
                <w:highlight w:val="none"/>
                <w:lang w:val="en-US" w:eastAsia="en-US" w:bidi="ar-SA"/>
              </w:rPr>
              <w:t>。</w:t>
            </w:r>
          </w:p>
          <w:p w14:paraId="23F401B5">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优秀：</w:t>
            </w:r>
            <w:r>
              <w:rPr>
                <w:rFonts w:hint="eastAsia" w:asciiTheme="minorEastAsia" w:hAnsiTheme="minorEastAsia" w:eastAsiaTheme="minorEastAsia" w:cstheme="minorEastAsia"/>
                <w:snapToGrid w:val="0"/>
                <w:color w:val="auto"/>
                <w:sz w:val="21"/>
                <w:szCs w:val="20"/>
                <w:highlight w:val="none"/>
                <w:lang w:val="en-US" w:eastAsia="zh-CN" w:bidi="ar-SA"/>
              </w:rPr>
              <w:t>布置</w:t>
            </w:r>
            <w:r>
              <w:rPr>
                <w:rFonts w:hint="eastAsia" w:asciiTheme="minorEastAsia" w:hAnsiTheme="minorEastAsia" w:eastAsiaTheme="minorEastAsia" w:cstheme="minorEastAsia"/>
                <w:snapToGrid w:val="0"/>
                <w:color w:val="auto"/>
                <w:sz w:val="21"/>
                <w:szCs w:val="20"/>
                <w:highlight w:val="none"/>
                <w:lang w:val="en-US" w:eastAsia="en-US" w:bidi="ar-SA"/>
              </w:rPr>
              <w:t>合理</w:t>
            </w:r>
            <w:r>
              <w:rPr>
                <w:rFonts w:hint="eastAsia" w:asciiTheme="minorEastAsia" w:hAnsiTheme="minorEastAsia" w:eastAsiaTheme="minorEastAsia" w:cstheme="minorEastAsia"/>
                <w:snapToGrid w:val="0"/>
                <w:color w:val="auto"/>
                <w:sz w:val="21"/>
                <w:szCs w:val="20"/>
                <w:highlight w:val="none"/>
                <w:lang w:val="en-US" w:eastAsia="zh-CN" w:bidi="ar-SA"/>
              </w:rPr>
              <w:t>可行</w:t>
            </w:r>
            <w:r>
              <w:rPr>
                <w:rFonts w:hint="eastAsia" w:asciiTheme="minorEastAsia" w:hAnsiTheme="minorEastAsia" w:eastAsiaTheme="minorEastAsia" w:cstheme="minorEastAsia"/>
                <w:snapToGrid w:val="0"/>
                <w:color w:val="auto"/>
                <w:sz w:val="21"/>
                <w:szCs w:val="20"/>
                <w:highlight w:val="none"/>
                <w:lang w:val="en-US" w:eastAsia="en-US" w:bidi="ar-SA"/>
              </w:rPr>
              <w:t>，材料分类管理，带有防护措施，布置图详尽</w:t>
            </w:r>
            <w:r>
              <w:rPr>
                <w:rFonts w:hint="eastAsia" w:asciiTheme="minorEastAsia" w:hAnsiTheme="minorEastAsia" w:eastAsiaTheme="minorEastAsia" w:cstheme="minorEastAsia"/>
                <w:snapToGrid w:val="0"/>
                <w:color w:val="auto"/>
                <w:sz w:val="21"/>
                <w:szCs w:val="20"/>
                <w:highlight w:val="none"/>
                <w:lang w:val="en-US" w:eastAsia="zh-CN" w:bidi="ar-SA"/>
              </w:rPr>
              <w:t>，渣料处置方案合理可行</w:t>
            </w:r>
            <w:r>
              <w:rPr>
                <w:rFonts w:hint="eastAsia" w:asciiTheme="minorEastAsia" w:hAnsiTheme="minorEastAsia" w:eastAsiaTheme="minorEastAsia" w:cstheme="minorEastAsia"/>
                <w:snapToGrid w:val="0"/>
                <w:color w:val="auto"/>
                <w:sz w:val="21"/>
                <w:szCs w:val="20"/>
                <w:highlight w:val="none"/>
                <w:lang w:val="en-US" w:eastAsia="en-US" w:bidi="ar-SA"/>
              </w:rPr>
              <w:t>。</w:t>
            </w:r>
          </w:p>
          <w:p w14:paraId="62B5A754">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（4）临建搭设规模及标准</w:t>
            </w:r>
          </w:p>
          <w:p w14:paraId="1DA8FC46">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一般：</w:t>
            </w:r>
            <w:r>
              <w:rPr>
                <w:rFonts w:hint="eastAsia" w:asciiTheme="minorEastAsia" w:hAnsiTheme="minorEastAsia" w:eastAsiaTheme="minorEastAsia" w:cstheme="minorEastAsia"/>
                <w:snapToGrid w:val="0"/>
                <w:color w:val="auto"/>
                <w:sz w:val="21"/>
                <w:szCs w:val="20"/>
                <w:highlight w:val="none"/>
                <w:lang w:val="en-US" w:eastAsia="zh-CN" w:bidi="ar-SA"/>
              </w:rPr>
              <w:t>基本合理，</w:t>
            </w:r>
            <w:r>
              <w:rPr>
                <w:rFonts w:hint="eastAsia" w:asciiTheme="minorEastAsia" w:hAnsiTheme="minorEastAsia" w:eastAsiaTheme="minorEastAsia" w:cstheme="minorEastAsia"/>
                <w:snapToGrid w:val="0"/>
                <w:color w:val="auto"/>
                <w:sz w:val="21"/>
                <w:szCs w:val="20"/>
                <w:highlight w:val="none"/>
                <w:lang w:val="en-US" w:eastAsia="en-US" w:bidi="ar-SA"/>
              </w:rPr>
              <w:t>基本符合要求，但搭设质量较低。</w:t>
            </w:r>
          </w:p>
          <w:p w14:paraId="7F037664">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良好：</w:t>
            </w:r>
            <w:r>
              <w:rPr>
                <w:rFonts w:hint="eastAsia" w:asciiTheme="minorEastAsia" w:hAnsiTheme="minorEastAsia" w:eastAsiaTheme="minorEastAsia" w:cstheme="minorEastAsia"/>
                <w:snapToGrid w:val="0"/>
                <w:color w:val="auto"/>
                <w:sz w:val="21"/>
                <w:szCs w:val="20"/>
                <w:highlight w:val="none"/>
                <w:lang w:val="en-US" w:eastAsia="zh-CN" w:bidi="ar-SA"/>
              </w:rPr>
              <w:t>相对合理，</w:t>
            </w:r>
            <w:r>
              <w:rPr>
                <w:rFonts w:hint="eastAsia" w:asciiTheme="minorEastAsia" w:hAnsiTheme="minorEastAsia" w:eastAsiaTheme="minorEastAsia" w:cstheme="minorEastAsia"/>
                <w:snapToGrid w:val="0"/>
                <w:color w:val="auto"/>
                <w:sz w:val="21"/>
                <w:szCs w:val="20"/>
                <w:highlight w:val="none"/>
                <w:lang w:val="en-US" w:eastAsia="en-US" w:bidi="ar-SA"/>
              </w:rPr>
              <w:t>符合要求，图纸齐全但不含市政和景观内容。</w:t>
            </w:r>
          </w:p>
          <w:p w14:paraId="2FF86DD0">
            <w:pPr>
              <w:kinsoku/>
              <w:autoSpaceDE/>
              <w:autoSpaceDN/>
              <w:adjustRightInd w:val="0"/>
              <w:snapToGrid w:val="0"/>
              <w:spacing w:beforeLines="0" w:afterLines="0" w:line="320" w:lineRule="exact"/>
              <w:ind w:left="630" w:hanging="630" w:hangingChars="30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优秀：</w:t>
            </w:r>
            <w:r>
              <w:rPr>
                <w:rFonts w:hint="eastAsia" w:asciiTheme="minorEastAsia" w:hAnsiTheme="minorEastAsia" w:eastAsiaTheme="minorEastAsia" w:cstheme="minorEastAsia"/>
                <w:snapToGrid w:val="0"/>
                <w:color w:val="auto"/>
                <w:sz w:val="21"/>
                <w:szCs w:val="20"/>
                <w:highlight w:val="none"/>
                <w:lang w:val="en-US" w:eastAsia="zh-CN" w:bidi="ar-SA"/>
              </w:rPr>
              <w:t>合理可行，</w:t>
            </w:r>
            <w:r>
              <w:rPr>
                <w:rFonts w:hint="eastAsia" w:asciiTheme="minorEastAsia" w:hAnsiTheme="minorEastAsia" w:eastAsiaTheme="minorEastAsia" w:cstheme="minorEastAsia"/>
                <w:snapToGrid w:val="0"/>
                <w:color w:val="auto"/>
                <w:sz w:val="21"/>
                <w:szCs w:val="20"/>
                <w:highlight w:val="none"/>
                <w:lang w:val="en-US" w:eastAsia="en-US" w:bidi="ar-SA"/>
              </w:rPr>
              <w:t>符合规划要求，搭设质量高，符合安全、卫生和环保规定，图纸详尽，同时包含景观和市政图纸。</w:t>
            </w:r>
          </w:p>
          <w:p w14:paraId="6838E407">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（5）总评价标准</w:t>
            </w:r>
          </w:p>
          <w:p w14:paraId="4831583D">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一般：基本符合要求</w:t>
            </w:r>
            <w:r>
              <w:rPr>
                <w:rFonts w:hint="eastAsia" w:asciiTheme="minorEastAsia" w:hAnsiTheme="minorEastAsia" w:eastAsiaTheme="minorEastAsia" w:cstheme="minorEastAsia"/>
                <w:snapToGrid w:val="0"/>
                <w:color w:val="auto"/>
                <w:sz w:val="21"/>
                <w:szCs w:val="20"/>
                <w:highlight w:val="none"/>
                <w:lang w:val="en-US" w:eastAsia="zh-CN" w:bidi="ar-SA"/>
              </w:rPr>
              <w:t>的</w:t>
            </w:r>
            <w:r>
              <w:rPr>
                <w:rFonts w:hint="eastAsia" w:asciiTheme="minorEastAsia" w:hAnsiTheme="minorEastAsia" w:eastAsiaTheme="minorEastAsia" w:cstheme="minorEastAsia"/>
                <w:snapToGrid w:val="0"/>
                <w:color w:val="auto"/>
                <w:sz w:val="21"/>
                <w:szCs w:val="20"/>
                <w:highlight w:val="none"/>
                <w:lang w:val="en-US" w:eastAsia="en-US" w:bidi="ar-SA"/>
              </w:rPr>
              <w:t>，得分：</w:t>
            </w:r>
            <w:r>
              <w:rPr>
                <w:rFonts w:hint="eastAsia" w:asciiTheme="minorEastAsia" w:hAnsiTheme="minorEastAsia" w:eastAsiaTheme="minorEastAsia" w:cstheme="minorEastAsia"/>
                <w:snapToGrid w:val="0"/>
                <w:color w:val="auto"/>
                <w:sz w:val="21"/>
                <w:szCs w:val="20"/>
                <w:highlight w:val="none"/>
                <w:lang w:val="en-US" w:eastAsia="zh-CN" w:bidi="ar-SA"/>
              </w:rPr>
              <w:t>【</w:t>
            </w:r>
            <w:r>
              <w:rPr>
                <w:rFonts w:hint="eastAsia" w:asciiTheme="minorEastAsia" w:hAnsiTheme="minorEastAsia" w:eastAsiaTheme="minorEastAsia" w:cstheme="minorEastAsia"/>
                <w:snapToGrid w:val="0"/>
                <w:color w:val="auto"/>
                <w:sz w:val="21"/>
                <w:szCs w:val="20"/>
                <w:highlight w:val="none"/>
                <w:lang w:val="en-US" w:eastAsia="en-US" w:bidi="ar-SA"/>
              </w:rPr>
              <w:t>1.</w:t>
            </w:r>
            <w:r>
              <w:rPr>
                <w:rFonts w:hint="eastAsia" w:asciiTheme="minorEastAsia" w:hAnsiTheme="minorEastAsia" w:eastAsiaTheme="minorEastAsia" w:cstheme="minorEastAsia"/>
                <w:snapToGrid w:val="0"/>
                <w:color w:val="auto"/>
                <w:sz w:val="21"/>
                <w:szCs w:val="20"/>
                <w:highlight w:val="none"/>
                <w:lang w:val="en-US" w:eastAsia="zh-CN" w:bidi="ar-SA"/>
              </w:rPr>
              <w:t>5</w:t>
            </w:r>
            <w:r>
              <w:rPr>
                <w:rFonts w:hint="eastAsia" w:asciiTheme="minorEastAsia" w:hAnsiTheme="minorEastAsia" w:eastAsiaTheme="minorEastAsia" w:cstheme="minorEastAsia"/>
                <w:snapToGrid w:val="0"/>
                <w:color w:val="auto"/>
                <w:sz w:val="21"/>
                <w:szCs w:val="20"/>
                <w:highlight w:val="none"/>
                <w:lang w:val="en-US" w:eastAsia="en-US" w:bidi="ar-SA"/>
              </w:rPr>
              <w:t>-</w:t>
            </w:r>
            <w:r>
              <w:rPr>
                <w:rFonts w:hint="eastAsia" w:asciiTheme="minorEastAsia" w:hAnsiTheme="minorEastAsia" w:eastAsiaTheme="minorEastAsia" w:cstheme="minorEastAsia"/>
                <w:snapToGrid w:val="0"/>
                <w:color w:val="auto"/>
                <w:sz w:val="21"/>
                <w:szCs w:val="20"/>
                <w:highlight w:val="none"/>
                <w:lang w:val="en-US" w:eastAsia="zh-CN" w:bidi="ar-SA"/>
              </w:rPr>
              <w:t>1.8）</w:t>
            </w:r>
            <w:r>
              <w:rPr>
                <w:rFonts w:hint="eastAsia" w:asciiTheme="minorEastAsia" w:hAnsiTheme="minorEastAsia" w:eastAsiaTheme="minorEastAsia" w:cstheme="minorEastAsia"/>
                <w:snapToGrid w:val="0"/>
                <w:color w:val="auto"/>
                <w:sz w:val="21"/>
                <w:szCs w:val="20"/>
                <w:highlight w:val="none"/>
                <w:lang w:val="en-US" w:eastAsia="en-US" w:bidi="ar-SA"/>
              </w:rPr>
              <w:t>分</w:t>
            </w:r>
          </w:p>
          <w:p w14:paraId="5A909FF7">
            <w:pPr>
              <w:kinsoku/>
              <w:autoSpaceDE/>
              <w:autoSpaceDN/>
              <w:adjustRightInd w:val="0"/>
              <w:snapToGrid w:val="0"/>
              <w:spacing w:beforeLines="0" w:afterLines="0" w:line="320" w:lineRule="exact"/>
              <w:ind w:firstLine="0" w:firstLineChars="0"/>
              <w:textAlignment w:val="baseline"/>
              <w:rPr>
                <w:rFonts w:hint="eastAsia" w:asciiTheme="minorEastAsia" w:hAnsiTheme="minorEastAsia" w:eastAsiaTheme="minorEastAsia" w:cstheme="minorEastAsia"/>
                <w:snapToGrid w:val="0"/>
                <w:color w:val="auto"/>
                <w:sz w:val="21"/>
                <w:szCs w:val="20"/>
                <w:highlight w:val="none"/>
                <w:lang w:val="en-US" w:eastAsia="en-US" w:bidi="ar-SA"/>
              </w:rPr>
            </w:pPr>
            <w:r>
              <w:rPr>
                <w:rFonts w:hint="eastAsia" w:asciiTheme="minorEastAsia" w:hAnsiTheme="minorEastAsia" w:eastAsiaTheme="minorEastAsia" w:cstheme="minorEastAsia"/>
                <w:snapToGrid w:val="0"/>
                <w:color w:val="auto"/>
                <w:sz w:val="21"/>
                <w:szCs w:val="20"/>
                <w:highlight w:val="none"/>
                <w:lang w:val="en-US" w:eastAsia="en-US" w:bidi="ar-SA"/>
              </w:rPr>
              <w:t>良好：4项中有2项达到优秀</w:t>
            </w:r>
            <w:r>
              <w:rPr>
                <w:rFonts w:hint="eastAsia" w:asciiTheme="minorEastAsia" w:hAnsiTheme="minorEastAsia" w:eastAsiaTheme="minorEastAsia" w:cstheme="minorEastAsia"/>
                <w:snapToGrid w:val="0"/>
                <w:color w:val="auto"/>
                <w:sz w:val="21"/>
                <w:szCs w:val="20"/>
                <w:highlight w:val="none"/>
                <w:lang w:val="en-US" w:eastAsia="zh-CN" w:bidi="ar-SA"/>
              </w:rPr>
              <w:t>的</w:t>
            </w:r>
            <w:r>
              <w:rPr>
                <w:rFonts w:hint="eastAsia" w:asciiTheme="minorEastAsia" w:hAnsiTheme="minorEastAsia" w:eastAsiaTheme="minorEastAsia" w:cstheme="minorEastAsia"/>
                <w:snapToGrid w:val="0"/>
                <w:color w:val="auto"/>
                <w:sz w:val="21"/>
                <w:szCs w:val="20"/>
                <w:highlight w:val="none"/>
                <w:lang w:val="en-US" w:eastAsia="en-US" w:bidi="ar-SA"/>
              </w:rPr>
              <w:t>，得分：</w:t>
            </w:r>
            <w:r>
              <w:rPr>
                <w:rFonts w:hint="eastAsia" w:asciiTheme="minorEastAsia" w:hAnsiTheme="minorEastAsia" w:eastAsiaTheme="minorEastAsia" w:cstheme="minorEastAsia"/>
                <w:snapToGrid w:val="0"/>
                <w:color w:val="auto"/>
                <w:sz w:val="21"/>
                <w:szCs w:val="20"/>
                <w:highlight w:val="none"/>
                <w:lang w:val="en-US" w:eastAsia="zh-CN" w:bidi="ar-SA"/>
              </w:rPr>
              <w:t>【1.8</w:t>
            </w:r>
            <w:r>
              <w:rPr>
                <w:rFonts w:hint="eastAsia" w:asciiTheme="minorEastAsia" w:hAnsiTheme="minorEastAsia" w:eastAsiaTheme="minorEastAsia" w:cstheme="minorEastAsia"/>
                <w:snapToGrid w:val="0"/>
                <w:color w:val="auto"/>
                <w:sz w:val="21"/>
                <w:szCs w:val="20"/>
                <w:highlight w:val="none"/>
                <w:lang w:val="en-US" w:eastAsia="en-US" w:bidi="ar-SA"/>
              </w:rPr>
              <w:t>-2.</w:t>
            </w:r>
            <w:r>
              <w:rPr>
                <w:rFonts w:hint="eastAsia" w:asciiTheme="minorEastAsia" w:hAnsiTheme="minorEastAsia" w:eastAsiaTheme="minorEastAsia" w:cstheme="minorEastAsia"/>
                <w:snapToGrid w:val="0"/>
                <w:color w:val="auto"/>
                <w:sz w:val="21"/>
                <w:szCs w:val="20"/>
                <w:highlight w:val="none"/>
                <w:lang w:val="en-US" w:eastAsia="zh-CN" w:bidi="ar-SA"/>
              </w:rPr>
              <w:t>2）</w:t>
            </w:r>
            <w:r>
              <w:rPr>
                <w:rFonts w:hint="eastAsia" w:asciiTheme="minorEastAsia" w:hAnsiTheme="minorEastAsia" w:eastAsiaTheme="minorEastAsia" w:cstheme="minorEastAsia"/>
                <w:snapToGrid w:val="0"/>
                <w:color w:val="auto"/>
                <w:sz w:val="21"/>
                <w:szCs w:val="20"/>
                <w:highlight w:val="none"/>
                <w:lang w:val="en-US" w:eastAsia="en-US" w:bidi="ar-SA"/>
              </w:rPr>
              <w:t>分</w:t>
            </w:r>
          </w:p>
          <w:p w14:paraId="6B38FAF2">
            <w:pPr>
              <w:spacing w:line="320" w:lineRule="exact"/>
              <w:ind w:firstLine="0" w:firstLineChars="0"/>
              <w:rPr>
                <w:color w:val="auto"/>
                <w:highlight w:val="none"/>
              </w:rPr>
            </w:pPr>
            <w:r>
              <w:rPr>
                <w:rFonts w:hint="eastAsia" w:asciiTheme="minorEastAsia" w:hAnsiTheme="minorEastAsia" w:eastAsiaTheme="minorEastAsia" w:cstheme="minorEastAsia"/>
                <w:snapToGrid w:val="0"/>
                <w:color w:val="auto"/>
                <w:sz w:val="21"/>
                <w:szCs w:val="20"/>
                <w:highlight w:val="none"/>
                <w:lang w:val="en-US" w:eastAsia="en-US" w:bidi="ar-SA"/>
              </w:rPr>
              <w:t>优秀：4项中有4项达到优秀</w:t>
            </w:r>
            <w:r>
              <w:rPr>
                <w:rFonts w:hint="eastAsia" w:asciiTheme="minorEastAsia" w:hAnsiTheme="minorEastAsia" w:eastAsiaTheme="minorEastAsia" w:cstheme="minorEastAsia"/>
                <w:snapToGrid w:val="0"/>
                <w:color w:val="auto"/>
                <w:sz w:val="21"/>
                <w:szCs w:val="20"/>
                <w:highlight w:val="none"/>
                <w:lang w:val="en-US" w:eastAsia="zh-CN" w:bidi="ar-SA"/>
              </w:rPr>
              <w:t>的</w:t>
            </w:r>
            <w:r>
              <w:rPr>
                <w:rFonts w:hint="eastAsia" w:asciiTheme="minorEastAsia" w:hAnsiTheme="minorEastAsia" w:eastAsiaTheme="minorEastAsia" w:cstheme="minorEastAsia"/>
                <w:snapToGrid w:val="0"/>
                <w:color w:val="auto"/>
                <w:sz w:val="21"/>
                <w:szCs w:val="20"/>
                <w:highlight w:val="none"/>
                <w:lang w:val="en-US" w:eastAsia="en-US" w:bidi="ar-SA"/>
              </w:rPr>
              <w:t>，得分：</w:t>
            </w:r>
            <w:r>
              <w:rPr>
                <w:rFonts w:hint="eastAsia" w:asciiTheme="minorEastAsia" w:hAnsiTheme="minorEastAsia" w:eastAsiaTheme="minorEastAsia" w:cstheme="minorEastAsia"/>
                <w:snapToGrid w:val="0"/>
                <w:color w:val="auto"/>
                <w:sz w:val="21"/>
                <w:szCs w:val="20"/>
                <w:highlight w:val="none"/>
                <w:lang w:val="en-US" w:eastAsia="zh-CN" w:bidi="ar-SA"/>
              </w:rPr>
              <w:t>【</w:t>
            </w:r>
            <w:r>
              <w:rPr>
                <w:rFonts w:hint="eastAsia" w:asciiTheme="minorEastAsia" w:hAnsiTheme="minorEastAsia" w:eastAsiaTheme="minorEastAsia" w:cstheme="minorEastAsia"/>
                <w:snapToGrid w:val="0"/>
                <w:color w:val="auto"/>
                <w:sz w:val="21"/>
                <w:szCs w:val="20"/>
                <w:highlight w:val="none"/>
                <w:lang w:val="en-US" w:eastAsia="en-US" w:bidi="ar-SA"/>
              </w:rPr>
              <w:t>2.</w:t>
            </w:r>
            <w:r>
              <w:rPr>
                <w:rFonts w:hint="eastAsia" w:asciiTheme="minorEastAsia" w:hAnsiTheme="minorEastAsia" w:eastAsiaTheme="minorEastAsia" w:cstheme="minorEastAsia"/>
                <w:snapToGrid w:val="0"/>
                <w:color w:val="auto"/>
                <w:sz w:val="21"/>
                <w:szCs w:val="20"/>
                <w:highlight w:val="none"/>
                <w:lang w:val="en-US" w:eastAsia="zh-CN" w:bidi="ar-SA"/>
              </w:rPr>
              <w:t>2</w:t>
            </w:r>
            <w:r>
              <w:rPr>
                <w:rFonts w:hint="eastAsia" w:asciiTheme="minorEastAsia" w:hAnsiTheme="minorEastAsia" w:eastAsiaTheme="minorEastAsia" w:cstheme="minorEastAsia"/>
                <w:snapToGrid w:val="0"/>
                <w:color w:val="auto"/>
                <w:sz w:val="21"/>
                <w:szCs w:val="20"/>
                <w:highlight w:val="none"/>
                <w:lang w:val="en-US" w:eastAsia="en-US" w:bidi="ar-SA"/>
              </w:rPr>
              <w:t>-</w:t>
            </w:r>
            <w:r>
              <w:rPr>
                <w:rFonts w:hint="eastAsia" w:asciiTheme="minorEastAsia" w:hAnsiTheme="minorEastAsia" w:eastAsiaTheme="minorEastAsia" w:cstheme="minorEastAsia"/>
                <w:snapToGrid w:val="0"/>
                <w:color w:val="auto"/>
                <w:sz w:val="21"/>
                <w:szCs w:val="20"/>
                <w:highlight w:val="none"/>
                <w:lang w:val="en-US" w:eastAsia="zh-CN" w:bidi="ar-SA"/>
              </w:rPr>
              <w:t>2.5】</w:t>
            </w:r>
            <w:r>
              <w:rPr>
                <w:rFonts w:hint="eastAsia" w:asciiTheme="minorEastAsia" w:hAnsiTheme="minorEastAsia" w:eastAsiaTheme="minorEastAsia" w:cstheme="minorEastAsia"/>
                <w:snapToGrid w:val="0"/>
                <w:color w:val="auto"/>
                <w:sz w:val="21"/>
                <w:szCs w:val="20"/>
                <w:highlight w:val="none"/>
                <w:lang w:val="en-US" w:eastAsia="en-US" w:bidi="ar-SA"/>
              </w:rPr>
              <w:t>分</w:t>
            </w:r>
          </w:p>
          <w:p w14:paraId="4518129A">
            <w:pPr>
              <w:wordWrap w:val="0"/>
              <w:overflowPunct w:val="0"/>
              <w:autoSpaceDE/>
              <w:autoSpaceDN/>
              <w:spacing w:beforeLines="0" w:afterLines="0" w:line="320" w:lineRule="exact"/>
              <w:ind w:left="0" w:firstLine="0" w:firstLineChars="0"/>
              <w:jc w:val="left"/>
              <w:rPr>
                <w:rFonts w:hint="eastAsia" w:asciiTheme="minorEastAsia" w:hAnsiTheme="minorEastAsia" w:eastAsiaTheme="minorEastAsia" w:cstheme="minorEastAsia"/>
                <w:color w:val="auto"/>
                <w:sz w:val="21"/>
                <w:highlight w:val="none"/>
                <w:lang w:eastAsia="zh-CN"/>
              </w:rPr>
            </w:pPr>
          </w:p>
        </w:tc>
        <w:tc>
          <w:tcPr>
            <w:tcW w:w="464" w:type="pct"/>
            <w:tcBorders>
              <w:tl2br w:val="nil"/>
              <w:tr2bl w:val="nil"/>
            </w:tcBorders>
            <w:vAlign w:val="center"/>
          </w:tcPr>
          <w:p w14:paraId="466E8906">
            <w:pPr>
              <w:wordWrap w:val="0"/>
              <w:overflowPunct w:val="0"/>
              <w:autoSpaceDE/>
              <w:autoSpaceDN/>
              <w:spacing w:beforeLines="0" w:afterLines="0" w:line="320" w:lineRule="exact"/>
              <w:ind w:left="0" w:firstLine="0" w:firstLineChars="0"/>
              <w:jc w:val="center"/>
              <w:rPr>
                <w:rFonts w:hint="default"/>
                <w:color w:val="auto"/>
                <w:sz w:val="21"/>
                <w:highlight w:val="none"/>
                <w:lang w:val="en-US" w:eastAsia="zh-CN"/>
              </w:rPr>
            </w:pPr>
            <w:r>
              <w:rPr>
                <w:rFonts w:hint="eastAsia"/>
                <w:color w:val="auto"/>
                <w:sz w:val="21"/>
                <w:highlight w:val="none"/>
                <w:lang w:val="en-US" w:eastAsia="zh-CN"/>
              </w:rPr>
              <w:t>2.5</w:t>
            </w:r>
          </w:p>
        </w:tc>
        <w:tc>
          <w:tcPr>
            <w:tcW w:w="493" w:type="pct"/>
            <w:tcBorders>
              <w:tl2br w:val="nil"/>
              <w:tr2bl w:val="nil"/>
            </w:tcBorders>
            <w:vAlign w:val="center"/>
          </w:tcPr>
          <w:p w14:paraId="4A1898CE">
            <w:pPr>
              <w:wordWrap w:val="0"/>
              <w:overflowPunct w:val="0"/>
              <w:autoSpaceDE/>
              <w:autoSpaceDN/>
              <w:spacing w:beforeLines="0" w:afterLines="0" w:line="320" w:lineRule="exact"/>
              <w:ind w:left="0" w:firstLine="0" w:firstLineChars="0"/>
              <w:jc w:val="center"/>
              <w:rPr>
                <w:rFonts w:hint="eastAsia"/>
                <w:color w:val="auto"/>
                <w:sz w:val="21"/>
                <w:highlight w:val="none"/>
                <w:lang w:eastAsia="zh-CN"/>
              </w:rPr>
            </w:pPr>
            <w:r>
              <w:rPr>
                <w:rFonts w:hint="eastAsia" w:ascii="宋体" w:eastAsia="宋体"/>
                <w:color w:val="auto"/>
                <w:sz w:val="21"/>
                <w:highlight w:val="none"/>
                <w:lang w:val="en-US" w:eastAsia="zh-CN"/>
              </w:rPr>
              <w:t>1.</w:t>
            </w:r>
            <w:r>
              <w:rPr>
                <w:rFonts w:hint="eastAsia"/>
                <w:color w:val="auto"/>
                <w:sz w:val="21"/>
                <w:highlight w:val="none"/>
                <w:lang w:val="en-US" w:eastAsia="zh-CN"/>
              </w:rPr>
              <w:t>5</w:t>
            </w:r>
          </w:p>
        </w:tc>
      </w:tr>
      <w:tr w14:paraId="67577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6BC0F094">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3</w:t>
            </w:r>
          </w:p>
        </w:tc>
        <w:tc>
          <w:tcPr>
            <w:tcW w:w="3565" w:type="pct"/>
            <w:tcBorders>
              <w:tl2br w:val="nil"/>
              <w:tr2bl w:val="nil"/>
            </w:tcBorders>
            <w:vAlign w:val="center"/>
          </w:tcPr>
          <w:p w14:paraId="1889E5D7">
            <w:pPr>
              <w:wordWrap/>
              <w:overflowPunct/>
              <w:spacing w:beforeLines="-2147483648" w:afterLines="-2147483648" w:line="320" w:lineRule="exact"/>
              <w:ind w:firstLine="0" w:firstLineChars="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施工进度计划（包括根据本标段工期目标要求，编制进度计划、横道图等，综合考虑施工工序逻辑关系是否合理。承包人是否结合本合同工作内容、施工工效、施工难易程度及各节点工期目标，采取切实可行提高工效、加快施工的有效措施，包括设计优化建议和施工优化等措施。</w:t>
            </w:r>
            <w:r>
              <w:rPr>
                <w:rFonts w:hint="eastAsia" w:ascii="宋体" w:hAnsi="宋体" w:eastAsia="宋体" w:cs="宋体"/>
                <w:color w:val="auto"/>
                <w:sz w:val="21"/>
                <w:szCs w:val="21"/>
                <w:highlight w:val="none"/>
                <w:lang w:val="en-US" w:eastAsia="zh-CN"/>
              </w:rPr>
              <w:t>是否考虑不利因素影响，如雨季、台风等，是否有具体详细的应对方案。</w:t>
            </w:r>
            <w:r>
              <w:rPr>
                <w:rFonts w:hint="eastAsia" w:asciiTheme="minorEastAsia" w:hAnsiTheme="minorEastAsia" w:eastAsiaTheme="minorEastAsia" w:cstheme="minorEastAsia"/>
                <w:color w:val="auto"/>
                <w:sz w:val="21"/>
                <w:szCs w:val="21"/>
                <w:highlight w:val="none"/>
                <w:lang w:eastAsia="zh-CN"/>
              </w:rPr>
              <w:t>综合考虑上述方案措施的针对性、可行性和合理性）</w:t>
            </w:r>
          </w:p>
          <w:p w14:paraId="2EC8F58E">
            <w:pPr>
              <w:wordWrap/>
              <w:overflowPunct/>
              <w:autoSpaceDE/>
              <w:autoSpaceDN/>
              <w:spacing w:beforeLines="-2147483648" w:after="100" w:afterLines="-2147483648" w:afterAutospacing="1" w:line="320" w:lineRule="exact"/>
              <w:ind w:left="630" w:hanging="630" w:hangingChars="30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一般：施工进度计划、</w:t>
            </w:r>
            <w:r>
              <w:rPr>
                <w:rFonts w:hint="eastAsia" w:asciiTheme="minorEastAsia" w:hAnsiTheme="minorEastAsia" w:eastAsiaTheme="minorEastAsia" w:cstheme="minorEastAsia"/>
                <w:color w:val="auto"/>
                <w:sz w:val="21"/>
                <w:szCs w:val="21"/>
                <w:highlight w:val="none"/>
                <w:lang w:val="en-US" w:eastAsia="zh-CN"/>
              </w:rPr>
              <w:t>施工方案及技术措施基本合理，对本工程总体条件认识简单、不足，不利因素考虑不足、施工方案不够合理、技术措施不够具体、施工工艺落后，</w:t>
            </w:r>
            <w:r>
              <w:rPr>
                <w:rFonts w:hint="eastAsia" w:asciiTheme="minorEastAsia" w:hAnsiTheme="minorEastAsia" w:eastAsiaTheme="minorEastAsia" w:cstheme="minorEastAsia"/>
                <w:color w:val="auto"/>
                <w:sz w:val="21"/>
                <w:szCs w:val="21"/>
                <w:highlight w:val="none"/>
                <w:lang w:eastAsia="zh-CN"/>
              </w:rPr>
              <w:t>得分：【2.4-2.8）分</w:t>
            </w:r>
          </w:p>
          <w:p w14:paraId="0180068D">
            <w:pPr>
              <w:wordWrap/>
              <w:overflowPunct/>
              <w:spacing w:beforeLines="-2147483648" w:after="100" w:afterLines="-2147483648" w:afterAutospacing="1" w:line="320" w:lineRule="exact"/>
              <w:ind w:left="630" w:hanging="630" w:hangingChars="30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良好：施工进度计划、</w:t>
            </w:r>
            <w:r>
              <w:rPr>
                <w:rFonts w:hint="eastAsia" w:asciiTheme="minorEastAsia" w:hAnsiTheme="minorEastAsia" w:eastAsiaTheme="minorEastAsia" w:cstheme="minorEastAsia"/>
                <w:color w:val="auto"/>
                <w:sz w:val="21"/>
                <w:szCs w:val="21"/>
                <w:highlight w:val="none"/>
                <w:lang w:val="en-US" w:eastAsia="zh-CN"/>
              </w:rPr>
              <w:t>施工方案及技术措施相对合理，对本工程总体条件认识较充分，不利因素考虑较足、施工方案较合理、技术措施较具体、施工工艺较先进，且</w:t>
            </w:r>
            <w:r>
              <w:rPr>
                <w:rFonts w:hint="eastAsia" w:asciiTheme="minorEastAsia" w:hAnsiTheme="minorEastAsia" w:eastAsiaTheme="minorEastAsia" w:cstheme="minorEastAsia"/>
                <w:color w:val="auto"/>
                <w:sz w:val="21"/>
                <w:szCs w:val="21"/>
                <w:highlight w:val="none"/>
                <w:lang w:eastAsia="zh-CN"/>
              </w:rPr>
              <w:t>承诺完成用于本工程的发明专利或工法创新成果</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项</w:t>
            </w:r>
            <w:r>
              <w:rPr>
                <w:rFonts w:hint="eastAsia" w:asciiTheme="minorEastAsia" w:hAnsiTheme="minorEastAsia" w:eastAsiaTheme="minorEastAsia" w:cstheme="minorEastAsia"/>
                <w:color w:val="auto"/>
                <w:sz w:val="21"/>
                <w:szCs w:val="21"/>
                <w:highlight w:val="none"/>
                <w:lang w:val="en-US" w:eastAsia="zh-CN"/>
              </w:rPr>
              <w:t>的</w:t>
            </w:r>
            <w:r>
              <w:rPr>
                <w:rFonts w:hint="eastAsia" w:asciiTheme="minorEastAsia" w:hAnsiTheme="minorEastAsia" w:eastAsiaTheme="minorEastAsia" w:cstheme="minorEastAsia"/>
                <w:color w:val="auto"/>
                <w:sz w:val="21"/>
                <w:szCs w:val="21"/>
                <w:highlight w:val="none"/>
                <w:lang w:eastAsia="zh-CN"/>
              </w:rPr>
              <w:t>，得分：【2.8-3.6）分</w:t>
            </w:r>
          </w:p>
          <w:p w14:paraId="5896B701">
            <w:pPr>
              <w:wordWrap/>
              <w:overflowPunct/>
              <w:autoSpaceDE/>
              <w:autoSpaceDN/>
              <w:spacing w:beforeLines="-2147483648" w:after="100" w:afterLines="-2147483648" w:afterAutospacing="1"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szCs w:val="21"/>
                <w:highlight w:val="none"/>
                <w:lang w:eastAsia="zh-CN"/>
              </w:rPr>
              <w:t>优秀：施工进度计划、</w:t>
            </w:r>
            <w:r>
              <w:rPr>
                <w:rFonts w:hint="eastAsia" w:asciiTheme="minorEastAsia" w:hAnsiTheme="minorEastAsia" w:eastAsiaTheme="minorEastAsia" w:cstheme="minorEastAsia"/>
                <w:color w:val="auto"/>
                <w:sz w:val="21"/>
                <w:szCs w:val="21"/>
                <w:highlight w:val="none"/>
                <w:lang w:val="en-US" w:eastAsia="zh-CN"/>
              </w:rPr>
              <w:t>施工方案及技术措施合理可行</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对本工程总体条件认识充分，不利因素考虑充足、施工方案合理、技术措施具体、施工工艺先进，针对施工交通保通及堆渣场具有合理可行的建议，且</w:t>
            </w:r>
            <w:r>
              <w:rPr>
                <w:rFonts w:hint="eastAsia" w:asciiTheme="minorEastAsia" w:hAnsiTheme="minorEastAsia" w:eastAsiaTheme="minorEastAsia" w:cstheme="minorEastAsia"/>
                <w:color w:val="auto"/>
                <w:sz w:val="21"/>
                <w:szCs w:val="21"/>
                <w:highlight w:val="none"/>
                <w:lang w:eastAsia="zh-CN"/>
              </w:rPr>
              <w:t>承诺完成用于本工程的发明专利或</w:t>
            </w:r>
            <w:r>
              <w:rPr>
                <w:rFonts w:hint="eastAsia" w:asciiTheme="minorEastAsia" w:hAnsiTheme="minorEastAsia" w:eastAsiaTheme="minorEastAsia" w:cstheme="minorEastAsia"/>
                <w:color w:val="auto"/>
                <w:sz w:val="21"/>
                <w:szCs w:val="21"/>
                <w:highlight w:val="none"/>
                <w:lang w:val="en-US" w:eastAsia="zh-CN"/>
              </w:rPr>
              <w:t>工</w:t>
            </w:r>
            <w:r>
              <w:rPr>
                <w:rFonts w:hint="eastAsia" w:asciiTheme="minorEastAsia" w:hAnsiTheme="minorEastAsia" w:eastAsiaTheme="minorEastAsia" w:cstheme="minorEastAsia"/>
                <w:color w:val="auto"/>
                <w:sz w:val="21"/>
                <w:szCs w:val="21"/>
                <w:highlight w:val="none"/>
                <w:lang w:eastAsia="zh-CN"/>
              </w:rPr>
              <w:t>法创新成果</w:t>
            </w:r>
            <w:r>
              <w:rPr>
                <w:rFonts w:hint="eastAsia" w:asciiTheme="minorEastAsia" w:hAnsiTheme="minorEastAsia" w:eastAsiaTheme="minorEastAsia" w:cstheme="minorEastAsia"/>
                <w:color w:val="auto"/>
                <w:sz w:val="21"/>
                <w:szCs w:val="21"/>
                <w:highlight w:val="none"/>
                <w:lang w:val="en-US" w:eastAsia="zh-CN"/>
              </w:rPr>
              <w:t>大于等于3</w:t>
            </w:r>
            <w:r>
              <w:rPr>
                <w:rFonts w:hint="eastAsia" w:asciiTheme="minorEastAsia" w:hAnsiTheme="minorEastAsia" w:eastAsiaTheme="minorEastAsia" w:cstheme="minorEastAsia"/>
                <w:color w:val="auto"/>
                <w:sz w:val="21"/>
                <w:szCs w:val="21"/>
                <w:highlight w:val="none"/>
                <w:lang w:eastAsia="zh-CN"/>
              </w:rPr>
              <w:t>项</w:t>
            </w:r>
            <w:r>
              <w:rPr>
                <w:rFonts w:hint="eastAsia" w:asciiTheme="minorEastAsia" w:hAnsiTheme="minorEastAsia" w:eastAsiaTheme="minorEastAsia" w:cstheme="minorEastAsia"/>
                <w:color w:val="auto"/>
                <w:sz w:val="21"/>
                <w:szCs w:val="21"/>
                <w:highlight w:val="none"/>
                <w:lang w:val="en-US" w:eastAsia="zh-CN"/>
              </w:rPr>
              <w:t>的</w:t>
            </w:r>
            <w:r>
              <w:rPr>
                <w:rFonts w:hint="eastAsia" w:asciiTheme="minorEastAsia" w:hAnsiTheme="minorEastAsia" w:eastAsiaTheme="minorEastAsia" w:cstheme="minorEastAsia"/>
                <w:color w:val="auto"/>
                <w:sz w:val="21"/>
                <w:szCs w:val="21"/>
                <w:highlight w:val="none"/>
                <w:lang w:eastAsia="zh-CN"/>
              </w:rPr>
              <w:t>，得分：【3.6-4】分</w:t>
            </w:r>
          </w:p>
        </w:tc>
        <w:tc>
          <w:tcPr>
            <w:tcW w:w="464" w:type="pct"/>
            <w:tcBorders>
              <w:tl2br w:val="nil"/>
              <w:tr2bl w:val="nil"/>
            </w:tcBorders>
            <w:vAlign w:val="center"/>
          </w:tcPr>
          <w:p w14:paraId="28BEF86D">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z w:val="21"/>
                <w:highlight w:val="none"/>
                <w:lang w:eastAsia="zh-CN"/>
              </w:rPr>
              <w:t>4</w:t>
            </w:r>
          </w:p>
        </w:tc>
        <w:tc>
          <w:tcPr>
            <w:tcW w:w="493" w:type="pct"/>
            <w:tcBorders>
              <w:tl2br w:val="nil"/>
              <w:tr2bl w:val="nil"/>
            </w:tcBorders>
            <w:vAlign w:val="center"/>
          </w:tcPr>
          <w:p w14:paraId="207D354C">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pacing w:val="0"/>
                <w:sz w:val="21"/>
                <w:highlight w:val="none"/>
                <w:lang w:eastAsia="zh-CN"/>
              </w:rPr>
              <w:t>2.4</w:t>
            </w:r>
          </w:p>
        </w:tc>
      </w:tr>
      <w:tr w14:paraId="6B14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0C0728A5">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4</w:t>
            </w:r>
          </w:p>
        </w:tc>
        <w:tc>
          <w:tcPr>
            <w:tcW w:w="3565" w:type="pct"/>
            <w:tcBorders>
              <w:tl2br w:val="nil"/>
              <w:tr2bl w:val="nil"/>
            </w:tcBorders>
            <w:vAlign w:val="center"/>
          </w:tcPr>
          <w:p w14:paraId="66DE75EF">
            <w:pPr>
              <w:wordWrap w:val="0"/>
              <w:overflowPunct w:val="0"/>
              <w:autoSpaceDE/>
              <w:autoSpaceDN/>
              <w:spacing w:beforeLines="0" w:afterLines="0" w:line="320" w:lineRule="exact"/>
              <w:ind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宋体" w:hAnsi="宋体" w:eastAsia="宋体" w:cs="宋体"/>
                <w:color w:val="auto"/>
                <w:spacing w:val="0"/>
                <w:sz w:val="21"/>
                <w:highlight w:val="none"/>
                <w:lang w:eastAsia="zh-CN"/>
              </w:rPr>
              <w:t>施工质量</w:t>
            </w:r>
            <w:r>
              <w:rPr>
                <w:rFonts w:hint="eastAsia" w:ascii="宋体" w:hAnsi="宋体" w:eastAsia="宋体" w:cs="宋体"/>
                <w:color w:val="auto"/>
                <w:spacing w:val="0"/>
                <w:sz w:val="21"/>
                <w:highlight w:val="none"/>
                <w:lang w:val="en-US" w:eastAsia="zh-CN"/>
              </w:rPr>
              <w:t>的控制</w:t>
            </w:r>
            <w:r>
              <w:rPr>
                <w:rFonts w:hint="eastAsia" w:ascii="宋体" w:hAnsi="宋体" w:eastAsia="宋体" w:cs="宋体"/>
                <w:color w:val="auto"/>
                <w:spacing w:val="0"/>
                <w:sz w:val="21"/>
                <w:highlight w:val="none"/>
                <w:lang w:eastAsia="zh-CN"/>
              </w:rPr>
              <w:t>、安全生产管理体系及保证措施（包括对质量管理体系、安全生产管理体系是否健全，是否满足质量、安全生产要求，重点部位和关键环节的质量控制方法、质量缺陷补救措施等质量保证措施是否得当且有针对性，制度是否完善、合理、可行，</w:t>
            </w:r>
            <w:r>
              <w:rPr>
                <w:rFonts w:hint="eastAsia" w:ascii="宋体" w:hAnsi="宋体" w:eastAsia="宋体" w:cs="宋体"/>
                <w:color w:val="auto"/>
                <w:spacing w:val="0"/>
                <w:sz w:val="21"/>
                <w:highlight w:val="none"/>
                <w:lang w:val="en-US" w:eastAsia="zh-CN"/>
              </w:rPr>
              <w:t>排水通风措施是否合理</w:t>
            </w:r>
            <w:r>
              <w:rPr>
                <w:rFonts w:hint="eastAsia" w:cs="宋体"/>
                <w:color w:val="auto"/>
                <w:sz w:val="21"/>
                <w:highlight w:val="none"/>
                <w:lang w:eastAsia="zh-CN"/>
              </w:rPr>
              <w:t>，爆破等施工专项方案是否完整、合理</w:t>
            </w:r>
            <w:r>
              <w:rPr>
                <w:rFonts w:hint="eastAsia" w:ascii="宋体" w:hAnsi="宋体" w:eastAsia="宋体" w:cs="宋体"/>
                <w:color w:val="auto"/>
                <w:spacing w:val="0"/>
                <w:sz w:val="21"/>
                <w:highlight w:val="none"/>
                <w:lang w:eastAsia="zh-CN"/>
              </w:rPr>
              <w:t>）</w:t>
            </w:r>
          </w:p>
          <w:p w14:paraId="6BFBCED5">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snapToGrid/>
                <w:color w:val="auto"/>
                <w:spacing w:val="0"/>
                <w:sz w:val="21"/>
                <w:highlight w:val="none"/>
                <w:lang w:eastAsia="zh-CN" w:bidi="en-US"/>
              </w:rPr>
            </w:pPr>
            <w:r>
              <w:rPr>
                <w:rFonts w:hint="eastAsia" w:asciiTheme="minorEastAsia" w:hAnsiTheme="minorEastAsia" w:eastAsiaTheme="minorEastAsia" w:cstheme="minorEastAsia"/>
                <w:snapToGrid/>
                <w:color w:val="auto"/>
                <w:spacing w:val="0"/>
                <w:sz w:val="21"/>
                <w:highlight w:val="none"/>
                <w:lang w:eastAsia="zh-CN" w:bidi="en-US"/>
              </w:rPr>
              <w:t>一般：体系基本建立；但分工</w:t>
            </w:r>
            <w:r>
              <w:rPr>
                <w:rFonts w:hint="eastAsia" w:asciiTheme="minorEastAsia" w:hAnsiTheme="minorEastAsia" w:eastAsiaTheme="minorEastAsia" w:cstheme="minorEastAsia"/>
                <w:snapToGrid/>
                <w:color w:val="auto"/>
                <w:spacing w:val="0"/>
                <w:sz w:val="21"/>
                <w:highlight w:val="none"/>
                <w:lang w:val="en-US" w:eastAsia="zh-CN" w:bidi="en-US"/>
              </w:rPr>
              <w:t>基本</w:t>
            </w:r>
            <w:r>
              <w:rPr>
                <w:rFonts w:hint="eastAsia" w:asciiTheme="minorEastAsia" w:hAnsiTheme="minorEastAsia" w:eastAsiaTheme="minorEastAsia" w:cstheme="minorEastAsia"/>
                <w:snapToGrid/>
                <w:color w:val="auto"/>
                <w:spacing w:val="0"/>
                <w:sz w:val="21"/>
                <w:highlight w:val="none"/>
                <w:lang w:eastAsia="zh-CN" w:bidi="en-US"/>
              </w:rPr>
              <w:t>明确；</w:t>
            </w:r>
            <w:r>
              <w:rPr>
                <w:rFonts w:hint="eastAsia" w:asciiTheme="minorEastAsia" w:hAnsiTheme="minorEastAsia" w:eastAsiaTheme="minorEastAsia" w:cstheme="minorEastAsia"/>
                <w:snapToGrid/>
                <w:color w:val="auto"/>
                <w:sz w:val="21"/>
                <w:highlight w:val="none"/>
                <w:lang w:eastAsia="zh-CN" w:bidi="en-US"/>
              </w:rPr>
              <w:t>施工安全监测措施</w:t>
            </w:r>
            <w:r>
              <w:rPr>
                <w:rFonts w:hint="eastAsia" w:asciiTheme="minorEastAsia" w:hAnsiTheme="minorEastAsia" w:eastAsiaTheme="minorEastAsia" w:cstheme="minorEastAsia"/>
                <w:snapToGrid/>
                <w:color w:val="auto"/>
                <w:spacing w:val="0"/>
                <w:sz w:val="21"/>
                <w:highlight w:val="none"/>
                <w:lang w:val="en-US" w:eastAsia="zh-CN" w:bidi="en-US"/>
              </w:rPr>
              <w:t>基本</w:t>
            </w:r>
            <w:r>
              <w:rPr>
                <w:rFonts w:hint="eastAsia" w:asciiTheme="minorEastAsia" w:hAnsiTheme="minorEastAsia" w:eastAsiaTheme="minorEastAsia" w:cstheme="minorEastAsia"/>
                <w:snapToGrid/>
                <w:color w:val="auto"/>
                <w:sz w:val="21"/>
                <w:highlight w:val="none"/>
                <w:lang w:eastAsia="zh-CN" w:bidi="en-US"/>
              </w:rPr>
              <w:t>到位；</w:t>
            </w:r>
            <w:r>
              <w:rPr>
                <w:rFonts w:hint="eastAsia" w:asciiTheme="minorEastAsia" w:hAnsiTheme="minorEastAsia" w:eastAsiaTheme="minorEastAsia" w:cstheme="minorEastAsia"/>
                <w:snapToGrid/>
                <w:color w:val="auto"/>
                <w:spacing w:val="0"/>
                <w:sz w:val="21"/>
                <w:highlight w:val="none"/>
                <w:lang w:eastAsia="zh-CN" w:bidi="en-US"/>
              </w:rPr>
              <w:t>施工过程缺失超挖、欠挖控制措施</w:t>
            </w:r>
            <w:r>
              <w:rPr>
                <w:rFonts w:hint="eastAsia" w:asciiTheme="minorEastAsia" w:hAnsiTheme="minorEastAsia" w:eastAsiaTheme="minorEastAsia" w:cstheme="minorEastAsia"/>
                <w:snapToGrid/>
                <w:color w:val="auto"/>
                <w:spacing w:val="0"/>
                <w:sz w:val="21"/>
                <w:highlight w:val="none"/>
                <w:lang w:val="en-US" w:eastAsia="zh-CN" w:bidi="en-US"/>
              </w:rPr>
              <w:t>基本</w:t>
            </w:r>
            <w:r>
              <w:rPr>
                <w:rFonts w:hint="eastAsia" w:asciiTheme="minorEastAsia" w:hAnsiTheme="minorEastAsia" w:eastAsiaTheme="minorEastAsia" w:cstheme="minorEastAsia"/>
                <w:snapToGrid/>
                <w:color w:val="auto"/>
                <w:spacing w:val="0"/>
                <w:sz w:val="21"/>
                <w:highlight w:val="none"/>
                <w:lang w:eastAsia="zh-CN" w:bidi="en-US"/>
              </w:rPr>
              <w:t>完整，</w:t>
            </w:r>
            <w:r>
              <w:rPr>
                <w:rFonts w:hint="eastAsia" w:ascii="宋体" w:hAnsi="宋体" w:eastAsia="宋体" w:cs="宋体"/>
                <w:snapToGrid/>
                <w:color w:val="auto"/>
                <w:spacing w:val="0"/>
                <w:sz w:val="21"/>
                <w:highlight w:val="none"/>
                <w:lang w:val="en-US" w:eastAsia="zh-CN" w:bidi="en-US"/>
              </w:rPr>
              <w:t>关键工序质量控制</w:t>
            </w:r>
            <w:r>
              <w:rPr>
                <w:rFonts w:hint="eastAsia" w:asciiTheme="minorEastAsia" w:hAnsiTheme="minorEastAsia" w:eastAsiaTheme="minorEastAsia" w:cstheme="minorEastAsia"/>
                <w:snapToGrid/>
                <w:color w:val="auto"/>
                <w:spacing w:val="0"/>
                <w:sz w:val="21"/>
                <w:highlight w:val="none"/>
                <w:lang w:val="en-US" w:eastAsia="zh-CN" w:bidi="en-US"/>
              </w:rPr>
              <w:t>基本</w:t>
            </w:r>
            <w:r>
              <w:rPr>
                <w:rFonts w:hint="eastAsia" w:ascii="宋体" w:hAnsi="宋体" w:eastAsia="宋体" w:cs="宋体"/>
                <w:snapToGrid/>
                <w:color w:val="auto"/>
                <w:spacing w:val="0"/>
                <w:sz w:val="21"/>
                <w:highlight w:val="none"/>
                <w:lang w:val="en-US" w:eastAsia="zh-CN" w:bidi="en-US"/>
              </w:rPr>
              <w:t>到位；</w:t>
            </w:r>
            <w:r>
              <w:rPr>
                <w:rFonts w:hint="eastAsia" w:ascii="宋体" w:hAnsi="宋体" w:eastAsia="宋体" w:cs="宋体"/>
                <w:color w:val="auto"/>
                <w:spacing w:val="0"/>
                <w:sz w:val="21"/>
                <w:highlight w:val="none"/>
                <w:lang w:val="en-US" w:eastAsia="zh-CN"/>
              </w:rPr>
              <w:t>排水通风措施</w:t>
            </w:r>
            <w:r>
              <w:rPr>
                <w:rFonts w:hint="eastAsia" w:asciiTheme="minorEastAsia" w:hAnsiTheme="minorEastAsia" w:eastAsiaTheme="minorEastAsia" w:cstheme="minorEastAsia"/>
                <w:snapToGrid/>
                <w:color w:val="auto"/>
                <w:spacing w:val="0"/>
                <w:sz w:val="21"/>
                <w:highlight w:val="none"/>
                <w:lang w:val="en-US" w:eastAsia="zh-CN" w:bidi="en-US"/>
              </w:rPr>
              <w:t>基本</w:t>
            </w:r>
            <w:r>
              <w:rPr>
                <w:rFonts w:hint="eastAsia" w:ascii="宋体" w:hAnsi="宋体" w:eastAsia="宋体" w:cs="宋体"/>
                <w:color w:val="auto"/>
                <w:spacing w:val="0"/>
                <w:sz w:val="21"/>
                <w:highlight w:val="none"/>
                <w:lang w:val="en-US" w:eastAsia="zh-CN"/>
              </w:rPr>
              <w:t>合理，</w:t>
            </w:r>
            <w:r>
              <w:rPr>
                <w:rFonts w:hint="eastAsia" w:asciiTheme="minorEastAsia" w:hAnsiTheme="minorEastAsia" w:eastAsiaTheme="minorEastAsia" w:cstheme="minorEastAsia"/>
                <w:snapToGrid/>
                <w:color w:val="auto"/>
                <w:spacing w:val="0"/>
                <w:sz w:val="21"/>
                <w:highlight w:val="none"/>
                <w:lang w:eastAsia="zh-CN" w:bidi="en-US"/>
              </w:rPr>
              <w:t>得分【2.4-2.8）分</w:t>
            </w:r>
          </w:p>
          <w:p w14:paraId="194BBAC9">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snapToGrid/>
                <w:color w:val="auto"/>
                <w:spacing w:val="0"/>
                <w:sz w:val="21"/>
                <w:highlight w:val="none"/>
                <w:lang w:eastAsia="zh-CN" w:bidi="en-US"/>
              </w:rPr>
            </w:pPr>
            <w:r>
              <w:rPr>
                <w:rFonts w:hint="eastAsia" w:asciiTheme="minorEastAsia" w:hAnsiTheme="minorEastAsia" w:eastAsiaTheme="minorEastAsia" w:cstheme="minorEastAsia"/>
                <w:snapToGrid/>
                <w:color w:val="auto"/>
                <w:spacing w:val="0"/>
                <w:sz w:val="21"/>
                <w:highlight w:val="none"/>
                <w:lang w:eastAsia="zh-CN" w:bidi="en-US"/>
              </w:rPr>
              <w:t>良好：体系基本健全；分工和责任较为明确；</w:t>
            </w:r>
            <w:r>
              <w:rPr>
                <w:rFonts w:hint="eastAsia" w:asciiTheme="minorEastAsia" w:hAnsiTheme="minorEastAsia" w:eastAsiaTheme="minorEastAsia" w:cstheme="minorEastAsia"/>
                <w:snapToGrid/>
                <w:color w:val="auto"/>
                <w:sz w:val="21"/>
                <w:highlight w:val="none"/>
                <w:lang w:eastAsia="zh-CN" w:bidi="en-US"/>
              </w:rPr>
              <w:t>施工安全监测措施</w:t>
            </w:r>
            <w:r>
              <w:rPr>
                <w:rFonts w:hint="eastAsia" w:asciiTheme="minorEastAsia" w:hAnsiTheme="minorEastAsia" w:eastAsiaTheme="minorEastAsia" w:cstheme="minorEastAsia"/>
                <w:snapToGrid/>
                <w:color w:val="auto"/>
                <w:sz w:val="21"/>
                <w:highlight w:val="none"/>
                <w:lang w:val="en-US" w:eastAsia="zh-CN" w:bidi="en-US"/>
              </w:rPr>
              <w:t>较</w:t>
            </w:r>
            <w:r>
              <w:rPr>
                <w:rFonts w:hint="eastAsia" w:asciiTheme="minorEastAsia" w:hAnsiTheme="minorEastAsia" w:eastAsiaTheme="minorEastAsia" w:cstheme="minorEastAsia"/>
                <w:snapToGrid/>
                <w:color w:val="auto"/>
                <w:sz w:val="21"/>
                <w:highlight w:val="none"/>
                <w:lang w:eastAsia="zh-CN" w:bidi="en-US"/>
              </w:rPr>
              <w:t>到位；</w:t>
            </w:r>
            <w:r>
              <w:rPr>
                <w:rFonts w:hint="eastAsia" w:asciiTheme="minorEastAsia" w:hAnsiTheme="minorEastAsia" w:eastAsiaTheme="minorEastAsia" w:cstheme="minorEastAsia"/>
                <w:snapToGrid/>
                <w:color w:val="auto"/>
                <w:spacing w:val="0"/>
                <w:sz w:val="21"/>
                <w:highlight w:val="none"/>
                <w:lang w:eastAsia="zh-CN" w:bidi="en-US"/>
              </w:rPr>
              <w:t>施工过程标高控制得当超挖、欠挖控制措施较完善，</w:t>
            </w:r>
            <w:r>
              <w:rPr>
                <w:rFonts w:hint="eastAsia" w:ascii="宋体" w:hAnsi="宋体" w:eastAsia="宋体" w:cs="宋体"/>
                <w:snapToGrid/>
                <w:color w:val="auto"/>
                <w:spacing w:val="0"/>
                <w:sz w:val="21"/>
                <w:highlight w:val="none"/>
                <w:lang w:val="en-US" w:eastAsia="zh-CN" w:bidi="en-US"/>
              </w:rPr>
              <w:t>关键工序质量控制较到位；</w:t>
            </w:r>
            <w:r>
              <w:rPr>
                <w:rFonts w:hint="eastAsia" w:ascii="宋体" w:hAnsi="宋体" w:eastAsia="宋体" w:cs="宋体"/>
                <w:color w:val="auto"/>
                <w:spacing w:val="0"/>
                <w:sz w:val="21"/>
                <w:highlight w:val="none"/>
                <w:lang w:val="en-US" w:eastAsia="zh-CN"/>
              </w:rPr>
              <w:t>排水通风措施较合理，</w:t>
            </w:r>
            <w:r>
              <w:rPr>
                <w:rFonts w:hint="eastAsia" w:asciiTheme="minorEastAsia" w:hAnsiTheme="minorEastAsia" w:eastAsiaTheme="minorEastAsia" w:cstheme="minorEastAsia"/>
                <w:snapToGrid/>
                <w:color w:val="auto"/>
                <w:spacing w:val="0"/>
                <w:sz w:val="21"/>
                <w:highlight w:val="none"/>
                <w:lang w:eastAsia="zh-CN" w:bidi="en-US"/>
              </w:rPr>
              <w:t>得分【2.8-3.6）分</w:t>
            </w:r>
          </w:p>
          <w:p w14:paraId="6143605C">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snapToGrid/>
                <w:color w:val="auto"/>
                <w:spacing w:val="0"/>
                <w:sz w:val="21"/>
                <w:highlight w:val="none"/>
                <w:lang w:eastAsia="zh-CN" w:bidi="en-US"/>
              </w:rPr>
            </w:pPr>
            <w:r>
              <w:rPr>
                <w:rFonts w:hint="eastAsia" w:asciiTheme="minorEastAsia" w:hAnsiTheme="minorEastAsia" w:eastAsiaTheme="minorEastAsia" w:cstheme="minorEastAsia"/>
                <w:snapToGrid/>
                <w:color w:val="auto"/>
                <w:spacing w:val="0"/>
                <w:sz w:val="21"/>
                <w:highlight w:val="none"/>
                <w:lang w:eastAsia="zh-CN" w:bidi="en-US"/>
              </w:rPr>
              <w:t>优秀：体系健全；分工明确，责任到人；</w:t>
            </w:r>
            <w:r>
              <w:rPr>
                <w:rFonts w:hint="eastAsia" w:asciiTheme="minorEastAsia" w:hAnsiTheme="minorEastAsia" w:eastAsiaTheme="minorEastAsia" w:cstheme="minorEastAsia"/>
                <w:snapToGrid/>
                <w:color w:val="auto"/>
                <w:sz w:val="21"/>
                <w:highlight w:val="none"/>
                <w:lang w:eastAsia="zh-CN" w:bidi="en-US"/>
              </w:rPr>
              <w:t>施工安全监测措施到位；</w:t>
            </w:r>
            <w:r>
              <w:rPr>
                <w:rFonts w:hint="eastAsia" w:asciiTheme="minorEastAsia" w:hAnsiTheme="minorEastAsia" w:eastAsiaTheme="minorEastAsia" w:cstheme="minorEastAsia"/>
                <w:snapToGrid/>
                <w:color w:val="auto"/>
                <w:spacing w:val="0"/>
                <w:sz w:val="21"/>
                <w:highlight w:val="none"/>
                <w:lang w:eastAsia="zh-CN" w:bidi="en-US"/>
              </w:rPr>
              <w:t>施工过程中标高控制得当，超挖、欠挖控制措施齐全，</w:t>
            </w:r>
            <w:r>
              <w:rPr>
                <w:rFonts w:hint="eastAsia" w:ascii="宋体" w:hAnsi="宋体" w:eastAsia="宋体" w:cs="宋体"/>
                <w:snapToGrid/>
                <w:color w:val="auto"/>
                <w:spacing w:val="0"/>
                <w:sz w:val="21"/>
                <w:highlight w:val="none"/>
                <w:lang w:val="en-US" w:eastAsia="zh-CN" w:bidi="en-US"/>
              </w:rPr>
              <w:t>关键工序质量控制到位；</w:t>
            </w:r>
            <w:r>
              <w:rPr>
                <w:rFonts w:hint="eastAsia" w:ascii="宋体" w:hAnsi="宋体" w:eastAsia="宋体" w:cs="宋体"/>
                <w:color w:val="auto"/>
                <w:spacing w:val="0"/>
                <w:sz w:val="21"/>
                <w:highlight w:val="none"/>
                <w:lang w:val="en-US" w:eastAsia="zh-CN"/>
              </w:rPr>
              <w:t>排水通风措施合理，</w:t>
            </w:r>
            <w:r>
              <w:rPr>
                <w:rFonts w:hint="eastAsia" w:asciiTheme="minorEastAsia" w:hAnsiTheme="minorEastAsia" w:eastAsiaTheme="minorEastAsia" w:cstheme="minorEastAsia"/>
                <w:snapToGrid/>
                <w:color w:val="auto"/>
                <w:spacing w:val="0"/>
                <w:sz w:val="21"/>
                <w:highlight w:val="none"/>
                <w:lang w:eastAsia="zh-CN" w:bidi="en-US"/>
              </w:rPr>
              <w:t>得分【3.6-4】分</w:t>
            </w:r>
          </w:p>
        </w:tc>
        <w:tc>
          <w:tcPr>
            <w:tcW w:w="464" w:type="pct"/>
            <w:tcBorders>
              <w:tl2br w:val="nil"/>
              <w:tr2bl w:val="nil"/>
            </w:tcBorders>
            <w:vAlign w:val="center"/>
          </w:tcPr>
          <w:p w14:paraId="205F5F7E">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z w:val="21"/>
                <w:highlight w:val="none"/>
                <w:lang w:eastAsia="zh-CN"/>
              </w:rPr>
              <w:t>4</w:t>
            </w:r>
          </w:p>
        </w:tc>
        <w:tc>
          <w:tcPr>
            <w:tcW w:w="493" w:type="pct"/>
            <w:tcBorders>
              <w:tl2br w:val="nil"/>
              <w:tr2bl w:val="nil"/>
            </w:tcBorders>
            <w:vAlign w:val="center"/>
          </w:tcPr>
          <w:p w14:paraId="661E13E1">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pacing w:val="0"/>
                <w:sz w:val="21"/>
                <w:highlight w:val="none"/>
                <w:lang w:eastAsia="zh-CN"/>
              </w:rPr>
              <w:t>2.4</w:t>
            </w:r>
          </w:p>
        </w:tc>
      </w:tr>
      <w:tr w14:paraId="500F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07FF3898">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5</w:t>
            </w:r>
          </w:p>
        </w:tc>
        <w:tc>
          <w:tcPr>
            <w:tcW w:w="3565" w:type="pct"/>
            <w:tcBorders>
              <w:tl2br w:val="nil"/>
              <w:tr2bl w:val="nil"/>
            </w:tcBorders>
            <w:vAlign w:val="center"/>
          </w:tcPr>
          <w:p w14:paraId="0DB52D25">
            <w:pPr>
              <w:wordWrap w:val="0"/>
              <w:overflowPunct w:val="0"/>
              <w:autoSpaceDE/>
              <w:autoSpaceDN/>
              <w:spacing w:beforeLines="0" w:afterLines="0" w:line="320" w:lineRule="exact"/>
              <w:ind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施工设备和检测仪器的投入（结合工程进度要求对专用设备配置、仪器进行专项分析，包括但不限于对投标人拟投入的凿岩台车、锚杆台车、钢模台车、砂石加工系统（主要设备）等施工设备配置是否完备和合理、综合性能是否优秀）</w:t>
            </w:r>
          </w:p>
          <w:p w14:paraId="6AA72003">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一般：</w:t>
            </w:r>
            <w:r>
              <w:rPr>
                <w:rFonts w:hint="eastAsia" w:asciiTheme="minorEastAsia" w:hAnsiTheme="minorEastAsia" w:eastAsiaTheme="minorEastAsia" w:cstheme="minorEastAsia"/>
                <w:color w:val="auto"/>
                <w:spacing w:val="0"/>
                <w:sz w:val="21"/>
                <w:highlight w:val="none"/>
                <w:lang w:eastAsia="zh-CN"/>
              </w:rPr>
              <w:t>施工设备和检测仪器的投入</w:t>
            </w:r>
            <w:r>
              <w:rPr>
                <w:rFonts w:hint="eastAsia" w:asciiTheme="minorEastAsia" w:hAnsiTheme="minorEastAsia" w:eastAsiaTheme="minorEastAsia" w:cstheme="minorEastAsia"/>
                <w:color w:val="auto"/>
                <w:spacing w:val="0"/>
                <w:sz w:val="21"/>
                <w:highlight w:val="none"/>
                <w:lang w:val="en-US" w:eastAsia="zh-CN"/>
              </w:rPr>
              <w:t>基本合理的，</w:t>
            </w:r>
            <w:r>
              <w:rPr>
                <w:rFonts w:hint="eastAsia" w:asciiTheme="minorEastAsia" w:hAnsiTheme="minorEastAsia" w:eastAsiaTheme="minorEastAsia" w:cstheme="minorEastAsia"/>
                <w:color w:val="auto"/>
                <w:sz w:val="21"/>
                <w:highlight w:val="none"/>
                <w:lang w:eastAsia="zh-CN"/>
              </w:rPr>
              <w:t>得分：【2.4-2.8）分</w:t>
            </w:r>
          </w:p>
          <w:p w14:paraId="18F7E7F5">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良好：</w:t>
            </w:r>
            <w:r>
              <w:rPr>
                <w:rFonts w:hint="eastAsia" w:asciiTheme="minorEastAsia" w:hAnsiTheme="minorEastAsia" w:eastAsiaTheme="minorEastAsia" w:cstheme="minorEastAsia"/>
                <w:color w:val="auto"/>
                <w:spacing w:val="0"/>
                <w:sz w:val="21"/>
                <w:highlight w:val="none"/>
                <w:lang w:eastAsia="zh-CN"/>
              </w:rPr>
              <w:t>施工设备和检测仪器的投入</w:t>
            </w:r>
            <w:r>
              <w:rPr>
                <w:rFonts w:hint="eastAsia" w:asciiTheme="minorEastAsia" w:hAnsiTheme="minorEastAsia" w:eastAsiaTheme="minorEastAsia" w:cstheme="minorEastAsia"/>
                <w:color w:val="auto"/>
                <w:spacing w:val="0"/>
                <w:sz w:val="21"/>
                <w:highlight w:val="none"/>
                <w:lang w:val="en-US" w:eastAsia="zh-CN"/>
              </w:rPr>
              <w:t>相对合理的</w:t>
            </w:r>
            <w:r>
              <w:rPr>
                <w:rFonts w:hint="eastAsia" w:asciiTheme="minorEastAsia" w:hAnsiTheme="minorEastAsia" w:eastAsiaTheme="minorEastAsia" w:cstheme="minorEastAsia"/>
                <w:color w:val="auto"/>
                <w:sz w:val="21"/>
                <w:highlight w:val="none"/>
                <w:lang w:eastAsia="zh-CN"/>
              </w:rPr>
              <w:t>，</w:t>
            </w:r>
            <w:r>
              <w:rPr>
                <w:rFonts w:hint="eastAsia" w:asciiTheme="minorEastAsia" w:hAnsiTheme="minorEastAsia" w:eastAsiaTheme="minorEastAsia" w:cstheme="minorEastAsia"/>
                <w:color w:val="auto"/>
                <w:sz w:val="21"/>
                <w:highlight w:val="none"/>
                <w:lang w:val="en-US" w:eastAsia="zh-CN"/>
              </w:rPr>
              <w:t>且</w:t>
            </w:r>
            <w:r>
              <w:rPr>
                <w:rFonts w:hint="eastAsia" w:asciiTheme="minorEastAsia" w:hAnsiTheme="minorEastAsia" w:eastAsiaTheme="minorEastAsia" w:cstheme="minorEastAsia"/>
                <w:color w:val="auto"/>
                <w:sz w:val="21"/>
                <w:highlight w:val="none"/>
                <w:lang w:eastAsia="zh-CN"/>
              </w:rPr>
              <w:t>单工作面满足工程要求且性能良好的钢模台车</w:t>
            </w:r>
            <w:r>
              <w:rPr>
                <w:rFonts w:hint="eastAsia" w:asciiTheme="minorEastAsia" w:hAnsiTheme="minorEastAsia" w:eastAsiaTheme="minorEastAsia" w:cstheme="minorEastAsia"/>
                <w:color w:val="auto"/>
                <w:sz w:val="21"/>
                <w:highlight w:val="none"/>
                <w:lang w:val="en-US" w:eastAsia="zh-CN"/>
              </w:rPr>
              <w:t>2</w:t>
            </w:r>
            <w:r>
              <w:rPr>
                <w:rFonts w:hint="eastAsia" w:asciiTheme="minorEastAsia" w:hAnsiTheme="minorEastAsia" w:eastAsiaTheme="minorEastAsia" w:cstheme="minorEastAsia"/>
                <w:color w:val="auto"/>
                <w:sz w:val="21"/>
                <w:highlight w:val="none"/>
                <w:lang w:eastAsia="zh-CN"/>
              </w:rPr>
              <w:t>台，得分：【2.8-3.6）分</w:t>
            </w:r>
          </w:p>
          <w:p w14:paraId="0ADB598A">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优秀:</w:t>
            </w:r>
            <w:r>
              <w:rPr>
                <w:rFonts w:hint="eastAsia" w:asciiTheme="minorEastAsia" w:hAnsiTheme="minorEastAsia" w:eastAsiaTheme="minorEastAsia" w:cstheme="minorEastAsia"/>
                <w:color w:val="auto"/>
                <w:spacing w:val="0"/>
                <w:sz w:val="21"/>
                <w:highlight w:val="none"/>
                <w:lang w:eastAsia="zh-CN"/>
              </w:rPr>
              <w:t>施工设备和检测仪器的投入</w:t>
            </w:r>
            <w:r>
              <w:rPr>
                <w:rFonts w:hint="eastAsia" w:asciiTheme="minorEastAsia" w:hAnsiTheme="minorEastAsia" w:eastAsiaTheme="minorEastAsia" w:cstheme="minorEastAsia"/>
                <w:color w:val="auto"/>
                <w:spacing w:val="0"/>
                <w:sz w:val="21"/>
                <w:highlight w:val="none"/>
                <w:lang w:val="en-US" w:eastAsia="zh-CN"/>
              </w:rPr>
              <w:t>合理可行的</w:t>
            </w:r>
            <w:r>
              <w:rPr>
                <w:rFonts w:hint="eastAsia" w:asciiTheme="minorEastAsia" w:hAnsiTheme="minorEastAsia" w:eastAsiaTheme="minorEastAsia" w:cstheme="minorEastAsia"/>
                <w:color w:val="auto"/>
                <w:sz w:val="21"/>
                <w:highlight w:val="none"/>
                <w:lang w:eastAsia="zh-CN"/>
              </w:rPr>
              <w:t>，二次衬砌混凝土浇筑过程防脱空监测、浇筑过程模板台车防变形监测方法、质量检测方法等方案合理</w:t>
            </w:r>
            <w:r>
              <w:rPr>
                <w:rFonts w:hint="eastAsia" w:asciiTheme="minorEastAsia" w:hAnsiTheme="minorEastAsia" w:eastAsiaTheme="minorEastAsia" w:cstheme="minorEastAsia"/>
                <w:color w:val="auto"/>
                <w:sz w:val="21"/>
                <w:highlight w:val="none"/>
                <w:lang w:val="en-US" w:eastAsia="zh-CN"/>
              </w:rPr>
              <w:t>且有</w:t>
            </w:r>
            <w:r>
              <w:rPr>
                <w:rFonts w:hint="eastAsia" w:asciiTheme="minorEastAsia" w:hAnsiTheme="minorEastAsia" w:eastAsiaTheme="minorEastAsia" w:cstheme="minorEastAsia"/>
                <w:color w:val="auto"/>
                <w:sz w:val="21"/>
                <w:highlight w:val="none"/>
                <w:lang w:eastAsia="zh-CN"/>
              </w:rPr>
              <w:t>针对性，</w:t>
            </w:r>
            <w:r>
              <w:rPr>
                <w:rFonts w:hint="eastAsia" w:asciiTheme="minorEastAsia" w:hAnsiTheme="minorEastAsia" w:eastAsiaTheme="minorEastAsia" w:cstheme="minorEastAsia"/>
                <w:color w:val="auto"/>
                <w:sz w:val="21"/>
                <w:highlight w:val="none"/>
                <w:lang w:val="en-US" w:eastAsia="zh-CN"/>
              </w:rPr>
              <w:t>且</w:t>
            </w:r>
            <w:r>
              <w:rPr>
                <w:rFonts w:hint="eastAsia" w:asciiTheme="minorEastAsia" w:hAnsiTheme="minorEastAsia" w:eastAsiaTheme="minorEastAsia" w:cstheme="minorEastAsia"/>
                <w:color w:val="auto"/>
                <w:sz w:val="21"/>
                <w:highlight w:val="none"/>
                <w:lang w:eastAsia="zh-CN"/>
              </w:rPr>
              <w:t>单工作面满足工程要求且性能良好的钢模台车</w:t>
            </w:r>
            <w:r>
              <w:rPr>
                <w:rFonts w:hint="eastAsia" w:asciiTheme="minorEastAsia" w:hAnsiTheme="minorEastAsia" w:eastAsiaTheme="minorEastAsia" w:cstheme="minorEastAsia"/>
                <w:color w:val="auto"/>
                <w:sz w:val="21"/>
                <w:highlight w:val="none"/>
                <w:lang w:val="en-US" w:eastAsia="zh-CN"/>
              </w:rPr>
              <w:t>2</w:t>
            </w:r>
            <w:r>
              <w:rPr>
                <w:rFonts w:hint="eastAsia" w:asciiTheme="minorEastAsia" w:hAnsiTheme="minorEastAsia" w:eastAsiaTheme="minorEastAsia" w:cstheme="minorEastAsia"/>
                <w:color w:val="auto"/>
                <w:sz w:val="21"/>
                <w:highlight w:val="none"/>
                <w:lang w:eastAsia="zh-CN"/>
              </w:rPr>
              <w:t>台，</w:t>
            </w:r>
            <w:r>
              <w:rPr>
                <w:rFonts w:hint="eastAsia" w:asciiTheme="minorEastAsia" w:hAnsiTheme="minorEastAsia" w:eastAsiaTheme="minorEastAsia" w:cstheme="minorEastAsia"/>
                <w:color w:val="auto"/>
                <w:sz w:val="21"/>
                <w:highlight w:val="none"/>
                <w:lang w:val="en-US" w:eastAsia="zh-CN"/>
              </w:rPr>
              <w:t>且</w:t>
            </w:r>
            <w:r>
              <w:rPr>
                <w:rFonts w:hint="eastAsia" w:asciiTheme="minorEastAsia" w:hAnsiTheme="minorEastAsia" w:eastAsiaTheme="minorEastAsia" w:cstheme="minorEastAsia"/>
                <w:color w:val="auto"/>
                <w:sz w:val="21"/>
                <w:highlight w:val="none"/>
                <w:lang w:eastAsia="zh-CN"/>
              </w:rPr>
              <w:t>本项目配置满足工程要求且性能良好的凿岩台车1台，</w:t>
            </w:r>
            <w:r>
              <w:rPr>
                <w:rFonts w:hint="eastAsia" w:asciiTheme="minorEastAsia" w:hAnsiTheme="minorEastAsia" w:eastAsiaTheme="minorEastAsia" w:cstheme="minorEastAsia"/>
                <w:color w:val="auto"/>
                <w:sz w:val="21"/>
                <w:highlight w:val="none"/>
                <w:lang w:val="en-US" w:eastAsia="zh-CN"/>
              </w:rPr>
              <w:t>采用机械化施工，</w:t>
            </w:r>
            <w:r>
              <w:rPr>
                <w:rFonts w:hint="eastAsia" w:asciiTheme="minorEastAsia" w:hAnsiTheme="minorEastAsia" w:eastAsiaTheme="minorEastAsia" w:cstheme="minorEastAsia"/>
                <w:color w:val="auto"/>
                <w:sz w:val="21"/>
                <w:highlight w:val="none"/>
                <w:lang w:eastAsia="zh-CN"/>
              </w:rPr>
              <w:t>提高施工作业效率，减少掌子面作业人员，</w:t>
            </w:r>
            <w:r>
              <w:rPr>
                <w:rFonts w:hint="eastAsia" w:asciiTheme="minorEastAsia" w:hAnsiTheme="minorEastAsia" w:eastAsiaTheme="minorEastAsia" w:cstheme="minorEastAsia"/>
                <w:color w:val="auto"/>
                <w:sz w:val="21"/>
                <w:highlight w:val="none"/>
                <w:lang w:val="en-US" w:eastAsia="zh-CN"/>
              </w:rPr>
              <w:t>承诺使用生产制造时间在3年内的设备，</w:t>
            </w:r>
            <w:r>
              <w:rPr>
                <w:rFonts w:hint="eastAsia" w:asciiTheme="minorEastAsia" w:hAnsiTheme="minorEastAsia" w:eastAsiaTheme="minorEastAsia" w:cstheme="minorEastAsia"/>
                <w:color w:val="auto"/>
                <w:sz w:val="21"/>
                <w:highlight w:val="none"/>
                <w:lang w:eastAsia="zh-CN"/>
              </w:rPr>
              <w:t>得分：【3.6-4】分</w:t>
            </w:r>
          </w:p>
        </w:tc>
        <w:tc>
          <w:tcPr>
            <w:tcW w:w="464" w:type="pct"/>
            <w:tcBorders>
              <w:tl2br w:val="nil"/>
              <w:tr2bl w:val="nil"/>
            </w:tcBorders>
            <w:vAlign w:val="center"/>
          </w:tcPr>
          <w:p w14:paraId="28314480">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z w:val="21"/>
                <w:highlight w:val="none"/>
                <w:lang w:eastAsia="zh-CN"/>
              </w:rPr>
              <w:t>4</w:t>
            </w:r>
          </w:p>
        </w:tc>
        <w:tc>
          <w:tcPr>
            <w:tcW w:w="493" w:type="pct"/>
            <w:tcBorders>
              <w:tl2br w:val="nil"/>
              <w:tr2bl w:val="nil"/>
            </w:tcBorders>
            <w:vAlign w:val="center"/>
          </w:tcPr>
          <w:p w14:paraId="2A80A251">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pacing w:val="0"/>
                <w:sz w:val="21"/>
                <w:highlight w:val="none"/>
                <w:lang w:eastAsia="zh-CN"/>
              </w:rPr>
              <w:t>2.4</w:t>
            </w:r>
          </w:p>
        </w:tc>
      </w:tr>
      <w:tr w14:paraId="7DC5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2DC934C0">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6</w:t>
            </w:r>
          </w:p>
        </w:tc>
        <w:tc>
          <w:tcPr>
            <w:tcW w:w="3565" w:type="pct"/>
            <w:tcBorders>
              <w:tl2br w:val="nil"/>
              <w:tr2bl w:val="nil"/>
            </w:tcBorders>
            <w:vAlign w:val="center"/>
          </w:tcPr>
          <w:p w14:paraId="56F3D94A">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pacing w:val="0"/>
                <w:sz w:val="21"/>
                <w:highlight w:val="none"/>
                <w:lang w:val="en-US" w:eastAsia="zh-CN"/>
              </w:rPr>
              <w:t>各专业工种的配置和劳动力的投入</w:t>
            </w:r>
            <w:r>
              <w:rPr>
                <w:rFonts w:hint="eastAsia" w:asciiTheme="minorEastAsia" w:hAnsiTheme="minorEastAsia" w:eastAsiaTheme="minorEastAsia" w:cstheme="minorEastAsia"/>
                <w:color w:val="auto"/>
                <w:sz w:val="21"/>
                <w:highlight w:val="none"/>
                <w:lang w:eastAsia="zh-CN"/>
              </w:rPr>
              <w:t>（是否有较详细的资源配置计划，工种配置是否符合实际，劳动力投入是否满足施工要求等）</w:t>
            </w:r>
          </w:p>
          <w:p w14:paraId="4244C97F">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z w:val="21"/>
                <w:highlight w:val="none"/>
                <w:lang w:eastAsia="zh-CN"/>
              </w:rPr>
              <w:t>一般：各专业工种配置基本合理但略显不足，人数较少，技能水平一般，施工效率较低；劳动力投入计划不够详细，应对突发问题的措施不完善，劳动力储备不足，得分：【2.4-2.8）分。</w:t>
            </w:r>
          </w:p>
          <w:p w14:paraId="4BC1E5AA">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z w:val="21"/>
                <w:highlight w:val="none"/>
                <w:lang w:eastAsia="zh-CN"/>
              </w:rPr>
              <w:t>良好：各专业工种配置基本合理，人员数量充足，技能水平基本过关，施工效率较高；劳动力投入计划较为详细，对于突发问题有基本的应对措施，劳动力储备基本满足需求，得分：【2.8-3.6）分。</w:t>
            </w:r>
          </w:p>
          <w:p w14:paraId="587E3E9E">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snapToGrid/>
                <w:color w:val="auto"/>
                <w:spacing w:val="0"/>
                <w:sz w:val="21"/>
                <w:highlight w:val="none"/>
                <w:lang w:eastAsia="zh-CN" w:bidi="en-US"/>
              </w:rPr>
            </w:pPr>
            <w:r>
              <w:rPr>
                <w:rFonts w:hint="eastAsia" w:asciiTheme="minorEastAsia" w:hAnsiTheme="minorEastAsia" w:eastAsiaTheme="minorEastAsia" w:cstheme="minorEastAsia"/>
                <w:color w:val="auto"/>
                <w:sz w:val="21"/>
                <w:highlight w:val="none"/>
                <w:lang w:eastAsia="zh-CN"/>
              </w:rPr>
              <w:t>优秀：各专业工种配置合理，人员数量充足，</w:t>
            </w:r>
            <w:r>
              <w:rPr>
                <w:rFonts w:hint="eastAsia" w:asciiTheme="minorEastAsia" w:hAnsiTheme="minorEastAsia" w:eastAsiaTheme="minorEastAsia" w:cstheme="minorEastAsia"/>
                <w:color w:val="auto"/>
                <w:sz w:val="21"/>
                <w:highlight w:val="none"/>
                <w:lang w:val="en-US" w:eastAsia="zh-CN"/>
              </w:rPr>
              <w:t>专职试验检测人员配置充足</w:t>
            </w:r>
            <w:r>
              <w:rPr>
                <w:rFonts w:hint="eastAsia" w:asciiTheme="minorEastAsia" w:hAnsiTheme="minorEastAsia" w:eastAsiaTheme="minorEastAsia" w:cstheme="minorEastAsia"/>
                <w:color w:val="auto"/>
                <w:sz w:val="21"/>
                <w:highlight w:val="none"/>
                <w:lang w:eastAsia="zh-CN"/>
              </w:rPr>
              <w:t>，技能水平高，能高效完成施工任务；劳动力投入计划详细，能应对突发问题，劳动力储备充足，调度灵活，得分：【3.6-4】分。</w:t>
            </w:r>
          </w:p>
        </w:tc>
        <w:tc>
          <w:tcPr>
            <w:tcW w:w="464" w:type="pct"/>
            <w:tcBorders>
              <w:tl2br w:val="nil"/>
              <w:tr2bl w:val="nil"/>
            </w:tcBorders>
            <w:vAlign w:val="center"/>
          </w:tcPr>
          <w:p w14:paraId="5E8EE7EB">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z w:val="21"/>
                <w:highlight w:val="none"/>
                <w:lang w:eastAsia="zh-CN"/>
              </w:rPr>
              <w:t>4</w:t>
            </w:r>
          </w:p>
        </w:tc>
        <w:tc>
          <w:tcPr>
            <w:tcW w:w="493" w:type="pct"/>
            <w:tcBorders>
              <w:tl2br w:val="nil"/>
              <w:tr2bl w:val="nil"/>
            </w:tcBorders>
            <w:vAlign w:val="center"/>
          </w:tcPr>
          <w:p w14:paraId="6C8D9563">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pacing w:val="0"/>
                <w:sz w:val="21"/>
                <w:highlight w:val="none"/>
                <w:lang w:eastAsia="zh-CN"/>
              </w:rPr>
              <w:t>2.4</w:t>
            </w:r>
          </w:p>
        </w:tc>
      </w:tr>
      <w:tr w14:paraId="79CF1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6E9D0583">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7</w:t>
            </w:r>
          </w:p>
        </w:tc>
        <w:tc>
          <w:tcPr>
            <w:tcW w:w="3565" w:type="pct"/>
            <w:tcBorders>
              <w:tl2br w:val="nil"/>
              <w:tr2bl w:val="nil"/>
            </w:tcBorders>
            <w:vAlign w:val="center"/>
          </w:tcPr>
          <w:p w14:paraId="0FB03B84">
            <w:pPr>
              <w:wordWrap w:val="0"/>
              <w:overflowPunct w:val="0"/>
              <w:autoSpaceDE/>
              <w:autoSpaceDN/>
              <w:spacing w:beforeLines="0" w:afterLines="0" w:line="320" w:lineRule="exact"/>
              <w:ind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安全、文明施工及标化</w:t>
            </w:r>
            <w:r>
              <w:rPr>
                <w:rFonts w:hint="eastAsia" w:asciiTheme="minorEastAsia" w:hAnsiTheme="minorEastAsia" w:eastAsiaTheme="minorEastAsia" w:cstheme="minorEastAsia"/>
                <w:color w:val="auto"/>
                <w:spacing w:val="0"/>
                <w:sz w:val="21"/>
                <w:highlight w:val="none"/>
                <w:lang w:val="en-US" w:eastAsia="zh-CN"/>
              </w:rPr>
              <w:t>创建</w:t>
            </w:r>
            <w:r>
              <w:rPr>
                <w:rFonts w:hint="eastAsia" w:asciiTheme="minorEastAsia" w:hAnsiTheme="minorEastAsia" w:eastAsiaTheme="minorEastAsia" w:cstheme="minorEastAsia"/>
                <w:color w:val="auto"/>
                <w:spacing w:val="0"/>
                <w:sz w:val="21"/>
                <w:highlight w:val="none"/>
                <w:lang w:eastAsia="zh-CN"/>
              </w:rPr>
              <w:t>（</w:t>
            </w:r>
            <w:r>
              <w:rPr>
                <w:rFonts w:hint="eastAsia" w:asciiTheme="minorEastAsia" w:hAnsiTheme="minorEastAsia" w:eastAsiaTheme="minorEastAsia" w:cstheme="minorEastAsia"/>
                <w:color w:val="auto"/>
                <w:sz w:val="21"/>
                <w:highlight w:val="none"/>
                <w:lang w:eastAsia="zh-CN"/>
              </w:rPr>
              <w:t>投标人安全、文明施工及标化建设目标、标准是否准确、清晰；组织体系及制度是否完整齐全；方案及措施是否合理可行</w:t>
            </w:r>
            <w:r>
              <w:rPr>
                <w:rFonts w:hint="eastAsia" w:asciiTheme="minorEastAsia" w:hAnsiTheme="minorEastAsia" w:eastAsiaTheme="minorEastAsia" w:cstheme="minorEastAsia"/>
                <w:color w:val="auto"/>
                <w:spacing w:val="0"/>
                <w:sz w:val="21"/>
                <w:highlight w:val="none"/>
                <w:lang w:eastAsia="zh-CN"/>
              </w:rPr>
              <w:t>）</w:t>
            </w:r>
          </w:p>
          <w:p w14:paraId="36D37042">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一般：安全、文明施工及标化</w:t>
            </w:r>
            <w:r>
              <w:rPr>
                <w:rFonts w:hint="eastAsia" w:asciiTheme="minorEastAsia" w:hAnsiTheme="minorEastAsia" w:eastAsiaTheme="minorEastAsia" w:cstheme="minorEastAsia"/>
                <w:color w:val="auto"/>
                <w:spacing w:val="0"/>
                <w:sz w:val="21"/>
                <w:highlight w:val="none"/>
                <w:lang w:val="en-US" w:eastAsia="zh-CN"/>
              </w:rPr>
              <w:t>创建措施基本合理的，风险源预测和辨识不准确，安全防范措施不可行，事故应急预案考虑不全面，</w:t>
            </w:r>
            <w:r>
              <w:rPr>
                <w:rFonts w:hint="eastAsia" w:asciiTheme="minorEastAsia" w:hAnsiTheme="minorEastAsia" w:eastAsiaTheme="minorEastAsia" w:cstheme="minorEastAsia"/>
                <w:color w:val="auto"/>
                <w:spacing w:val="0"/>
                <w:sz w:val="21"/>
                <w:highlight w:val="none"/>
                <w:lang w:eastAsia="zh-CN"/>
              </w:rPr>
              <w:t>得分：【0.6-0.7）分</w:t>
            </w:r>
          </w:p>
          <w:p w14:paraId="2363741F">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良好：安全、文明施工及标化</w:t>
            </w:r>
            <w:r>
              <w:rPr>
                <w:rFonts w:hint="eastAsia" w:asciiTheme="minorEastAsia" w:hAnsiTheme="minorEastAsia" w:eastAsiaTheme="minorEastAsia" w:cstheme="minorEastAsia"/>
                <w:color w:val="auto"/>
                <w:spacing w:val="0"/>
                <w:sz w:val="21"/>
                <w:highlight w:val="none"/>
                <w:lang w:val="en-US" w:eastAsia="zh-CN"/>
              </w:rPr>
              <w:t>创建措施相对合理的，风险源预测和辨识较准确，安全防范措施基本可行，事故应急预案考虑相对全面，</w:t>
            </w:r>
            <w:r>
              <w:rPr>
                <w:rFonts w:hint="eastAsia" w:asciiTheme="minorEastAsia" w:hAnsiTheme="minorEastAsia" w:eastAsiaTheme="minorEastAsia" w:cstheme="minorEastAsia"/>
                <w:color w:val="auto"/>
                <w:spacing w:val="0"/>
                <w:sz w:val="21"/>
                <w:highlight w:val="none"/>
                <w:lang w:eastAsia="zh-CN"/>
              </w:rPr>
              <w:t>安全管理体系较为具体，标化创建工作较为到位，现场布置较为规范，标识基本清晰，文明施工较好，得分：【0.7-0.9）分</w:t>
            </w:r>
          </w:p>
          <w:p w14:paraId="5EFB743A">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优秀：安全、文明施工及标化</w:t>
            </w:r>
            <w:r>
              <w:rPr>
                <w:rFonts w:hint="eastAsia" w:asciiTheme="minorEastAsia" w:hAnsiTheme="minorEastAsia" w:eastAsiaTheme="minorEastAsia" w:cstheme="minorEastAsia"/>
                <w:color w:val="auto"/>
                <w:spacing w:val="0"/>
                <w:sz w:val="21"/>
                <w:highlight w:val="none"/>
                <w:lang w:val="en-US" w:eastAsia="zh-CN"/>
              </w:rPr>
              <w:t>创建措施合理可行的，风险源预测和辨识准确，安全防范措施可行，事故应急预案考虑全面，</w:t>
            </w:r>
            <w:r>
              <w:rPr>
                <w:rFonts w:hint="eastAsia" w:asciiTheme="minorEastAsia" w:hAnsiTheme="minorEastAsia" w:eastAsiaTheme="minorEastAsia" w:cstheme="minorEastAsia"/>
                <w:color w:val="auto"/>
                <w:spacing w:val="0"/>
                <w:sz w:val="21"/>
                <w:highlight w:val="none"/>
                <w:lang w:eastAsia="zh-CN"/>
              </w:rPr>
              <w:t>安全管理体系具体细致，标化创建工作达到高标准，现场布置规范，标识清晰，文明施工达到标杆水平，得分：【0.9-1】分</w:t>
            </w:r>
          </w:p>
        </w:tc>
        <w:tc>
          <w:tcPr>
            <w:tcW w:w="464" w:type="pct"/>
            <w:tcBorders>
              <w:tl2br w:val="nil"/>
              <w:tr2bl w:val="nil"/>
            </w:tcBorders>
            <w:vAlign w:val="center"/>
          </w:tcPr>
          <w:p w14:paraId="00F721F3">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z w:val="21"/>
                <w:highlight w:val="none"/>
                <w:lang w:eastAsia="zh-CN"/>
              </w:rPr>
              <w:t>1</w:t>
            </w:r>
          </w:p>
        </w:tc>
        <w:tc>
          <w:tcPr>
            <w:tcW w:w="493" w:type="pct"/>
            <w:tcBorders>
              <w:tl2br w:val="nil"/>
              <w:tr2bl w:val="nil"/>
            </w:tcBorders>
            <w:vAlign w:val="center"/>
          </w:tcPr>
          <w:p w14:paraId="58799053">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pacing w:val="0"/>
                <w:sz w:val="21"/>
                <w:highlight w:val="none"/>
                <w:lang w:eastAsia="zh-CN"/>
              </w:rPr>
              <w:t>0.6</w:t>
            </w:r>
          </w:p>
        </w:tc>
      </w:tr>
      <w:tr w14:paraId="4553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058F100B">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8</w:t>
            </w:r>
          </w:p>
        </w:tc>
        <w:tc>
          <w:tcPr>
            <w:tcW w:w="3565" w:type="pct"/>
            <w:tcBorders>
              <w:tl2br w:val="nil"/>
              <w:tr2bl w:val="nil"/>
            </w:tcBorders>
            <w:vAlign w:val="center"/>
          </w:tcPr>
          <w:p w14:paraId="5D66578A">
            <w:pPr>
              <w:wordWrap w:val="0"/>
              <w:overflowPunct w:val="0"/>
              <w:autoSpaceDE/>
              <w:autoSpaceDN/>
              <w:spacing w:beforeLines="0" w:afterLines="0" w:line="320" w:lineRule="exact"/>
              <w:ind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水土保持和环境保护措施（重点考虑水土保持、生产和生活废水处理措施、环境保护和生态保护的措施、监测和应急处置措施保障，综合考虑方案的针对性和合理性）</w:t>
            </w:r>
          </w:p>
          <w:p w14:paraId="4B0D434F">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一般：</w:t>
            </w:r>
            <w:r>
              <w:rPr>
                <w:rFonts w:hint="eastAsia" w:asciiTheme="minorEastAsia" w:hAnsiTheme="minorEastAsia" w:eastAsiaTheme="minorEastAsia" w:cstheme="minorEastAsia"/>
                <w:color w:val="auto"/>
                <w:spacing w:val="0"/>
                <w:sz w:val="21"/>
                <w:highlight w:val="none"/>
                <w:lang w:eastAsia="zh-CN"/>
              </w:rPr>
              <w:t>水土保持和环境保护措施</w:t>
            </w:r>
            <w:r>
              <w:rPr>
                <w:rFonts w:hint="eastAsia" w:asciiTheme="minorEastAsia" w:hAnsiTheme="minorEastAsia" w:eastAsiaTheme="minorEastAsia" w:cstheme="minorEastAsia"/>
                <w:color w:val="auto"/>
                <w:spacing w:val="0"/>
                <w:sz w:val="21"/>
                <w:highlight w:val="none"/>
                <w:lang w:val="en-US" w:eastAsia="zh-CN"/>
              </w:rPr>
              <w:t>基本合理的，</w:t>
            </w:r>
            <w:r>
              <w:rPr>
                <w:rFonts w:hint="eastAsia" w:asciiTheme="minorEastAsia" w:hAnsiTheme="minorEastAsia" w:eastAsiaTheme="minorEastAsia" w:cstheme="minorEastAsia"/>
                <w:color w:val="auto"/>
                <w:sz w:val="21"/>
                <w:highlight w:val="none"/>
                <w:lang w:eastAsia="zh-CN"/>
              </w:rPr>
              <w:t>得分：【1.2-1.4）分</w:t>
            </w:r>
          </w:p>
          <w:p w14:paraId="7D00B283">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良好：</w:t>
            </w:r>
            <w:r>
              <w:rPr>
                <w:rFonts w:hint="eastAsia" w:asciiTheme="minorEastAsia" w:hAnsiTheme="minorEastAsia" w:eastAsiaTheme="minorEastAsia" w:cstheme="minorEastAsia"/>
                <w:color w:val="auto"/>
                <w:spacing w:val="0"/>
                <w:sz w:val="21"/>
                <w:highlight w:val="none"/>
                <w:lang w:eastAsia="zh-CN"/>
              </w:rPr>
              <w:t>水土保持和环境保护措施</w:t>
            </w:r>
            <w:r>
              <w:rPr>
                <w:rFonts w:hint="eastAsia" w:asciiTheme="minorEastAsia" w:hAnsiTheme="minorEastAsia" w:eastAsiaTheme="minorEastAsia" w:cstheme="minorEastAsia"/>
                <w:color w:val="auto"/>
                <w:spacing w:val="0"/>
                <w:sz w:val="21"/>
                <w:highlight w:val="none"/>
                <w:lang w:val="en-US" w:eastAsia="zh-CN"/>
              </w:rPr>
              <w:t>相对合理的，且</w:t>
            </w:r>
            <w:r>
              <w:rPr>
                <w:rFonts w:hint="eastAsia" w:asciiTheme="minorEastAsia" w:hAnsiTheme="minorEastAsia" w:eastAsiaTheme="minorEastAsia" w:cstheme="minorEastAsia"/>
                <w:color w:val="auto"/>
                <w:sz w:val="21"/>
                <w:highlight w:val="none"/>
                <w:lang w:eastAsia="zh-CN"/>
              </w:rPr>
              <w:t>至少配备洒水车1台，且环水保措施方案具有针对性、合理性且满足相应规范要求，洞口废水处理设施配置满足工程需求且性能良好的“一体化”污水处理设备1台，得分：【1.4-1.8）分</w:t>
            </w:r>
          </w:p>
          <w:p w14:paraId="1B2927DA">
            <w:pPr>
              <w:wordWrap w:val="0"/>
              <w:overflowPunct w:val="0"/>
              <w:autoSpaceDE/>
              <w:autoSpaceDN/>
              <w:spacing w:beforeLines="0" w:afterLines="0" w:line="320" w:lineRule="exact"/>
              <w:ind w:left="630" w:hanging="630" w:hangingChars="300"/>
              <w:jc w:val="left"/>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lang w:eastAsia="zh-CN"/>
              </w:rPr>
              <w:t>优秀:</w:t>
            </w:r>
            <w:r>
              <w:rPr>
                <w:rFonts w:hint="eastAsia" w:asciiTheme="minorEastAsia" w:hAnsiTheme="minorEastAsia" w:eastAsiaTheme="minorEastAsia" w:cstheme="minorEastAsia"/>
                <w:color w:val="auto"/>
                <w:spacing w:val="0"/>
                <w:sz w:val="21"/>
                <w:highlight w:val="none"/>
                <w:lang w:eastAsia="zh-CN"/>
              </w:rPr>
              <w:t>水土保持和生态保护措施</w:t>
            </w:r>
            <w:r>
              <w:rPr>
                <w:rFonts w:hint="eastAsia" w:asciiTheme="minorEastAsia" w:hAnsiTheme="minorEastAsia" w:eastAsiaTheme="minorEastAsia" w:cstheme="minorEastAsia"/>
                <w:color w:val="auto"/>
                <w:spacing w:val="0"/>
                <w:sz w:val="21"/>
                <w:highlight w:val="none"/>
                <w:lang w:val="en-US" w:eastAsia="zh-CN"/>
              </w:rPr>
              <w:t>合理可行的，且</w:t>
            </w:r>
            <w:r>
              <w:rPr>
                <w:rFonts w:hint="eastAsia" w:asciiTheme="minorEastAsia" w:hAnsiTheme="minorEastAsia" w:eastAsiaTheme="minorEastAsia" w:cstheme="minorEastAsia"/>
                <w:color w:val="auto"/>
                <w:sz w:val="21"/>
                <w:highlight w:val="none"/>
                <w:lang w:eastAsia="zh-CN"/>
              </w:rPr>
              <w:t>办公、生活区污水均应经处理达标后综合利用，落实污水零排放等要求；施工区合理规划雨污分流、清污分流，落实现场污水处理设施，根据不同施工阶段完善相关措施，确保施工废水处理达标，</w:t>
            </w:r>
            <w:r>
              <w:rPr>
                <w:rFonts w:hint="eastAsia" w:asciiTheme="minorEastAsia" w:hAnsiTheme="minorEastAsia" w:eastAsiaTheme="minorEastAsia" w:cstheme="minorEastAsia"/>
                <w:color w:val="auto"/>
                <w:spacing w:val="0"/>
                <w:sz w:val="21"/>
                <w:highlight w:val="none"/>
                <w:lang w:val="en-US" w:eastAsia="zh-CN"/>
              </w:rPr>
              <w:t>且</w:t>
            </w:r>
            <w:r>
              <w:rPr>
                <w:rFonts w:hint="eastAsia" w:asciiTheme="minorEastAsia" w:hAnsiTheme="minorEastAsia" w:eastAsiaTheme="minorEastAsia" w:cstheme="minorEastAsia"/>
                <w:color w:val="auto"/>
                <w:sz w:val="21"/>
                <w:highlight w:val="none"/>
                <w:lang w:eastAsia="zh-CN"/>
              </w:rPr>
              <w:t>至少配备洒水车</w:t>
            </w:r>
            <w:r>
              <w:rPr>
                <w:rFonts w:hint="eastAsia" w:asciiTheme="minorEastAsia" w:hAnsiTheme="minorEastAsia" w:eastAsiaTheme="minorEastAsia" w:cstheme="minorEastAsia"/>
                <w:color w:val="auto"/>
                <w:sz w:val="21"/>
                <w:highlight w:val="none"/>
                <w:lang w:val="en-US" w:eastAsia="zh-CN"/>
              </w:rPr>
              <w:t>2</w:t>
            </w:r>
            <w:r>
              <w:rPr>
                <w:rFonts w:hint="eastAsia" w:asciiTheme="minorEastAsia" w:hAnsiTheme="minorEastAsia" w:eastAsiaTheme="minorEastAsia" w:cstheme="minorEastAsia"/>
                <w:color w:val="auto"/>
                <w:sz w:val="21"/>
                <w:highlight w:val="none"/>
                <w:lang w:eastAsia="zh-CN"/>
              </w:rPr>
              <w:t>台，且环水保措施方案具有针对性、合理性且满足相应规范要求，洞口废水处理设施配置满足工程需求且性能良好的“一体化”污水处理设备</w:t>
            </w:r>
            <w:r>
              <w:rPr>
                <w:rFonts w:hint="eastAsia" w:asciiTheme="minorEastAsia" w:hAnsiTheme="minorEastAsia" w:eastAsiaTheme="minorEastAsia" w:cstheme="minorEastAsia"/>
                <w:color w:val="auto"/>
                <w:sz w:val="21"/>
                <w:highlight w:val="none"/>
                <w:lang w:val="en-US" w:eastAsia="zh-CN"/>
              </w:rPr>
              <w:t>1</w:t>
            </w:r>
            <w:r>
              <w:rPr>
                <w:rFonts w:hint="eastAsia" w:asciiTheme="minorEastAsia" w:hAnsiTheme="minorEastAsia" w:eastAsiaTheme="minorEastAsia" w:cstheme="minorEastAsia"/>
                <w:color w:val="auto"/>
                <w:sz w:val="21"/>
                <w:highlight w:val="none"/>
                <w:lang w:eastAsia="zh-CN"/>
              </w:rPr>
              <w:t>台，得分：【1.8-2.0】分</w:t>
            </w:r>
          </w:p>
        </w:tc>
        <w:tc>
          <w:tcPr>
            <w:tcW w:w="464" w:type="pct"/>
            <w:tcBorders>
              <w:tl2br w:val="nil"/>
              <w:tr2bl w:val="nil"/>
            </w:tcBorders>
            <w:vAlign w:val="center"/>
          </w:tcPr>
          <w:p w14:paraId="6856F40B">
            <w:pPr>
              <w:wordWrap w:val="0"/>
              <w:overflowPunct w:val="0"/>
              <w:autoSpaceDE/>
              <w:autoSpaceDN/>
              <w:spacing w:beforeLines="0" w:afterLines="0" w:line="320" w:lineRule="exact"/>
              <w:ind w:firstLine="0" w:firstLineChars="0"/>
              <w:jc w:val="center"/>
              <w:rPr>
                <w:rFonts w:ascii="宋体" w:eastAsia="宋体" w:hAnsiTheme="minorEastAsia" w:cstheme="minorEastAsia"/>
                <w:color w:val="auto"/>
                <w:spacing w:val="0"/>
                <w:sz w:val="21"/>
                <w:highlight w:val="none"/>
                <w:lang w:eastAsia="zh-CN"/>
              </w:rPr>
            </w:pPr>
            <w:r>
              <w:rPr>
                <w:rFonts w:ascii="宋体" w:eastAsia="宋体" w:hAnsiTheme="minorEastAsia" w:cstheme="minorEastAsia"/>
                <w:color w:val="auto"/>
                <w:sz w:val="21"/>
                <w:highlight w:val="none"/>
                <w:lang w:eastAsia="zh-CN"/>
              </w:rPr>
              <w:t>2</w:t>
            </w:r>
          </w:p>
        </w:tc>
        <w:tc>
          <w:tcPr>
            <w:tcW w:w="493" w:type="pct"/>
            <w:tcBorders>
              <w:tl2br w:val="nil"/>
              <w:tr2bl w:val="nil"/>
            </w:tcBorders>
            <w:vAlign w:val="center"/>
          </w:tcPr>
          <w:p w14:paraId="24F96DF3">
            <w:pPr>
              <w:wordWrap w:val="0"/>
              <w:overflowPunct w:val="0"/>
              <w:autoSpaceDE/>
              <w:autoSpaceDN/>
              <w:spacing w:beforeLines="0" w:afterLines="0" w:line="320" w:lineRule="exact"/>
              <w:ind w:firstLine="0" w:firstLineChars="0"/>
              <w:jc w:val="center"/>
              <w:rPr>
                <w:rFonts w:ascii="宋体" w:eastAsia="宋体" w:hAnsiTheme="minorEastAsia" w:cstheme="minorEastAsia"/>
                <w:color w:val="auto"/>
                <w:spacing w:val="0"/>
                <w:sz w:val="21"/>
                <w:highlight w:val="none"/>
                <w:lang w:eastAsia="zh-CN"/>
              </w:rPr>
            </w:pPr>
            <w:r>
              <w:rPr>
                <w:rFonts w:ascii="宋体" w:eastAsia="宋体" w:hAnsiTheme="minorEastAsia" w:cstheme="minorEastAsia"/>
                <w:color w:val="auto"/>
                <w:spacing w:val="0"/>
                <w:sz w:val="21"/>
                <w:highlight w:val="none"/>
                <w:lang w:eastAsia="zh-CN"/>
              </w:rPr>
              <w:t>1.2</w:t>
            </w:r>
          </w:p>
        </w:tc>
      </w:tr>
      <w:tr w14:paraId="724E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75" w:type="pct"/>
            <w:tcBorders>
              <w:tl2br w:val="nil"/>
              <w:tr2bl w:val="nil"/>
            </w:tcBorders>
            <w:vAlign w:val="center"/>
          </w:tcPr>
          <w:p w14:paraId="5DE4A92E">
            <w:pPr>
              <w:wordWrap w:val="0"/>
              <w:overflowPunct w:val="0"/>
              <w:autoSpaceDE/>
              <w:autoSpaceDN/>
              <w:spacing w:beforeLines="0" w:afterLines="0" w:line="320" w:lineRule="exact"/>
              <w:ind w:firstLine="0" w:firstLineChars="0"/>
              <w:jc w:val="center"/>
              <w:rPr>
                <w:rFonts w:cs="宋体"/>
                <w:color w:val="auto"/>
                <w:spacing w:val="0"/>
                <w:sz w:val="21"/>
                <w:highlight w:val="none"/>
                <w:lang w:eastAsia="zh-CN"/>
              </w:rPr>
            </w:pPr>
            <w:r>
              <w:rPr>
                <w:rFonts w:cs="宋体"/>
                <w:color w:val="auto"/>
                <w:spacing w:val="0"/>
                <w:sz w:val="21"/>
                <w:highlight w:val="none"/>
                <w:lang w:eastAsia="zh-CN"/>
              </w:rPr>
              <w:t>9</w:t>
            </w:r>
          </w:p>
        </w:tc>
        <w:tc>
          <w:tcPr>
            <w:tcW w:w="3565" w:type="pct"/>
            <w:tcBorders>
              <w:tl2br w:val="nil"/>
              <w:tr2bl w:val="nil"/>
            </w:tcBorders>
            <w:vAlign w:val="center"/>
          </w:tcPr>
          <w:p w14:paraId="353D441A">
            <w:pPr>
              <w:wordWrap w:val="0"/>
              <w:overflowPunct w:val="0"/>
              <w:autoSpaceDE/>
              <w:autoSpaceDN/>
              <w:spacing w:beforeLines="0" w:afterLines="0" w:line="320" w:lineRule="exact"/>
              <w:ind w:firstLine="0" w:firstLineChars="0"/>
              <w:jc w:val="left"/>
              <w:rPr>
                <w:rFonts w:hint="eastAsia" w:asciiTheme="minorEastAsia" w:hAnsiTheme="minorEastAsia" w:eastAsiaTheme="minorEastAsia" w:cstheme="minorEastAsia"/>
                <w:color w:val="auto"/>
                <w:spacing w:val="0"/>
                <w:sz w:val="21"/>
                <w:highlight w:val="none"/>
                <w:lang w:eastAsia="zh-CN"/>
              </w:rPr>
            </w:pPr>
            <w:r>
              <w:rPr>
                <w:rFonts w:hint="eastAsia" w:asciiTheme="minorEastAsia" w:hAnsiTheme="minorEastAsia" w:eastAsiaTheme="minorEastAsia" w:cstheme="minorEastAsia"/>
                <w:color w:val="auto"/>
                <w:spacing w:val="0"/>
                <w:sz w:val="21"/>
                <w:highlight w:val="none"/>
                <w:lang w:eastAsia="zh-CN"/>
              </w:rPr>
              <w:t>信息化建设（包括信息化工程总体实施方案完整、准确、技术先进、计划合理，基础设施运营维护及数据传输保障措施合理）</w:t>
            </w:r>
          </w:p>
        </w:tc>
        <w:tc>
          <w:tcPr>
            <w:tcW w:w="464" w:type="pct"/>
            <w:tcBorders>
              <w:tl2br w:val="nil"/>
              <w:tr2bl w:val="nil"/>
            </w:tcBorders>
            <w:vAlign w:val="center"/>
          </w:tcPr>
          <w:p w14:paraId="1570D313">
            <w:pPr>
              <w:wordWrap w:val="0"/>
              <w:overflowPunct w:val="0"/>
              <w:autoSpaceDE/>
              <w:autoSpaceDN/>
              <w:spacing w:beforeLines="0" w:afterLines="0" w:line="320" w:lineRule="exact"/>
              <w:ind w:firstLine="0" w:firstLineChars="0"/>
              <w:jc w:val="center"/>
              <w:rPr>
                <w:rFonts w:hint="default" w:ascii="宋体" w:eastAsia="宋体" w:hAnsiTheme="minorEastAsia" w:cstheme="minorEastAsia"/>
                <w:snapToGrid/>
                <w:color w:val="auto"/>
                <w:spacing w:val="0"/>
                <w:sz w:val="21"/>
                <w:highlight w:val="none"/>
                <w:lang w:val="en-US" w:eastAsia="zh-CN" w:bidi="en-US"/>
              </w:rPr>
            </w:pPr>
            <w:r>
              <w:rPr>
                <w:rFonts w:ascii="宋体" w:eastAsia="宋体" w:hAnsiTheme="minorEastAsia" w:cstheme="minorEastAsia"/>
                <w:color w:val="auto"/>
                <w:sz w:val="21"/>
                <w:highlight w:val="none"/>
                <w:lang w:eastAsia="zh-CN"/>
              </w:rPr>
              <w:t>1</w:t>
            </w:r>
            <w:r>
              <w:rPr>
                <w:rFonts w:hint="eastAsia" w:hAnsiTheme="minorEastAsia" w:cstheme="minorEastAsia"/>
                <w:color w:val="auto"/>
                <w:sz w:val="21"/>
                <w:highlight w:val="none"/>
                <w:lang w:val="en-US" w:eastAsia="zh-CN"/>
              </w:rPr>
              <w:t>.5</w:t>
            </w:r>
          </w:p>
        </w:tc>
        <w:tc>
          <w:tcPr>
            <w:tcW w:w="493" w:type="pct"/>
            <w:tcBorders>
              <w:tl2br w:val="nil"/>
              <w:tr2bl w:val="nil"/>
            </w:tcBorders>
            <w:vAlign w:val="center"/>
          </w:tcPr>
          <w:p w14:paraId="7B9C99F8">
            <w:pPr>
              <w:wordWrap w:val="0"/>
              <w:overflowPunct w:val="0"/>
              <w:autoSpaceDE/>
              <w:autoSpaceDN/>
              <w:spacing w:beforeLines="0" w:afterLines="0" w:line="320" w:lineRule="exact"/>
              <w:ind w:firstLine="0" w:firstLineChars="0"/>
              <w:jc w:val="center"/>
              <w:rPr>
                <w:rFonts w:ascii="宋体" w:eastAsia="宋体" w:hAnsiTheme="minorEastAsia" w:cstheme="minorEastAsia"/>
                <w:snapToGrid/>
                <w:color w:val="auto"/>
                <w:spacing w:val="0"/>
                <w:sz w:val="21"/>
                <w:highlight w:val="none"/>
                <w:lang w:eastAsia="zh-CN" w:bidi="en-US"/>
              </w:rPr>
            </w:pPr>
            <w:r>
              <w:rPr>
                <w:rFonts w:ascii="宋体" w:eastAsia="宋体" w:hAnsiTheme="minorEastAsia" w:cstheme="minorEastAsia"/>
                <w:color w:val="auto"/>
                <w:spacing w:val="0"/>
                <w:sz w:val="21"/>
                <w:highlight w:val="none"/>
                <w:lang w:eastAsia="zh-CN"/>
              </w:rPr>
              <w:t>0.</w:t>
            </w:r>
            <w:r>
              <w:rPr>
                <w:rFonts w:hint="eastAsia" w:hAnsiTheme="minorEastAsia" w:cstheme="minorEastAsia"/>
                <w:color w:val="auto"/>
                <w:spacing w:val="0"/>
                <w:sz w:val="21"/>
                <w:highlight w:val="none"/>
                <w:lang w:val="en-US" w:eastAsia="zh-CN"/>
              </w:rPr>
              <w:t>9</w:t>
            </w:r>
          </w:p>
        </w:tc>
      </w:tr>
    </w:tbl>
    <w:p w14:paraId="24831722">
      <w:pPr>
        <w:kinsoku/>
        <w:spacing w:before="0" w:beforeLines="0" w:afterLines="0" w:line="240" w:lineRule="auto"/>
        <w:ind w:left="0" w:firstLine="0" w:firstLineChars="0"/>
        <w:jc w:val="left"/>
        <w:rPr>
          <w:rFonts w:cs="宋体"/>
          <w:color w:val="auto"/>
          <w:sz w:val="24"/>
          <w:szCs w:val="24"/>
          <w:highlight w:val="none"/>
          <w:lang w:eastAsia="zh-CN"/>
        </w:rPr>
      </w:pPr>
      <w:r>
        <w:rPr>
          <w:rFonts w:ascii="宋体" w:hAnsi="宋体" w:eastAsia="宋体" w:cs="宋体"/>
          <w:i/>
          <w:iCs/>
          <w:color w:val="auto"/>
          <w:spacing w:val="0"/>
          <w:sz w:val="24"/>
          <w:szCs w:val="24"/>
          <w:highlight w:val="none"/>
          <w:lang w:eastAsia="zh-CN"/>
        </w:rPr>
        <w:t>注：技术评审内容可根据项目实际情况进行调整。</w:t>
      </w:r>
    </w:p>
    <w:p w14:paraId="5DA7136C">
      <w:pPr>
        <w:kinsoku/>
        <w:spacing w:before="0" w:beforeLines="0" w:afterLines="0" w:line="240" w:lineRule="auto"/>
        <w:ind w:left="0" w:firstLine="0" w:firstLineChars="0"/>
        <w:jc w:val="left"/>
        <w:rPr>
          <w:rFonts w:ascii="宋体" w:hAnsi="宋体" w:eastAsia="宋体" w:cs="宋体"/>
          <w:i/>
          <w:iCs/>
          <w:color w:val="auto"/>
          <w:spacing w:val="0"/>
          <w:sz w:val="18"/>
          <w:szCs w:val="18"/>
          <w:highlight w:val="none"/>
          <w:lang w:eastAsia="zh-CN"/>
        </w:rPr>
      </w:pPr>
    </w:p>
    <w:p w14:paraId="4501B4BC">
      <w:pPr>
        <w:keepNext/>
        <w:keepLines/>
        <w:widowControl w:val="0"/>
        <w:kinsoku/>
        <w:adjustRightInd w:val="0"/>
        <w:snapToGrid w:val="0"/>
        <w:spacing w:before="0" w:beforeLines="0" w:afterLines="0" w:line="360" w:lineRule="auto"/>
        <w:ind w:left="0"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2"/>
          <w:sz w:val="24"/>
          <w:szCs w:val="24"/>
          <w:highlight w:val="none"/>
          <w:lang w:val="en-US" w:eastAsia="zh-CN" w:bidi="ar-SA"/>
        </w:rPr>
        <w:t>4.4　投标文件的资信和其他因素评分</w:t>
      </w:r>
    </w:p>
    <w:p w14:paraId="43104639">
      <w:pPr>
        <w:kinsoku/>
        <w:spacing w:beforeLines="0" w:afterLines="0"/>
        <w:ind w:firstLine="0" w:firstLineChars="0"/>
        <w:jc w:val="left"/>
        <w:rPr>
          <w:rFonts w:cs="宋体"/>
          <w:color w:val="auto"/>
          <w:szCs w:val="21"/>
          <w:highlight w:val="none"/>
          <w:lang w:eastAsia="zh-CN"/>
        </w:rPr>
      </w:pPr>
      <w:r>
        <w:rPr>
          <w:rFonts w:cs="宋体"/>
          <w:color w:val="auto"/>
          <w:highlight w:val="none"/>
          <w:lang w:eastAsia="zh-CN"/>
        </w:rPr>
        <w:t>4.4.1</w:t>
      </w:r>
      <w:r>
        <w:rPr>
          <w:rFonts w:hint="eastAsia" w:cs="宋体"/>
          <w:color w:val="auto"/>
          <w:highlight w:val="none"/>
          <w:lang w:eastAsia="zh-CN"/>
        </w:rPr>
        <w:t>　</w:t>
      </w:r>
      <w:r>
        <w:rPr>
          <w:rFonts w:cs="宋体"/>
          <w:color w:val="auto"/>
          <w:szCs w:val="21"/>
          <w:highlight w:val="none"/>
          <w:lang w:eastAsia="zh-CN"/>
        </w:rPr>
        <w:t>投标文件的资信</w:t>
      </w:r>
    </w:p>
    <w:p w14:paraId="515EFFA5">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投标文件的资信评审包括投标人的诚信、企业信用等级。评标委员会全体成员查阅投标文件及相关证明材料并进行集体讨论后统一评分。</w:t>
      </w:r>
    </w:p>
    <w:p w14:paraId="3FF27E9E">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 投标人诚信（采用扣分法，扣分不设分值限定</w:t>
      </w:r>
      <w:r>
        <w:rPr>
          <w:rFonts w:hint="eastAsia" w:cs="宋体"/>
          <w:color w:val="auto"/>
          <w:spacing w:val="0"/>
          <w:szCs w:val="21"/>
          <w:highlight w:val="none"/>
          <w:lang w:val="en-US" w:eastAsia="zh-CN"/>
        </w:rPr>
        <w:t>W</w:t>
      </w:r>
      <w:r>
        <w:rPr>
          <w:rFonts w:cs="宋体"/>
          <w:color w:val="auto"/>
          <w:spacing w:val="0"/>
          <w:szCs w:val="21"/>
          <w:highlight w:val="none"/>
          <w:lang w:eastAsia="zh-CN"/>
        </w:rPr>
        <w:t>，以实际次数扣分）：</w:t>
      </w:r>
    </w:p>
    <w:p w14:paraId="091C0589">
      <w:pPr>
        <w:kinsoku/>
        <w:spacing w:before="0" w:beforeLines="0" w:afterLines="0" w:line="360" w:lineRule="auto"/>
        <w:ind w:left="0" w:right="0" w:firstLine="420"/>
        <w:jc w:val="left"/>
        <w:rPr>
          <w:rFonts w:hint="eastAsia" w:cs="宋体"/>
          <w:color w:val="auto"/>
          <w:spacing w:val="0"/>
          <w:highlight w:val="none"/>
          <w:lang w:eastAsia="zh-CN"/>
        </w:rPr>
      </w:pPr>
      <w:r>
        <w:rPr>
          <w:rFonts w:cs="宋体"/>
          <w:color w:val="auto"/>
          <w:spacing w:val="0"/>
          <w:szCs w:val="21"/>
          <w:highlight w:val="none"/>
          <w:lang w:eastAsia="zh-CN"/>
        </w:rPr>
        <w:t>投标人在投标截止时间前被省发展改革委作出行政处罚决定且在公告期限内的，每次扣</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分；以浙江政务服务网行政处罚结果信息公开内容为准，时间以省发展改革委作出处理决定的时间为准</w:t>
      </w:r>
      <w:r>
        <w:rPr>
          <w:rFonts w:hint="eastAsia" w:cs="宋体"/>
          <w:color w:val="auto"/>
          <w:spacing w:val="0"/>
          <w:highlight w:val="none"/>
          <w:lang w:eastAsia="zh-CN"/>
        </w:rPr>
        <w:t>，</w:t>
      </w:r>
      <w:r>
        <w:rPr>
          <w:rFonts w:hint="eastAsia" w:cs="宋体"/>
          <w:color w:val="auto"/>
          <w:spacing w:val="0"/>
          <w:highlight w:val="none"/>
          <w:lang w:val="en-US" w:eastAsia="zh-CN"/>
        </w:rPr>
        <w:t>联合体投标的</w:t>
      </w:r>
      <w:r>
        <w:rPr>
          <w:rFonts w:hint="eastAsia" w:cs="宋体"/>
          <w:color w:val="auto"/>
          <w:spacing w:val="0"/>
          <w:highlight w:val="none"/>
          <w:lang w:eastAsia="zh-CN"/>
        </w:rPr>
        <w:t>，企业诚信等级按照联合体各方实际处罚</w:t>
      </w:r>
    </w:p>
    <w:p w14:paraId="4BAE4EA1">
      <w:pPr>
        <w:kinsoku/>
        <w:spacing w:before="0" w:beforeLines="0" w:afterLines="0" w:line="360" w:lineRule="auto"/>
        <w:ind w:left="0" w:right="0" w:firstLine="420"/>
        <w:jc w:val="left"/>
        <w:rPr>
          <w:rFonts w:hint="eastAsia" w:cs="宋体"/>
          <w:color w:val="auto"/>
          <w:spacing w:val="0"/>
          <w:highlight w:val="none"/>
          <w:lang w:eastAsia="zh-CN"/>
        </w:rPr>
      </w:pPr>
    </w:p>
    <w:p w14:paraId="3A33BD0A">
      <w:pPr>
        <w:kinsoku/>
        <w:spacing w:before="0" w:beforeLines="0" w:afterLines="0" w:line="360" w:lineRule="auto"/>
        <w:ind w:left="0" w:right="0" w:firstLine="420"/>
        <w:jc w:val="left"/>
        <w:rPr>
          <w:rFonts w:cs="宋体"/>
          <w:color w:val="auto"/>
          <w:szCs w:val="21"/>
          <w:highlight w:val="none"/>
          <w:lang w:eastAsia="zh-CN"/>
        </w:rPr>
      </w:pPr>
      <w:r>
        <w:rPr>
          <w:rFonts w:hint="eastAsia" w:cs="宋体"/>
          <w:color w:val="auto"/>
          <w:spacing w:val="0"/>
          <w:highlight w:val="none"/>
          <w:lang w:eastAsia="zh-CN"/>
        </w:rPr>
        <w:t>次数总和为依据</w:t>
      </w:r>
      <w:r>
        <w:rPr>
          <w:rFonts w:cs="宋体"/>
          <w:color w:val="auto"/>
          <w:spacing w:val="0"/>
          <w:highlight w:val="none"/>
          <w:lang w:eastAsia="zh-CN"/>
        </w:rPr>
        <w:t>。</w:t>
      </w:r>
    </w:p>
    <w:p w14:paraId="4E38F6E2">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企业信用等级最高评分为</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分，具体分值见下表：</w:t>
      </w:r>
    </w:p>
    <w:p w14:paraId="0EB9A593">
      <w:pPr>
        <w:kinsoku/>
        <w:spacing w:beforeLines="0" w:afterLines="0" w:line="147" w:lineRule="exact"/>
        <w:ind w:firstLine="420"/>
        <w:jc w:val="left"/>
        <w:rPr>
          <w:color w:val="auto"/>
          <w:highlight w:val="none"/>
          <w:lang w:eastAsia="zh-CN"/>
        </w:rPr>
      </w:pPr>
    </w:p>
    <w:tbl>
      <w:tblPr>
        <w:tblStyle w:val="24"/>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10"/>
        <w:gridCol w:w="7511"/>
        <w:gridCol w:w="738"/>
      </w:tblGrid>
      <w:tr w14:paraId="5AD5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tcBorders>
              <w:tl2br w:val="nil"/>
              <w:tr2bl w:val="nil"/>
            </w:tcBorders>
            <w:vAlign w:val="center"/>
          </w:tcPr>
          <w:p w14:paraId="577DC533">
            <w:pPr>
              <w:kinsoku/>
              <w:spacing w:before="0" w:beforeLines="0" w:afterLines="0" w:line="360" w:lineRule="exact"/>
              <w:ind w:left="0" w:firstLine="0" w:firstLineChars="0"/>
              <w:jc w:val="center"/>
              <w:rPr>
                <w:rFonts w:cs="宋体"/>
                <w:color w:val="auto"/>
                <w:sz w:val="21"/>
                <w:highlight w:val="none"/>
              </w:rPr>
            </w:pPr>
            <w:r>
              <w:rPr>
                <w:rFonts w:cs="宋体"/>
                <w:color w:val="auto"/>
                <w:spacing w:val="0"/>
                <w:sz w:val="21"/>
                <w:highlight w:val="none"/>
              </w:rPr>
              <w:t>序号</w:t>
            </w:r>
          </w:p>
        </w:tc>
        <w:tc>
          <w:tcPr>
            <w:tcW w:w="7511" w:type="dxa"/>
            <w:tcBorders>
              <w:tl2br w:val="nil"/>
              <w:tr2bl w:val="nil"/>
            </w:tcBorders>
            <w:vAlign w:val="center"/>
          </w:tcPr>
          <w:p w14:paraId="45772928">
            <w:pPr>
              <w:kinsoku/>
              <w:spacing w:before="0" w:beforeLines="0" w:afterLines="0" w:line="360" w:lineRule="exact"/>
              <w:ind w:left="0" w:firstLine="0" w:firstLineChars="0"/>
              <w:jc w:val="center"/>
              <w:rPr>
                <w:rFonts w:cs="宋体"/>
                <w:color w:val="auto"/>
                <w:sz w:val="21"/>
                <w:highlight w:val="none"/>
              </w:rPr>
            </w:pPr>
            <w:r>
              <w:rPr>
                <w:rFonts w:cs="宋体"/>
                <w:color w:val="auto"/>
                <w:spacing w:val="0"/>
                <w:sz w:val="21"/>
                <w:highlight w:val="none"/>
              </w:rPr>
              <w:t>内    容</w:t>
            </w:r>
          </w:p>
        </w:tc>
        <w:tc>
          <w:tcPr>
            <w:tcW w:w="738" w:type="dxa"/>
            <w:tcBorders>
              <w:tl2br w:val="nil"/>
              <w:tr2bl w:val="nil"/>
            </w:tcBorders>
            <w:vAlign w:val="center"/>
          </w:tcPr>
          <w:p w14:paraId="17FB9E5A">
            <w:pPr>
              <w:kinsoku/>
              <w:spacing w:before="0" w:beforeLines="0" w:afterLines="0" w:line="360" w:lineRule="exact"/>
              <w:ind w:left="0" w:firstLine="0" w:firstLineChars="0"/>
              <w:jc w:val="center"/>
              <w:rPr>
                <w:rFonts w:cs="宋体"/>
                <w:color w:val="auto"/>
                <w:sz w:val="21"/>
                <w:highlight w:val="none"/>
              </w:rPr>
            </w:pPr>
            <w:r>
              <w:rPr>
                <w:rFonts w:cs="宋体"/>
                <w:color w:val="auto"/>
                <w:spacing w:val="0"/>
                <w:sz w:val="21"/>
                <w:highlight w:val="none"/>
              </w:rPr>
              <w:t>得分</w:t>
            </w:r>
          </w:p>
        </w:tc>
      </w:tr>
      <w:tr w14:paraId="587F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tcBorders>
              <w:tl2br w:val="nil"/>
              <w:tr2bl w:val="nil"/>
            </w:tcBorders>
            <w:vAlign w:val="center"/>
          </w:tcPr>
          <w:p w14:paraId="53BA4E4B">
            <w:pPr>
              <w:kinsoku/>
              <w:spacing w:before="0" w:beforeLines="0" w:afterLines="0" w:line="360" w:lineRule="exact"/>
              <w:ind w:left="0" w:firstLine="0" w:firstLineChars="0"/>
              <w:jc w:val="center"/>
              <w:rPr>
                <w:rFonts w:hint="eastAsia" w:ascii="宋体" w:hAnsi="Times New Roman" w:eastAsia="宋体" w:cs="Times New Roman"/>
                <w:color w:val="auto"/>
                <w:sz w:val="21"/>
                <w:highlight w:val="none"/>
                <w:lang w:val="en-US" w:eastAsia="zh-CN"/>
              </w:rPr>
            </w:pPr>
            <w:r>
              <w:rPr>
                <w:rFonts w:hint="eastAsia" w:hAnsi="Times New Roman" w:cs="Times New Roman"/>
                <w:color w:val="auto"/>
                <w:sz w:val="21"/>
                <w:highlight w:val="none"/>
                <w:lang w:val="en-US" w:eastAsia="zh-CN"/>
              </w:rPr>
              <w:t>1</w:t>
            </w:r>
          </w:p>
        </w:tc>
        <w:tc>
          <w:tcPr>
            <w:tcW w:w="7511" w:type="dxa"/>
            <w:tcBorders>
              <w:tl2br w:val="nil"/>
              <w:tr2bl w:val="nil"/>
            </w:tcBorders>
            <w:vAlign w:val="center"/>
          </w:tcPr>
          <w:p w14:paraId="098B7657">
            <w:pPr>
              <w:kinsoku/>
              <w:spacing w:before="0" w:beforeLines="0" w:afterLines="0" w:line="360" w:lineRule="exact"/>
              <w:ind w:left="0" w:right="0" w:firstLine="0" w:firstLineChars="0"/>
              <w:jc w:val="left"/>
              <w:rPr>
                <w:rFonts w:hint="eastAsia" w:eastAsia="宋体" w:cs="宋体"/>
                <w:color w:val="auto"/>
                <w:sz w:val="21"/>
                <w:highlight w:val="none"/>
                <w:lang w:eastAsia="zh-CN"/>
              </w:rPr>
            </w:pPr>
            <w:r>
              <w:rPr>
                <w:color w:val="auto"/>
                <w:spacing w:val="-6"/>
                <w:sz w:val="21"/>
                <w:szCs w:val="21"/>
                <w:highlight w:val="none"/>
              </w:rPr>
              <w:t>企业信用等级（</w:t>
            </w:r>
            <w:r>
              <w:rPr>
                <w:i/>
                <w:iCs/>
                <w:strike/>
                <w:color w:val="auto"/>
                <w:spacing w:val="-6"/>
                <w:sz w:val="21"/>
                <w:szCs w:val="21"/>
                <w:highlight w:val="none"/>
              </w:rPr>
              <w:t>由</w:t>
            </w:r>
            <w:r>
              <w:rPr>
                <w:i/>
                <w:iCs/>
                <w:color w:val="auto"/>
                <w:spacing w:val="-6"/>
                <w:sz w:val="21"/>
                <w:szCs w:val="21"/>
                <w:highlight w:val="none"/>
              </w:rPr>
              <w:t>招标人</w:t>
            </w:r>
            <w:r>
              <w:rPr>
                <w:i/>
                <w:iCs/>
                <w:strike/>
                <w:color w:val="auto"/>
                <w:spacing w:val="-6"/>
                <w:sz w:val="21"/>
                <w:szCs w:val="21"/>
                <w:highlight w:val="none"/>
              </w:rPr>
              <w:t>自主</w:t>
            </w:r>
            <w:r>
              <w:rPr>
                <w:i/>
                <w:iCs/>
                <w:color w:val="auto"/>
                <w:spacing w:val="-6"/>
                <w:sz w:val="21"/>
                <w:szCs w:val="21"/>
                <w:highlight w:val="none"/>
              </w:rPr>
              <w:t>选用全国水利建</w:t>
            </w:r>
            <w:r>
              <w:rPr>
                <w:i/>
                <w:iCs/>
                <w:color w:val="auto"/>
                <w:spacing w:val="-7"/>
                <w:sz w:val="21"/>
                <w:szCs w:val="21"/>
                <w:highlight w:val="none"/>
              </w:rPr>
              <w:t>设市场监管服务平台公布的企</w:t>
            </w:r>
            <w:r>
              <w:rPr>
                <w:i/>
                <w:iCs/>
                <w:color w:val="auto"/>
                <w:spacing w:val="-12"/>
                <w:sz w:val="21"/>
                <w:szCs w:val="21"/>
                <w:highlight w:val="none"/>
              </w:rPr>
              <w:t>业信用评价等级（施工类）</w:t>
            </w:r>
            <w:r>
              <w:rPr>
                <w:i/>
                <w:iCs/>
                <w:strike/>
                <w:color w:val="auto"/>
                <w:spacing w:val="-12"/>
                <w:sz w:val="21"/>
                <w:szCs w:val="21"/>
                <w:highlight w:val="none"/>
              </w:rPr>
              <w:t>或浙江省水利建设市场信用评价等级（施工类</w:t>
            </w:r>
            <w:r>
              <w:rPr>
                <w:i/>
                <w:iCs/>
                <w:strike/>
                <w:color w:val="auto"/>
                <w:spacing w:val="-2"/>
                <w:sz w:val="21"/>
                <w:szCs w:val="21"/>
                <w:highlight w:val="none"/>
              </w:rPr>
              <w:t>），</w:t>
            </w:r>
            <w:r>
              <w:rPr>
                <w:i/>
                <w:iCs/>
                <w:strike/>
                <w:color w:val="auto"/>
                <w:spacing w:val="-10"/>
                <w:sz w:val="21"/>
                <w:szCs w:val="21"/>
                <w:highlight w:val="none"/>
              </w:rPr>
              <w:t>并在此予以明确</w:t>
            </w:r>
            <w:r>
              <w:rPr>
                <w:i/>
                <w:iCs/>
                <w:color w:val="auto"/>
                <w:spacing w:val="-10"/>
                <w:sz w:val="21"/>
                <w:szCs w:val="21"/>
                <w:highlight w:val="none"/>
              </w:rPr>
              <w:t>，本项最高得</w:t>
            </w:r>
            <w:r>
              <w:rPr>
                <w:rFonts w:ascii="Times New Roman" w:hAnsi="Times New Roman" w:eastAsia="Times New Roman" w:cs="Times New Roman"/>
                <w:i/>
                <w:iCs/>
                <w:color w:val="auto"/>
                <w:spacing w:val="-10"/>
                <w:sz w:val="21"/>
                <w:szCs w:val="21"/>
                <w:highlight w:val="none"/>
              </w:rPr>
              <w:t>3</w:t>
            </w:r>
            <w:r>
              <w:rPr>
                <w:i/>
                <w:iCs/>
                <w:color w:val="auto"/>
                <w:spacing w:val="-10"/>
                <w:sz w:val="21"/>
                <w:szCs w:val="21"/>
                <w:highlight w:val="none"/>
              </w:rPr>
              <w:t>分。</w:t>
            </w:r>
            <w:r>
              <w:rPr>
                <w:color w:val="auto"/>
                <w:spacing w:val="-10"/>
                <w:sz w:val="21"/>
                <w:szCs w:val="21"/>
                <w:highlight w:val="none"/>
              </w:rPr>
              <w:t>）</w:t>
            </w:r>
            <w:r>
              <w:rPr>
                <w:rFonts w:hint="eastAsia"/>
                <w:color w:val="auto"/>
                <w:spacing w:val="-10"/>
                <w:sz w:val="21"/>
                <w:highlight w:val="none"/>
              </w:rPr>
              <w:t>联合体投标的，企业信用等级</w:t>
            </w:r>
            <w:r>
              <w:rPr>
                <w:rFonts w:hint="eastAsia"/>
                <w:color w:val="auto"/>
                <w:spacing w:val="-10"/>
                <w:sz w:val="21"/>
                <w:highlight w:val="none"/>
                <w:lang w:val="en-US" w:eastAsia="zh-CN"/>
              </w:rPr>
              <w:t>联合体成员任意一方提供均可</w:t>
            </w:r>
            <w:r>
              <w:rPr>
                <w:rFonts w:hint="eastAsia"/>
                <w:color w:val="auto"/>
                <w:spacing w:val="-10"/>
                <w:sz w:val="21"/>
                <w:highlight w:val="none"/>
                <w:lang w:eastAsia="zh-CN"/>
              </w:rPr>
              <w:t>。</w:t>
            </w:r>
          </w:p>
        </w:tc>
        <w:tc>
          <w:tcPr>
            <w:tcW w:w="738" w:type="dxa"/>
            <w:tcBorders>
              <w:tl2br w:val="nil"/>
              <w:tr2bl w:val="nil"/>
            </w:tcBorders>
            <w:vAlign w:val="center"/>
          </w:tcPr>
          <w:p w14:paraId="786C341F">
            <w:pPr>
              <w:spacing w:beforeLines="0" w:afterLines="0" w:line="360" w:lineRule="exact"/>
              <w:ind w:firstLine="0" w:firstLineChars="0"/>
              <w:jc w:val="center"/>
              <w:rPr>
                <w:color w:val="auto"/>
                <w:sz w:val="21"/>
                <w:highlight w:val="none"/>
              </w:rPr>
            </w:pPr>
          </w:p>
          <w:p w14:paraId="7ECFBB90">
            <w:pPr>
              <w:kinsoku/>
              <w:spacing w:before="0" w:beforeLines="0" w:afterLines="0" w:line="360" w:lineRule="exact"/>
              <w:ind w:left="0" w:firstLine="0" w:firstLineChars="0"/>
              <w:jc w:val="center"/>
              <w:rPr>
                <w:rFonts w:ascii="宋体" w:hAnsi="Times New Roman" w:eastAsia="宋体" w:cs="Times New Roman"/>
                <w:color w:val="auto"/>
                <w:sz w:val="21"/>
                <w:highlight w:val="none"/>
              </w:rPr>
            </w:pPr>
            <w:r>
              <w:rPr>
                <w:rFonts w:ascii="宋体" w:hAnsi="Times New Roman" w:eastAsia="宋体" w:cs="Times New Roman"/>
                <w:color w:val="auto"/>
                <w:spacing w:val="0"/>
                <w:sz w:val="21"/>
                <w:highlight w:val="none"/>
              </w:rPr>
              <w:t>3.0</w:t>
            </w:r>
          </w:p>
        </w:tc>
      </w:tr>
      <w:tr w14:paraId="125E8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vAlign w:val="center"/>
          </w:tcPr>
          <w:p w14:paraId="57A6CC77">
            <w:pPr>
              <w:kinsoku/>
              <w:spacing w:beforeLines="0" w:afterLines="0" w:line="360" w:lineRule="exact"/>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7511" w:type="dxa"/>
            <w:vAlign w:val="center"/>
          </w:tcPr>
          <w:p w14:paraId="2EEB74E3">
            <w:pPr>
              <w:kinsoku/>
              <w:spacing w:beforeLines="0" w:afterLines="0" w:line="360" w:lineRule="exact"/>
              <w:ind w:firstLine="0" w:firstLineChars="0"/>
              <w:jc w:val="left"/>
              <w:rPr>
                <w:rFonts w:cs="宋体"/>
                <w:color w:val="auto"/>
                <w:sz w:val="21"/>
                <w:szCs w:val="21"/>
                <w:highlight w:val="none"/>
                <w:lang w:eastAsia="zh-CN"/>
              </w:rPr>
            </w:pPr>
            <w:r>
              <w:rPr>
                <w:color w:val="auto"/>
                <w:spacing w:val="-1"/>
                <w:sz w:val="21"/>
                <w:szCs w:val="21"/>
                <w:highlight w:val="none"/>
              </w:rPr>
              <w:t>标段概算投资＞</w:t>
            </w:r>
            <w:r>
              <w:rPr>
                <w:rFonts w:ascii="Times New Roman" w:hAnsi="Times New Roman" w:eastAsia="Times New Roman" w:cs="Times New Roman"/>
                <w:color w:val="auto"/>
                <w:spacing w:val="-1"/>
                <w:sz w:val="21"/>
                <w:szCs w:val="21"/>
                <w:highlight w:val="none"/>
              </w:rPr>
              <w:t>6000</w:t>
            </w:r>
            <w:r>
              <w:rPr>
                <w:color w:val="auto"/>
                <w:spacing w:val="-1"/>
                <w:sz w:val="21"/>
                <w:szCs w:val="21"/>
                <w:highlight w:val="none"/>
              </w:rPr>
              <w:t>万元</w:t>
            </w:r>
          </w:p>
        </w:tc>
        <w:tc>
          <w:tcPr>
            <w:tcW w:w="738" w:type="dxa"/>
            <w:vAlign w:val="center"/>
          </w:tcPr>
          <w:p w14:paraId="02F9B27A">
            <w:pPr>
              <w:kinsoku/>
              <w:spacing w:beforeLines="0" w:afterLines="0" w:line="360" w:lineRule="exact"/>
              <w:ind w:firstLine="0" w:firstLineChars="0"/>
              <w:jc w:val="center"/>
              <w:rPr>
                <w:rFonts w:hAnsi="Times New Roman" w:cs="Times New Roman"/>
                <w:color w:val="auto"/>
                <w:sz w:val="21"/>
                <w:szCs w:val="21"/>
                <w:highlight w:val="none"/>
              </w:rPr>
            </w:pPr>
          </w:p>
        </w:tc>
      </w:tr>
      <w:tr w14:paraId="59A7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vAlign w:val="center"/>
          </w:tcPr>
          <w:p w14:paraId="4B6364C4">
            <w:pPr>
              <w:kinsoku/>
              <w:spacing w:beforeLines="0" w:afterLines="0" w:line="360" w:lineRule="exact"/>
              <w:ind w:firstLine="0" w:firstLineChars="0"/>
              <w:jc w:val="center"/>
              <w:rPr>
                <w:rFonts w:hint="eastAsia"/>
                <w:color w:val="auto"/>
                <w:sz w:val="21"/>
                <w:szCs w:val="21"/>
                <w:highlight w:val="none"/>
                <w:lang w:eastAsia="zh-CN"/>
              </w:rPr>
            </w:pPr>
            <w:r>
              <w:rPr>
                <w:rFonts w:hint="eastAsia"/>
                <w:color w:val="auto"/>
                <w:sz w:val="21"/>
                <w:szCs w:val="21"/>
                <w:highlight w:val="none"/>
                <w:lang w:val="en-US" w:eastAsia="zh-CN"/>
              </w:rPr>
              <w:t>1</w:t>
            </w:r>
          </w:p>
        </w:tc>
        <w:tc>
          <w:tcPr>
            <w:tcW w:w="7511" w:type="dxa"/>
            <w:vAlign w:val="center"/>
          </w:tcPr>
          <w:p w14:paraId="3C76F21F">
            <w:pPr>
              <w:kinsoku/>
              <w:spacing w:beforeLines="0" w:afterLines="0" w:line="360" w:lineRule="exact"/>
              <w:ind w:firstLine="0" w:firstLineChars="0"/>
              <w:jc w:val="left"/>
              <w:rPr>
                <w:rFonts w:cs="宋体"/>
                <w:color w:val="auto"/>
                <w:sz w:val="21"/>
                <w:szCs w:val="21"/>
                <w:highlight w:val="none"/>
                <w:lang w:eastAsia="zh-CN"/>
              </w:rPr>
            </w:pPr>
            <w:r>
              <w:rPr>
                <w:rFonts w:cs="宋体"/>
                <w:strike w:val="0"/>
                <w:color w:val="auto"/>
                <w:sz w:val="21"/>
                <w:szCs w:val="21"/>
                <w:highlight w:val="none"/>
                <w:lang w:eastAsia="zh-CN"/>
              </w:rPr>
              <w:t>全国</w:t>
            </w:r>
            <w:r>
              <w:rPr>
                <w:rFonts w:hAnsi="Times New Roman" w:cs="Times New Roman"/>
                <w:strike w:val="0"/>
                <w:color w:val="auto"/>
                <w:sz w:val="21"/>
                <w:szCs w:val="21"/>
                <w:highlight w:val="none"/>
                <w:lang w:eastAsia="zh-CN"/>
              </w:rPr>
              <w:t>AAA</w:t>
            </w:r>
          </w:p>
        </w:tc>
        <w:tc>
          <w:tcPr>
            <w:tcW w:w="738" w:type="dxa"/>
            <w:vAlign w:val="center"/>
          </w:tcPr>
          <w:p w14:paraId="586CBD59">
            <w:pPr>
              <w:kinsoku/>
              <w:spacing w:beforeLines="0" w:afterLines="0" w:line="360" w:lineRule="exact"/>
              <w:ind w:firstLine="0" w:firstLineChars="0"/>
              <w:jc w:val="center"/>
              <w:rPr>
                <w:rFonts w:hAnsi="Times New Roman" w:cs="Times New Roman"/>
                <w:color w:val="auto"/>
                <w:sz w:val="21"/>
                <w:szCs w:val="21"/>
                <w:highlight w:val="none"/>
              </w:rPr>
            </w:pPr>
            <w:r>
              <w:rPr>
                <w:rFonts w:hAnsi="Times New Roman" w:cs="Times New Roman"/>
                <w:color w:val="auto"/>
                <w:sz w:val="21"/>
                <w:szCs w:val="21"/>
                <w:highlight w:val="none"/>
              </w:rPr>
              <w:t>3.0</w:t>
            </w:r>
          </w:p>
        </w:tc>
      </w:tr>
      <w:tr w14:paraId="2DC7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vAlign w:val="center"/>
          </w:tcPr>
          <w:p w14:paraId="64C05A12">
            <w:pPr>
              <w:kinsoku/>
              <w:spacing w:beforeLines="0" w:afterLines="0" w:line="360" w:lineRule="exact"/>
              <w:ind w:firstLine="0" w:firstLineChars="0"/>
              <w:jc w:val="center"/>
              <w:rPr>
                <w:rFonts w:hint="eastAsia"/>
                <w:color w:val="auto"/>
                <w:sz w:val="21"/>
                <w:szCs w:val="21"/>
                <w:highlight w:val="none"/>
                <w:lang w:eastAsia="zh-CN"/>
              </w:rPr>
            </w:pPr>
            <w:r>
              <w:rPr>
                <w:rFonts w:hint="eastAsia"/>
                <w:color w:val="auto"/>
                <w:sz w:val="21"/>
                <w:szCs w:val="21"/>
                <w:highlight w:val="none"/>
                <w:lang w:val="en-US" w:eastAsia="zh-CN"/>
              </w:rPr>
              <w:t>2</w:t>
            </w:r>
          </w:p>
        </w:tc>
        <w:tc>
          <w:tcPr>
            <w:tcW w:w="7511" w:type="dxa"/>
            <w:vAlign w:val="center"/>
          </w:tcPr>
          <w:p w14:paraId="59C3EC42">
            <w:pPr>
              <w:kinsoku/>
              <w:spacing w:beforeLines="0" w:afterLines="0" w:line="360" w:lineRule="exact"/>
              <w:ind w:firstLine="0" w:firstLineChars="0"/>
              <w:jc w:val="left"/>
              <w:rPr>
                <w:rFonts w:hint="eastAsia" w:cs="宋体"/>
                <w:color w:val="auto"/>
                <w:sz w:val="21"/>
                <w:szCs w:val="21"/>
                <w:highlight w:val="none"/>
                <w:lang w:eastAsia="zh-CN"/>
              </w:rPr>
            </w:pPr>
            <w:r>
              <w:rPr>
                <w:rFonts w:cs="宋体"/>
                <w:strike w:val="0"/>
                <w:color w:val="auto"/>
                <w:sz w:val="21"/>
                <w:szCs w:val="21"/>
                <w:highlight w:val="none"/>
              </w:rPr>
              <w:t>全国</w:t>
            </w:r>
            <w:r>
              <w:rPr>
                <w:rFonts w:hAnsi="Times New Roman" w:cs="Times New Roman"/>
                <w:strike w:val="0"/>
                <w:color w:val="auto"/>
                <w:sz w:val="21"/>
                <w:szCs w:val="21"/>
                <w:highlight w:val="none"/>
              </w:rPr>
              <w:t>AA</w:t>
            </w:r>
          </w:p>
        </w:tc>
        <w:tc>
          <w:tcPr>
            <w:tcW w:w="738" w:type="dxa"/>
            <w:vAlign w:val="center"/>
          </w:tcPr>
          <w:p w14:paraId="271D8056">
            <w:pPr>
              <w:kinsoku/>
              <w:spacing w:beforeLines="0" w:afterLines="0" w:line="360" w:lineRule="exact"/>
              <w:ind w:firstLine="0" w:firstLineChars="0"/>
              <w:jc w:val="center"/>
              <w:rPr>
                <w:rFonts w:hAnsi="Times New Roman" w:cs="Times New Roman"/>
                <w:color w:val="auto"/>
                <w:sz w:val="21"/>
                <w:szCs w:val="21"/>
                <w:highlight w:val="none"/>
              </w:rPr>
            </w:pPr>
            <w:r>
              <w:rPr>
                <w:rFonts w:hAnsi="Times New Roman" w:cs="Times New Roman"/>
                <w:color w:val="auto"/>
                <w:sz w:val="21"/>
                <w:szCs w:val="21"/>
                <w:highlight w:val="none"/>
              </w:rPr>
              <w:t>2.0</w:t>
            </w:r>
          </w:p>
        </w:tc>
      </w:tr>
      <w:tr w14:paraId="2F47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vAlign w:val="center"/>
          </w:tcPr>
          <w:p w14:paraId="1940D2F8">
            <w:pPr>
              <w:kinsoku/>
              <w:spacing w:beforeLines="0" w:afterLines="0" w:line="360" w:lineRule="exact"/>
              <w:ind w:firstLine="0" w:firstLineChars="0"/>
              <w:jc w:val="center"/>
              <w:rPr>
                <w:rFonts w:hint="eastAsia"/>
                <w:color w:val="auto"/>
                <w:sz w:val="21"/>
                <w:szCs w:val="21"/>
                <w:highlight w:val="none"/>
                <w:lang w:eastAsia="zh-CN"/>
              </w:rPr>
            </w:pPr>
            <w:r>
              <w:rPr>
                <w:rFonts w:hint="eastAsia"/>
                <w:color w:val="auto"/>
                <w:sz w:val="21"/>
                <w:szCs w:val="21"/>
                <w:highlight w:val="none"/>
                <w:lang w:val="en-US" w:eastAsia="zh-CN"/>
              </w:rPr>
              <w:t>3</w:t>
            </w:r>
          </w:p>
        </w:tc>
        <w:tc>
          <w:tcPr>
            <w:tcW w:w="7511" w:type="dxa"/>
            <w:vAlign w:val="center"/>
          </w:tcPr>
          <w:p w14:paraId="02345E64">
            <w:pPr>
              <w:kinsoku/>
              <w:spacing w:beforeLines="0" w:afterLines="0" w:line="360" w:lineRule="exact"/>
              <w:ind w:firstLine="0" w:firstLineChars="0"/>
              <w:jc w:val="left"/>
              <w:rPr>
                <w:rFonts w:cs="宋体"/>
                <w:color w:val="auto"/>
                <w:sz w:val="21"/>
                <w:szCs w:val="21"/>
                <w:highlight w:val="none"/>
                <w:lang w:eastAsia="zh-CN"/>
              </w:rPr>
            </w:pPr>
            <w:r>
              <w:rPr>
                <w:rFonts w:cs="宋体"/>
                <w:strike w:val="0"/>
                <w:color w:val="auto"/>
                <w:sz w:val="21"/>
                <w:szCs w:val="21"/>
                <w:highlight w:val="none"/>
              </w:rPr>
              <w:t>全国</w:t>
            </w:r>
            <w:r>
              <w:rPr>
                <w:rFonts w:hAnsi="Times New Roman" w:cs="Times New Roman"/>
                <w:strike w:val="0"/>
                <w:color w:val="auto"/>
                <w:sz w:val="21"/>
                <w:szCs w:val="21"/>
                <w:highlight w:val="none"/>
              </w:rPr>
              <w:t>A</w:t>
            </w:r>
          </w:p>
        </w:tc>
        <w:tc>
          <w:tcPr>
            <w:tcW w:w="738" w:type="dxa"/>
            <w:vAlign w:val="center"/>
          </w:tcPr>
          <w:p w14:paraId="7E31989B">
            <w:pPr>
              <w:kinsoku/>
              <w:spacing w:beforeLines="0" w:afterLines="0" w:line="360" w:lineRule="exact"/>
              <w:ind w:firstLine="0" w:firstLineChars="0"/>
              <w:jc w:val="center"/>
              <w:rPr>
                <w:rFonts w:hAnsi="Times New Roman" w:cs="Times New Roman"/>
                <w:color w:val="auto"/>
                <w:sz w:val="21"/>
                <w:szCs w:val="21"/>
                <w:highlight w:val="none"/>
              </w:rPr>
            </w:pPr>
            <w:r>
              <w:rPr>
                <w:rFonts w:hAnsi="Times New Roman" w:cs="Times New Roman"/>
                <w:color w:val="auto"/>
                <w:sz w:val="21"/>
                <w:szCs w:val="21"/>
                <w:highlight w:val="none"/>
              </w:rPr>
              <w:t>1.0</w:t>
            </w:r>
          </w:p>
        </w:tc>
      </w:tr>
      <w:tr w14:paraId="099C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10" w:type="dxa"/>
            <w:vAlign w:val="center"/>
          </w:tcPr>
          <w:p w14:paraId="23A9B981">
            <w:pPr>
              <w:kinsoku/>
              <w:spacing w:beforeLines="0" w:afterLines="0" w:line="360" w:lineRule="exact"/>
              <w:ind w:firstLine="0" w:firstLineChars="0"/>
              <w:jc w:val="center"/>
              <w:rPr>
                <w:rFonts w:hint="eastAsia"/>
                <w:color w:val="auto"/>
                <w:sz w:val="21"/>
                <w:szCs w:val="21"/>
                <w:highlight w:val="none"/>
                <w:lang w:eastAsia="zh-CN"/>
              </w:rPr>
            </w:pPr>
            <w:r>
              <w:rPr>
                <w:rFonts w:hint="eastAsia"/>
                <w:color w:val="auto"/>
                <w:sz w:val="21"/>
                <w:szCs w:val="21"/>
                <w:highlight w:val="none"/>
                <w:lang w:val="en-US" w:eastAsia="zh-CN"/>
              </w:rPr>
              <w:t>4</w:t>
            </w:r>
          </w:p>
        </w:tc>
        <w:tc>
          <w:tcPr>
            <w:tcW w:w="7511" w:type="dxa"/>
            <w:vAlign w:val="center"/>
          </w:tcPr>
          <w:p w14:paraId="339B327D">
            <w:pPr>
              <w:kinsoku/>
              <w:spacing w:beforeLines="0" w:afterLines="0" w:line="360" w:lineRule="exact"/>
              <w:ind w:firstLine="0" w:firstLineChars="0"/>
              <w:jc w:val="left"/>
              <w:rPr>
                <w:rFonts w:cs="宋体"/>
                <w:color w:val="auto"/>
                <w:sz w:val="21"/>
                <w:szCs w:val="21"/>
                <w:highlight w:val="none"/>
                <w:lang w:eastAsia="zh-CN"/>
              </w:rPr>
            </w:pPr>
            <w:r>
              <w:rPr>
                <w:rFonts w:cs="宋体"/>
                <w:strike w:val="0"/>
                <w:color w:val="auto"/>
                <w:sz w:val="21"/>
                <w:szCs w:val="21"/>
                <w:highlight w:val="none"/>
                <w:lang w:eastAsia="zh-CN"/>
              </w:rPr>
              <w:t>全国</w:t>
            </w:r>
            <w:r>
              <w:rPr>
                <w:rFonts w:hAnsi="Times New Roman" w:cs="Times New Roman"/>
                <w:strike w:val="0"/>
                <w:color w:val="auto"/>
                <w:sz w:val="21"/>
                <w:szCs w:val="21"/>
                <w:highlight w:val="none"/>
                <w:lang w:eastAsia="zh-CN"/>
              </w:rPr>
              <w:t>B</w:t>
            </w:r>
            <w:r>
              <w:rPr>
                <w:rFonts w:cs="宋体"/>
                <w:strike w:val="0"/>
                <w:color w:val="auto"/>
                <w:sz w:val="21"/>
                <w:szCs w:val="21"/>
                <w:highlight w:val="none"/>
                <w:lang w:eastAsia="zh-CN"/>
              </w:rPr>
              <w:t>及以下或无信用评价等级</w:t>
            </w:r>
          </w:p>
        </w:tc>
        <w:tc>
          <w:tcPr>
            <w:tcW w:w="738" w:type="dxa"/>
            <w:vAlign w:val="center"/>
          </w:tcPr>
          <w:p w14:paraId="3AF12296">
            <w:pPr>
              <w:kinsoku/>
              <w:spacing w:beforeLines="0" w:afterLines="0" w:line="360" w:lineRule="exact"/>
              <w:ind w:firstLine="0" w:firstLineChars="0"/>
              <w:jc w:val="center"/>
              <w:rPr>
                <w:rFonts w:hAnsi="Times New Roman" w:cs="Times New Roman"/>
                <w:color w:val="auto"/>
                <w:sz w:val="21"/>
                <w:szCs w:val="21"/>
                <w:highlight w:val="none"/>
              </w:rPr>
            </w:pPr>
            <w:r>
              <w:rPr>
                <w:rFonts w:hAnsi="Times New Roman" w:cs="Times New Roman"/>
                <w:color w:val="auto"/>
                <w:sz w:val="21"/>
                <w:szCs w:val="21"/>
                <w:highlight w:val="none"/>
              </w:rPr>
              <w:t>0</w:t>
            </w:r>
          </w:p>
        </w:tc>
      </w:tr>
    </w:tbl>
    <w:p w14:paraId="01989AED">
      <w:pPr>
        <w:kinsoku/>
        <w:spacing w:beforeLines="0" w:afterLines="0" w:line="89" w:lineRule="auto"/>
        <w:ind w:firstLine="40"/>
        <w:jc w:val="left"/>
        <w:rPr>
          <w:color w:val="auto"/>
          <w:sz w:val="2"/>
          <w:highlight w:val="none"/>
        </w:rPr>
      </w:pPr>
    </w:p>
    <w:p w14:paraId="48CC58D0">
      <w:pPr>
        <w:kinsoku/>
        <w:spacing w:before="0" w:beforeLines="0" w:afterLines="0" w:line="360" w:lineRule="auto"/>
        <w:ind w:left="0" w:right="0" w:firstLine="420"/>
        <w:jc w:val="left"/>
        <w:rPr>
          <w:rFonts w:cs="宋体"/>
          <w:color w:val="auto"/>
          <w:spacing w:val="0"/>
          <w:szCs w:val="21"/>
          <w:highlight w:val="none"/>
          <w:lang w:eastAsia="zh-CN"/>
        </w:rPr>
      </w:pPr>
      <w:r>
        <w:rPr>
          <w:rFonts w:cs="宋体"/>
          <w:color w:val="auto"/>
          <w:spacing w:val="0"/>
          <w:szCs w:val="21"/>
          <w:highlight w:val="none"/>
          <w:lang w:eastAsia="zh-CN"/>
        </w:rPr>
        <w:t>企业信用等级证明材料指：选用全国水利建设市场监管服务平台企业信用评价等级的提供显示颁发日期及有效期的网页打印件；选用浙江省水利建设市场信用评价等级（施工类）的提供投标截止日前最新一期信用评价等级打印件（信用评价等级每周三下午</w:t>
      </w:r>
      <w:r>
        <w:rPr>
          <w:rFonts w:ascii="宋体" w:hAnsi="Times New Roman" w:eastAsia="宋体" w:cs="Times New Roman"/>
          <w:color w:val="auto"/>
          <w:spacing w:val="0"/>
          <w:szCs w:val="21"/>
          <w:highlight w:val="none"/>
          <w:lang w:eastAsia="zh-CN"/>
        </w:rPr>
        <w:t>17:00-18:00</w:t>
      </w:r>
      <w:r>
        <w:rPr>
          <w:rFonts w:cs="宋体"/>
          <w:color w:val="auto"/>
          <w:spacing w:val="0"/>
          <w:highlight w:val="none"/>
          <w:lang w:eastAsia="zh-CN"/>
        </w:rPr>
        <w:t>更新），打印件应含有“浙江水利透明工程”水印。</w:t>
      </w:r>
    </w:p>
    <w:p w14:paraId="1BA0D513">
      <w:pPr>
        <w:keepNext/>
        <w:keepLines/>
        <w:widowControl w:val="0"/>
        <w:kinsoku/>
        <w:adjustRightInd w:val="0"/>
        <w:snapToGrid w:val="0"/>
        <w:spacing w:before="0" w:beforeLines="0" w:afterLines="0" w:line="360" w:lineRule="auto"/>
        <w:ind w:left="0"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1"/>
          <w:sz w:val="24"/>
          <w:szCs w:val="24"/>
          <w:highlight w:val="none"/>
          <w:lang w:val="en-US" w:eastAsia="zh-CN" w:bidi="ar-SA"/>
        </w:rPr>
        <w:t>4.5　投标文件的商务评审</w:t>
      </w:r>
    </w:p>
    <w:p w14:paraId="6AAA362A">
      <w:pPr>
        <w:kinsoku/>
        <w:spacing w:before="0" w:beforeLines="0" w:afterLines="0" w:line="360" w:lineRule="auto"/>
        <w:ind w:left="0" w:righ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4.5.1</w:t>
      </w:r>
      <w:r>
        <w:rPr>
          <w:rFonts w:hint="eastAsia" w:hAnsi="Times New Roman" w:cs="Times New Roman"/>
          <w:b/>
          <w:bCs/>
          <w:color w:val="auto"/>
          <w:szCs w:val="21"/>
          <w:highlight w:val="none"/>
          <w:lang w:eastAsia="zh-CN"/>
        </w:rPr>
        <w:t>　</w:t>
      </w:r>
      <w:r>
        <w:rPr>
          <w:rFonts w:cs="宋体"/>
          <w:color w:val="auto"/>
          <w:highlight w:val="none"/>
          <w:lang w:eastAsia="zh-CN"/>
        </w:rPr>
        <w:t>评标委员会对通过符合性评审、技术评审的投标文件进行商务评审。评标</w:t>
      </w:r>
      <w:r>
        <w:rPr>
          <w:rFonts w:cs="宋体"/>
          <w:color w:val="auto"/>
          <w:spacing w:val="0"/>
          <w:szCs w:val="21"/>
          <w:highlight w:val="none"/>
          <w:lang w:eastAsia="zh-CN"/>
        </w:rPr>
        <w:t>委员会应对商务报价的范围、数量、单价、费用组成和总价等进行全面审阅和对比分析，找出报价差异的原因及存在的问题。</w:t>
      </w:r>
    </w:p>
    <w:p w14:paraId="34901CBC">
      <w:pPr>
        <w:kinsoku/>
        <w:spacing w:before="0" w:beforeLines="0" w:afterLines="0" w:line="360" w:lineRule="auto"/>
        <w:ind w:left="0" w:right="0" w:firstLine="0" w:firstLineChars="0"/>
        <w:jc w:val="left"/>
        <w:rPr>
          <w:rFonts w:cs="宋体"/>
          <w:color w:val="auto"/>
          <w:szCs w:val="21"/>
          <w:highlight w:val="none"/>
          <w:lang w:eastAsia="zh-CN"/>
        </w:rPr>
      </w:pPr>
      <w:r>
        <w:rPr>
          <w:rFonts w:ascii="宋体" w:hAnsi="Times New Roman" w:eastAsia="宋体" w:cs="Times New Roman"/>
          <w:b/>
          <w:bCs/>
          <w:color w:val="auto"/>
          <w:szCs w:val="21"/>
          <w:highlight w:val="none"/>
          <w:lang w:eastAsia="zh-CN"/>
        </w:rPr>
        <w:t>4.5.2</w:t>
      </w:r>
      <w:r>
        <w:rPr>
          <w:rFonts w:hint="eastAsia" w:hAnsi="Times New Roman" w:cs="Times New Roman"/>
          <w:b/>
          <w:bCs/>
          <w:color w:val="auto"/>
          <w:szCs w:val="21"/>
          <w:highlight w:val="none"/>
          <w:lang w:eastAsia="zh-CN"/>
        </w:rPr>
        <w:t>　</w:t>
      </w:r>
      <w:r>
        <w:rPr>
          <w:rFonts w:cs="宋体"/>
          <w:color w:val="auto"/>
          <w:highlight w:val="none"/>
          <w:lang w:eastAsia="zh-CN"/>
        </w:rPr>
        <w:t>商务评审应以报价口径范围一致的投标评标价为依据。投标评标价应在最</w:t>
      </w:r>
      <w:r>
        <w:rPr>
          <w:rFonts w:cs="宋体"/>
          <w:color w:val="auto"/>
          <w:spacing w:val="0"/>
          <w:szCs w:val="21"/>
          <w:highlight w:val="none"/>
          <w:lang w:eastAsia="zh-CN"/>
        </w:rPr>
        <w:t>终报价的基础上，按照招标文件约定的因素和方法进行计算。凡属招标文件的原因造成报价口径范围不一致的，应调整投标报价。其中算术错误的调整原则为：</w:t>
      </w:r>
    </w:p>
    <w:p w14:paraId="3AF1E29F">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）用数字表示的金额与文字表示的数额不一致时，以文字数额为准。</w:t>
      </w:r>
    </w:p>
    <w:p w14:paraId="1FEB7F34">
      <w:pPr>
        <w:kinsoku/>
        <w:spacing w:before="0" w:beforeLines="0" w:afterLines="0" w:line="360" w:lineRule="auto"/>
        <w:ind w:left="0" w:righ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）凡属投标人自身失误造成多算、少算、漏算的，不调整投标报价。若有算</w:t>
      </w:r>
      <w:r>
        <w:rPr>
          <w:rFonts w:cs="宋体"/>
          <w:color w:val="auto"/>
          <w:spacing w:val="0"/>
          <w:szCs w:val="21"/>
          <w:highlight w:val="none"/>
          <w:lang w:eastAsia="zh-CN"/>
        </w:rPr>
        <w:t>术性差错，均在投标报价不变的前提下按招标人要求调整单价及有关费用，调整后的单价及有关费用对投标人起约束作用，如果投标人不接受修正后的单价及有关费用，则按商务评审不合格处理。</w:t>
      </w:r>
    </w:p>
    <w:p w14:paraId="7DE72708">
      <w:pPr>
        <w:kinsoku/>
        <w:spacing w:before="0" w:beforeLines="0" w:afterLines="0" w:line="360" w:lineRule="auto"/>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4.5.3</w:t>
      </w:r>
      <w:r>
        <w:rPr>
          <w:rFonts w:hint="eastAsia" w:hAnsi="Times New Roman" w:cs="Times New Roman"/>
          <w:b/>
          <w:bCs/>
          <w:color w:val="auto"/>
          <w:spacing w:val="0"/>
          <w:szCs w:val="21"/>
          <w:highlight w:val="none"/>
          <w:lang w:eastAsia="zh-CN"/>
        </w:rPr>
        <w:t>　</w:t>
      </w:r>
      <w:r>
        <w:rPr>
          <w:rFonts w:cs="宋体"/>
          <w:color w:val="auto"/>
          <w:spacing w:val="0"/>
          <w:highlight w:val="none"/>
          <w:lang w:eastAsia="zh-CN"/>
        </w:rPr>
        <w:t>投标报价中，如有以下情况之一的，按商务评审不合格处理：</w:t>
      </w:r>
    </w:p>
    <w:p w14:paraId="5BC555B8">
      <w:pPr>
        <w:kinsoku/>
        <w:spacing w:before="0" w:beforeLines="0" w:afterLines="0"/>
        <w:ind w:firstLine="420"/>
        <w:jc w:val="left"/>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1</w:t>
      </w:r>
      <w:r>
        <w:rPr>
          <w:rFonts w:cs="宋体"/>
          <w:color w:val="auto"/>
          <w:highlight w:val="none"/>
          <w:lang w:eastAsia="zh-CN"/>
        </w:rPr>
        <w:t>）投标人拒绝修正不平衡报价或拒绝提供报价分析说明和证明材料的。</w:t>
      </w:r>
    </w:p>
    <w:p w14:paraId="3ED51A07">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2</w:t>
      </w:r>
      <w:r>
        <w:rPr>
          <w:rFonts w:cs="宋体"/>
          <w:color w:val="auto"/>
          <w:highlight w:val="none"/>
          <w:lang w:eastAsia="zh-CN"/>
        </w:rPr>
        <w:t>）因投标人自身多算、少算、错算、漏算而造成的错误金额超过投标总价的</w:t>
      </w:r>
      <w:r>
        <w:rPr>
          <w:rFonts w:ascii="宋体" w:hAnsi="Times New Roman" w:eastAsia="宋体" w:cs="Times New Roman"/>
          <w:color w:val="auto"/>
          <w:szCs w:val="21"/>
          <w:highlight w:val="none"/>
          <w:lang w:eastAsia="zh-CN"/>
        </w:rPr>
        <w:t>3%</w:t>
      </w:r>
      <w:r>
        <w:rPr>
          <w:rFonts w:cs="宋体"/>
          <w:color w:val="auto"/>
          <w:highlight w:val="none"/>
          <w:lang w:eastAsia="zh-CN"/>
        </w:rPr>
        <w:t>的。</w:t>
      </w:r>
    </w:p>
    <w:p w14:paraId="535642B6">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3</w:t>
      </w:r>
      <w:r>
        <w:rPr>
          <w:rFonts w:cs="宋体"/>
          <w:color w:val="auto"/>
          <w:highlight w:val="none"/>
          <w:lang w:eastAsia="zh-CN"/>
        </w:rPr>
        <w:t>）安全施工费</w:t>
      </w:r>
      <w:r>
        <w:rPr>
          <w:rFonts w:hint="eastAsia" w:cs="宋体"/>
          <w:color w:val="auto"/>
          <w:highlight w:val="none"/>
          <w:lang w:eastAsia="zh-CN"/>
        </w:rPr>
        <w:t>（</w:t>
      </w:r>
      <w:r>
        <w:rPr>
          <w:rFonts w:hint="eastAsia" w:cs="宋体"/>
          <w:color w:val="auto"/>
          <w:highlight w:val="none"/>
          <w:lang w:val="en-US" w:eastAsia="zh-CN"/>
        </w:rPr>
        <w:t>安全生产措施费</w:t>
      </w:r>
      <w:r>
        <w:rPr>
          <w:rFonts w:hint="eastAsia" w:cs="宋体"/>
          <w:color w:val="auto"/>
          <w:highlight w:val="none"/>
          <w:lang w:eastAsia="zh-CN"/>
        </w:rPr>
        <w:t>）</w:t>
      </w:r>
      <w:r>
        <w:rPr>
          <w:rFonts w:cs="宋体"/>
          <w:color w:val="auto"/>
          <w:highlight w:val="none"/>
          <w:lang w:eastAsia="zh-CN"/>
        </w:rPr>
        <w:t>低于招标文件规定的。</w:t>
      </w:r>
    </w:p>
    <w:p w14:paraId="45149B4F">
      <w:pPr>
        <w:kinsoku/>
        <w:spacing w:before="0" w:beforeLines="0" w:afterLines="0"/>
        <w:ind w:firstLine="420"/>
        <w:jc w:val="left"/>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4</w:t>
      </w:r>
      <w:r>
        <w:rPr>
          <w:rFonts w:cs="宋体"/>
          <w:color w:val="auto"/>
          <w:highlight w:val="none"/>
          <w:lang w:eastAsia="zh-CN"/>
        </w:rPr>
        <w:t>）通过符合性审查、技术评审的最低投标评标价低于通过符合性审查和技术评审的次低投标评标价</w:t>
      </w:r>
      <w:r>
        <w:rPr>
          <w:rFonts w:ascii="宋体" w:hAnsi="Times New Roman" w:eastAsia="宋体" w:cs="Times New Roman"/>
          <w:color w:val="auto"/>
          <w:szCs w:val="21"/>
          <w:highlight w:val="none"/>
          <w:lang w:eastAsia="zh-CN"/>
        </w:rPr>
        <w:t>8%</w:t>
      </w:r>
      <w:r>
        <w:rPr>
          <w:rFonts w:cs="宋体"/>
          <w:color w:val="auto"/>
          <w:highlight w:val="none"/>
          <w:lang w:eastAsia="zh-CN"/>
        </w:rPr>
        <w:t>，且经询标投标人对其报价不能充分说明理由，或提供的相关材料无法证明报价不低于其成本价的。</w:t>
      </w:r>
    </w:p>
    <w:p w14:paraId="6A8AB26A">
      <w:pPr>
        <w:kinsoku/>
        <w:spacing w:before="0" w:beforeLines="0" w:afterLines="0"/>
        <w:ind w:firstLine="420"/>
        <w:jc w:val="left"/>
        <w:rPr>
          <w:rFonts w:cs="宋体"/>
          <w:color w:val="auto"/>
          <w:szCs w:val="21"/>
          <w:highlight w:val="none"/>
          <w:lang w:eastAsia="zh-CN"/>
        </w:rPr>
      </w:pPr>
      <w:r>
        <w:rPr>
          <w:rFonts w:cs="宋体"/>
          <w:color w:val="auto"/>
          <w:szCs w:val="21"/>
          <w:highlight w:val="none"/>
          <w:lang w:eastAsia="zh-CN"/>
        </w:rPr>
        <w:t>（</w:t>
      </w:r>
      <w:r>
        <w:rPr>
          <w:rFonts w:ascii="宋体" w:hAnsi="Times New Roman" w:eastAsia="宋体" w:cs="Times New Roman"/>
          <w:color w:val="auto"/>
          <w:szCs w:val="21"/>
          <w:highlight w:val="none"/>
          <w:lang w:eastAsia="zh-CN"/>
        </w:rPr>
        <w:t>5</w:t>
      </w:r>
      <w:r>
        <w:rPr>
          <w:rFonts w:cs="宋体"/>
          <w:color w:val="auto"/>
          <w:highlight w:val="none"/>
          <w:lang w:eastAsia="zh-CN"/>
        </w:rPr>
        <w:t>）评标委员会认定属投标人自身原因有重大漏项的。</w:t>
      </w:r>
    </w:p>
    <w:p w14:paraId="4C33FD92">
      <w:pPr>
        <w:kinsoku/>
        <w:spacing w:before="0" w:beforeLines="0" w:afterLines="0"/>
        <w:ind w:firstLine="420"/>
        <w:jc w:val="left"/>
        <w:rPr>
          <w:rFonts w:cs="宋体"/>
          <w:strike/>
          <w:color w:val="auto"/>
          <w:szCs w:val="21"/>
          <w:highlight w:val="none"/>
          <w:lang w:eastAsia="zh-CN"/>
        </w:rPr>
      </w:pPr>
      <w:r>
        <w:rPr>
          <w:rFonts w:cs="宋体"/>
          <w:color w:val="auto"/>
          <w:szCs w:val="21"/>
          <w:highlight w:val="none"/>
          <w:lang w:eastAsia="zh-CN"/>
        </w:rPr>
        <w:t>（6）</w:t>
      </w:r>
      <w:r>
        <w:rPr>
          <w:rFonts w:hint="eastAsia" w:cs="宋体"/>
          <w:color w:val="auto"/>
          <w:szCs w:val="21"/>
          <w:highlight w:val="none"/>
          <w:lang w:eastAsia="zh-CN"/>
        </w:rPr>
        <w:t xml:space="preserve"> </w:t>
      </w:r>
      <w:r>
        <w:rPr>
          <w:rFonts w:cs="宋体"/>
          <w:color w:val="auto"/>
          <w:szCs w:val="21"/>
          <w:highlight w:val="none"/>
          <w:lang w:eastAsia="zh-CN"/>
        </w:rPr>
        <w:t>/</w:t>
      </w:r>
      <w:r>
        <w:rPr>
          <w:rFonts w:hint="eastAsia" w:cs="宋体"/>
          <w:color w:val="auto"/>
          <w:szCs w:val="21"/>
          <w:highlight w:val="none"/>
          <w:lang w:val="en-US" w:eastAsia="zh-CN"/>
        </w:rPr>
        <w:t xml:space="preserve"> </w:t>
      </w:r>
      <w:r>
        <w:rPr>
          <w:rFonts w:cs="宋体"/>
          <w:color w:val="auto"/>
          <w:szCs w:val="21"/>
          <w:highlight w:val="none"/>
          <w:lang w:eastAsia="zh-CN"/>
        </w:rPr>
        <w:t>。（由招标人自行扩充）</w:t>
      </w:r>
    </w:p>
    <w:p w14:paraId="44368EC0">
      <w:pPr>
        <w:kinsoku/>
        <w:spacing w:before="0" w:beforeLines="0" w:afterLines="0" w:line="360" w:lineRule="auto"/>
        <w:ind w:left="0" w:firstLine="0" w:firstLineChars="0"/>
        <w:jc w:val="left"/>
        <w:rPr>
          <w:rFonts w:cs="宋体"/>
          <w:color w:val="auto"/>
          <w:szCs w:val="21"/>
          <w:highlight w:val="none"/>
          <w:lang w:eastAsia="zh-CN"/>
        </w:rPr>
      </w:pPr>
      <w:r>
        <w:rPr>
          <w:rFonts w:ascii="宋体" w:hAnsi="Times New Roman" w:eastAsia="宋体" w:cs="Times New Roman"/>
          <w:b/>
          <w:bCs/>
          <w:color w:val="auto"/>
          <w:spacing w:val="0"/>
          <w:szCs w:val="21"/>
          <w:highlight w:val="none"/>
          <w:lang w:eastAsia="zh-CN"/>
        </w:rPr>
        <w:t>4.5.4</w:t>
      </w:r>
      <w:r>
        <w:rPr>
          <w:rFonts w:hint="eastAsia" w:hAnsi="Times New Roman" w:cs="Times New Roman"/>
          <w:b/>
          <w:bCs/>
          <w:color w:val="auto"/>
          <w:spacing w:val="0"/>
          <w:szCs w:val="21"/>
          <w:highlight w:val="none"/>
          <w:lang w:eastAsia="zh-CN"/>
        </w:rPr>
        <w:t>　</w:t>
      </w:r>
      <w:r>
        <w:rPr>
          <w:rFonts w:cs="宋体"/>
          <w:color w:val="auto"/>
          <w:spacing w:val="0"/>
          <w:highlight w:val="none"/>
          <w:lang w:eastAsia="zh-CN"/>
        </w:rPr>
        <w:t>商务评审不通过的投标文件不再进入后续评分。</w:t>
      </w:r>
    </w:p>
    <w:p w14:paraId="0C62D289">
      <w:pPr>
        <w:kinsoku/>
        <w:spacing w:before="0" w:beforeLines="0" w:afterLines="0" w:line="360" w:lineRule="auto"/>
        <w:ind w:left="0" w:right="0" w:firstLine="0" w:firstLineChars="0"/>
        <w:jc w:val="left"/>
        <w:rPr>
          <w:rFonts w:cs="宋体"/>
          <w:color w:val="auto"/>
          <w:highlight w:val="none"/>
          <w:lang w:eastAsia="zh-CN"/>
        </w:rPr>
      </w:pPr>
      <w:r>
        <w:rPr>
          <w:rFonts w:ascii="宋体" w:hAnsi="Times New Roman" w:eastAsia="宋体" w:cs="Times New Roman"/>
          <w:b/>
          <w:bCs/>
          <w:color w:val="auto"/>
          <w:spacing w:val="0"/>
          <w:szCs w:val="21"/>
          <w:highlight w:val="none"/>
          <w:lang w:eastAsia="zh-CN"/>
        </w:rPr>
        <w:t>4.5.5</w:t>
      </w:r>
      <w:r>
        <w:rPr>
          <w:rFonts w:hint="eastAsia" w:hAnsi="Times New Roman" w:cs="Times New Roman"/>
          <w:b/>
          <w:bCs/>
          <w:color w:val="auto"/>
          <w:spacing w:val="0"/>
          <w:szCs w:val="21"/>
          <w:highlight w:val="none"/>
          <w:lang w:eastAsia="zh-CN"/>
        </w:rPr>
        <w:t>　</w:t>
      </w:r>
      <w:r>
        <w:rPr>
          <w:rFonts w:cs="宋体"/>
          <w:color w:val="auto"/>
          <w:spacing w:val="0"/>
          <w:highlight w:val="none"/>
          <w:lang w:eastAsia="zh-CN"/>
        </w:rPr>
        <w:t>商务评分计算办法（以下列出的两种评分基准价的确定方法仅供参考）</w:t>
      </w:r>
    </w:p>
    <w:p w14:paraId="5EB48695">
      <w:pPr>
        <w:kinsoku/>
        <w:spacing w:before="0" w:beforeLines="0" w:afterLines="0" w:line="360" w:lineRule="auto"/>
        <w:ind w:lef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．评分基准价的确定</w:t>
      </w:r>
      <w:r>
        <w:rPr>
          <w:rFonts w:cs="宋体"/>
          <w:color w:val="auto"/>
          <w:spacing w:val="0"/>
          <w:szCs w:val="21"/>
          <w:highlight w:val="none"/>
          <w:lang w:eastAsia="zh-CN"/>
        </w:rPr>
        <w:t>方法</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w:t>
      </w:r>
    </w:p>
    <w:p w14:paraId="48FC0E68">
      <w:pPr>
        <w:kinsoku/>
        <w:spacing w:before="0" w:beforeLines="0" w:afterLines="0" w:line="360" w:lineRule="auto"/>
        <w:ind w:firstLine="420"/>
        <w:jc w:val="left"/>
        <w:rPr>
          <w:rFonts w:cs="宋体"/>
          <w:color w:val="auto"/>
          <w:szCs w:val="21"/>
          <w:highlight w:val="none"/>
          <w:lang w:eastAsia="zh-CN"/>
        </w:rPr>
      </w:pPr>
      <w:r>
        <w:rPr>
          <w:rFonts w:cs="宋体"/>
          <w:color w:val="auto"/>
          <w:spacing w:val="0"/>
          <w:szCs w:val="21"/>
          <w:highlight w:val="none"/>
          <w:lang w:eastAsia="zh-CN"/>
        </w:rPr>
        <w:t>若通过商务评审的投标人大于等于</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家，基准价为通过商务评审的评标价中剔除</w:t>
      </w:r>
      <w:r>
        <w:rPr>
          <w:rFonts w:cs="宋体"/>
          <w:color w:val="auto"/>
          <w:spacing w:val="0"/>
          <w:szCs w:val="21"/>
          <w:highlight w:val="none"/>
          <w:lang w:eastAsia="zh-CN"/>
        </w:rPr>
        <w:t>投标评标价由高到低排序前</w:t>
      </w:r>
      <w:r>
        <w:rPr>
          <w:rFonts w:ascii="宋体" w:hAnsi="Times New Roman" w:eastAsia="宋体" w:cs="Times New Roman"/>
          <w:color w:val="auto"/>
          <w:spacing w:val="0"/>
          <w:szCs w:val="21"/>
          <w:highlight w:val="none"/>
          <w:lang w:eastAsia="zh-CN"/>
        </w:rPr>
        <w:t>A</w:t>
      </w:r>
      <w:r>
        <w:rPr>
          <w:rFonts w:cs="宋体"/>
          <w:color w:val="auto"/>
          <w:spacing w:val="0"/>
          <w:highlight w:val="none"/>
          <w:lang w:eastAsia="zh-CN"/>
        </w:rPr>
        <w:t>个投标评标价和投标评标价由低到高排序前</w:t>
      </w:r>
      <w:r>
        <w:rPr>
          <w:rFonts w:ascii="宋体" w:hAnsi="Times New Roman" w:eastAsia="宋体" w:cs="Times New Roman"/>
          <w:color w:val="auto"/>
          <w:spacing w:val="0"/>
          <w:szCs w:val="21"/>
          <w:highlight w:val="none"/>
          <w:lang w:eastAsia="zh-CN"/>
        </w:rPr>
        <w:t>A</w:t>
      </w:r>
      <w:r>
        <w:rPr>
          <w:rFonts w:cs="宋体"/>
          <w:color w:val="auto"/>
          <w:spacing w:val="0"/>
          <w:highlight w:val="none"/>
          <w:lang w:eastAsia="zh-CN"/>
        </w:rPr>
        <w:t>个投标评标价后的算术平均值下浮</w:t>
      </w:r>
      <w:r>
        <w:rPr>
          <w:rFonts w:ascii="宋体" w:hAnsi="Times New Roman" w:eastAsia="宋体" w:cs="Times New Roman"/>
          <w:color w:val="auto"/>
          <w:spacing w:val="0"/>
          <w:szCs w:val="21"/>
          <w:highlight w:val="none"/>
          <w:lang w:eastAsia="zh-CN"/>
        </w:rPr>
        <w:t>X%</w:t>
      </w:r>
      <w:r>
        <w:rPr>
          <w:rFonts w:cs="宋体"/>
          <w:color w:val="auto"/>
          <w:spacing w:val="0"/>
          <w:highlight w:val="none"/>
          <w:lang w:eastAsia="zh-CN"/>
        </w:rPr>
        <w:t>［</w:t>
      </w:r>
      <w:r>
        <w:rPr>
          <w:rFonts w:ascii="宋体" w:hAnsi="Times New Roman" w:eastAsia="宋体" w:cs="Times New Roman"/>
          <w:color w:val="auto"/>
          <w:spacing w:val="0"/>
          <w:szCs w:val="21"/>
          <w:highlight w:val="none"/>
          <w:lang w:eastAsia="zh-CN"/>
        </w:rPr>
        <w:t>A</w:t>
      </w:r>
      <w:r>
        <w:rPr>
          <w:rFonts w:cs="宋体"/>
          <w:color w:val="auto"/>
          <w:spacing w:val="0"/>
          <w:highlight w:val="none"/>
          <w:lang w:eastAsia="zh-CN"/>
        </w:rPr>
        <w:t>为通过商务评审的投标人个数的</w:t>
      </w:r>
      <w:r>
        <w:rPr>
          <w:rFonts w:cs="宋体"/>
          <w:color w:val="auto"/>
          <w:spacing w:val="0"/>
          <w:szCs w:val="21"/>
          <w:highlight w:val="none"/>
          <w:u w:val="single"/>
          <w:lang w:eastAsia="zh-CN"/>
        </w:rPr>
        <w:t>20%（</w:t>
      </w:r>
      <w:r>
        <w:rPr>
          <w:rFonts w:ascii="宋体" w:hAnsi="Times New Roman" w:eastAsia="宋体" w:cs="Times New Roman"/>
          <w:color w:val="auto"/>
          <w:spacing w:val="0"/>
          <w:szCs w:val="21"/>
          <w:highlight w:val="none"/>
          <w:u w:val="single"/>
          <w:lang w:eastAsia="zh-CN"/>
        </w:rPr>
        <w:t>20%</w:t>
      </w:r>
      <w:r>
        <w:rPr>
          <w:rFonts w:cs="宋体"/>
          <w:color w:val="auto"/>
          <w:spacing w:val="0"/>
          <w:sz w:val="24"/>
          <w:szCs w:val="24"/>
          <w:highlight w:val="none"/>
          <w:u w:val="single"/>
          <w:lang w:eastAsia="zh-CN"/>
        </w:rPr>
        <w:t>～</w:t>
      </w:r>
      <w:r>
        <w:rPr>
          <w:rFonts w:ascii="宋体" w:hAnsi="Times New Roman" w:eastAsia="宋体" w:cs="Times New Roman"/>
          <w:color w:val="auto"/>
          <w:spacing w:val="0"/>
          <w:szCs w:val="21"/>
          <w:highlight w:val="none"/>
          <w:u w:val="single"/>
          <w:lang w:eastAsia="zh-CN"/>
        </w:rPr>
        <w:t>30%</w:t>
      </w:r>
      <w:r>
        <w:rPr>
          <w:rFonts w:cs="宋体"/>
          <w:color w:val="auto"/>
          <w:spacing w:val="0"/>
          <w:sz w:val="24"/>
          <w:szCs w:val="24"/>
          <w:highlight w:val="none"/>
          <w:u w:val="single"/>
          <w:lang w:eastAsia="zh-CN"/>
        </w:rPr>
        <w:t>，</w:t>
      </w:r>
      <w:r>
        <w:rPr>
          <w:rFonts w:cs="宋体"/>
          <w:b/>
          <w:bCs/>
          <w:color w:val="auto"/>
          <w:spacing w:val="0"/>
          <w:sz w:val="24"/>
          <w:szCs w:val="24"/>
          <w:highlight w:val="none"/>
          <w:u w:val="single"/>
          <w:lang w:eastAsia="zh-CN"/>
        </w:rPr>
        <w:t>由招标人自主确定</w:t>
      </w:r>
      <w:r>
        <w:rPr>
          <w:rFonts w:cs="宋体"/>
          <w:color w:val="auto"/>
          <w:spacing w:val="0"/>
          <w:sz w:val="24"/>
          <w:szCs w:val="24"/>
          <w:highlight w:val="none"/>
          <w:u w:val="single"/>
          <w:lang w:eastAsia="zh-CN"/>
        </w:rPr>
        <w:t>）</w:t>
      </w:r>
      <w:r>
        <w:rPr>
          <w:rFonts w:cs="宋体"/>
          <w:color w:val="auto"/>
          <w:spacing w:val="0"/>
          <w:highlight w:val="none"/>
          <w:lang w:eastAsia="zh-CN"/>
        </w:rPr>
        <w:t>，并取整数，小数点后四舍五入］；若通过商务评审的投标人少于</w:t>
      </w:r>
      <w:r>
        <w:rPr>
          <w:rFonts w:ascii="宋体" w:hAnsi="Times New Roman" w:eastAsia="宋体" w:cs="Times New Roman"/>
          <w:color w:val="auto"/>
          <w:spacing w:val="0"/>
          <w:szCs w:val="21"/>
          <w:highlight w:val="none"/>
          <w:lang w:eastAsia="zh-CN"/>
        </w:rPr>
        <w:t>5</w:t>
      </w:r>
      <w:r>
        <w:rPr>
          <w:rFonts w:cs="宋体"/>
          <w:color w:val="auto"/>
          <w:spacing w:val="0"/>
          <w:highlight w:val="none"/>
          <w:lang w:eastAsia="zh-CN"/>
        </w:rPr>
        <w:t>家时，基准价为所有通过商务评审的评标价的算术平均值下浮</w:t>
      </w:r>
      <w:r>
        <w:rPr>
          <w:rFonts w:ascii="宋体" w:hAnsi="Times New Roman" w:eastAsia="宋体" w:cs="Times New Roman"/>
          <w:color w:val="auto"/>
          <w:spacing w:val="0"/>
          <w:szCs w:val="21"/>
          <w:highlight w:val="none"/>
          <w:lang w:eastAsia="zh-CN"/>
        </w:rPr>
        <w:t>X%</w:t>
      </w:r>
      <w:r>
        <w:rPr>
          <w:rFonts w:cs="宋体"/>
          <w:color w:val="auto"/>
          <w:spacing w:val="0"/>
          <w:highlight w:val="none"/>
          <w:lang w:eastAsia="zh-CN"/>
        </w:rPr>
        <w:t>的数值。</w:t>
      </w:r>
    </w:p>
    <w:p w14:paraId="51E89817">
      <w:pPr>
        <w:kinsoku/>
        <w:spacing w:before="0" w:beforeLines="0" w:afterLines="0" w:line="360" w:lineRule="auto"/>
        <w:ind w:right="0" w:firstLine="420"/>
        <w:jc w:val="left"/>
        <w:rPr>
          <w:rFonts w:cs="宋体"/>
          <w:color w:val="auto"/>
          <w:szCs w:val="21"/>
          <w:highlight w:val="none"/>
          <w:lang w:eastAsia="zh-CN"/>
        </w:rPr>
      </w:pPr>
      <w:r>
        <w:rPr>
          <w:rFonts w:ascii="宋体" w:hAnsi="Times New Roman" w:eastAsia="宋体" w:cs="Times New Roman"/>
          <w:color w:val="auto"/>
          <w:szCs w:val="21"/>
          <w:highlight w:val="none"/>
          <w:lang w:eastAsia="zh-CN"/>
        </w:rPr>
        <w:t>X</w:t>
      </w:r>
      <w:r>
        <w:rPr>
          <w:rFonts w:cs="宋体"/>
          <w:color w:val="auto"/>
          <w:highlight w:val="none"/>
          <w:lang w:eastAsia="zh-CN"/>
        </w:rPr>
        <w:t>值在开标时由招标人在</w:t>
      </w:r>
      <w:r>
        <w:rPr>
          <w:rFonts w:cs="宋体"/>
          <w:color w:val="auto"/>
          <w:sz w:val="24"/>
          <w:szCs w:val="24"/>
          <w:highlight w:val="none"/>
          <w:u w:val="single"/>
          <w:lang w:eastAsia="zh-CN"/>
        </w:rPr>
        <w:t>1.0、1.5、2.0、2.5</w:t>
      </w:r>
      <w:r>
        <w:rPr>
          <w:rFonts w:hint="eastAsia" w:cs="宋体"/>
          <w:color w:val="auto"/>
          <w:sz w:val="24"/>
          <w:szCs w:val="24"/>
          <w:highlight w:val="none"/>
          <w:u w:val="single"/>
          <w:lang w:eastAsia="zh-CN"/>
        </w:rPr>
        <w:t>、</w:t>
      </w:r>
      <w:r>
        <w:rPr>
          <w:rFonts w:hint="eastAsia" w:cs="宋体"/>
          <w:color w:val="auto"/>
          <w:sz w:val="24"/>
          <w:szCs w:val="24"/>
          <w:highlight w:val="none"/>
          <w:u w:val="single"/>
          <w:lang w:val="en-US" w:eastAsia="zh-CN"/>
        </w:rPr>
        <w:t>3.0</w:t>
      </w:r>
      <w:r>
        <w:rPr>
          <w:rFonts w:cs="宋体"/>
          <w:color w:val="auto"/>
          <w:sz w:val="24"/>
          <w:szCs w:val="24"/>
          <w:highlight w:val="none"/>
          <w:u w:val="single"/>
          <w:lang w:eastAsia="zh-CN"/>
        </w:rPr>
        <w:t>（由招标人在</w:t>
      </w:r>
      <w:r>
        <w:rPr>
          <w:rFonts w:ascii="宋体" w:hAnsi="Times New Roman" w:eastAsia="宋体" w:cs="Times New Roman"/>
          <w:color w:val="auto"/>
          <w:szCs w:val="21"/>
          <w:highlight w:val="none"/>
          <w:u w:val="single"/>
          <w:lang w:eastAsia="zh-CN"/>
        </w:rPr>
        <w:t>0</w:t>
      </w:r>
      <w:r>
        <w:rPr>
          <w:rFonts w:cs="宋体"/>
          <w:color w:val="auto"/>
          <w:sz w:val="24"/>
          <w:szCs w:val="24"/>
          <w:highlight w:val="none"/>
          <w:u w:val="single"/>
          <w:lang w:eastAsia="zh-CN"/>
        </w:rPr>
        <w:t>～</w:t>
      </w:r>
      <w:r>
        <w:rPr>
          <w:rFonts w:ascii="宋体" w:hAnsi="Times New Roman" w:eastAsia="宋体" w:cs="Times New Roman"/>
          <w:color w:val="auto"/>
          <w:szCs w:val="21"/>
          <w:highlight w:val="none"/>
          <w:u w:val="single"/>
          <w:lang w:eastAsia="zh-CN"/>
        </w:rPr>
        <w:t>3</w:t>
      </w:r>
      <w:r>
        <w:rPr>
          <w:rFonts w:cs="宋体"/>
          <w:color w:val="auto"/>
          <w:sz w:val="24"/>
          <w:szCs w:val="24"/>
          <w:highlight w:val="none"/>
          <w:u w:val="single"/>
          <w:lang w:eastAsia="zh-CN"/>
        </w:rPr>
        <w:t>之间自行确定，但应为</w:t>
      </w:r>
      <w:r>
        <w:rPr>
          <w:rFonts w:ascii="宋体" w:hAnsi="Times New Roman" w:eastAsia="宋体" w:cs="Times New Roman"/>
          <w:color w:val="auto"/>
          <w:szCs w:val="21"/>
          <w:highlight w:val="none"/>
          <w:u w:val="single"/>
          <w:lang w:eastAsia="zh-CN"/>
        </w:rPr>
        <w:t>5</w:t>
      </w:r>
      <w:r>
        <w:rPr>
          <w:rFonts w:cs="宋体"/>
          <w:color w:val="auto"/>
          <w:sz w:val="24"/>
          <w:szCs w:val="24"/>
          <w:highlight w:val="none"/>
          <w:u w:val="single"/>
          <w:lang w:eastAsia="zh-CN"/>
        </w:rPr>
        <w:t>个数组成的等差递增数列，最小公差大于等于</w:t>
      </w:r>
      <w:r>
        <w:rPr>
          <w:rFonts w:ascii="宋体" w:hAnsi="Times New Roman" w:eastAsia="宋体" w:cs="Times New Roman"/>
          <w:color w:val="auto"/>
          <w:szCs w:val="21"/>
          <w:highlight w:val="none"/>
          <w:u w:val="single"/>
          <w:lang w:eastAsia="zh-CN"/>
        </w:rPr>
        <w:t>0.5</w:t>
      </w:r>
      <w:r>
        <w:rPr>
          <w:rFonts w:cs="宋体"/>
          <w:color w:val="auto"/>
          <w:sz w:val="24"/>
          <w:szCs w:val="24"/>
          <w:highlight w:val="none"/>
          <w:u w:val="single"/>
          <w:lang w:eastAsia="zh-CN"/>
        </w:rPr>
        <w:t>）</w:t>
      </w:r>
      <w:r>
        <w:rPr>
          <w:rFonts w:cs="宋体"/>
          <w:color w:val="auto"/>
          <w:highlight w:val="none"/>
          <w:lang w:eastAsia="zh-CN"/>
        </w:rPr>
        <w:t>之中随机抽取确定。</w:t>
      </w:r>
    </w:p>
    <w:p w14:paraId="0E57C9CB">
      <w:pPr>
        <w:kinsoku/>
        <w:spacing w:beforeLines="0" w:afterLines="0" w:line="360" w:lineRule="auto"/>
        <w:ind w:left="0" w:firstLine="420"/>
        <w:jc w:val="left"/>
        <w:rPr>
          <w:rFonts w:cs="宋体"/>
          <w:color w:val="auto"/>
          <w:szCs w:val="21"/>
          <w:highlight w:val="none"/>
          <w:lang w:eastAsia="zh-CN"/>
        </w:rPr>
      </w:pPr>
      <w:r>
        <w:rPr>
          <w:rFonts w:cs="宋体"/>
          <w:color w:val="auto"/>
          <w:szCs w:val="21"/>
          <w:highlight w:val="none"/>
          <w:lang w:eastAsia="zh-CN"/>
        </w:rPr>
        <w:t>评分基准价由评标委员会依据上述方法计算，除计算差错外，确认后的评分基准价在本次招标期间保持不变。</w:t>
      </w:r>
    </w:p>
    <w:p w14:paraId="4EE060CA">
      <w:pPr>
        <w:kinsoku/>
        <w:spacing w:before="0" w:beforeLines="0" w:afterLines="0" w:line="360" w:lineRule="auto"/>
        <w:ind w:left="0" w:right="0" w:firstLine="420"/>
        <w:jc w:val="left"/>
        <w:rPr>
          <w:rFonts w:cs="宋体"/>
          <w:color w:val="auto"/>
          <w:spacing w:val="0"/>
          <w:szCs w:val="21"/>
          <w:highlight w:val="none"/>
          <w:lang w:eastAsia="zh-CN"/>
        </w:rPr>
      </w:pPr>
      <w:r>
        <w:rPr>
          <w:rFonts w:cs="宋体"/>
          <w:color w:val="auto"/>
          <w:spacing w:val="0"/>
          <w:szCs w:val="21"/>
          <w:highlight w:val="none"/>
          <w:lang w:eastAsia="zh-CN"/>
        </w:rPr>
        <w:t>计算差错，仅限于以下两种情况：（</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）纯算术性四则运算差错；（</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）未按约定的计算方法，多计或者少计投标人报价的。由于评标差错导致否决投标错误，重新评标纠正等情况，不属于计算差错。</w:t>
      </w:r>
    </w:p>
    <w:p w14:paraId="5E0FC98D">
      <w:pPr>
        <w:kinsoku/>
        <w:spacing w:beforeLines="0" w:afterLines="0" w:line="360" w:lineRule="auto"/>
        <w:ind w:left="0" w:firstLine="420"/>
        <w:jc w:val="left"/>
        <w:rPr>
          <w:rFonts w:cs="宋体"/>
          <w:color w:val="auto"/>
          <w:spacing w:val="0"/>
          <w:szCs w:val="21"/>
          <w:highlight w:val="none"/>
          <w:lang w:eastAsia="zh-CN"/>
        </w:rPr>
      </w:pPr>
      <w:r>
        <w:rPr>
          <w:rFonts w:ascii="宋体" w:hAnsi="Times New Roman" w:eastAsia="宋体" w:cs="Times New Roman"/>
          <w:color w:val="auto"/>
          <w:spacing w:val="0"/>
          <w:position w:val="0"/>
          <w:szCs w:val="21"/>
          <w:highlight w:val="none"/>
          <w:lang w:eastAsia="zh-CN"/>
        </w:rPr>
        <w:t>2</w:t>
      </w:r>
      <w:r>
        <w:rPr>
          <w:rFonts w:cs="宋体"/>
          <w:color w:val="auto"/>
          <w:spacing w:val="0"/>
          <w:position w:val="0"/>
          <w:highlight w:val="none"/>
          <w:lang w:eastAsia="zh-CN"/>
        </w:rPr>
        <w:t>．报价评分值的计算：以评分基准价为基础，将各投标人的评标价与评分基准</w:t>
      </w:r>
      <w:r>
        <w:rPr>
          <w:rFonts w:cs="宋体"/>
          <w:color w:val="auto"/>
          <w:spacing w:val="0"/>
          <w:szCs w:val="21"/>
          <w:highlight w:val="none"/>
          <w:lang w:eastAsia="zh-CN"/>
        </w:rPr>
        <w:t>价比较，计算出偏离基准价的百分数后，再进行计分。即：</w:t>
      </w:r>
    </w:p>
    <w:p w14:paraId="1DD43D60">
      <w:pPr>
        <w:kinsoku/>
        <w:spacing w:before="0" w:beforeLines="0" w:afterLines="0" w:line="360" w:lineRule="auto"/>
        <w:ind w:firstLine="420"/>
        <w:jc w:val="left"/>
        <w:rPr>
          <w:rFonts w:ascii="宋体" w:hAnsi="Times New Roman" w:eastAsia="宋体" w:cs="Times New Roman"/>
          <w:color w:val="auto"/>
          <w:szCs w:val="21"/>
          <w:highlight w:val="none"/>
          <w:lang w:eastAsia="zh-CN"/>
        </w:rPr>
      </w:pPr>
      <w:r>
        <w:rPr>
          <w:rFonts w:ascii="宋体" w:hAnsi="Times New Roman" w:eastAsia="宋体" w:cs="Times New Roman"/>
          <w:color w:val="auto"/>
          <w:szCs w:val="21"/>
          <w:highlight w:val="none"/>
          <w:lang w:eastAsia="zh-CN"/>
        </w:rPr>
        <w:t>a.</w:t>
      </w:r>
      <w:r>
        <w:rPr>
          <w:rFonts w:hint="eastAsia" w:ascii="宋体" w:hAnsi="Times New Roman" w:eastAsia="宋体" w:cs="Times New Roman"/>
          <w:color w:val="auto"/>
          <w:szCs w:val="21"/>
          <w:highlight w:val="none"/>
          <w:lang w:eastAsia="zh-CN"/>
        </w:rPr>
        <w:t>投标评标价等于评分基准价时，得满分（</w:t>
      </w:r>
      <w:r>
        <w:rPr>
          <w:rFonts w:ascii="宋体" w:hAnsi="Times New Roman" w:eastAsia="宋体" w:cs="Times New Roman"/>
          <w:color w:val="auto"/>
          <w:szCs w:val="21"/>
          <w:highlight w:val="none"/>
          <w:lang w:eastAsia="zh-CN"/>
        </w:rPr>
        <w:t>70</w:t>
      </w:r>
      <w:r>
        <w:rPr>
          <w:rFonts w:hint="eastAsia" w:ascii="宋体" w:hAnsi="Times New Roman" w:eastAsia="宋体" w:cs="Times New Roman"/>
          <w:color w:val="auto"/>
          <w:szCs w:val="21"/>
          <w:highlight w:val="none"/>
          <w:lang w:eastAsia="zh-CN"/>
        </w:rPr>
        <w:t>分）。</w:t>
      </w:r>
    </w:p>
    <w:p w14:paraId="6192485E">
      <w:pPr>
        <w:kinsoku/>
        <w:spacing w:before="0" w:beforeLines="0" w:afterLines="0" w:line="360" w:lineRule="auto"/>
        <w:ind w:firstLine="420"/>
        <w:jc w:val="left"/>
        <w:rPr>
          <w:rFonts w:cs="宋体"/>
          <w:color w:val="auto"/>
          <w:highlight w:val="none"/>
          <w:lang w:eastAsia="zh-CN"/>
        </w:rPr>
      </w:pPr>
      <w:r>
        <w:rPr>
          <w:rFonts w:ascii="宋体" w:hAnsi="Times New Roman" w:eastAsia="宋体" w:cs="Times New Roman"/>
          <w:color w:val="auto"/>
          <w:szCs w:val="21"/>
          <w:highlight w:val="none"/>
          <w:lang w:eastAsia="zh-CN"/>
        </w:rPr>
        <w:t>b.</w:t>
      </w:r>
      <w:r>
        <w:rPr>
          <w:rFonts w:cs="宋体"/>
          <w:color w:val="auto"/>
          <w:highlight w:val="none"/>
          <w:lang w:eastAsia="zh-CN"/>
        </w:rPr>
        <w:t>投标评标价每低于评分基准价</w:t>
      </w:r>
      <w:r>
        <w:rPr>
          <w:rFonts w:ascii="宋体" w:hAnsi="Times New Roman" w:eastAsia="宋体" w:cs="Times New Roman"/>
          <w:color w:val="auto"/>
          <w:szCs w:val="21"/>
          <w:highlight w:val="none"/>
          <w:lang w:eastAsia="zh-CN"/>
        </w:rPr>
        <w:t>1</w:t>
      </w:r>
      <w:r>
        <w:rPr>
          <w:rFonts w:cs="宋体"/>
          <w:color w:val="auto"/>
          <w:highlight w:val="none"/>
          <w:lang w:eastAsia="zh-CN"/>
        </w:rPr>
        <w:t>个百分点，扣</w:t>
      </w:r>
      <w:r>
        <w:rPr>
          <w:rFonts w:cs="宋体"/>
          <w:color w:val="auto"/>
          <w:szCs w:val="21"/>
          <w:highlight w:val="none"/>
          <w:lang w:eastAsia="zh-CN"/>
        </w:rPr>
        <w:t xml:space="preserve"> </w:t>
      </w:r>
      <w:r>
        <w:rPr>
          <w:rFonts w:cs="宋体"/>
          <w:color w:val="auto"/>
          <w:szCs w:val="21"/>
          <w:highlight w:val="none"/>
          <w:u w:val="single"/>
          <w:lang w:eastAsia="zh-CN"/>
        </w:rPr>
        <w:t>0.5</w:t>
      </w:r>
      <w:r>
        <w:rPr>
          <w:rFonts w:cs="宋体"/>
          <w:color w:val="auto"/>
          <w:szCs w:val="21"/>
          <w:highlight w:val="none"/>
          <w:lang w:eastAsia="zh-CN"/>
        </w:rPr>
        <w:t xml:space="preserve"> 分。（扣分区间由招标人</w:t>
      </w:r>
      <w:r>
        <w:rPr>
          <w:rFonts w:ascii="宋体" w:hAnsi="Times New Roman" w:eastAsia="宋体" w:cs="Times New Roman"/>
          <w:color w:val="auto"/>
          <w:szCs w:val="21"/>
          <w:highlight w:val="none"/>
          <w:lang w:eastAsia="zh-CN"/>
        </w:rPr>
        <w:t>0.5</w:t>
      </w:r>
      <w:r>
        <w:rPr>
          <w:rFonts w:hint="eastAsia" w:cs="宋体"/>
          <w:color w:val="auto"/>
          <w:highlight w:val="none"/>
          <w:lang w:eastAsia="zh-CN"/>
        </w:rPr>
        <w:t>～</w:t>
      </w:r>
      <w:r>
        <w:rPr>
          <w:rFonts w:ascii="宋体" w:hAnsi="Times New Roman" w:eastAsia="宋体" w:cs="Times New Roman"/>
          <w:color w:val="auto"/>
          <w:szCs w:val="21"/>
          <w:highlight w:val="none"/>
          <w:lang w:eastAsia="zh-CN"/>
        </w:rPr>
        <w:t>1</w:t>
      </w:r>
      <w:r>
        <w:rPr>
          <w:rFonts w:cs="宋体"/>
          <w:color w:val="auto"/>
          <w:sz w:val="24"/>
          <w:szCs w:val="24"/>
          <w:highlight w:val="none"/>
          <w:lang w:eastAsia="zh-CN"/>
        </w:rPr>
        <w:t>之间自行确定）</w:t>
      </w:r>
    </w:p>
    <w:p w14:paraId="71A52F84">
      <w:pPr>
        <w:kinsoku/>
        <w:spacing w:before="0" w:beforeLines="0" w:afterLines="0" w:line="360" w:lineRule="auto"/>
        <w:ind w:firstLine="420"/>
        <w:jc w:val="left"/>
        <w:rPr>
          <w:rFonts w:cs="宋体"/>
          <w:color w:val="auto"/>
          <w:szCs w:val="21"/>
          <w:highlight w:val="none"/>
          <w:lang w:eastAsia="zh-CN"/>
        </w:rPr>
      </w:pPr>
      <w:r>
        <w:rPr>
          <w:rFonts w:ascii="宋体" w:hAnsi="Times New Roman" w:cs="Times New Roman"/>
          <w:color w:val="auto"/>
          <w:szCs w:val="21"/>
          <w:highlight w:val="none"/>
          <w:lang w:eastAsia="zh-CN"/>
        </w:rPr>
        <w:t>c.</w:t>
      </w:r>
      <w:r>
        <w:rPr>
          <w:rFonts w:cs="宋体"/>
          <w:color w:val="auto"/>
          <w:highlight w:val="none"/>
          <w:lang w:eastAsia="zh-CN"/>
        </w:rPr>
        <w:t>投标评标价每高于评分基准价</w:t>
      </w:r>
      <w:r>
        <w:rPr>
          <w:rFonts w:ascii="宋体" w:hAnsi="Times New Roman" w:eastAsia="宋体" w:cs="Times New Roman"/>
          <w:color w:val="auto"/>
          <w:szCs w:val="21"/>
          <w:highlight w:val="none"/>
          <w:lang w:eastAsia="zh-CN"/>
        </w:rPr>
        <w:t>1</w:t>
      </w:r>
      <w:r>
        <w:rPr>
          <w:rFonts w:cs="宋体"/>
          <w:color w:val="auto"/>
          <w:highlight w:val="none"/>
          <w:lang w:eastAsia="zh-CN"/>
        </w:rPr>
        <w:t>个百分点，扣</w:t>
      </w:r>
      <w:r>
        <w:rPr>
          <w:rFonts w:cs="宋体"/>
          <w:color w:val="auto"/>
          <w:szCs w:val="21"/>
          <w:highlight w:val="none"/>
          <w:u w:val="single"/>
          <w:lang w:eastAsia="zh-CN"/>
        </w:rPr>
        <w:t>1</w:t>
      </w:r>
      <w:r>
        <w:rPr>
          <w:rFonts w:cs="宋体"/>
          <w:color w:val="auto"/>
          <w:szCs w:val="21"/>
          <w:highlight w:val="none"/>
          <w:lang w:eastAsia="zh-CN"/>
        </w:rPr>
        <w:t>分。（扣分区间由招标人</w:t>
      </w:r>
      <w:r>
        <w:rPr>
          <w:rFonts w:ascii="宋体" w:hAnsi="Times New Roman" w:eastAsia="宋体" w:cs="Times New Roman"/>
          <w:color w:val="auto"/>
          <w:szCs w:val="21"/>
          <w:highlight w:val="none"/>
          <w:lang w:eastAsia="zh-CN"/>
        </w:rPr>
        <w:t>1</w:t>
      </w:r>
      <w:r>
        <w:rPr>
          <w:rFonts w:hint="eastAsia" w:cs="宋体"/>
          <w:color w:val="auto"/>
          <w:highlight w:val="none"/>
          <w:lang w:eastAsia="zh-CN"/>
        </w:rPr>
        <w:t>～</w:t>
      </w:r>
      <w:r>
        <w:rPr>
          <w:rFonts w:ascii="宋体" w:hAnsi="Times New Roman" w:eastAsia="宋体" w:cs="Times New Roman"/>
          <w:color w:val="auto"/>
          <w:szCs w:val="21"/>
          <w:highlight w:val="none"/>
          <w:lang w:eastAsia="zh-CN"/>
        </w:rPr>
        <w:t>1.5</w:t>
      </w:r>
      <w:r>
        <w:rPr>
          <w:rFonts w:cs="宋体"/>
          <w:color w:val="auto"/>
          <w:sz w:val="24"/>
          <w:szCs w:val="24"/>
          <w:highlight w:val="none"/>
          <w:lang w:eastAsia="zh-CN"/>
        </w:rPr>
        <w:t>之间自行确定，且大于等于</w:t>
      </w:r>
      <w:r>
        <w:rPr>
          <w:rFonts w:ascii="宋体" w:hAnsi="Times New Roman" w:eastAsia="宋体" w:cs="Times New Roman"/>
          <w:color w:val="auto"/>
          <w:szCs w:val="21"/>
          <w:highlight w:val="none"/>
          <w:lang w:eastAsia="zh-CN"/>
        </w:rPr>
        <w:t>b</w:t>
      </w:r>
      <w:r>
        <w:rPr>
          <w:rFonts w:cs="宋体"/>
          <w:color w:val="auto"/>
          <w:sz w:val="24"/>
          <w:szCs w:val="24"/>
          <w:highlight w:val="none"/>
          <w:lang w:eastAsia="zh-CN"/>
        </w:rPr>
        <w:t>款扣分值</w:t>
      </w:r>
      <w:r>
        <w:rPr>
          <w:rFonts w:ascii="宋体" w:hAnsi="Times New Roman" w:eastAsia="宋体" w:cs="Times New Roman"/>
          <w:color w:val="auto"/>
          <w:szCs w:val="21"/>
          <w:highlight w:val="none"/>
          <w:lang w:eastAsia="zh-CN"/>
        </w:rPr>
        <w:t>0.5</w:t>
      </w:r>
      <w:r>
        <w:rPr>
          <w:rFonts w:cs="宋体"/>
          <w:color w:val="auto"/>
          <w:highlight w:val="none"/>
          <w:lang w:eastAsia="zh-CN"/>
        </w:rPr>
        <w:t>）</w:t>
      </w:r>
    </w:p>
    <w:p w14:paraId="430DB156">
      <w:pPr>
        <w:kinsoku/>
        <w:spacing w:before="0" w:beforeLines="0" w:afterLines="0"/>
        <w:ind w:left="0" w:right="0" w:firstLine="420"/>
        <w:jc w:val="left"/>
        <w:rPr>
          <w:rFonts w:cs="宋体"/>
          <w:color w:val="auto"/>
          <w:szCs w:val="21"/>
          <w:highlight w:val="none"/>
          <w:lang w:eastAsia="zh-CN"/>
        </w:rPr>
      </w:pPr>
      <w:r>
        <w:rPr>
          <w:rFonts w:cs="宋体"/>
          <w:color w:val="auto"/>
          <w:szCs w:val="21"/>
          <w:highlight w:val="none"/>
          <w:lang w:eastAsia="zh-CN"/>
        </w:rPr>
        <w:t>以上评分计算过程保留小数</w:t>
      </w:r>
      <w:r>
        <w:rPr>
          <w:rFonts w:ascii="宋体" w:hAnsi="Times New Roman" w:eastAsia="宋体" w:cs="Times New Roman"/>
          <w:color w:val="auto"/>
          <w:szCs w:val="21"/>
          <w:highlight w:val="none"/>
          <w:lang w:eastAsia="zh-CN"/>
        </w:rPr>
        <w:t>3</w:t>
      </w:r>
      <w:r>
        <w:rPr>
          <w:rFonts w:cs="宋体"/>
          <w:color w:val="auto"/>
          <w:highlight w:val="none"/>
          <w:lang w:eastAsia="zh-CN"/>
        </w:rPr>
        <w:t>位，第</w:t>
      </w:r>
      <w:r>
        <w:rPr>
          <w:rFonts w:ascii="宋体" w:hAnsi="Times New Roman" w:eastAsia="宋体" w:cs="Times New Roman"/>
          <w:color w:val="auto"/>
          <w:szCs w:val="21"/>
          <w:highlight w:val="none"/>
          <w:lang w:eastAsia="zh-CN"/>
        </w:rPr>
        <w:t>4</w:t>
      </w:r>
      <w:r>
        <w:rPr>
          <w:rFonts w:cs="宋体"/>
          <w:color w:val="auto"/>
          <w:highlight w:val="none"/>
          <w:lang w:eastAsia="zh-CN"/>
        </w:rPr>
        <w:t>位四舍五入，最终结果保留小数</w:t>
      </w:r>
      <w:r>
        <w:rPr>
          <w:rFonts w:ascii="宋体" w:hAnsi="Times New Roman" w:eastAsia="宋体" w:cs="Times New Roman"/>
          <w:color w:val="auto"/>
          <w:szCs w:val="21"/>
          <w:highlight w:val="none"/>
          <w:lang w:eastAsia="zh-CN"/>
        </w:rPr>
        <w:t>2</w:t>
      </w:r>
      <w:r>
        <w:rPr>
          <w:rFonts w:cs="宋体"/>
          <w:color w:val="auto"/>
          <w:highlight w:val="none"/>
          <w:lang w:eastAsia="zh-CN"/>
        </w:rPr>
        <w:t>位，第</w:t>
      </w:r>
      <w:r>
        <w:rPr>
          <w:rFonts w:ascii="宋体" w:hAnsi="Times New Roman" w:eastAsia="宋体" w:cs="Times New Roman"/>
          <w:color w:val="auto"/>
          <w:szCs w:val="21"/>
          <w:highlight w:val="none"/>
          <w:lang w:eastAsia="zh-CN"/>
        </w:rPr>
        <w:t>3</w:t>
      </w:r>
      <w:r>
        <w:rPr>
          <w:rFonts w:cs="宋体"/>
          <w:color w:val="auto"/>
          <w:highlight w:val="none"/>
          <w:lang w:eastAsia="zh-CN"/>
        </w:rPr>
        <w:t>位四舍五入，评分不足一个百分点时，使用直线插入法计算。商务报价评分最低分</w:t>
      </w:r>
      <w:r>
        <w:rPr>
          <w:rFonts w:hint="eastAsia" w:cs="宋体"/>
          <w:color w:val="auto"/>
          <w:highlight w:val="none"/>
          <w:lang w:val="en-US" w:eastAsia="zh-CN"/>
        </w:rPr>
        <w:t>30</w:t>
      </w:r>
      <w:r>
        <w:rPr>
          <w:rFonts w:cs="宋体"/>
          <w:color w:val="auto"/>
          <w:highlight w:val="none"/>
          <w:lang w:eastAsia="zh-CN"/>
        </w:rPr>
        <w:t>分（不得低于</w:t>
      </w:r>
      <w:r>
        <w:rPr>
          <w:rFonts w:hAnsi="Times New Roman" w:cs="Times New Roman"/>
          <w:color w:val="auto"/>
          <w:highlight w:val="none"/>
          <w:lang w:eastAsia="zh-CN"/>
        </w:rPr>
        <w:t>30</w:t>
      </w:r>
      <w:r>
        <w:rPr>
          <w:rFonts w:cs="宋体"/>
          <w:color w:val="auto"/>
          <w:highlight w:val="none"/>
          <w:lang w:eastAsia="zh-CN"/>
        </w:rPr>
        <w:t>分）。</w:t>
      </w:r>
    </w:p>
    <w:p w14:paraId="5E28707D">
      <w:pPr>
        <w:keepNext/>
        <w:keepLines/>
        <w:widowControl w:val="0"/>
        <w:kinsoku/>
        <w:adjustRightInd w:val="0"/>
        <w:snapToGrid w:val="0"/>
        <w:spacing w:before="0" w:beforeLines="0" w:afterLines="0" w:line="360" w:lineRule="auto"/>
        <w:ind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2"/>
          <w:sz w:val="24"/>
          <w:szCs w:val="24"/>
          <w:highlight w:val="none"/>
          <w:lang w:val="en-US" w:eastAsia="zh-CN" w:bidi="ar-SA"/>
        </w:rPr>
        <w:t>4.6　询标</w:t>
      </w:r>
    </w:p>
    <w:p w14:paraId="1313CEBD">
      <w:pPr>
        <w:kinsoku/>
        <w:spacing w:before="0" w:beforeLines="0" w:afterLines="0" w:line="360" w:lineRule="auto"/>
        <w:ind w:left="0" w:right="0" w:firstLine="420"/>
        <w:jc w:val="left"/>
        <w:rPr>
          <w:rFonts w:cs="宋体"/>
          <w:color w:val="auto"/>
          <w:szCs w:val="21"/>
          <w:highlight w:val="none"/>
          <w:lang w:eastAsia="zh-CN"/>
        </w:rPr>
      </w:pP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凡评标委员会拟作出否决投标决定的，应先向投标人进行书面询问核实。未进</w:t>
      </w:r>
      <w:r>
        <w:rPr>
          <w:rFonts w:cs="宋体"/>
          <w:color w:val="auto"/>
          <w:spacing w:val="0"/>
          <w:szCs w:val="21"/>
          <w:highlight w:val="none"/>
          <w:lang w:eastAsia="zh-CN"/>
        </w:rPr>
        <w:t>行询问核实程序的，不得做出否决投标决定，投标人放弃接受询问核实机会的除外。投标人应自行关注系统中评标委员会发出的澄清并及时答复，在规定的时限内投标人不参加核实或不予答复的，视为放弃接受询问核实机会。</w:t>
      </w:r>
    </w:p>
    <w:p w14:paraId="18802342">
      <w:pPr>
        <w:kinsoku/>
        <w:spacing w:before="0" w:beforeLines="0" w:afterLines="0" w:line="360" w:lineRule="auto"/>
        <w:ind w:left="0" w:firstLine="420"/>
        <w:jc w:val="left"/>
        <w:rPr>
          <w:rFonts w:cs="宋体"/>
          <w:color w:val="auto"/>
          <w:szCs w:val="21"/>
          <w:highlight w:val="none"/>
          <w:lang w:eastAsia="zh-CN"/>
        </w:rPr>
      </w:pPr>
      <w:r>
        <w:rPr>
          <w:rFonts w:ascii="宋体" w:hAnsi="Times New Roman" w:eastAsia="宋体" w:cs="Times New Roman"/>
          <w:color w:val="auto"/>
          <w:spacing w:val="0"/>
          <w:position w:val="0"/>
          <w:szCs w:val="21"/>
          <w:highlight w:val="none"/>
          <w:lang w:eastAsia="zh-CN"/>
        </w:rPr>
        <w:t>2.</w:t>
      </w:r>
      <w:r>
        <w:rPr>
          <w:rFonts w:cs="宋体"/>
          <w:color w:val="auto"/>
          <w:spacing w:val="0"/>
          <w:position w:val="0"/>
          <w:highlight w:val="none"/>
          <w:lang w:eastAsia="zh-CN"/>
        </w:rPr>
        <w:t>除本评标办法规定的否决情形以外，招标文件中其他条款均不得作为否决投标文件</w:t>
      </w:r>
      <w:r>
        <w:rPr>
          <w:rFonts w:cs="宋体"/>
          <w:color w:val="auto"/>
          <w:spacing w:val="0"/>
          <w:szCs w:val="21"/>
          <w:highlight w:val="none"/>
          <w:lang w:eastAsia="zh-CN"/>
        </w:rPr>
        <w:t>的依据。</w:t>
      </w:r>
    </w:p>
    <w:p w14:paraId="72783B58">
      <w:pPr>
        <w:keepNext/>
        <w:keepLines/>
        <w:widowControl w:val="0"/>
        <w:kinsoku/>
        <w:adjustRightInd w:val="0"/>
        <w:snapToGrid w:val="0"/>
        <w:spacing w:before="0" w:beforeLines="0" w:afterLines="0" w:line="360" w:lineRule="auto"/>
        <w:ind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2"/>
          <w:sz w:val="24"/>
          <w:szCs w:val="24"/>
          <w:highlight w:val="none"/>
          <w:lang w:val="en-US" w:eastAsia="zh-CN" w:bidi="ar-SA"/>
        </w:rPr>
        <w:t>4.7　投标文件的综合评分</w:t>
      </w:r>
    </w:p>
    <w:p w14:paraId="385AD095">
      <w:pPr>
        <w:kinsoku/>
        <w:spacing w:beforeLines="0" w:afterLines="0" w:line="360" w:lineRule="auto"/>
        <w:ind w:left="0" w:firstLine="420"/>
        <w:jc w:val="left"/>
        <w:rPr>
          <w:rFonts w:cs="宋体"/>
          <w:color w:val="auto"/>
          <w:szCs w:val="21"/>
          <w:highlight w:val="none"/>
          <w:lang w:eastAsia="zh-CN"/>
        </w:rPr>
      </w:pPr>
      <w:r>
        <w:rPr>
          <w:rFonts w:cs="宋体"/>
          <w:color w:val="auto"/>
          <w:spacing w:val="0"/>
          <w:position w:val="0"/>
          <w:highlight w:val="none"/>
          <w:lang w:eastAsia="zh-CN"/>
        </w:rPr>
        <w:t>投标文件的综合评分为投标人的技术评分、资信评分与投标文件的商务评分之</w:t>
      </w:r>
      <w:r>
        <w:rPr>
          <w:rFonts w:cs="宋体"/>
          <w:color w:val="auto"/>
          <w:spacing w:val="0"/>
          <w:szCs w:val="21"/>
          <w:highlight w:val="none"/>
          <w:lang w:eastAsia="zh-CN"/>
        </w:rPr>
        <w:t>和，满分为</w:t>
      </w:r>
      <w:r>
        <w:rPr>
          <w:rFonts w:ascii="宋体" w:hAnsi="Times New Roman" w:eastAsia="宋体" w:cs="Times New Roman"/>
          <w:color w:val="auto"/>
          <w:spacing w:val="0"/>
          <w:szCs w:val="21"/>
          <w:highlight w:val="none"/>
          <w:lang w:eastAsia="zh-CN"/>
        </w:rPr>
        <w:t>100</w:t>
      </w:r>
      <w:r>
        <w:rPr>
          <w:rFonts w:cs="宋体"/>
          <w:color w:val="auto"/>
          <w:spacing w:val="0"/>
          <w:highlight w:val="none"/>
          <w:lang w:eastAsia="zh-CN"/>
        </w:rPr>
        <w:t>分。</w:t>
      </w:r>
    </w:p>
    <w:p w14:paraId="07AE77E3">
      <w:pPr>
        <w:keepNext/>
        <w:keepLines/>
        <w:widowControl w:val="0"/>
        <w:kinsoku/>
        <w:adjustRightInd w:val="0"/>
        <w:snapToGrid w:val="0"/>
        <w:spacing w:before="0" w:beforeLines="0" w:afterLines="0" w:line="360" w:lineRule="auto"/>
        <w:ind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2"/>
          <w:sz w:val="24"/>
          <w:szCs w:val="24"/>
          <w:highlight w:val="none"/>
          <w:lang w:val="en-US" w:eastAsia="zh-CN" w:bidi="ar-SA"/>
        </w:rPr>
        <w:t>4.8　推荐中标候选人</w:t>
      </w:r>
    </w:p>
    <w:p w14:paraId="5EA68BE1">
      <w:pPr>
        <w:kinsoku/>
        <w:spacing w:before="0" w:beforeLines="0" w:afterLines="0" w:line="360" w:lineRule="auto"/>
        <w:ind w:left="0" w:right="0" w:firstLine="420"/>
        <w:jc w:val="left"/>
        <w:rPr>
          <w:rFonts w:cs="宋体"/>
          <w:color w:val="auto"/>
          <w:szCs w:val="21"/>
          <w:highlight w:val="none"/>
          <w:lang w:eastAsia="zh-CN"/>
        </w:rPr>
      </w:pPr>
      <w:r>
        <w:rPr>
          <w:rFonts w:cs="宋体"/>
          <w:color w:val="auto"/>
          <w:spacing w:val="0"/>
          <w:highlight w:val="none"/>
          <w:lang w:eastAsia="zh-CN"/>
        </w:rPr>
        <w:t>评标委员会根据综合评分对通过商务评审的投标文件按照由高到低的顺序进行排序，推荐中标候选人。综合评分相同时，报价低者优先；综合评分、报价均相同时，</w:t>
      </w:r>
      <w:r>
        <w:rPr>
          <w:rFonts w:cs="宋体"/>
          <w:color w:val="auto"/>
          <w:spacing w:val="0"/>
          <w:szCs w:val="21"/>
          <w:highlight w:val="none"/>
          <w:lang w:eastAsia="zh-CN"/>
        </w:rPr>
        <w:t>技术评分高者优先；综合评分、报价、技术评分均相同时，由评标委员会全体成员按照少数服从多数的原则记名投票（不得弃权）决定中标候选人。</w:t>
      </w:r>
    </w:p>
    <w:p w14:paraId="3F1F8FE3">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本评标办法未尽事宜由评标委员会集体讨论决定。</w:t>
      </w:r>
    </w:p>
    <w:p w14:paraId="28B91CC5">
      <w:pPr>
        <w:keepNext/>
        <w:keepLines/>
        <w:widowControl w:val="0"/>
        <w:kinsoku/>
        <w:adjustRightInd w:val="0"/>
        <w:snapToGrid w:val="0"/>
        <w:spacing w:before="0" w:beforeLines="0" w:afterLines="0" w:line="360" w:lineRule="auto"/>
        <w:ind w:firstLine="0" w:firstLineChars="0"/>
        <w:jc w:val="both"/>
        <w:textAlignment w:val="baseline"/>
        <w:outlineLvl w:val="2"/>
        <w:rPr>
          <w:rFonts w:hint="eastAsia" w:ascii="宋体" w:hAnsi="宋体" w:eastAsia="宋体" w:cs="宋体"/>
          <w:b/>
          <w:bCs/>
          <w:snapToGrid w:val="0"/>
          <w:color w:val="auto"/>
          <w:sz w:val="24"/>
          <w:szCs w:val="24"/>
          <w:highlight w:val="none"/>
          <w:lang w:val="en-US" w:eastAsia="zh-CN" w:bidi="ar-SA"/>
        </w:rPr>
      </w:pPr>
      <w:r>
        <w:rPr>
          <w:rFonts w:hint="eastAsia" w:ascii="宋体" w:hAnsi="宋体" w:eastAsia="宋体" w:cs="宋体"/>
          <w:b/>
          <w:bCs/>
          <w:snapToGrid w:val="0"/>
          <w:color w:val="auto"/>
          <w:spacing w:val="-2"/>
          <w:sz w:val="24"/>
          <w:szCs w:val="24"/>
          <w:highlight w:val="none"/>
          <w:lang w:val="en-US" w:eastAsia="zh-CN" w:bidi="ar-SA"/>
        </w:rPr>
        <w:t>4.9　评标报告</w:t>
      </w:r>
    </w:p>
    <w:p w14:paraId="10560648">
      <w:pPr>
        <w:widowControl w:val="0"/>
        <w:kinsoku/>
        <w:adjustRightInd w:val="0"/>
        <w:snapToGrid w:val="0"/>
        <w:spacing w:before="0" w:beforeLines="0" w:afterLines="0" w:line="360" w:lineRule="auto"/>
        <w:ind w:left="0" w:firstLine="0" w:firstLineChars="0"/>
        <w:jc w:val="left"/>
        <w:textAlignment w:val="baseline"/>
        <w:rPr>
          <w:rFonts w:ascii="宋体" w:hAnsi="宋体" w:eastAsia="宋体" w:cs="宋体"/>
          <w:snapToGrid w:val="0"/>
          <w:color w:val="auto"/>
          <w:sz w:val="24"/>
          <w:szCs w:val="24"/>
          <w:highlight w:val="none"/>
          <w:lang w:val="en-US" w:eastAsia="zh-CN" w:bidi="ar-SA"/>
        </w:rPr>
      </w:pPr>
      <w:r>
        <w:rPr>
          <w:rFonts w:ascii="宋体" w:hAnsi="Times New Roman" w:eastAsia="宋体" w:cs="Times New Roman"/>
          <w:b/>
          <w:bCs/>
          <w:snapToGrid w:val="0"/>
          <w:color w:val="auto"/>
          <w:position w:val="0"/>
          <w:sz w:val="24"/>
          <w:szCs w:val="21"/>
          <w:highlight w:val="none"/>
          <w:lang w:val="en-US" w:eastAsia="zh-CN" w:bidi="ar-SA"/>
        </w:rPr>
        <w:t>4.9.1</w:t>
      </w:r>
      <w:r>
        <w:rPr>
          <w:rFonts w:hint="eastAsia" w:ascii="宋体" w:hAnsi="Times New Roman" w:eastAsia="宋体" w:cs="Times New Roman"/>
          <w:b/>
          <w:bCs/>
          <w:snapToGrid w:val="0"/>
          <w:color w:val="auto"/>
          <w:position w:val="0"/>
          <w:sz w:val="24"/>
          <w:szCs w:val="21"/>
          <w:highlight w:val="none"/>
          <w:lang w:val="en-US" w:eastAsia="zh-CN" w:bidi="ar-SA"/>
        </w:rPr>
        <w:t>　</w:t>
      </w:r>
      <w:r>
        <w:rPr>
          <w:rFonts w:ascii="宋体" w:hAnsi="宋体" w:eastAsia="宋体" w:cs="宋体"/>
          <w:snapToGrid w:val="0"/>
          <w:color w:val="auto"/>
          <w:position w:val="0"/>
          <w:sz w:val="24"/>
          <w:szCs w:val="21"/>
          <w:highlight w:val="none"/>
          <w:lang w:val="en-US" w:eastAsia="zh-CN" w:bidi="ar-SA"/>
        </w:rPr>
        <w:t>评标委员会对投标文件作出的评审结论，应当符合有关法律、法规、规章</w:t>
      </w:r>
      <w:r>
        <w:rPr>
          <w:rFonts w:ascii="宋体" w:hAnsi="宋体" w:eastAsia="宋体" w:cs="宋体"/>
          <w:snapToGrid w:val="0"/>
          <w:color w:val="auto"/>
          <w:spacing w:val="-5"/>
          <w:sz w:val="24"/>
          <w:szCs w:val="24"/>
          <w:highlight w:val="none"/>
          <w:lang w:val="en-US" w:eastAsia="zh-CN" w:bidi="ar-SA"/>
        </w:rPr>
        <w:t>和招标文件的规定。</w:t>
      </w:r>
    </w:p>
    <w:p w14:paraId="612239C8">
      <w:pPr>
        <w:widowControl w:val="0"/>
        <w:kinsoku/>
        <w:adjustRightInd w:val="0"/>
        <w:snapToGrid w:val="0"/>
        <w:spacing w:beforeLines="0" w:afterLines="0" w:line="360" w:lineRule="auto"/>
        <w:ind w:firstLine="0" w:firstLineChars="0"/>
        <w:jc w:val="both"/>
        <w:textAlignment w:val="baseline"/>
        <w:rPr>
          <w:rFonts w:ascii="宋体" w:hAnsi="宋体" w:eastAsia="宋体" w:cs="宋体"/>
          <w:snapToGrid w:val="0"/>
          <w:color w:val="auto"/>
          <w:sz w:val="24"/>
          <w:szCs w:val="24"/>
          <w:highlight w:val="none"/>
          <w:lang w:val="en-US" w:eastAsia="zh-CN" w:bidi="ar-SA"/>
        </w:rPr>
      </w:pPr>
      <w:r>
        <w:rPr>
          <w:rFonts w:hint="eastAsia" w:ascii="宋体" w:hAnsi="宋体" w:eastAsia="宋体" w:cs="宋体"/>
          <w:b/>
          <w:bCs/>
          <w:snapToGrid w:val="0"/>
          <w:color w:val="auto"/>
          <w:sz w:val="24"/>
          <w:szCs w:val="24"/>
          <w:highlight w:val="none"/>
          <w:lang w:val="en-US" w:eastAsia="zh-CN" w:bidi="ar-SA"/>
        </w:rPr>
        <w:t>4.9.2　</w:t>
      </w:r>
      <w:r>
        <w:rPr>
          <w:rFonts w:ascii="宋体" w:hAnsi="宋体" w:eastAsia="宋体" w:cs="宋体"/>
          <w:snapToGrid w:val="0"/>
          <w:color w:val="auto"/>
          <w:sz w:val="24"/>
          <w:szCs w:val="21"/>
          <w:highlight w:val="none"/>
          <w:lang w:val="en-US" w:eastAsia="zh-CN" w:bidi="ar-SA"/>
        </w:rPr>
        <w:t>评标委员会应根据评标情况，</w:t>
      </w:r>
      <w:r>
        <w:rPr>
          <w:rFonts w:ascii="宋体" w:hAnsi="宋体" w:eastAsia="宋体" w:cs="宋体"/>
          <w:snapToGrid w:val="0"/>
          <w:color w:val="auto"/>
          <w:sz w:val="24"/>
          <w:szCs w:val="24"/>
          <w:highlight w:val="none"/>
          <w:lang w:val="en-US" w:eastAsia="zh-CN" w:bidi="ar-SA"/>
        </w:rPr>
        <w:t>推荐中标候选人，并向招标人提交评标报告。评标报告由评标委员会成员起草，评标委员会全体成员应在评标报告上签字确认，评标专家如有保留意见可以在评标报告中阐明。评标委员会成员拒绝在评标报告上签字又不书面说明其不同意见和理由的，视为同意评标结果。</w:t>
      </w:r>
    </w:p>
    <w:p w14:paraId="09B6EB05">
      <w:pPr>
        <w:widowControl w:val="0"/>
        <w:kinsoku/>
        <w:adjustRightInd w:val="0"/>
        <w:snapToGrid w:val="0"/>
        <w:spacing w:before="0" w:beforeLines="0" w:afterLines="0" w:line="360" w:lineRule="auto"/>
        <w:ind w:left="0" w:firstLine="0" w:firstLineChars="0"/>
        <w:jc w:val="both"/>
        <w:textAlignment w:val="baseline"/>
        <w:rPr>
          <w:rFonts w:ascii="宋体" w:hAnsi="宋体" w:eastAsia="宋体" w:cs="宋体"/>
          <w:snapToGrid w:val="0"/>
          <w:color w:val="auto"/>
          <w:sz w:val="24"/>
          <w:szCs w:val="24"/>
          <w:highlight w:val="none"/>
          <w:lang w:val="en-US" w:eastAsia="zh-CN" w:bidi="ar-SA"/>
        </w:rPr>
      </w:pPr>
      <w:r>
        <w:rPr>
          <w:rFonts w:hint="eastAsia" w:ascii="宋体" w:hAnsi="宋体" w:eastAsia="宋体" w:cs="宋体"/>
          <w:b/>
          <w:bCs/>
          <w:snapToGrid w:val="0"/>
          <w:color w:val="auto"/>
          <w:spacing w:val="-3"/>
          <w:sz w:val="24"/>
          <w:szCs w:val="24"/>
          <w:highlight w:val="none"/>
          <w:lang w:val="en-US" w:eastAsia="zh-CN" w:bidi="ar-SA"/>
        </w:rPr>
        <w:t>4.9.3　</w:t>
      </w:r>
      <w:r>
        <w:rPr>
          <w:rFonts w:ascii="宋体" w:hAnsi="宋体" w:eastAsia="宋体" w:cs="宋体"/>
          <w:snapToGrid w:val="0"/>
          <w:color w:val="auto"/>
          <w:spacing w:val="-3"/>
          <w:sz w:val="24"/>
          <w:szCs w:val="21"/>
          <w:highlight w:val="none"/>
          <w:lang w:val="en-US" w:eastAsia="zh-CN" w:bidi="ar-SA"/>
        </w:rPr>
        <w:t>评标报告应包括以下内容：</w:t>
      </w:r>
    </w:p>
    <w:p w14:paraId="381D604A">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1</w:t>
      </w:r>
      <w:r>
        <w:rPr>
          <w:rFonts w:cs="宋体"/>
          <w:color w:val="auto"/>
          <w:spacing w:val="0"/>
          <w:highlight w:val="none"/>
          <w:lang w:eastAsia="zh-CN"/>
        </w:rPr>
        <w:t>）开标记录。</w:t>
      </w:r>
    </w:p>
    <w:p w14:paraId="0C3AD9B4">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2</w:t>
      </w:r>
      <w:r>
        <w:rPr>
          <w:rFonts w:cs="宋体"/>
          <w:color w:val="auto"/>
          <w:spacing w:val="0"/>
          <w:highlight w:val="none"/>
          <w:lang w:eastAsia="zh-CN"/>
        </w:rPr>
        <w:t>）评标内容、过程和结果。</w:t>
      </w:r>
    </w:p>
    <w:p w14:paraId="17B53F94">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3</w:t>
      </w:r>
      <w:r>
        <w:rPr>
          <w:rFonts w:cs="宋体"/>
          <w:color w:val="auto"/>
          <w:spacing w:val="0"/>
          <w:highlight w:val="none"/>
          <w:lang w:eastAsia="zh-CN"/>
        </w:rPr>
        <w:t>）被否决情况说明及依据。</w:t>
      </w:r>
    </w:p>
    <w:p w14:paraId="22E2C83F">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4</w:t>
      </w:r>
      <w:r>
        <w:rPr>
          <w:rFonts w:cs="宋体"/>
          <w:color w:val="auto"/>
          <w:spacing w:val="0"/>
          <w:highlight w:val="none"/>
          <w:lang w:eastAsia="zh-CN"/>
        </w:rPr>
        <w:t>）询标澄清纪要。</w:t>
      </w:r>
    </w:p>
    <w:p w14:paraId="109B2550">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position w:val="0"/>
          <w:szCs w:val="21"/>
          <w:highlight w:val="none"/>
          <w:lang w:eastAsia="zh-CN"/>
        </w:rPr>
        <w:t>（</w:t>
      </w:r>
      <w:r>
        <w:rPr>
          <w:rFonts w:ascii="宋体" w:hAnsi="Times New Roman" w:eastAsia="宋体" w:cs="Times New Roman"/>
          <w:color w:val="auto"/>
          <w:spacing w:val="0"/>
          <w:position w:val="0"/>
          <w:szCs w:val="21"/>
          <w:highlight w:val="none"/>
          <w:lang w:eastAsia="zh-CN"/>
        </w:rPr>
        <w:t>5</w:t>
      </w:r>
      <w:r>
        <w:rPr>
          <w:rFonts w:cs="宋体"/>
          <w:color w:val="auto"/>
          <w:spacing w:val="0"/>
          <w:position w:val="0"/>
          <w:highlight w:val="none"/>
          <w:lang w:eastAsia="zh-CN"/>
        </w:rPr>
        <w:t>）中标</w:t>
      </w:r>
      <w:r>
        <w:rPr>
          <w:rFonts w:hint="eastAsia" w:cs="宋体"/>
          <w:color w:val="auto"/>
          <w:spacing w:val="0"/>
          <w:position w:val="0"/>
          <w:highlight w:val="none"/>
          <w:lang w:val="en-US" w:eastAsia="zh-CN"/>
        </w:rPr>
        <w:t>候</w:t>
      </w:r>
      <w:r>
        <w:rPr>
          <w:rFonts w:cs="宋体"/>
          <w:color w:val="auto"/>
          <w:spacing w:val="0"/>
          <w:position w:val="0"/>
          <w:highlight w:val="none"/>
          <w:lang w:eastAsia="zh-CN"/>
        </w:rPr>
        <w:t>选人的优劣对比和存在问题。</w:t>
      </w:r>
    </w:p>
    <w:p w14:paraId="00660EE9">
      <w:pPr>
        <w:kinsoku/>
        <w:spacing w:before="0" w:beforeLines="0" w:afterLines="0" w:line="360" w:lineRule="auto"/>
        <w:ind w:left="0" w:firstLine="420"/>
        <w:jc w:val="left"/>
        <w:rPr>
          <w:rFonts w:cs="宋体"/>
          <w:color w:val="auto"/>
          <w:szCs w:val="21"/>
          <w:highlight w:val="none"/>
          <w:lang w:eastAsia="zh-CN"/>
        </w:rPr>
      </w:pPr>
      <w:r>
        <w:rPr>
          <w:rFonts w:cs="宋体"/>
          <w:color w:val="auto"/>
          <w:spacing w:val="0"/>
          <w:szCs w:val="21"/>
          <w:highlight w:val="none"/>
          <w:lang w:eastAsia="zh-CN"/>
        </w:rPr>
        <w:t>（</w:t>
      </w:r>
      <w:r>
        <w:rPr>
          <w:rFonts w:ascii="宋体" w:hAnsi="Times New Roman" w:eastAsia="宋体" w:cs="Times New Roman"/>
          <w:color w:val="auto"/>
          <w:spacing w:val="0"/>
          <w:szCs w:val="21"/>
          <w:highlight w:val="none"/>
          <w:lang w:eastAsia="zh-CN"/>
        </w:rPr>
        <w:t>6</w:t>
      </w:r>
      <w:r>
        <w:rPr>
          <w:rFonts w:cs="宋体"/>
          <w:color w:val="auto"/>
          <w:spacing w:val="0"/>
          <w:highlight w:val="none"/>
          <w:lang w:eastAsia="zh-CN"/>
        </w:rPr>
        <w:t>）中标候选人投标业绩。</w:t>
      </w:r>
    </w:p>
    <w:p w14:paraId="08558B0A">
      <w:pPr>
        <w:kinsoku/>
        <w:spacing w:before="0" w:beforeLines="0" w:afterLines="0" w:line="360" w:lineRule="auto"/>
        <w:ind w:left="0" w:firstLine="420"/>
        <w:jc w:val="left"/>
        <w:rPr>
          <w:rFonts w:cs="宋体"/>
          <w:color w:val="auto"/>
          <w:spacing w:val="0"/>
          <w:szCs w:val="21"/>
          <w:highlight w:val="none"/>
          <w:lang w:eastAsia="zh-CN"/>
        </w:rPr>
      </w:pPr>
      <w:r>
        <w:rPr>
          <w:rFonts w:cs="宋体"/>
          <w:color w:val="auto"/>
          <w:spacing w:val="0"/>
          <w:szCs w:val="21"/>
          <w:highlight w:val="none"/>
          <w:lang w:eastAsia="zh-CN"/>
        </w:rPr>
        <w:t>（7）其他建议。</w:t>
      </w:r>
    </w:p>
    <w:p w14:paraId="22C2BC32">
      <w:pPr>
        <w:kinsoku/>
        <w:spacing w:beforeLines="0" w:afterLines="0"/>
        <w:ind w:firstLine="542"/>
        <w:jc w:val="left"/>
        <w:rPr>
          <w:rFonts w:cs="宋体"/>
          <w:b/>
          <w:bCs/>
          <w:color w:val="auto"/>
          <w:spacing w:val="0"/>
          <w:sz w:val="27"/>
          <w:szCs w:val="27"/>
          <w:highlight w:val="none"/>
          <w:lang w:eastAsia="zh-CN"/>
        </w:rPr>
      </w:pPr>
    </w:p>
    <w:p w14:paraId="7B63A17A">
      <w:pPr>
        <w:kinsoku/>
        <w:spacing w:before="56"/>
        <w:rPr>
          <w:rFonts w:cs="宋体"/>
          <w:b/>
          <w:bCs/>
          <w:color w:val="auto"/>
          <w:spacing w:val="3"/>
          <w:sz w:val="30"/>
          <w:szCs w:val="30"/>
          <w:highlight w:val="none"/>
        </w:rPr>
      </w:pPr>
      <w:bookmarkStart w:id="604" w:name="_Toc32013"/>
      <w:bookmarkStart w:id="605" w:name="_Toc21852"/>
      <w:bookmarkStart w:id="606" w:name="_Toc21684"/>
      <w:bookmarkStart w:id="607" w:name="_Toc24924"/>
      <w:bookmarkStart w:id="608" w:name="_Toc13666"/>
      <w:bookmarkStart w:id="609" w:name="_Toc6037"/>
      <w:bookmarkStart w:id="610" w:name="_Toc31153"/>
      <w:bookmarkStart w:id="611" w:name="_Toc24991"/>
      <w:bookmarkStart w:id="612" w:name="_Toc12636"/>
      <w:r>
        <w:rPr>
          <w:rFonts w:cs="宋体"/>
          <w:b/>
          <w:bCs/>
          <w:color w:val="auto"/>
          <w:spacing w:val="3"/>
          <w:sz w:val="30"/>
          <w:szCs w:val="30"/>
          <w:highlight w:val="none"/>
        </w:rPr>
        <w:br w:type="page"/>
      </w:r>
    </w:p>
    <w:p w14:paraId="76D7A4C5">
      <w:pPr>
        <w:pStyle w:val="3"/>
        <w:kinsoku/>
        <w:wordWrap/>
        <w:spacing w:before="0" w:beforeLines="0" w:afterLines="0"/>
        <w:jc w:val="both"/>
        <w:rPr>
          <w:rFonts w:hint="eastAsia" w:cs="宋体"/>
          <w:b/>
          <w:bCs/>
          <w:color w:val="auto"/>
          <w:szCs w:val="30"/>
          <w:highlight w:val="none"/>
        </w:rPr>
      </w:pPr>
      <w:bookmarkStart w:id="613" w:name="_Toc30442"/>
      <w:bookmarkStart w:id="614" w:name="_Toc6242"/>
      <w:bookmarkStart w:id="615" w:name="_Toc7054"/>
      <w:bookmarkStart w:id="616" w:name="_Toc32392"/>
      <w:bookmarkStart w:id="617" w:name="_Toc3644"/>
      <w:r>
        <w:rPr>
          <w:rFonts w:cs="宋体"/>
          <w:b/>
          <w:bCs/>
          <w:color w:val="auto"/>
          <w:spacing w:val="3"/>
          <w:sz w:val="30"/>
          <w:szCs w:val="30"/>
          <w:highlight w:val="none"/>
        </w:rPr>
        <w:t>附件一：投标文件澄清通知</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44383636">
      <w:pPr>
        <w:kinsoku/>
        <w:spacing w:beforeLines="0" w:afterLines="0"/>
        <w:ind w:firstLine="420"/>
        <w:jc w:val="left"/>
        <w:rPr>
          <w:color w:val="auto"/>
          <w:highlight w:val="none"/>
          <w:lang w:eastAsia="zh-CN"/>
        </w:rPr>
      </w:pPr>
    </w:p>
    <w:p w14:paraId="0E550719">
      <w:pPr>
        <w:kinsoku/>
        <w:spacing w:beforeLines="0" w:afterLines="0"/>
        <w:ind w:firstLine="420"/>
        <w:jc w:val="left"/>
        <w:rPr>
          <w:color w:val="auto"/>
          <w:highlight w:val="none"/>
          <w:lang w:eastAsia="zh-CN"/>
        </w:rPr>
      </w:pPr>
    </w:p>
    <w:p w14:paraId="26518CC6">
      <w:pPr>
        <w:pStyle w:val="4"/>
        <w:kinsoku/>
        <w:spacing w:before="0" w:beforeLines="0" w:afterLines="0"/>
        <w:ind w:left="0"/>
        <w:jc w:val="center"/>
        <w:rPr>
          <w:rFonts w:hint="eastAsia" w:ascii="宋体" w:hAnsi="宋体" w:cs="宋体"/>
          <w:b/>
          <w:bCs/>
          <w:color w:val="auto"/>
          <w:szCs w:val="24"/>
          <w:highlight w:val="none"/>
        </w:rPr>
      </w:pPr>
      <w:bookmarkStart w:id="618" w:name="_Toc27049"/>
      <w:bookmarkStart w:id="619" w:name="_Toc23109"/>
      <w:bookmarkStart w:id="620" w:name="_Toc10399"/>
      <w:r>
        <w:rPr>
          <w:rFonts w:ascii="宋体" w:hAnsi="宋体" w:cs="宋体"/>
          <w:b/>
          <w:bCs/>
          <w:color w:val="auto"/>
          <w:spacing w:val="-4"/>
          <w:szCs w:val="24"/>
          <w:highlight w:val="none"/>
        </w:rPr>
        <w:t>投标文件澄清通知</w:t>
      </w:r>
      <w:bookmarkEnd w:id="618"/>
      <w:bookmarkEnd w:id="619"/>
      <w:bookmarkEnd w:id="620"/>
    </w:p>
    <w:p w14:paraId="427E57FC">
      <w:pPr>
        <w:kinsoku/>
        <w:spacing w:before="0" w:beforeLines="0" w:afterLines="0"/>
        <w:ind w:left="0" w:firstLine="0" w:firstLineChars="0"/>
        <w:jc w:val="center"/>
        <w:rPr>
          <w:color w:val="auto"/>
          <w:highlight w:val="none"/>
          <w:lang w:eastAsia="zh-CN"/>
        </w:rPr>
      </w:pPr>
      <w:r>
        <w:rPr>
          <w:rFonts w:cs="Arial"/>
          <w:color w:val="auto"/>
          <w:spacing w:val="0"/>
          <w:szCs w:val="21"/>
          <w:highlight w:val="none"/>
          <w:lang w:eastAsia="zh-CN"/>
        </w:rPr>
        <w:t>编号：</w:t>
      </w:r>
    </w:p>
    <w:p w14:paraId="1EF819CC">
      <w:pPr>
        <w:kinsoku/>
        <w:spacing w:beforeLines="0" w:afterLines="0"/>
        <w:ind w:firstLine="420"/>
        <w:jc w:val="left"/>
        <w:rPr>
          <w:color w:val="auto"/>
          <w:highlight w:val="none"/>
          <w:lang w:eastAsia="zh-CN"/>
        </w:rPr>
      </w:pPr>
    </w:p>
    <w:p w14:paraId="00CAE513">
      <w:pPr>
        <w:kinsoku/>
        <w:spacing w:beforeLines="0" w:afterLines="0"/>
        <w:ind w:firstLine="420"/>
        <w:jc w:val="left"/>
        <w:rPr>
          <w:color w:val="auto"/>
          <w:highlight w:val="none"/>
          <w:lang w:eastAsia="zh-CN"/>
        </w:rPr>
      </w:pPr>
    </w:p>
    <w:p w14:paraId="278D443E">
      <w:pPr>
        <w:tabs>
          <w:tab w:val="left" w:pos="1800"/>
        </w:tabs>
        <w:kinsoku/>
        <w:spacing w:before="0" w:beforeLines="0" w:afterLines="0"/>
        <w:ind w:firstLine="42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（投标人名称）：</w:t>
      </w:r>
    </w:p>
    <w:p w14:paraId="58672DC8">
      <w:pPr>
        <w:kinsoku/>
        <w:spacing w:beforeLines="0" w:afterLines="0"/>
        <w:ind w:firstLine="420"/>
        <w:jc w:val="left"/>
        <w:rPr>
          <w:color w:val="auto"/>
          <w:highlight w:val="none"/>
          <w:lang w:eastAsia="zh-CN"/>
        </w:rPr>
      </w:pPr>
    </w:p>
    <w:p w14:paraId="07C988F8">
      <w:pPr>
        <w:kinsoku/>
        <w:spacing w:beforeLines="0" w:afterLines="0"/>
        <w:ind w:firstLine="420"/>
        <w:jc w:val="left"/>
        <w:rPr>
          <w:color w:val="auto"/>
          <w:highlight w:val="none"/>
          <w:lang w:eastAsia="zh-CN"/>
        </w:rPr>
      </w:pPr>
    </w:p>
    <w:p w14:paraId="198D42A8">
      <w:pPr>
        <w:kinsoku/>
        <w:spacing w:before="0" w:beforeLines="0" w:afterLines="0"/>
        <w:ind w:left="0" w:firstLine="420"/>
        <w:jc w:val="left"/>
        <w:rPr>
          <w:rFonts w:cs="宋体"/>
          <w:color w:val="auto"/>
          <w:szCs w:val="24"/>
          <w:highlight w:val="none"/>
          <w:lang w:eastAsia="zh-CN"/>
        </w:rPr>
      </w:pPr>
      <w:r>
        <w:rPr>
          <w:rFonts w:cs="宋体"/>
          <w:color w:val="auto"/>
          <w:szCs w:val="24"/>
          <w:highlight w:val="none"/>
          <w:u w:val="single"/>
          <w:lang w:eastAsia="zh-CN"/>
        </w:rPr>
        <w:tab/>
      </w:r>
      <w:r>
        <w:rPr>
          <w:rFonts w:hint="eastAsia" w:cs="宋体"/>
          <w:color w:val="auto"/>
          <w:szCs w:val="24"/>
          <w:highlight w:val="none"/>
          <w:u w:val="single"/>
          <w:lang w:eastAsia="zh-CN"/>
        </w:rPr>
        <w:tab/>
      </w:r>
      <w:r>
        <w:rPr>
          <w:rFonts w:hint="eastAsia" w:cs="宋体"/>
          <w:color w:val="auto"/>
          <w:szCs w:val="24"/>
          <w:highlight w:val="none"/>
          <w:u w:val="single"/>
          <w:lang w:eastAsia="zh-CN"/>
        </w:rPr>
        <w:tab/>
      </w:r>
      <w:r>
        <w:rPr>
          <w:rFonts w:hint="eastAsia" w:cs="宋体"/>
          <w:color w:val="auto"/>
          <w:szCs w:val="24"/>
          <w:highlight w:val="none"/>
          <w:u w:val="single"/>
          <w:lang w:eastAsia="zh-CN"/>
        </w:rPr>
        <w:tab/>
      </w:r>
      <w:r>
        <w:rPr>
          <w:rFonts w:cs="宋体"/>
          <w:color w:val="auto"/>
          <w:spacing w:val="0"/>
          <w:szCs w:val="24"/>
          <w:highlight w:val="none"/>
          <w:lang w:eastAsia="zh-CN"/>
        </w:rPr>
        <w:t>（项目名称</w:t>
      </w:r>
      <w:r>
        <w:rPr>
          <w:rFonts w:cs="宋体"/>
          <w:color w:val="auto"/>
          <w:szCs w:val="24"/>
          <w:highlight w:val="none"/>
          <w:lang w:eastAsia="zh-CN"/>
        </w:rPr>
        <w:t>）（</w:t>
      </w:r>
      <w:r>
        <w:rPr>
          <w:rFonts w:cs="宋体"/>
          <w:color w:val="auto"/>
          <w:spacing w:val="0"/>
          <w:szCs w:val="24"/>
          <w:highlight w:val="none"/>
          <w:lang w:eastAsia="zh-CN"/>
        </w:rPr>
        <w:t>标段名称）评标委员会对你方的投标文件进行了仔细的审查，现需你方对下列问题以书面形式予以澄清：</w:t>
      </w:r>
    </w:p>
    <w:p w14:paraId="75800A53">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1.</w:t>
      </w:r>
      <w:r>
        <w:rPr>
          <w:rFonts w:ascii="Times New Roman" w:hAnsi="Times New Roman" w:cs="Times New Roman"/>
          <w:strike/>
          <w:color w:val="auto"/>
          <w:szCs w:val="24"/>
          <w:highlight w:val="none"/>
        </w:rPr>
        <w:t>ⅆⅆ</w:t>
      </w:r>
    </w:p>
    <w:p w14:paraId="3CAC503C">
      <w:pPr>
        <w:kinsoku/>
        <w:spacing w:before="0" w:beforeLines="0" w:afterLines="0"/>
        <w:ind w:left="0" w:firstLine="420"/>
        <w:jc w:val="left"/>
        <w:rPr>
          <w:color w:val="auto"/>
          <w:highlight w:val="none"/>
          <w:lang w:eastAsia="zh-CN"/>
        </w:rPr>
      </w:pPr>
      <w:r>
        <w:rPr>
          <w:rFonts w:ascii="宋体" w:hAnsi="宋体" w:eastAsia="宋体" w:cs="Arial"/>
          <w:color w:val="auto"/>
          <w:spacing w:val="0"/>
          <w:w w:val="100"/>
          <w:szCs w:val="21"/>
          <w:highlight w:val="none"/>
          <w:lang w:eastAsia="zh-CN"/>
        </w:rPr>
        <w:t>2.</w:t>
      </w:r>
      <w:r>
        <w:rPr>
          <w:rFonts w:ascii="Times New Roman" w:hAnsi="Times New Roman" w:cs="Times New Roman"/>
          <w:strike/>
          <w:color w:val="auto"/>
          <w:szCs w:val="24"/>
          <w:highlight w:val="none"/>
        </w:rPr>
        <w:t>ⅆⅆ</w:t>
      </w:r>
    </w:p>
    <w:p w14:paraId="72D30830">
      <w:pPr>
        <w:kinsoku/>
        <w:spacing w:beforeLines="0" w:afterLines="0"/>
        <w:ind w:firstLine="420"/>
        <w:jc w:val="left"/>
        <w:rPr>
          <w:color w:val="auto"/>
          <w:highlight w:val="none"/>
          <w:lang w:eastAsia="zh-CN"/>
        </w:rPr>
      </w:pPr>
    </w:p>
    <w:p w14:paraId="6C7558A7">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w:t>
      </w:r>
    </w:p>
    <w:p w14:paraId="63074D0F">
      <w:pPr>
        <w:kinsoku/>
        <w:spacing w:beforeLines="0" w:afterLines="0"/>
        <w:ind w:firstLine="420"/>
        <w:jc w:val="left"/>
        <w:rPr>
          <w:color w:val="auto"/>
          <w:highlight w:val="none"/>
          <w:lang w:eastAsia="zh-CN"/>
        </w:rPr>
      </w:pPr>
    </w:p>
    <w:p w14:paraId="63EC52BB">
      <w:pPr>
        <w:kinsoku/>
        <w:spacing w:beforeLines="0" w:afterLines="0"/>
        <w:ind w:firstLine="420"/>
        <w:jc w:val="left"/>
        <w:rPr>
          <w:color w:val="auto"/>
          <w:highlight w:val="none"/>
          <w:lang w:eastAsia="zh-CN"/>
        </w:rPr>
      </w:pPr>
    </w:p>
    <w:p w14:paraId="3EABAC34">
      <w:pPr>
        <w:kinsoku/>
        <w:spacing w:beforeLines="0" w:afterLines="0"/>
        <w:ind w:firstLine="420"/>
        <w:jc w:val="left"/>
        <w:rPr>
          <w:color w:val="auto"/>
          <w:highlight w:val="none"/>
          <w:lang w:eastAsia="zh-CN"/>
        </w:rPr>
      </w:pPr>
    </w:p>
    <w:p w14:paraId="519D0D74">
      <w:pPr>
        <w:kinsoku/>
        <w:spacing w:beforeLines="0" w:afterLines="0"/>
        <w:ind w:firstLine="420"/>
        <w:jc w:val="left"/>
        <w:rPr>
          <w:color w:val="auto"/>
          <w:highlight w:val="none"/>
          <w:lang w:eastAsia="zh-CN"/>
        </w:rPr>
      </w:pPr>
    </w:p>
    <w:p w14:paraId="13CCA16C">
      <w:pPr>
        <w:kinsoku/>
        <w:spacing w:beforeLines="0" w:afterLines="0"/>
        <w:ind w:firstLine="420"/>
        <w:jc w:val="left"/>
        <w:rPr>
          <w:color w:val="auto"/>
          <w:highlight w:val="none"/>
          <w:lang w:eastAsia="zh-CN"/>
        </w:rPr>
      </w:pPr>
    </w:p>
    <w:p w14:paraId="5D14C9B7">
      <w:pPr>
        <w:kinsoku/>
        <w:spacing w:beforeLines="0" w:afterLines="0"/>
        <w:ind w:firstLine="420"/>
        <w:jc w:val="left"/>
        <w:rPr>
          <w:color w:val="auto"/>
          <w:highlight w:val="none"/>
          <w:lang w:eastAsia="zh-CN"/>
        </w:rPr>
      </w:pPr>
    </w:p>
    <w:p w14:paraId="53F0502F">
      <w:pPr>
        <w:kinsoku/>
        <w:spacing w:beforeLines="0" w:afterLines="0"/>
        <w:ind w:firstLine="420"/>
        <w:jc w:val="left"/>
        <w:rPr>
          <w:color w:val="auto"/>
          <w:highlight w:val="none"/>
          <w:lang w:eastAsia="zh-CN"/>
        </w:rPr>
      </w:pPr>
    </w:p>
    <w:p w14:paraId="1476D3F8">
      <w:pPr>
        <w:kinsoku/>
        <w:spacing w:beforeLines="0" w:afterLines="0"/>
        <w:ind w:firstLine="420"/>
        <w:jc w:val="left"/>
        <w:rPr>
          <w:color w:val="auto"/>
          <w:highlight w:val="none"/>
          <w:lang w:eastAsia="zh-CN"/>
        </w:rPr>
      </w:pPr>
    </w:p>
    <w:p w14:paraId="2635A61F">
      <w:pPr>
        <w:pStyle w:val="7"/>
        <w:kinsoku/>
        <w:spacing w:beforeLines="0" w:afterLines="0"/>
        <w:ind w:firstLine="420"/>
        <w:jc w:val="left"/>
        <w:rPr>
          <w:color w:val="auto"/>
          <w:highlight w:val="none"/>
          <w:lang w:eastAsia="zh-CN"/>
        </w:rPr>
      </w:pPr>
    </w:p>
    <w:p w14:paraId="54C7FE6E">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评标委员会负责人：（签字）</w:t>
      </w:r>
    </w:p>
    <w:p w14:paraId="7A92B833">
      <w:pPr>
        <w:kinsoku/>
        <w:spacing w:before="0" w:beforeLines="0" w:afterLines="0"/>
        <w:ind w:left="0" w:firstLine="420"/>
        <w:jc w:val="left"/>
        <w:rPr>
          <w:rFonts w:cs="宋体"/>
          <w:color w:val="auto"/>
          <w:szCs w:val="24"/>
          <w:highlight w:val="none"/>
          <w:lang w:eastAsia="zh-CN"/>
        </w:rPr>
      </w:pPr>
      <w:r>
        <w:rPr>
          <w:rFonts w:cs="宋体"/>
          <w:color w:val="auto"/>
          <w:szCs w:val="24"/>
          <w:highlight w:val="none"/>
          <w:u w:val="none"/>
          <w:lang w:eastAsia="zh-CN"/>
        </w:rPr>
        <w:t xml:space="preserve">    </w:t>
      </w:r>
      <w:r>
        <w:rPr>
          <w:rFonts w:cs="宋体"/>
          <w:color w:val="auto"/>
          <w:spacing w:val="0"/>
          <w:szCs w:val="24"/>
          <w:highlight w:val="none"/>
          <w:lang w:eastAsia="zh-CN"/>
        </w:rPr>
        <w:t>年</w:t>
      </w:r>
      <w:r>
        <w:rPr>
          <w:rFonts w:hint="eastAsia" w:cs="宋体"/>
          <w:color w:val="auto"/>
          <w:szCs w:val="24"/>
          <w:highlight w:val="none"/>
          <w:lang w:eastAsia="zh-CN"/>
        </w:rPr>
        <w:t xml:space="preserve">    </w:t>
      </w:r>
      <w:r>
        <w:rPr>
          <w:rFonts w:cs="宋体"/>
          <w:color w:val="auto"/>
          <w:spacing w:val="0"/>
          <w:szCs w:val="24"/>
          <w:highlight w:val="none"/>
          <w:lang w:eastAsia="zh-CN"/>
        </w:rPr>
        <w:t>月</w:t>
      </w:r>
      <w:r>
        <w:rPr>
          <w:rFonts w:hint="eastAsia" w:cs="宋体"/>
          <w:color w:val="auto"/>
          <w:szCs w:val="24"/>
          <w:highlight w:val="none"/>
          <w:lang w:eastAsia="zh-CN"/>
        </w:rPr>
        <w:t xml:space="preserve">    </w:t>
      </w:r>
      <w:r>
        <w:rPr>
          <w:rFonts w:cs="宋体"/>
          <w:color w:val="auto"/>
          <w:spacing w:val="0"/>
          <w:szCs w:val="24"/>
          <w:highlight w:val="none"/>
          <w:lang w:eastAsia="zh-CN"/>
        </w:rPr>
        <w:t>日</w:t>
      </w:r>
    </w:p>
    <w:p w14:paraId="52094128">
      <w:pPr>
        <w:kinsoku/>
        <w:adjustRightInd/>
        <w:snapToGrid/>
        <w:spacing w:beforeLines="0" w:afterLines="0" w:line="36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75EBEEDB">
      <w:pPr>
        <w:pStyle w:val="3"/>
        <w:kinsoku/>
        <w:wordWrap/>
        <w:spacing w:before="0" w:beforeLines="0" w:afterLines="0"/>
        <w:ind w:left="0"/>
        <w:jc w:val="both"/>
        <w:rPr>
          <w:rFonts w:hint="eastAsia" w:cs="宋体"/>
          <w:b/>
          <w:bCs/>
          <w:color w:val="auto"/>
          <w:szCs w:val="30"/>
          <w:highlight w:val="none"/>
        </w:rPr>
      </w:pPr>
      <w:bookmarkStart w:id="621" w:name="bookmark48"/>
      <w:bookmarkEnd w:id="621"/>
      <w:bookmarkStart w:id="622" w:name="bookmark47"/>
      <w:bookmarkEnd w:id="622"/>
      <w:bookmarkStart w:id="623" w:name="bookmark46"/>
      <w:bookmarkEnd w:id="623"/>
      <w:bookmarkStart w:id="624" w:name="_Toc23142"/>
      <w:bookmarkStart w:id="625" w:name="_Toc7520"/>
      <w:bookmarkStart w:id="626" w:name="_Toc17331"/>
      <w:bookmarkStart w:id="627" w:name="_Toc21302"/>
      <w:bookmarkStart w:id="628" w:name="_Toc17256"/>
      <w:bookmarkStart w:id="629" w:name="_Toc23394"/>
      <w:bookmarkStart w:id="630" w:name="_Toc1962"/>
      <w:bookmarkStart w:id="631" w:name="_Toc10454"/>
      <w:bookmarkStart w:id="632" w:name="_Toc15631"/>
      <w:bookmarkStart w:id="633" w:name="_Toc22888"/>
      <w:bookmarkStart w:id="634" w:name="_Toc30423"/>
      <w:bookmarkStart w:id="635" w:name="_Toc10884"/>
      <w:bookmarkStart w:id="636" w:name="_Toc10455"/>
      <w:bookmarkStart w:id="637" w:name="_Toc28996"/>
      <w:r>
        <w:rPr>
          <w:rFonts w:cs="宋体"/>
          <w:b/>
          <w:bCs/>
          <w:color w:val="auto"/>
          <w:spacing w:val="5"/>
          <w:sz w:val="30"/>
          <w:szCs w:val="30"/>
          <w:highlight w:val="none"/>
        </w:rPr>
        <w:t>附件二：投标文件澄清函</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25869AE7">
      <w:pPr>
        <w:kinsoku/>
        <w:spacing w:beforeLines="0" w:afterLines="0"/>
        <w:ind w:firstLine="420"/>
        <w:jc w:val="left"/>
        <w:rPr>
          <w:color w:val="auto"/>
          <w:highlight w:val="none"/>
          <w:lang w:eastAsia="zh-CN"/>
        </w:rPr>
      </w:pPr>
    </w:p>
    <w:p w14:paraId="7BB14A21">
      <w:pPr>
        <w:kinsoku/>
        <w:spacing w:beforeLines="0" w:afterLines="0"/>
        <w:ind w:firstLine="420"/>
        <w:jc w:val="left"/>
        <w:rPr>
          <w:color w:val="auto"/>
          <w:highlight w:val="none"/>
          <w:lang w:eastAsia="zh-CN"/>
        </w:rPr>
      </w:pPr>
    </w:p>
    <w:p w14:paraId="4550EAB8">
      <w:pPr>
        <w:kinsoku/>
        <w:spacing w:before="0" w:beforeLines="0" w:afterLines="0"/>
        <w:ind w:left="0" w:firstLine="422"/>
        <w:jc w:val="center"/>
        <w:rPr>
          <w:rFonts w:cs="宋体"/>
          <w:color w:val="auto"/>
          <w:szCs w:val="24"/>
          <w:highlight w:val="none"/>
          <w:lang w:eastAsia="zh-CN"/>
        </w:rPr>
      </w:pPr>
      <w:r>
        <w:rPr>
          <w:rFonts w:cs="宋体"/>
          <w:b/>
          <w:bCs/>
          <w:color w:val="auto"/>
          <w:spacing w:val="0"/>
          <w:szCs w:val="24"/>
          <w:highlight w:val="none"/>
          <w:lang w:eastAsia="zh-CN"/>
        </w:rPr>
        <w:t>投标文件澄清函</w:t>
      </w:r>
    </w:p>
    <w:p w14:paraId="5E83C1FD">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编号：</w:t>
      </w:r>
    </w:p>
    <w:p w14:paraId="4C381218">
      <w:pPr>
        <w:kinsoku/>
        <w:spacing w:beforeLines="0" w:afterLines="0"/>
        <w:ind w:firstLine="420"/>
        <w:jc w:val="left"/>
        <w:rPr>
          <w:color w:val="auto"/>
          <w:highlight w:val="none"/>
          <w:lang w:eastAsia="zh-CN"/>
        </w:rPr>
      </w:pPr>
    </w:p>
    <w:p w14:paraId="19B6251E">
      <w:pPr>
        <w:kinsoku/>
        <w:spacing w:beforeLines="0" w:afterLines="0"/>
        <w:ind w:firstLine="420"/>
        <w:jc w:val="left"/>
        <w:rPr>
          <w:color w:val="auto"/>
          <w:highlight w:val="none"/>
          <w:lang w:eastAsia="zh-CN"/>
        </w:rPr>
      </w:pPr>
    </w:p>
    <w:p w14:paraId="29BC3691">
      <w:pPr>
        <w:tabs>
          <w:tab w:val="left" w:pos="2160"/>
        </w:tabs>
        <w:kinsoku/>
        <w:spacing w:before="0" w:beforeLines="0" w:afterLines="0"/>
        <w:ind w:firstLine="42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（项目名称）（标段名称）评标委员会：</w:t>
      </w:r>
    </w:p>
    <w:p w14:paraId="45605E88">
      <w:pPr>
        <w:kinsoku/>
        <w:spacing w:beforeLines="0" w:afterLines="0"/>
        <w:ind w:firstLine="420"/>
        <w:jc w:val="left"/>
        <w:rPr>
          <w:color w:val="auto"/>
          <w:highlight w:val="none"/>
          <w:lang w:eastAsia="zh-CN"/>
        </w:rPr>
      </w:pPr>
    </w:p>
    <w:p w14:paraId="6F7AA2A9">
      <w:pPr>
        <w:kinsoku/>
        <w:spacing w:beforeLines="0" w:afterLines="0"/>
        <w:ind w:firstLine="420"/>
        <w:jc w:val="left"/>
        <w:rPr>
          <w:color w:val="auto"/>
          <w:highlight w:val="none"/>
          <w:lang w:eastAsia="zh-CN"/>
        </w:rPr>
      </w:pPr>
    </w:p>
    <w:p w14:paraId="22B560C5">
      <w:pPr>
        <w:kinsoku/>
        <w:spacing w:before="0" w:beforeLines="0" w:afterLines="0"/>
        <w:ind w:left="0" w:firstLine="420"/>
        <w:jc w:val="left"/>
        <w:rPr>
          <w:color w:val="auto"/>
          <w:highlight w:val="none"/>
          <w:lang w:eastAsia="zh-CN"/>
        </w:rPr>
      </w:pPr>
      <w:r>
        <w:rPr>
          <w:rFonts w:cs="Arial"/>
          <w:color w:val="auto"/>
          <w:spacing w:val="0"/>
          <w:szCs w:val="21"/>
          <w:highlight w:val="none"/>
          <w:lang w:eastAsia="zh-CN"/>
        </w:rPr>
        <w:t>投标文件澄清通知（编号）已收悉，现就有关问题澄清如下：</w:t>
      </w:r>
    </w:p>
    <w:p w14:paraId="0CB9C743">
      <w:pPr>
        <w:kinsoku/>
        <w:spacing w:before="0" w:beforeLines="0" w:afterLines="0"/>
        <w:ind w:left="0" w:firstLine="420"/>
        <w:jc w:val="left"/>
        <w:rPr>
          <w:color w:val="auto"/>
          <w:highlight w:val="none"/>
          <w:lang w:eastAsia="zh-CN"/>
        </w:rPr>
      </w:pPr>
      <w:r>
        <w:rPr>
          <w:rFonts w:ascii="宋体" w:hAnsi="宋体" w:eastAsia="宋体" w:cs="Arial"/>
          <w:color w:val="auto"/>
          <w:spacing w:val="0"/>
          <w:szCs w:val="21"/>
          <w:highlight w:val="none"/>
          <w:lang w:eastAsia="zh-CN"/>
        </w:rPr>
        <w:t>1.</w:t>
      </w:r>
      <w:r>
        <w:rPr>
          <w:rFonts w:ascii="Times New Roman" w:hAnsi="Times New Roman" w:cs="Times New Roman"/>
          <w:strike/>
          <w:color w:val="auto"/>
          <w:szCs w:val="24"/>
          <w:highlight w:val="none"/>
        </w:rPr>
        <w:t>ⅆⅆ</w:t>
      </w:r>
    </w:p>
    <w:p w14:paraId="4D187BEC">
      <w:pPr>
        <w:kinsoku/>
        <w:spacing w:before="0" w:beforeLines="0" w:afterLines="0"/>
        <w:ind w:left="0" w:firstLine="420"/>
        <w:jc w:val="left"/>
        <w:rPr>
          <w:color w:val="auto"/>
          <w:highlight w:val="none"/>
          <w:lang w:eastAsia="zh-CN"/>
        </w:rPr>
      </w:pPr>
      <w:r>
        <w:rPr>
          <w:rFonts w:ascii="宋体" w:hAnsi="宋体" w:eastAsia="宋体" w:cs="Arial"/>
          <w:color w:val="auto"/>
          <w:spacing w:val="0"/>
          <w:w w:val="100"/>
          <w:szCs w:val="21"/>
          <w:highlight w:val="none"/>
          <w:lang w:eastAsia="zh-CN"/>
        </w:rPr>
        <w:t>2.</w:t>
      </w:r>
      <w:r>
        <w:rPr>
          <w:rFonts w:ascii="Times New Roman" w:hAnsi="Times New Roman" w:cs="Times New Roman"/>
          <w:strike/>
          <w:color w:val="auto"/>
          <w:szCs w:val="24"/>
          <w:highlight w:val="none"/>
        </w:rPr>
        <w:t>ⅆⅆ</w:t>
      </w:r>
    </w:p>
    <w:p w14:paraId="43D5DFDE">
      <w:pPr>
        <w:kinsoku/>
        <w:spacing w:beforeLines="0" w:afterLines="0"/>
        <w:ind w:firstLine="420"/>
        <w:jc w:val="left"/>
        <w:rPr>
          <w:color w:val="auto"/>
          <w:highlight w:val="none"/>
          <w:lang w:eastAsia="zh-CN"/>
        </w:rPr>
      </w:pPr>
    </w:p>
    <w:p w14:paraId="09C900EF">
      <w:pPr>
        <w:kinsoku/>
        <w:spacing w:before="0" w:beforeLines="0" w:afterLines="0"/>
        <w:ind w:left="0" w:firstLine="420"/>
        <w:jc w:val="left"/>
        <w:rPr>
          <w:color w:val="auto"/>
          <w:highlight w:val="none"/>
          <w:lang w:eastAsia="zh-CN"/>
        </w:rPr>
      </w:pPr>
      <w:r>
        <w:rPr>
          <w:rFonts w:ascii="宋体" w:hAnsi="宋体" w:eastAsia="宋体" w:cs="Arial"/>
          <w:color w:val="auto"/>
          <w:spacing w:val="0"/>
          <w:position w:val="0"/>
          <w:szCs w:val="21"/>
          <w:highlight w:val="none"/>
          <w:lang w:eastAsia="zh-CN"/>
        </w:rPr>
        <w:t>……</w:t>
      </w:r>
    </w:p>
    <w:p w14:paraId="02EA3F85">
      <w:pPr>
        <w:kinsoku/>
        <w:spacing w:beforeLines="0" w:afterLines="0"/>
        <w:ind w:firstLine="420"/>
        <w:jc w:val="left"/>
        <w:rPr>
          <w:color w:val="auto"/>
          <w:highlight w:val="none"/>
          <w:lang w:eastAsia="zh-CN"/>
        </w:rPr>
      </w:pPr>
    </w:p>
    <w:p w14:paraId="298AA273">
      <w:pPr>
        <w:kinsoku/>
        <w:spacing w:beforeLines="0" w:afterLines="0"/>
        <w:ind w:firstLine="420"/>
        <w:jc w:val="left"/>
        <w:rPr>
          <w:color w:val="auto"/>
          <w:highlight w:val="none"/>
          <w:lang w:eastAsia="zh-CN"/>
        </w:rPr>
      </w:pPr>
    </w:p>
    <w:p w14:paraId="1FEA5BA4">
      <w:pPr>
        <w:kinsoku/>
        <w:spacing w:beforeLines="0" w:afterLines="0"/>
        <w:ind w:firstLine="420"/>
        <w:jc w:val="left"/>
        <w:rPr>
          <w:color w:val="auto"/>
          <w:highlight w:val="none"/>
          <w:lang w:eastAsia="zh-CN"/>
        </w:rPr>
      </w:pPr>
    </w:p>
    <w:p w14:paraId="777C21A8">
      <w:pPr>
        <w:kinsoku/>
        <w:spacing w:beforeLines="0" w:afterLines="0"/>
        <w:ind w:firstLine="420"/>
        <w:jc w:val="left"/>
        <w:rPr>
          <w:color w:val="auto"/>
          <w:highlight w:val="none"/>
          <w:lang w:eastAsia="zh-CN"/>
        </w:rPr>
      </w:pPr>
    </w:p>
    <w:p w14:paraId="3EF29074">
      <w:pPr>
        <w:kinsoku/>
        <w:spacing w:beforeLines="0" w:afterLines="0"/>
        <w:ind w:firstLine="420"/>
        <w:jc w:val="left"/>
        <w:rPr>
          <w:color w:val="auto"/>
          <w:highlight w:val="none"/>
          <w:lang w:eastAsia="zh-CN"/>
        </w:rPr>
      </w:pPr>
    </w:p>
    <w:p w14:paraId="686F129F">
      <w:pPr>
        <w:kinsoku/>
        <w:spacing w:before="0" w:beforeLines="0" w:afterLines="0"/>
        <w:ind w:left="0" w:firstLine="420"/>
        <w:jc w:val="left"/>
        <w:rPr>
          <w:rFonts w:cs="宋体"/>
          <w:color w:val="auto"/>
          <w:szCs w:val="24"/>
          <w:highlight w:val="none"/>
          <w:lang w:eastAsia="zh-CN"/>
        </w:rPr>
      </w:pPr>
      <w:r>
        <w:rPr>
          <w:rFonts w:cs="宋体"/>
          <w:color w:val="auto"/>
          <w:spacing w:val="0"/>
          <w:w w:val="100"/>
          <w:szCs w:val="24"/>
          <w:highlight w:val="none"/>
          <w:lang w:eastAsia="zh-CN"/>
        </w:rPr>
        <w:t>投标人：（盖单位章）</w:t>
      </w:r>
    </w:p>
    <w:p w14:paraId="36ED373D">
      <w:pPr>
        <w:kinsoku/>
        <w:spacing w:beforeLines="0" w:afterLines="0"/>
        <w:ind w:firstLine="420"/>
        <w:jc w:val="left"/>
        <w:rPr>
          <w:color w:val="auto"/>
          <w:highlight w:val="none"/>
          <w:lang w:eastAsia="zh-CN"/>
        </w:rPr>
      </w:pPr>
    </w:p>
    <w:p w14:paraId="4BA359A6">
      <w:pPr>
        <w:kinsoku/>
        <w:spacing w:beforeLines="0" w:afterLines="0"/>
        <w:ind w:firstLine="420"/>
        <w:jc w:val="left"/>
        <w:rPr>
          <w:color w:val="auto"/>
          <w:highlight w:val="none"/>
          <w:lang w:eastAsia="zh-CN"/>
        </w:rPr>
      </w:pPr>
    </w:p>
    <w:p w14:paraId="45BD992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法定代表人或委托代理人：（签字）</w:t>
      </w:r>
    </w:p>
    <w:p w14:paraId="341E6B20">
      <w:pPr>
        <w:kinsoku/>
        <w:spacing w:beforeLines="0" w:afterLines="0"/>
        <w:ind w:firstLine="420"/>
        <w:jc w:val="left"/>
        <w:rPr>
          <w:color w:val="auto"/>
          <w:highlight w:val="none"/>
          <w:lang w:eastAsia="zh-CN"/>
        </w:rPr>
      </w:pPr>
    </w:p>
    <w:p w14:paraId="14BF0B0D">
      <w:pPr>
        <w:kinsoku/>
        <w:spacing w:beforeLines="0" w:afterLines="0"/>
        <w:ind w:firstLine="420"/>
        <w:jc w:val="left"/>
        <w:rPr>
          <w:color w:val="auto"/>
          <w:highlight w:val="none"/>
          <w:lang w:eastAsia="zh-CN"/>
        </w:rPr>
      </w:pPr>
    </w:p>
    <w:p w14:paraId="1753EE25">
      <w:pPr>
        <w:kinsoku/>
        <w:spacing w:before="0" w:beforeLines="0" w:afterLines="0"/>
        <w:ind w:left="0" w:firstLine="420"/>
        <w:jc w:val="left"/>
        <w:rPr>
          <w:rFonts w:cs="宋体"/>
          <w:color w:val="auto"/>
          <w:spacing w:val="0"/>
          <w:szCs w:val="24"/>
          <w:highlight w:val="none"/>
          <w:lang w:eastAsia="zh-CN"/>
        </w:rPr>
      </w:pPr>
      <w:r>
        <w:rPr>
          <w:rFonts w:hint="eastAsia" w:cs="宋体"/>
          <w:color w:val="auto"/>
          <w:szCs w:val="24"/>
          <w:highlight w:val="none"/>
          <w:lang w:eastAsia="zh-CN"/>
        </w:rPr>
        <w:t xml:space="preserve">    </w:t>
      </w:r>
      <w:r>
        <w:rPr>
          <w:rFonts w:cs="宋体"/>
          <w:color w:val="auto"/>
          <w:spacing w:val="0"/>
          <w:szCs w:val="24"/>
          <w:highlight w:val="none"/>
          <w:lang w:eastAsia="zh-CN"/>
        </w:rPr>
        <w:t>年</w:t>
      </w:r>
      <w:r>
        <w:rPr>
          <w:rFonts w:hint="eastAsia" w:cs="宋体"/>
          <w:color w:val="auto"/>
          <w:szCs w:val="24"/>
          <w:highlight w:val="none"/>
          <w:lang w:eastAsia="zh-CN"/>
        </w:rPr>
        <w:t xml:space="preserve">    </w:t>
      </w:r>
      <w:r>
        <w:rPr>
          <w:rFonts w:cs="宋体"/>
          <w:color w:val="auto"/>
          <w:spacing w:val="0"/>
          <w:szCs w:val="24"/>
          <w:highlight w:val="none"/>
          <w:lang w:eastAsia="zh-CN"/>
        </w:rPr>
        <w:t>月</w:t>
      </w:r>
      <w:r>
        <w:rPr>
          <w:rFonts w:hint="eastAsia" w:cs="宋体"/>
          <w:color w:val="auto"/>
          <w:szCs w:val="24"/>
          <w:highlight w:val="none"/>
          <w:lang w:eastAsia="zh-CN"/>
        </w:rPr>
        <w:t xml:space="preserve">    </w:t>
      </w:r>
      <w:r>
        <w:rPr>
          <w:rFonts w:cs="宋体"/>
          <w:color w:val="auto"/>
          <w:spacing w:val="0"/>
          <w:szCs w:val="24"/>
          <w:highlight w:val="none"/>
          <w:lang w:eastAsia="zh-CN"/>
        </w:rPr>
        <w:t>日</w:t>
      </w:r>
    </w:p>
    <w:p w14:paraId="4C9C6B5E">
      <w:pPr>
        <w:kinsoku/>
        <w:spacing w:before="0" w:beforeLines="0" w:afterLines="0"/>
        <w:ind w:left="0" w:firstLine="420"/>
        <w:jc w:val="left"/>
        <w:rPr>
          <w:rFonts w:cs="Arial"/>
          <w:color w:val="auto"/>
          <w:spacing w:val="0"/>
          <w:szCs w:val="21"/>
          <w:highlight w:val="none"/>
          <w:lang w:eastAsia="zh-CN"/>
        </w:rPr>
      </w:pPr>
    </w:p>
    <w:p w14:paraId="1CB7BE13">
      <w:pPr>
        <w:kinsoku/>
        <w:adjustRightInd/>
        <w:snapToGrid/>
        <w:spacing w:beforeLines="0" w:afterLines="0" w:line="360" w:lineRule="auto"/>
        <w:ind w:firstLine="420"/>
        <w:jc w:val="left"/>
        <w:textAlignment w:val="auto"/>
        <w:rPr>
          <w:rFonts w:cs="宋体"/>
          <w:color w:val="auto"/>
          <w:spacing w:val="0"/>
          <w:szCs w:val="24"/>
          <w:highlight w:val="none"/>
          <w:lang w:eastAsia="zh-CN"/>
        </w:rPr>
      </w:pPr>
      <w:r>
        <w:rPr>
          <w:rFonts w:cs="宋体"/>
          <w:color w:val="auto"/>
          <w:spacing w:val="0"/>
          <w:szCs w:val="24"/>
          <w:highlight w:val="none"/>
          <w:lang w:eastAsia="zh-CN"/>
        </w:rPr>
        <w:br w:type="page"/>
      </w:r>
    </w:p>
    <w:p w14:paraId="5490361C">
      <w:pPr>
        <w:pStyle w:val="2"/>
        <w:kinsoku/>
        <w:spacing w:before="0" w:beforeLines="0" w:afterLines="0"/>
        <w:ind w:left="0"/>
        <w:jc w:val="center"/>
        <w:outlineLvl w:val="0"/>
        <w:rPr>
          <w:rFonts w:hint="eastAsia" w:cs="宋体"/>
          <w:b/>
          <w:bCs w:val="0"/>
          <w:color w:val="auto"/>
          <w:szCs w:val="32"/>
          <w:highlight w:val="none"/>
          <w:lang w:eastAsia="zh-CN"/>
        </w:rPr>
      </w:pPr>
      <w:bookmarkStart w:id="638" w:name="_Toc1769"/>
      <w:bookmarkStart w:id="639" w:name="_Toc26918"/>
      <w:bookmarkStart w:id="640" w:name="_Toc24809"/>
      <w:bookmarkStart w:id="641" w:name="_Toc19666"/>
      <w:bookmarkStart w:id="642" w:name="_Toc2148"/>
      <w:bookmarkStart w:id="643" w:name="_Toc6900"/>
      <w:bookmarkStart w:id="644" w:name="_Toc5538"/>
      <w:bookmarkStart w:id="645" w:name="_Toc9347"/>
      <w:bookmarkStart w:id="646" w:name="_Toc27905"/>
      <w:bookmarkStart w:id="647" w:name="_Toc7164"/>
      <w:bookmarkStart w:id="648" w:name="_Toc19654"/>
      <w:bookmarkStart w:id="649" w:name="_Toc21436"/>
      <w:bookmarkStart w:id="650" w:name="_Toc8503"/>
      <w:bookmarkStart w:id="651" w:name="_Toc21855"/>
      <w:bookmarkStart w:id="652" w:name="_Toc13506"/>
      <w:r>
        <w:rPr>
          <w:rFonts w:hint="eastAsia" w:cs="宋体"/>
          <w:b/>
          <w:bCs w:val="0"/>
          <w:color w:val="auto"/>
          <w:szCs w:val="32"/>
          <w:highlight w:val="none"/>
          <w:lang w:eastAsia="zh-CN"/>
        </w:rPr>
        <w:t>第四章  合同条款及格式</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4B85327D">
      <w:pPr>
        <w:pStyle w:val="2"/>
        <w:kinsoku/>
        <w:wordWrap/>
        <w:autoSpaceDE/>
        <w:autoSpaceDN/>
        <w:adjustRightInd w:val="0"/>
        <w:snapToGrid w:val="0"/>
        <w:spacing w:beforeLines="0" w:afterLines="0"/>
        <w:ind w:right="0" w:firstLine="0"/>
        <w:textAlignment w:val="baseline"/>
        <w:outlineLvl w:val="0"/>
        <w:rPr>
          <w:rFonts w:hint="eastAsia" w:ascii="宋体" w:hAnsi="宋体" w:cs="宋体"/>
          <w:color w:val="auto"/>
          <w:sz w:val="30"/>
          <w:szCs w:val="30"/>
          <w:highlight w:val="none"/>
        </w:rPr>
      </w:pPr>
      <w:bookmarkStart w:id="653" w:name="_Toc15872"/>
      <w:bookmarkStart w:id="654" w:name="_Toc3006"/>
      <w:bookmarkStart w:id="655" w:name="_Toc15545"/>
      <w:bookmarkStart w:id="656" w:name="_Toc24277"/>
      <w:bookmarkStart w:id="657" w:name="_Toc32282"/>
      <w:bookmarkStart w:id="658" w:name="_Toc16076"/>
      <w:bookmarkStart w:id="659" w:name="_Toc1433"/>
      <w:bookmarkStart w:id="660" w:name="_Toc7593"/>
      <w:bookmarkStart w:id="661" w:name="_Toc6959"/>
      <w:bookmarkStart w:id="662" w:name="_Toc2573"/>
      <w:bookmarkStart w:id="663" w:name="_Toc27054"/>
      <w:bookmarkStart w:id="664" w:name="_Toc20067"/>
      <w:bookmarkStart w:id="665" w:name="_Toc31721"/>
      <w:bookmarkStart w:id="666" w:name="_Toc19471"/>
      <w:r>
        <w:rPr>
          <w:rFonts w:hint="eastAsia" w:ascii="宋体" w:hAnsi="宋体" w:cs="宋体"/>
          <w:snapToGrid w:val="0"/>
          <w:color w:val="auto"/>
          <w:sz w:val="30"/>
          <w:szCs w:val="30"/>
          <w:highlight w:val="none"/>
          <w:lang w:bidi="ar-SA"/>
        </w:rPr>
        <w:t>第</w:t>
      </w:r>
      <w:r>
        <w:rPr>
          <w:rFonts w:hint="eastAsia" w:cs="宋体"/>
          <w:snapToGrid w:val="0"/>
          <w:color w:val="auto"/>
          <w:sz w:val="30"/>
          <w:szCs w:val="30"/>
          <w:highlight w:val="none"/>
          <w:lang w:bidi="ar-SA"/>
        </w:rPr>
        <w:t>1</w:t>
      </w:r>
      <w:r>
        <w:rPr>
          <w:rFonts w:hint="eastAsia" w:ascii="宋体" w:hAnsi="宋体" w:cs="宋体"/>
          <w:snapToGrid w:val="0"/>
          <w:color w:val="auto"/>
          <w:sz w:val="30"/>
          <w:szCs w:val="30"/>
          <w:highlight w:val="none"/>
          <w:lang w:bidi="ar-SA"/>
        </w:rPr>
        <w:t>节  通用合同条款</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1319D525">
      <w:pPr>
        <w:pStyle w:val="3"/>
        <w:kinsoku/>
        <w:rPr>
          <w:rFonts w:hint="eastAsia" w:ascii="宋体" w:cs="宋体"/>
          <w:b/>
          <w:bCs/>
          <w:color w:val="auto"/>
          <w:sz w:val="30"/>
          <w:szCs w:val="30"/>
          <w:highlight w:val="none"/>
        </w:rPr>
      </w:pPr>
      <w:bookmarkStart w:id="667" w:name="_Toc23439"/>
      <w:bookmarkStart w:id="668" w:name="_Toc27917"/>
      <w:bookmarkStart w:id="669" w:name="_Toc11774"/>
      <w:bookmarkStart w:id="670" w:name="_Toc21708"/>
      <w:bookmarkStart w:id="671" w:name="_Toc18572"/>
      <w:bookmarkStart w:id="672" w:name="_Toc2784"/>
      <w:bookmarkStart w:id="673" w:name="_Toc8185"/>
      <w:bookmarkStart w:id="674" w:name="_Toc15203"/>
      <w:bookmarkStart w:id="675" w:name="_Toc23396"/>
      <w:bookmarkStart w:id="676" w:name="_Toc28911"/>
      <w:bookmarkStart w:id="677" w:name="_Toc12009"/>
      <w:bookmarkStart w:id="678" w:name="_Toc15578"/>
      <w:r>
        <w:rPr>
          <w:rFonts w:hint="eastAsia" w:ascii="宋体" w:cs="宋体"/>
          <w:b/>
          <w:bCs/>
          <w:color w:val="auto"/>
          <w:sz w:val="30"/>
          <w:szCs w:val="30"/>
          <w:highlight w:val="none"/>
        </w:rPr>
        <w:t>1</w:t>
      </w:r>
      <w:r>
        <w:rPr>
          <w:rFonts w:hint="eastAsia" w:cs="宋体"/>
          <w:b/>
          <w:bCs/>
          <w:color w:val="auto"/>
          <w:sz w:val="30"/>
          <w:szCs w:val="30"/>
          <w:highlight w:val="none"/>
          <w:lang w:eastAsia="zh-CN"/>
        </w:rPr>
        <w:t>　</w:t>
      </w:r>
      <w:r>
        <w:rPr>
          <w:rFonts w:hint="eastAsia" w:ascii="宋体" w:cs="宋体"/>
          <w:b/>
          <w:bCs/>
          <w:color w:val="auto"/>
          <w:sz w:val="30"/>
          <w:szCs w:val="30"/>
          <w:highlight w:val="none"/>
        </w:rPr>
        <w:t>一般约定</w:t>
      </w:r>
      <w:bookmarkEnd w:id="667"/>
      <w:bookmarkEnd w:id="668"/>
      <w:bookmarkEnd w:id="669"/>
      <w:bookmarkEnd w:id="670"/>
      <w:bookmarkEnd w:id="671"/>
      <w:bookmarkEnd w:id="672"/>
      <w:bookmarkEnd w:id="673"/>
      <w:bookmarkEnd w:id="674"/>
      <w:bookmarkEnd w:id="675"/>
      <w:bookmarkEnd w:id="676"/>
      <w:bookmarkEnd w:id="677"/>
      <w:bookmarkEnd w:id="678"/>
    </w:p>
    <w:p w14:paraId="497DAB12">
      <w:pPr>
        <w:pStyle w:val="5"/>
        <w:kinsoku/>
        <w:spacing w:before="0" w:beforeLines="0" w:afterLines="0" w:line="360" w:lineRule="auto"/>
        <w:ind w:left="0" w:firstLine="0"/>
        <w:jc w:val="left"/>
        <w:rPr>
          <w:rFonts w:hAnsi="楷体" w:cs="楷体"/>
          <w:color w:val="auto"/>
          <w:highlight w:val="none"/>
          <w:lang w:eastAsia="zh-CN"/>
        </w:rPr>
      </w:pPr>
      <w:r>
        <w:rPr>
          <w:rFonts w:hAnsi="Times New Roman" w:cs="Times New Roman"/>
          <w:b/>
          <w:bCs/>
          <w:color w:val="auto"/>
          <w:highlight w:val="none"/>
          <w:lang w:eastAsia="zh-CN"/>
        </w:rPr>
        <w:t>1.1</w:t>
      </w:r>
      <w:r>
        <w:rPr>
          <w:rFonts w:hint="eastAsia" w:hAnsi="Times New Roman" w:cs="Times New Roman"/>
          <w:b/>
          <w:bCs/>
          <w:color w:val="auto"/>
          <w:highlight w:val="none"/>
          <w:lang w:eastAsia="zh-CN"/>
        </w:rPr>
        <w:t>　</w:t>
      </w:r>
      <w:r>
        <w:rPr>
          <w:rFonts w:hAnsi="楷体" w:cs="楷体"/>
          <w:b/>
          <w:bCs/>
          <w:color w:val="auto"/>
          <w:highlight w:val="none"/>
          <w:lang w:eastAsia="zh-CN"/>
        </w:rPr>
        <w:t>词语定义</w:t>
      </w:r>
    </w:p>
    <w:p w14:paraId="70CA6084">
      <w:pPr>
        <w:kinsoku/>
        <w:ind w:firstLine="0"/>
        <w:rPr>
          <w:color w:val="auto"/>
          <w:highlight w:val="none"/>
          <w:lang w:eastAsia="zh-CN"/>
        </w:rPr>
      </w:pPr>
      <w:r>
        <w:rPr>
          <w:color w:val="auto"/>
          <w:highlight w:val="none"/>
          <w:lang w:eastAsia="zh-CN"/>
        </w:rPr>
        <w:t>通用合同条款、专用合同条款中的下列词语应具有本款所赋予的含义。</w:t>
      </w:r>
    </w:p>
    <w:p w14:paraId="3594A3E6">
      <w:pPr>
        <w:pStyle w:val="5"/>
        <w:kinsoku/>
        <w:spacing w:before="0" w:beforeLines="0" w:afterLines="0" w:line="360" w:lineRule="auto"/>
        <w:ind w:left="0" w:firstLine="0"/>
        <w:jc w:val="left"/>
        <w:rPr>
          <w:rFonts w:cs="宋体"/>
          <w:color w:val="auto"/>
          <w:highlight w:val="none"/>
          <w:lang w:eastAsia="zh-CN"/>
        </w:rPr>
      </w:pPr>
      <w:r>
        <w:rPr>
          <w:rFonts w:hAnsi="Times New Roman" w:cs="Times New Roman"/>
          <w:b/>
          <w:bCs/>
          <w:color w:val="auto"/>
          <w:highlight w:val="none"/>
          <w:lang w:eastAsia="zh-CN"/>
        </w:rPr>
        <w:t>1.1.1</w:t>
      </w:r>
      <w:r>
        <w:rPr>
          <w:rFonts w:hint="eastAsia" w:hAnsi="Times New Roman" w:cs="Times New Roman"/>
          <w:b/>
          <w:bCs/>
          <w:color w:val="auto"/>
          <w:highlight w:val="none"/>
          <w:lang w:eastAsia="zh-CN"/>
        </w:rPr>
        <w:t>　</w:t>
      </w:r>
      <w:r>
        <w:rPr>
          <w:rFonts w:cs="宋体"/>
          <w:color w:val="auto"/>
          <w:highlight w:val="none"/>
          <w:lang w:eastAsia="zh-CN"/>
        </w:rPr>
        <w:t>合同</w:t>
      </w:r>
    </w:p>
    <w:p w14:paraId="143C011B">
      <w:pPr>
        <w:pStyle w:val="5"/>
        <w:spacing w:beforeLines="0" w:afterLine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"1.1.1.1"</w:instrText>
      </w:r>
      <w:r>
        <w:rPr>
          <w:color w:val="auto"/>
          <w:highlight w:val="none"/>
        </w:rPr>
        <w:fldChar w:fldCharType="separate"/>
      </w:r>
      <w:r>
        <w:rPr>
          <w:rFonts w:hAnsi="Times New Roman" w:cs="Times New Roman"/>
          <w:color w:val="auto"/>
          <w:highlight w:val="none"/>
          <w:lang w:eastAsia="zh-CN"/>
        </w:rPr>
        <w:t>1.1.1.1</w:t>
      </w:r>
      <w:r>
        <w:rPr>
          <w:color w:val="auto"/>
          <w:highlight w:val="none"/>
        </w:rPr>
        <w:fldChar w:fldCharType="end"/>
      </w:r>
      <w:r>
        <w:rPr>
          <w:rFonts w:hint="eastAsia"/>
          <w:color w:val="auto"/>
          <w:highlight w:val="none"/>
          <w:lang w:eastAsia="zh-CN"/>
        </w:rPr>
        <w:t>　</w:t>
      </w:r>
      <w:r>
        <w:rPr>
          <w:rFonts w:cs="宋体"/>
          <w:color w:val="auto"/>
          <w:highlight w:val="none"/>
          <w:lang w:eastAsia="zh-CN"/>
        </w:rPr>
        <w:t>合同文件（或称合同）：指合同协议书、中标通知书、投标函及投标函附录、专用合同条款、通用合同条款、技术标准和要求、图纸、已标价工程量清单，以及其他合同文件。</w:t>
      </w:r>
    </w:p>
    <w:p w14:paraId="42892A77">
      <w:pPr>
        <w:pStyle w:val="5"/>
        <w:kinsoku/>
        <w:spacing w:before="0" w:beforeLines="0" w:afterLines="0" w:line="360" w:lineRule="auto"/>
        <w:ind w:left="0" w:firstLine="0"/>
        <w:jc w:val="left"/>
        <w:rPr>
          <w:color w:val="auto"/>
          <w:highlight w:val="none"/>
          <w:lang w:eastAsia="zh-CN"/>
        </w:rPr>
      </w:pPr>
      <w:r>
        <w:rPr>
          <w:color w:val="auto"/>
          <w:highlight w:val="none"/>
        </w:rPr>
        <w:fldChar w:fldCharType="begin"/>
      </w:r>
      <w:r>
        <w:rPr>
          <w:color w:val="auto"/>
          <w:highlight w:val="none"/>
          <w:lang w:eastAsia="zh-CN"/>
        </w:rPr>
        <w:instrText xml:space="preserve">HYPERLINK "1.1.1.2"</w:instrText>
      </w:r>
      <w:r>
        <w:rPr>
          <w:color w:val="auto"/>
          <w:highlight w:val="none"/>
        </w:rPr>
        <w:fldChar w:fldCharType="separate"/>
      </w:r>
      <w:r>
        <w:rPr>
          <w:color w:val="auto"/>
          <w:highlight w:val="none"/>
          <w:lang w:eastAsia="zh-CN"/>
        </w:rPr>
        <w:t>1.1.1.2</w:t>
      </w:r>
      <w:r>
        <w:rPr>
          <w:color w:val="auto"/>
          <w:highlight w:val="none"/>
        </w:rPr>
        <w:fldChar w:fldCharType="end"/>
      </w:r>
      <w:r>
        <w:rPr>
          <w:rFonts w:hint="eastAsia"/>
          <w:color w:val="auto"/>
          <w:highlight w:val="none"/>
          <w:lang w:eastAsia="zh-CN"/>
        </w:rPr>
        <w:t>　</w:t>
      </w:r>
      <w:r>
        <w:rPr>
          <w:color w:val="auto"/>
          <w:highlight w:val="none"/>
          <w:lang w:eastAsia="zh-CN"/>
        </w:rPr>
        <w:t>合同协议书：指第1.5款所指的合同协议书。</w:t>
      </w:r>
    </w:p>
    <w:p w14:paraId="5DCBDC17">
      <w:pPr>
        <w:pStyle w:val="5"/>
        <w:kinsoku/>
        <w:spacing w:before="0" w:beforeLines="0" w:afterLines="0" w:line="360" w:lineRule="auto"/>
        <w:ind w:left="0" w:firstLine="0"/>
        <w:jc w:val="left"/>
        <w:rPr>
          <w:color w:val="auto"/>
          <w:highlight w:val="none"/>
          <w:lang w:eastAsia="zh-CN"/>
        </w:rPr>
      </w:pPr>
      <w:r>
        <w:rPr>
          <w:color w:val="auto"/>
          <w:highlight w:val="none"/>
        </w:rPr>
        <w:fldChar w:fldCharType="begin"/>
      </w:r>
      <w:r>
        <w:rPr>
          <w:color w:val="auto"/>
          <w:highlight w:val="none"/>
          <w:lang w:eastAsia="zh-CN"/>
        </w:rPr>
        <w:instrText xml:space="preserve">HYPERLINK "1.1.1.3"</w:instrText>
      </w:r>
      <w:r>
        <w:rPr>
          <w:color w:val="auto"/>
          <w:highlight w:val="none"/>
        </w:rPr>
        <w:fldChar w:fldCharType="separate"/>
      </w:r>
      <w:r>
        <w:rPr>
          <w:color w:val="auto"/>
          <w:highlight w:val="none"/>
          <w:lang w:eastAsia="zh-CN"/>
        </w:rPr>
        <w:t>1.1.1.3</w:t>
      </w:r>
      <w:r>
        <w:rPr>
          <w:color w:val="auto"/>
          <w:highlight w:val="none"/>
        </w:rPr>
        <w:fldChar w:fldCharType="end"/>
      </w:r>
      <w:r>
        <w:rPr>
          <w:rFonts w:hint="eastAsia"/>
          <w:color w:val="auto"/>
          <w:highlight w:val="none"/>
          <w:lang w:eastAsia="zh-CN"/>
        </w:rPr>
        <w:t>　</w:t>
      </w:r>
      <w:r>
        <w:rPr>
          <w:color w:val="auto"/>
          <w:highlight w:val="none"/>
          <w:lang w:eastAsia="zh-CN"/>
        </w:rPr>
        <w:t>中标通知书：指发包人通知承包人中标的函件。</w:t>
      </w:r>
    </w:p>
    <w:p w14:paraId="277CE6D4">
      <w:pPr>
        <w:pStyle w:val="5"/>
        <w:kinsoku/>
        <w:spacing w:before="0" w:beforeLines="0" w:afterLines="0" w:line="360" w:lineRule="auto"/>
        <w:ind w:left="0" w:firstLine="0"/>
        <w:jc w:val="left"/>
        <w:rPr>
          <w:color w:val="auto"/>
          <w:highlight w:val="none"/>
          <w:lang w:eastAsia="zh-CN"/>
        </w:rPr>
      </w:pPr>
      <w:r>
        <w:rPr>
          <w:color w:val="auto"/>
          <w:highlight w:val="none"/>
        </w:rPr>
        <w:fldChar w:fldCharType="begin"/>
      </w:r>
      <w:r>
        <w:rPr>
          <w:color w:val="auto"/>
          <w:highlight w:val="none"/>
          <w:lang w:eastAsia="zh-CN"/>
        </w:rPr>
        <w:instrText xml:space="preserve">HYPERLINK "1.1.1.4"</w:instrText>
      </w:r>
      <w:r>
        <w:rPr>
          <w:color w:val="auto"/>
          <w:highlight w:val="none"/>
        </w:rPr>
        <w:fldChar w:fldCharType="separate"/>
      </w:r>
      <w:r>
        <w:rPr>
          <w:color w:val="auto"/>
          <w:highlight w:val="none"/>
          <w:lang w:eastAsia="zh-CN"/>
        </w:rPr>
        <w:t>1.1.1.4</w:t>
      </w:r>
      <w:r>
        <w:rPr>
          <w:color w:val="auto"/>
          <w:highlight w:val="none"/>
        </w:rPr>
        <w:fldChar w:fldCharType="end"/>
      </w:r>
      <w:r>
        <w:rPr>
          <w:rFonts w:hint="eastAsia"/>
          <w:color w:val="auto"/>
          <w:highlight w:val="none"/>
          <w:lang w:eastAsia="zh-CN"/>
        </w:rPr>
        <w:t>　</w:t>
      </w:r>
      <w:r>
        <w:rPr>
          <w:color w:val="auto"/>
          <w:highlight w:val="none"/>
          <w:lang w:eastAsia="zh-CN"/>
        </w:rPr>
        <w:t>投标函：指构成合同文件组成部分的由承包人填写并签署的投标函。</w:t>
      </w:r>
    </w:p>
    <w:p w14:paraId="3B4762D6">
      <w:pPr>
        <w:pStyle w:val="5"/>
        <w:kinsoku/>
        <w:spacing w:before="0" w:beforeLines="0" w:afterLines="0" w:line="360" w:lineRule="auto"/>
        <w:ind w:left="0" w:firstLine="0"/>
        <w:jc w:val="left"/>
        <w:rPr>
          <w:color w:val="auto"/>
          <w:highlight w:val="none"/>
          <w:lang w:eastAsia="zh-CN"/>
        </w:rPr>
      </w:pPr>
      <w:r>
        <w:rPr>
          <w:color w:val="auto"/>
          <w:highlight w:val="none"/>
        </w:rPr>
        <w:fldChar w:fldCharType="begin"/>
      </w:r>
      <w:r>
        <w:rPr>
          <w:color w:val="auto"/>
          <w:highlight w:val="none"/>
          <w:lang w:eastAsia="zh-CN"/>
        </w:rPr>
        <w:instrText xml:space="preserve">HYPERLINK "1.1.1.5"</w:instrText>
      </w:r>
      <w:r>
        <w:rPr>
          <w:color w:val="auto"/>
          <w:highlight w:val="none"/>
        </w:rPr>
        <w:fldChar w:fldCharType="separate"/>
      </w:r>
      <w:r>
        <w:rPr>
          <w:color w:val="auto"/>
          <w:highlight w:val="none"/>
          <w:lang w:eastAsia="zh-CN"/>
        </w:rPr>
        <w:t>1.1.1.5</w:t>
      </w:r>
      <w:r>
        <w:rPr>
          <w:color w:val="auto"/>
          <w:highlight w:val="none"/>
        </w:rPr>
        <w:fldChar w:fldCharType="end"/>
      </w:r>
      <w:r>
        <w:rPr>
          <w:rFonts w:hint="eastAsia"/>
          <w:color w:val="auto"/>
          <w:highlight w:val="none"/>
          <w:lang w:eastAsia="zh-CN"/>
        </w:rPr>
        <w:t>　</w:t>
      </w:r>
      <w:r>
        <w:rPr>
          <w:color w:val="auto"/>
          <w:highlight w:val="none"/>
          <w:lang w:eastAsia="zh-CN"/>
        </w:rPr>
        <w:t>投标函附录：指附在投标函后构成合同文件的投标函附录。</w:t>
      </w:r>
    </w:p>
    <w:p w14:paraId="154BECDD">
      <w:pPr>
        <w:pStyle w:val="5"/>
        <w:spacing w:beforeLines="0" w:afterLine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"1.1.1.6"</w:instrText>
      </w:r>
      <w:r>
        <w:rPr>
          <w:color w:val="auto"/>
          <w:highlight w:val="none"/>
        </w:rPr>
        <w:fldChar w:fldCharType="separate"/>
      </w:r>
      <w:r>
        <w:rPr>
          <w:color w:val="auto"/>
          <w:highlight w:val="none"/>
          <w:lang w:eastAsia="zh-CN"/>
        </w:rPr>
        <w:t>1.1.1.6</w:t>
      </w:r>
      <w:r>
        <w:rPr>
          <w:color w:val="auto"/>
          <w:highlight w:val="none"/>
        </w:rPr>
        <w:fldChar w:fldCharType="end"/>
      </w:r>
      <w:r>
        <w:rPr>
          <w:rFonts w:hint="eastAsia"/>
          <w:color w:val="auto"/>
          <w:highlight w:val="none"/>
          <w:lang w:eastAsia="zh-CN"/>
        </w:rPr>
        <w:t>　</w:t>
      </w:r>
      <w:r>
        <w:rPr>
          <w:color w:val="auto"/>
          <w:highlight w:val="none"/>
          <w:lang w:eastAsia="zh-CN"/>
        </w:rPr>
        <w:t>技术标准和要求：指构成合同文件组成部分的名为技术标准和要求（合同技术条款</w:t>
      </w:r>
      <w:r>
        <w:rPr>
          <w:rFonts w:cs="宋体"/>
          <w:color w:val="auto"/>
          <w:highlight w:val="none"/>
          <w:lang w:eastAsia="zh-CN"/>
        </w:rPr>
        <w:t>）的文件，包括合同双方当事人约定对其所作的修改或补充。</w:t>
      </w:r>
    </w:p>
    <w:p w14:paraId="7F3E4CEB">
      <w:pPr>
        <w:pStyle w:val="5"/>
        <w:spacing w:beforeLines="0" w:afterLine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"1.1.1.7"</w:instrText>
      </w:r>
      <w:r>
        <w:rPr>
          <w:color w:val="auto"/>
          <w:highlight w:val="none"/>
        </w:rPr>
        <w:fldChar w:fldCharType="separate"/>
      </w:r>
      <w:r>
        <w:rPr>
          <w:rFonts w:hAnsi="Times New Roman" w:cs="Times New Roman"/>
          <w:color w:val="auto"/>
          <w:highlight w:val="none"/>
          <w:lang w:eastAsia="zh-CN"/>
        </w:rPr>
        <w:t>1.1.1.7</w:t>
      </w:r>
      <w:r>
        <w:rPr>
          <w:color w:val="auto"/>
          <w:highlight w:val="none"/>
        </w:rPr>
        <w:fldChar w:fldCharType="end"/>
      </w:r>
      <w:r>
        <w:rPr>
          <w:rFonts w:hint="eastAsia"/>
          <w:color w:val="auto"/>
          <w:highlight w:val="none"/>
          <w:lang w:eastAsia="zh-CN"/>
        </w:rPr>
        <w:t>　</w:t>
      </w:r>
      <w:r>
        <w:rPr>
          <w:rFonts w:cs="宋体"/>
          <w:color w:val="auto"/>
          <w:highlight w:val="none"/>
          <w:lang w:eastAsia="zh-CN"/>
        </w:rPr>
        <w:t>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1F0DF70C">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"1.1.1.8"</w:instrText>
      </w:r>
      <w:r>
        <w:rPr>
          <w:color w:val="auto"/>
          <w:highlight w:val="none"/>
        </w:rPr>
        <w:fldChar w:fldCharType="separate"/>
      </w:r>
      <w:r>
        <w:rPr>
          <w:rFonts w:hAnsi="Times New Roman" w:cs="Times New Roman"/>
          <w:color w:val="auto"/>
          <w:highlight w:val="none"/>
          <w:lang w:eastAsia="zh-CN"/>
        </w:rPr>
        <w:t>1.1.1.8</w:t>
      </w:r>
      <w:r>
        <w:rPr>
          <w:color w:val="auto"/>
          <w:highlight w:val="none"/>
        </w:rPr>
        <w:fldChar w:fldCharType="end"/>
      </w:r>
      <w:r>
        <w:rPr>
          <w:rFonts w:hint="eastAsia"/>
          <w:color w:val="auto"/>
          <w:highlight w:val="none"/>
          <w:lang w:eastAsia="zh-CN"/>
        </w:rPr>
        <w:t>　</w:t>
      </w:r>
      <w:r>
        <w:rPr>
          <w:rFonts w:cs="宋体"/>
          <w:color w:val="auto"/>
          <w:highlight w:val="none"/>
          <w:lang w:eastAsia="zh-CN"/>
        </w:rPr>
        <w:t>已标价工程量清单：指构成合同文件组成部分的由承包人按照规定的格式和要求填写并标明价格的工程量清单。</w:t>
      </w:r>
    </w:p>
    <w:p w14:paraId="63446914">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"1.1.1.9"</w:instrText>
      </w:r>
      <w:r>
        <w:rPr>
          <w:color w:val="auto"/>
          <w:highlight w:val="none"/>
        </w:rPr>
        <w:fldChar w:fldCharType="separate"/>
      </w:r>
      <w:r>
        <w:rPr>
          <w:rFonts w:hAnsi="Times New Roman" w:cs="Times New Roman"/>
          <w:color w:val="auto"/>
          <w:highlight w:val="none"/>
          <w:lang w:eastAsia="zh-CN"/>
        </w:rPr>
        <w:t>1.1.1.9</w:t>
      </w:r>
      <w:r>
        <w:rPr>
          <w:color w:val="auto"/>
          <w:highlight w:val="none"/>
        </w:rPr>
        <w:fldChar w:fldCharType="end"/>
      </w:r>
      <w:r>
        <w:rPr>
          <w:rFonts w:hint="eastAsia"/>
          <w:color w:val="auto"/>
          <w:highlight w:val="none"/>
          <w:lang w:eastAsia="zh-CN"/>
        </w:rPr>
        <w:t>　</w:t>
      </w:r>
      <w:r>
        <w:rPr>
          <w:rFonts w:cs="宋体"/>
          <w:color w:val="auto"/>
          <w:highlight w:val="none"/>
          <w:lang w:eastAsia="zh-CN"/>
        </w:rPr>
        <w:t>其他合同文件：指经合同双方当事人确认构成合同文件的其他文件。</w:t>
      </w:r>
    </w:p>
    <w:p w14:paraId="1FDBBAB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1.1.2</w:t>
      </w:r>
      <w:r>
        <w:rPr>
          <w:rFonts w:hint="eastAsia" w:hAnsi="Times New Roman" w:cs="Times New Roman"/>
          <w:b/>
          <w:bCs/>
          <w:color w:val="auto"/>
          <w:highlight w:val="none"/>
          <w:lang w:eastAsia="zh-CN"/>
        </w:rPr>
        <w:t>　</w:t>
      </w:r>
      <w:r>
        <w:rPr>
          <w:rFonts w:cs="宋体"/>
          <w:color w:val="auto"/>
          <w:highlight w:val="none"/>
          <w:lang w:eastAsia="zh-CN"/>
        </w:rPr>
        <w:t>合同当事人和人员</w:t>
      </w:r>
    </w:p>
    <w:p w14:paraId="621E37D6">
      <w:pPr>
        <w:kinsoku/>
        <w:spacing w:beforeLines="0" w:afterLines="0"/>
        <w:ind w:right="0"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"1.1.2.1"</w:instrText>
      </w:r>
      <w:r>
        <w:rPr>
          <w:color w:val="auto"/>
          <w:highlight w:val="none"/>
        </w:rPr>
        <w:fldChar w:fldCharType="separate"/>
      </w:r>
      <w:r>
        <w:rPr>
          <w:rFonts w:hAnsi="Times New Roman" w:cs="Times New Roman"/>
          <w:color w:val="auto"/>
          <w:highlight w:val="none"/>
          <w:lang w:eastAsia="zh-CN"/>
        </w:rPr>
        <w:t>1.1.2.1</w:t>
      </w:r>
      <w:r>
        <w:rPr>
          <w:color w:val="auto"/>
          <w:highlight w:val="none"/>
        </w:rPr>
        <w:fldChar w:fldCharType="end"/>
      </w:r>
      <w:r>
        <w:rPr>
          <w:rFonts w:hint="eastAsia"/>
          <w:color w:val="auto"/>
          <w:highlight w:val="none"/>
          <w:lang w:eastAsia="zh-CN"/>
        </w:rPr>
        <w:t>　</w:t>
      </w:r>
      <w:r>
        <w:rPr>
          <w:rFonts w:cs="宋体"/>
          <w:color w:val="auto"/>
          <w:highlight w:val="none"/>
          <w:lang w:eastAsia="zh-CN"/>
        </w:rPr>
        <w:t>合同当事人：指发包人和（或）承包人。</w:t>
      </w:r>
    </w:p>
    <w:p w14:paraId="2B772F02">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"1.1.2.2"</w:instrText>
      </w:r>
      <w:r>
        <w:rPr>
          <w:color w:val="auto"/>
          <w:highlight w:val="none"/>
        </w:rPr>
        <w:fldChar w:fldCharType="separate"/>
      </w:r>
      <w:r>
        <w:rPr>
          <w:rFonts w:hAnsi="Times New Roman" w:cs="Times New Roman"/>
          <w:color w:val="auto"/>
          <w:highlight w:val="none"/>
          <w:lang w:eastAsia="zh-CN"/>
        </w:rPr>
        <w:t>1.1.2.2</w:t>
      </w:r>
      <w:r>
        <w:rPr>
          <w:color w:val="auto"/>
          <w:highlight w:val="none"/>
        </w:rPr>
        <w:fldChar w:fldCharType="end"/>
      </w:r>
      <w:r>
        <w:rPr>
          <w:rFonts w:hint="eastAsia"/>
          <w:color w:val="auto"/>
          <w:highlight w:val="none"/>
          <w:lang w:eastAsia="zh-CN"/>
        </w:rPr>
        <w:t>　</w:t>
      </w:r>
      <w:r>
        <w:rPr>
          <w:rFonts w:cs="宋体"/>
          <w:color w:val="auto"/>
          <w:highlight w:val="none"/>
          <w:lang w:eastAsia="zh-CN"/>
        </w:rPr>
        <w:t>发包人：指专用合同条款中指明并与承包人在合同协议书中签字的当事人。</w:t>
      </w:r>
    </w:p>
    <w:p w14:paraId="5DF1794E">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"1.1.2.3"</w:instrText>
      </w:r>
      <w:r>
        <w:rPr>
          <w:color w:val="auto"/>
          <w:highlight w:val="none"/>
        </w:rPr>
        <w:fldChar w:fldCharType="separate"/>
      </w:r>
      <w:r>
        <w:rPr>
          <w:rFonts w:hAnsi="Times New Roman" w:cs="Times New Roman"/>
          <w:color w:val="auto"/>
          <w:highlight w:val="none"/>
          <w:lang w:eastAsia="zh-CN"/>
        </w:rPr>
        <w:t>1.1.2.3</w:t>
      </w:r>
      <w:r>
        <w:rPr>
          <w:color w:val="auto"/>
          <w:highlight w:val="none"/>
        </w:rPr>
        <w:fldChar w:fldCharType="end"/>
      </w:r>
      <w:r>
        <w:rPr>
          <w:rFonts w:hint="eastAsia"/>
          <w:color w:val="auto"/>
          <w:highlight w:val="none"/>
          <w:lang w:eastAsia="zh-CN"/>
        </w:rPr>
        <w:t>　</w:t>
      </w:r>
      <w:r>
        <w:rPr>
          <w:rFonts w:cs="宋体"/>
          <w:color w:val="auto"/>
          <w:highlight w:val="none"/>
          <w:lang w:eastAsia="zh-CN"/>
        </w:rPr>
        <w:t>承包人：指专用合同条款中指明并与发包人在合同协议书中签字的当事人。</w:t>
      </w:r>
    </w:p>
    <w:p w14:paraId="06BC888E">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"1.1.2.4"</w:instrText>
      </w:r>
      <w:r>
        <w:rPr>
          <w:color w:val="auto"/>
          <w:highlight w:val="none"/>
        </w:rPr>
        <w:fldChar w:fldCharType="separate"/>
      </w:r>
      <w:r>
        <w:rPr>
          <w:rFonts w:hAnsi="Times New Roman" w:cs="Times New Roman"/>
          <w:color w:val="auto"/>
          <w:highlight w:val="none"/>
          <w:lang w:eastAsia="zh-CN"/>
        </w:rPr>
        <w:t>1.1.2.4</w:t>
      </w:r>
      <w:r>
        <w:rPr>
          <w:color w:val="auto"/>
          <w:highlight w:val="none"/>
        </w:rPr>
        <w:fldChar w:fldCharType="end"/>
      </w:r>
      <w:r>
        <w:rPr>
          <w:rFonts w:hint="eastAsia"/>
          <w:color w:val="auto"/>
          <w:highlight w:val="none"/>
          <w:lang w:eastAsia="zh-CN"/>
        </w:rPr>
        <w:t>　</w:t>
      </w:r>
      <w:r>
        <w:rPr>
          <w:rFonts w:cs="宋体"/>
          <w:color w:val="auto"/>
          <w:highlight w:val="none"/>
          <w:lang w:eastAsia="zh-CN"/>
        </w:rPr>
        <w:t>承包人项目负责人：指承包人派驻施工场地的全权负责人。</w:t>
      </w:r>
    </w:p>
    <w:p w14:paraId="3F62D9C3">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"1.1.2.5"</w:instrText>
      </w:r>
      <w:r>
        <w:rPr>
          <w:color w:val="auto"/>
          <w:highlight w:val="none"/>
        </w:rPr>
        <w:fldChar w:fldCharType="separate"/>
      </w:r>
      <w:r>
        <w:rPr>
          <w:rFonts w:hAnsi="Times New Roman" w:cs="Times New Roman"/>
          <w:color w:val="auto"/>
          <w:highlight w:val="none"/>
          <w:lang w:eastAsia="zh-CN"/>
        </w:rPr>
        <w:t>1.1.2.5</w:t>
      </w:r>
      <w:r>
        <w:rPr>
          <w:color w:val="auto"/>
          <w:highlight w:val="none"/>
        </w:rPr>
        <w:fldChar w:fldCharType="end"/>
      </w:r>
      <w:r>
        <w:rPr>
          <w:rFonts w:hint="eastAsia"/>
          <w:color w:val="auto"/>
          <w:highlight w:val="none"/>
          <w:lang w:eastAsia="zh-CN"/>
        </w:rPr>
        <w:t>　</w:t>
      </w:r>
      <w:r>
        <w:rPr>
          <w:rFonts w:cs="宋体"/>
          <w:color w:val="auto"/>
          <w:highlight w:val="none"/>
          <w:lang w:eastAsia="zh-CN"/>
        </w:rPr>
        <w:t>分包人：指专用合同条款中指明的，从承包人处分包合同中某一部分工程，并与其签订分包合同的分包人。</w:t>
      </w:r>
    </w:p>
    <w:p w14:paraId="326000A6">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"1.1.2.6"</w:instrText>
      </w:r>
      <w:r>
        <w:rPr>
          <w:color w:val="auto"/>
          <w:highlight w:val="none"/>
        </w:rPr>
        <w:fldChar w:fldCharType="separate"/>
      </w:r>
      <w:r>
        <w:rPr>
          <w:rFonts w:hAnsi="Times New Roman" w:cs="Times New Roman"/>
          <w:color w:val="auto"/>
          <w:highlight w:val="none"/>
          <w:lang w:eastAsia="zh-CN"/>
        </w:rPr>
        <w:t>1.1.2.6</w:t>
      </w:r>
      <w:r>
        <w:rPr>
          <w:color w:val="auto"/>
          <w:highlight w:val="none"/>
        </w:rPr>
        <w:fldChar w:fldCharType="end"/>
      </w:r>
      <w:r>
        <w:rPr>
          <w:rFonts w:hint="eastAsia"/>
          <w:color w:val="auto"/>
          <w:highlight w:val="none"/>
          <w:lang w:eastAsia="zh-CN"/>
        </w:rPr>
        <w:t>　</w:t>
      </w:r>
      <w:r>
        <w:rPr>
          <w:rFonts w:cs="宋体"/>
          <w:color w:val="auto"/>
          <w:highlight w:val="none"/>
          <w:lang w:eastAsia="zh-CN"/>
        </w:rPr>
        <w:t>监理人：指在专用合同条款中指明的，受发包人委托对合同履行实施管理的法人或其他组织。</w:t>
      </w:r>
    </w:p>
    <w:p w14:paraId="749EBE37">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"1.1.2.7"</w:instrText>
      </w:r>
      <w:r>
        <w:rPr>
          <w:color w:val="auto"/>
          <w:highlight w:val="none"/>
        </w:rPr>
        <w:fldChar w:fldCharType="separate"/>
      </w:r>
      <w:r>
        <w:rPr>
          <w:rFonts w:hAnsi="Times New Roman" w:cs="Times New Roman"/>
          <w:color w:val="auto"/>
          <w:highlight w:val="none"/>
          <w:lang w:eastAsia="zh-CN"/>
        </w:rPr>
        <w:t>1.1.2.7</w:t>
      </w:r>
      <w:r>
        <w:rPr>
          <w:color w:val="auto"/>
          <w:highlight w:val="none"/>
        </w:rPr>
        <w:fldChar w:fldCharType="end"/>
      </w:r>
      <w:r>
        <w:rPr>
          <w:rFonts w:hint="eastAsia"/>
          <w:color w:val="auto"/>
          <w:highlight w:val="none"/>
          <w:lang w:eastAsia="zh-CN"/>
        </w:rPr>
        <w:t>　</w:t>
      </w:r>
      <w:r>
        <w:rPr>
          <w:rFonts w:cs="宋体"/>
          <w:color w:val="auto"/>
          <w:highlight w:val="none"/>
          <w:lang w:eastAsia="zh-CN"/>
        </w:rPr>
        <w:t>总监理工程师（总监）：指由监理人委派常驻施工场地对合同履行实施管理的全权负责人。</w:t>
      </w:r>
    </w:p>
    <w:p w14:paraId="11CCBBA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1.1.3</w:t>
      </w:r>
      <w:r>
        <w:rPr>
          <w:rFonts w:hint="eastAsia" w:hAnsi="Times New Roman" w:cs="Times New Roman"/>
          <w:b/>
          <w:bCs/>
          <w:color w:val="auto"/>
          <w:highlight w:val="none"/>
          <w:lang w:eastAsia="zh-CN"/>
        </w:rPr>
        <w:t>　</w:t>
      </w:r>
      <w:r>
        <w:rPr>
          <w:rFonts w:cs="宋体"/>
          <w:color w:val="auto"/>
          <w:highlight w:val="none"/>
          <w:lang w:eastAsia="zh-CN"/>
        </w:rPr>
        <w:t>工程和设备</w:t>
      </w:r>
    </w:p>
    <w:p w14:paraId="4B843917">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"1.1.3.1"</w:instrText>
      </w:r>
      <w:r>
        <w:rPr>
          <w:color w:val="auto"/>
          <w:highlight w:val="none"/>
        </w:rPr>
        <w:fldChar w:fldCharType="separate"/>
      </w:r>
      <w:r>
        <w:rPr>
          <w:rFonts w:hAnsi="Times New Roman" w:cs="Times New Roman"/>
          <w:color w:val="auto"/>
          <w:highlight w:val="none"/>
          <w:lang w:eastAsia="zh-CN"/>
        </w:rPr>
        <w:t>1.1.3.1</w:t>
      </w:r>
      <w:r>
        <w:rPr>
          <w:color w:val="auto"/>
          <w:highlight w:val="none"/>
        </w:rPr>
        <w:fldChar w:fldCharType="end"/>
      </w:r>
      <w:r>
        <w:rPr>
          <w:rFonts w:hint="eastAsia"/>
          <w:color w:val="auto"/>
          <w:highlight w:val="none"/>
          <w:lang w:eastAsia="zh-CN"/>
        </w:rPr>
        <w:t>　</w:t>
      </w:r>
      <w:r>
        <w:rPr>
          <w:rFonts w:cs="宋体"/>
          <w:color w:val="auto"/>
          <w:highlight w:val="none"/>
          <w:lang w:eastAsia="zh-CN"/>
        </w:rPr>
        <w:t>工程：指永久工程和（或）临时工程。</w:t>
      </w:r>
    </w:p>
    <w:p w14:paraId="37B9D3E0">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"1.1.3.2"</w:instrText>
      </w:r>
      <w:r>
        <w:rPr>
          <w:color w:val="auto"/>
          <w:highlight w:val="none"/>
        </w:rPr>
        <w:fldChar w:fldCharType="separate"/>
      </w:r>
      <w:r>
        <w:rPr>
          <w:rFonts w:hAnsi="Times New Roman" w:cs="Times New Roman"/>
          <w:color w:val="auto"/>
          <w:highlight w:val="none"/>
          <w:lang w:eastAsia="zh-CN"/>
        </w:rPr>
        <w:t>1.1.3.2</w:t>
      </w:r>
      <w:r>
        <w:rPr>
          <w:color w:val="auto"/>
          <w:highlight w:val="none"/>
        </w:rPr>
        <w:fldChar w:fldCharType="end"/>
      </w:r>
      <w:r>
        <w:rPr>
          <w:rFonts w:hint="eastAsia"/>
          <w:color w:val="auto"/>
          <w:highlight w:val="none"/>
          <w:lang w:eastAsia="zh-CN"/>
        </w:rPr>
        <w:t>　</w:t>
      </w:r>
      <w:r>
        <w:rPr>
          <w:rFonts w:cs="宋体"/>
          <w:color w:val="auto"/>
          <w:highlight w:val="none"/>
          <w:lang w:eastAsia="zh-CN"/>
        </w:rPr>
        <w:t>永久工程：指按合同约定建造并移交给发包人的工程，包括工程设备。</w:t>
      </w:r>
    </w:p>
    <w:p w14:paraId="4B449DFB">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"1.1.3.3"</w:instrText>
      </w:r>
      <w:r>
        <w:rPr>
          <w:color w:val="auto"/>
          <w:highlight w:val="none"/>
        </w:rPr>
        <w:fldChar w:fldCharType="separate"/>
      </w:r>
      <w:r>
        <w:rPr>
          <w:rFonts w:hAnsi="Times New Roman" w:cs="Times New Roman"/>
          <w:color w:val="auto"/>
          <w:highlight w:val="none"/>
          <w:lang w:eastAsia="zh-CN"/>
        </w:rPr>
        <w:t>1.1.3.3</w:t>
      </w:r>
      <w:r>
        <w:rPr>
          <w:color w:val="auto"/>
          <w:highlight w:val="none"/>
        </w:rPr>
        <w:fldChar w:fldCharType="end"/>
      </w:r>
      <w:r>
        <w:rPr>
          <w:rFonts w:hint="eastAsia"/>
          <w:color w:val="auto"/>
          <w:highlight w:val="none"/>
          <w:lang w:eastAsia="zh-CN"/>
        </w:rPr>
        <w:t>　</w:t>
      </w:r>
      <w:r>
        <w:rPr>
          <w:rFonts w:cs="宋体"/>
          <w:color w:val="auto"/>
          <w:highlight w:val="none"/>
          <w:lang w:eastAsia="zh-CN"/>
        </w:rPr>
        <w:t>临时工程：指为完成合同约定的永久工程所修建的各类临时性工程，不包括施工设备。</w:t>
      </w:r>
    </w:p>
    <w:p w14:paraId="0A130FC8">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"1.1.3.4"</w:instrText>
      </w:r>
      <w:r>
        <w:rPr>
          <w:color w:val="auto"/>
          <w:highlight w:val="none"/>
        </w:rPr>
        <w:fldChar w:fldCharType="separate"/>
      </w:r>
      <w:r>
        <w:rPr>
          <w:rFonts w:hAnsi="Times New Roman" w:cs="Times New Roman"/>
          <w:color w:val="auto"/>
          <w:highlight w:val="none"/>
          <w:lang w:eastAsia="zh-CN"/>
        </w:rPr>
        <w:t>1.1.3.4</w:t>
      </w:r>
      <w:r>
        <w:rPr>
          <w:color w:val="auto"/>
          <w:highlight w:val="none"/>
        </w:rPr>
        <w:fldChar w:fldCharType="end"/>
      </w:r>
      <w:r>
        <w:rPr>
          <w:rFonts w:hint="eastAsia"/>
          <w:color w:val="auto"/>
          <w:highlight w:val="none"/>
          <w:lang w:eastAsia="zh-CN"/>
        </w:rPr>
        <w:t>　</w:t>
      </w:r>
      <w:r>
        <w:rPr>
          <w:rFonts w:cs="宋体"/>
          <w:color w:val="auto"/>
          <w:highlight w:val="none"/>
          <w:lang w:eastAsia="zh-CN"/>
        </w:rPr>
        <w:t>单位工程：指经工程质量监督机构确认的工程项目划分表中确定的具有独立发挥作用或独立施工条件的永久建筑物。</w:t>
      </w:r>
    </w:p>
    <w:p w14:paraId="13283067">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"1.1.3.5"</w:instrText>
      </w:r>
      <w:r>
        <w:rPr>
          <w:color w:val="auto"/>
          <w:highlight w:val="none"/>
        </w:rPr>
        <w:fldChar w:fldCharType="separate"/>
      </w:r>
      <w:r>
        <w:rPr>
          <w:rFonts w:hAnsi="Times New Roman" w:cs="Times New Roman"/>
          <w:color w:val="auto"/>
          <w:highlight w:val="none"/>
          <w:lang w:eastAsia="zh-CN"/>
        </w:rPr>
        <w:t>1.1.3.5</w:t>
      </w:r>
      <w:r>
        <w:rPr>
          <w:color w:val="auto"/>
          <w:highlight w:val="none"/>
        </w:rPr>
        <w:fldChar w:fldCharType="end"/>
      </w:r>
      <w:r>
        <w:rPr>
          <w:rFonts w:hint="eastAsia"/>
          <w:color w:val="auto"/>
          <w:highlight w:val="none"/>
          <w:lang w:eastAsia="zh-CN"/>
        </w:rPr>
        <w:t>　</w:t>
      </w:r>
      <w:r>
        <w:rPr>
          <w:rFonts w:cs="宋体"/>
          <w:color w:val="auto"/>
          <w:highlight w:val="none"/>
          <w:lang w:eastAsia="zh-CN"/>
        </w:rPr>
        <w:t>工程设备：指构成或计划构成永久工程一部分的机电设备、金属结构设备、仪器装置及其他类似的设备和装置。</w:t>
      </w:r>
    </w:p>
    <w:p w14:paraId="10A6A522">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"1.1.3.6"</w:instrText>
      </w:r>
      <w:r>
        <w:rPr>
          <w:color w:val="auto"/>
          <w:highlight w:val="none"/>
        </w:rPr>
        <w:fldChar w:fldCharType="separate"/>
      </w:r>
      <w:r>
        <w:rPr>
          <w:rFonts w:hAnsi="Times New Roman" w:cs="Times New Roman"/>
          <w:color w:val="auto"/>
          <w:highlight w:val="none"/>
          <w:lang w:eastAsia="zh-CN"/>
        </w:rPr>
        <w:t>1.1.3.6</w:t>
      </w:r>
      <w:r>
        <w:rPr>
          <w:color w:val="auto"/>
          <w:highlight w:val="none"/>
        </w:rPr>
        <w:fldChar w:fldCharType="end"/>
      </w:r>
      <w:r>
        <w:rPr>
          <w:rFonts w:hint="eastAsia"/>
          <w:color w:val="auto"/>
          <w:highlight w:val="none"/>
          <w:lang w:eastAsia="zh-CN"/>
        </w:rPr>
        <w:t>　</w:t>
      </w:r>
      <w:r>
        <w:rPr>
          <w:rFonts w:cs="宋体"/>
          <w:color w:val="auto"/>
          <w:highlight w:val="none"/>
          <w:lang w:eastAsia="zh-CN"/>
        </w:rPr>
        <w:t>施工设备：指为完成合同约定的各项工作所需的设备、器具和其他物品，不包括临时工程和材料。</w:t>
      </w:r>
    </w:p>
    <w:p w14:paraId="7271622F">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"1.1.3.7"</w:instrText>
      </w:r>
      <w:r>
        <w:rPr>
          <w:color w:val="auto"/>
          <w:highlight w:val="none"/>
        </w:rPr>
        <w:fldChar w:fldCharType="separate"/>
      </w:r>
      <w:r>
        <w:rPr>
          <w:rFonts w:hAnsi="Times New Roman" w:cs="Times New Roman"/>
          <w:color w:val="auto"/>
          <w:highlight w:val="none"/>
          <w:lang w:eastAsia="zh-CN"/>
        </w:rPr>
        <w:t>1.1.3.7</w:t>
      </w:r>
      <w:r>
        <w:rPr>
          <w:color w:val="auto"/>
          <w:highlight w:val="none"/>
        </w:rPr>
        <w:fldChar w:fldCharType="end"/>
      </w:r>
      <w:r>
        <w:rPr>
          <w:rFonts w:hint="eastAsia"/>
          <w:color w:val="auto"/>
          <w:highlight w:val="none"/>
          <w:lang w:eastAsia="zh-CN"/>
        </w:rPr>
        <w:t>　</w:t>
      </w:r>
      <w:r>
        <w:rPr>
          <w:rFonts w:cs="宋体"/>
          <w:color w:val="auto"/>
          <w:highlight w:val="none"/>
          <w:lang w:eastAsia="zh-CN"/>
        </w:rPr>
        <w:t>临时设施：指为完成合同约定的各项工作所服务的临时性生产和生活设施。</w:t>
      </w:r>
    </w:p>
    <w:p w14:paraId="51D773A4">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"1.1.3.8"</w:instrText>
      </w:r>
      <w:r>
        <w:rPr>
          <w:color w:val="auto"/>
          <w:highlight w:val="none"/>
        </w:rPr>
        <w:fldChar w:fldCharType="separate"/>
      </w:r>
      <w:r>
        <w:rPr>
          <w:rFonts w:hAnsi="Times New Roman" w:cs="Times New Roman"/>
          <w:color w:val="auto"/>
          <w:highlight w:val="none"/>
          <w:lang w:eastAsia="zh-CN"/>
        </w:rPr>
        <w:t>1.1.3.8</w:t>
      </w:r>
      <w:r>
        <w:rPr>
          <w:color w:val="auto"/>
          <w:highlight w:val="none"/>
        </w:rPr>
        <w:fldChar w:fldCharType="end"/>
      </w:r>
      <w:r>
        <w:rPr>
          <w:rFonts w:hint="eastAsia"/>
          <w:color w:val="auto"/>
          <w:highlight w:val="none"/>
          <w:lang w:eastAsia="zh-CN"/>
        </w:rPr>
        <w:t>　</w:t>
      </w:r>
      <w:r>
        <w:rPr>
          <w:rFonts w:cs="宋体"/>
          <w:color w:val="auto"/>
          <w:highlight w:val="none"/>
          <w:lang w:eastAsia="zh-CN"/>
        </w:rPr>
        <w:t>承包人设备：指承包人自带的施工设备。</w:t>
      </w:r>
    </w:p>
    <w:p w14:paraId="1CCED658">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"1.1.3.9"</w:instrText>
      </w:r>
      <w:r>
        <w:rPr>
          <w:color w:val="auto"/>
          <w:highlight w:val="none"/>
        </w:rPr>
        <w:fldChar w:fldCharType="separate"/>
      </w:r>
      <w:r>
        <w:rPr>
          <w:rFonts w:hAnsi="Times New Roman" w:cs="Times New Roman"/>
          <w:color w:val="auto"/>
          <w:highlight w:val="none"/>
          <w:lang w:eastAsia="zh-CN"/>
        </w:rPr>
        <w:t>1.1.3.9</w:t>
      </w:r>
      <w:r>
        <w:rPr>
          <w:color w:val="auto"/>
          <w:highlight w:val="none"/>
        </w:rPr>
        <w:fldChar w:fldCharType="end"/>
      </w:r>
      <w:r>
        <w:rPr>
          <w:rFonts w:hint="eastAsia"/>
          <w:color w:val="auto"/>
          <w:highlight w:val="none"/>
          <w:lang w:eastAsia="zh-CN"/>
        </w:rPr>
        <w:t>　</w:t>
      </w:r>
      <w:r>
        <w:rPr>
          <w:rFonts w:cs="宋体"/>
          <w:color w:val="auto"/>
          <w:highlight w:val="none"/>
          <w:lang w:eastAsia="zh-CN"/>
        </w:rPr>
        <w:t>施工场地（或称工地、现场）：指用于合同工程施工的场所，以及在合同中指定作为施工场地组成部分的其他场所，包括永久占地和临时占地。</w:t>
      </w:r>
    </w:p>
    <w:p w14:paraId="17BE946C">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"1.1.3.10"</w:instrText>
      </w:r>
      <w:r>
        <w:rPr>
          <w:color w:val="auto"/>
          <w:highlight w:val="none"/>
        </w:rPr>
        <w:fldChar w:fldCharType="separate"/>
      </w:r>
      <w:r>
        <w:rPr>
          <w:rFonts w:hAnsi="Times New Roman" w:cs="Times New Roman"/>
          <w:color w:val="auto"/>
          <w:highlight w:val="none"/>
          <w:lang w:eastAsia="zh-CN"/>
        </w:rPr>
        <w:t>1.1.3.10</w:t>
      </w:r>
      <w:r>
        <w:rPr>
          <w:color w:val="auto"/>
          <w:highlight w:val="none"/>
        </w:rPr>
        <w:fldChar w:fldCharType="end"/>
      </w:r>
      <w:r>
        <w:rPr>
          <w:rFonts w:hint="eastAsia"/>
          <w:color w:val="auto"/>
          <w:highlight w:val="none"/>
          <w:lang w:eastAsia="zh-CN"/>
        </w:rPr>
        <w:t>　</w:t>
      </w:r>
      <w:r>
        <w:rPr>
          <w:rFonts w:cs="宋体"/>
          <w:color w:val="auto"/>
          <w:highlight w:val="none"/>
          <w:lang w:eastAsia="zh-CN"/>
        </w:rPr>
        <w:t>永久占地：指发包人为建设本合同工程永久征用的场地。</w:t>
      </w:r>
    </w:p>
    <w:p w14:paraId="232100FF">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"1.1.3.11"</w:instrText>
      </w:r>
      <w:r>
        <w:rPr>
          <w:color w:val="auto"/>
          <w:highlight w:val="none"/>
        </w:rPr>
        <w:fldChar w:fldCharType="separate"/>
      </w:r>
      <w:r>
        <w:rPr>
          <w:rFonts w:hAnsi="Times New Roman" w:cs="Times New Roman"/>
          <w:color w:val="auto"/>
          <w:highlight w:val="none"/>
          <w:lang w:eastAsia="zh-CN"/>
        </w:rPr>
        <w:t>1.1.3.11</w:t>
      </w:r>
      <w:r>
        <w:rPr>
          <w:color w:val="auto"/>
          <w:highlight w:val="none"/>
        </w:rPr>
        <w:fldChar w:fldCharType="end"/>
      </w:r>
      <w:r>
        <w:rPr>
          <w:rFonts w:hint="eastAsia"/>
          <w:color w:val="auto"/>
          <w:highlight w:val="none"/>
          <w:lang w:eastAsia="zh-CN"/>
        </w:rPr>
        <w:t>　</w:t>
      </w:r>
      <w:r>
        <w:rPr>
          <w:rFonts w:cs="宋体"/>
          <w:color w:val="auto"/>
          <w:highlight w:val="none"/>
          <w:lang w:eastAsia="zh-CN"/>
        </w:rPr>
        <w:t>临时占地：指发包人为建设本合同工程临时征用，承包人在完工后须按合同要求退还的场地。</w:t>
      </w:r>
    </w:p>
    <w:p w14:paraId="287F238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1.1.4</w:t>
      </w:r>
      <w:r>
        <w:rPr>
          <w:rFonts w:hint="eastAsia" w:hAnsi="Times New Roman" w:cs="Times New Roman"/>
          <w:b/>
          <w:bCs/>
          <w:color w:val="auto"/>
          <w:highlight w:val="none"/>
          <w:lang w:eastAsia="zh-CN"/>
        </w:rPr>
        <w:t>　</w:t>
      </w:r>
      <w:r>
        <w:rPr>
          <w:rFonts w:cs="宋体"/>
          <w:color w:val="auto"/>
          <w:highlight w:val="none"/>
          <w:lang w:eastAsia="zh-CN"/>
        </w:rPr>
        <w:t>日期</w:t>
      </w:r>
    </w:p>
    <w:p w14:paraId="25C505AB">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"1.1.4.1"</w:instrText>
      </w:r>
      <w:r>
        <w:rPr>
          <w:color w:val="auto"/>
          <w:highlight w:val="none"/>
        </w:rPr>
        <w:fldChar w:fldCharType="separate"/>
      </w:r>
      <w:r>
        <w:rPr>
          <w:rFonts w:hAnsi="Times New Roman" w:cs="Times New Roman"/>
          <w:color w:val="auto"/>
          <w:highlight w:val="none"/>
          <w:lang w:eastAsia="zh-CN"/>
        </w:rPr>
        <w:t>1.1.4.1</w:t>
      </w:r>
      <w:r>
        <w:rPr>
          <w:color w:val="auto"/>
          <w:highlight w:val="none"/>
        </w:rPr>
        <w:fldChar w:fldCharType="end"/>
      </w:r>
      <w:r>
        <w:rPr>
          <w:rFonts w:hint="eastAsia"/>
          <w:color w:val="auto"/>
          <w:highlight w:val="none"/>
          <w:lang w:eastAsia="zh-CN"/>
        </w:rPr>
        <w:t>　</w:t>
      </w:r>
      <w:r>
        <w:rPr>
          <w:rFonts w:cs="宋体"/>
          <w:color w:val="auto"/>
          <w:highlight w:val="none"/>
          <w:lang w:eastAsia="zh-CN"/>
        </w:rPr>
        <w:t>开工通知：指监理人按第</w:t>
      </w:r>
      <w:r>
        <w:rPr>
          <w:rFonts w:hAnsi="Times New Roman" w:cs="Times New Roman"/>
          <w:color w:val="auto"/>
          <w:highlight w:val="none"/>
          <w:lang w:eastAsia="zh-CN"/>
        </w:rPr>
        <w:t>11.1</w:t>
      </w:r>
      <w:r>
        <w:rPr>
          <w:rFonts w:cs="宋体"/>
          <w:color w:val="auto"/>
          <w:highlight w:val="none"/>
          <w:lang w:eastAsia="zh-CN"/>
        </w:rPr>
        <w:t>款通知承包人开工的函件。</w:t>
      </w:r>
    </w:p>
    <w:p w14:paraId="0CAF2A56">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"1.1.4.2"</w:instrText>
      </w:r>
      <w:r>
        <w:rPr>
          <w:color w:val="auto"/>
          <w:highlight w:val="none"/>
        </w:rPr>
        <w:fldChar w:fldCharType="separate"/>
      </w:r>
      <w:r>
        <w:rPr>
          <w:rFonts w:hAnsi="Times New Roman" w:cs="Times New Roman"/>
          <w:color w:val="auto"/>
          <w:highlight w:val="none"/>
          <w:lang w:eastAsia="zh-CN"/>
        </w:rPr>
        <w:t>1.1.4.2</w:t>
      </w:r>
      <w:r>
        <w:rPr>
          <w:color w:val="auto"/>
          <w:highlight w:val="none"/>
        </w:rPr>
        <w:fldChar w:fldCharType="end"/>
      </w:r>
      <w:r>
        <w:rPr>
          <w:rFonts w:hint="eastAsia"/>
          <w:color w:val="auto"/>
          <w:highlight w:val="none"/>
          <w:lang w:eastAsia="zh-CN"/>
        </w:rPr>
        <w:t>　</w:t>
      </w:r>
      <w:r>
        <w:rPr>
          <w:rFonts w:cs="宋体"/>
          <w:color w:val="auto"/>
          <w:highlight w:val="none"/>
          <w:lang w:eastAsia="zh-CN"/>
        </w:rPr>
        <w:t>开工日期：指监理人按第</w:t>
      </w:r>
      <w:r>
        <w:rPr>
          <w:rFonts w:hAnsi="Times New Roman" w:cs="Times New Roman"/>
          <w:color w:val="auto"/>
          <w:highlight w:val="none"/>
          <w:lang w:eastAsia="zh-CN"/>
        </w:rPr>
        <w:t>11.1</w:t>
      </w:r>
      <w:r>
        <w:rPr>
          <w:rFonts w:cs="宋体"/>
          <w:color w:val="auto"/>
          <w:highlight w:val="none"/>
          <w:lang w:eastAsia="zh-CN"/>
        </w:rPr>
        <w:t>款发出的开工通知中写明的开工日期。</w:t>
      </w:r>
    </w:p>
    <w:p w14:paraId="22756E86">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"1.1.4.3"</w:instrText>
      </w:r>
      <w:r>
        <w:rPr>
          <w:color w:val="auto"/>
          <w:highlight w:val="none"/>
        </w:rPr>
        <w:fldChar w:fldCharType="separate"/>
      </w:r>
      <w:r>
        <w:rPr>
          <w:rFonts w:hAnsi="Times New Roman" w:cs="Times New Roman"/>
          <w:color w:val="auto"/>
          <w:highlight w:val="none"/>
          <w:lang w:eastAsia="zh-CN"/>
        </w:rPr>
        <w:t>1.1.4.3</w:t>
      </w:r>
      <w:r>
        <w:rPr>
          <w:color w:val="auto"/>
          <w:highlight w:val="none"/>
        </w:rPr>
        <w:fldChar w:fldCharType="end"/>
      </w:r>
      <w:r>
        <w:rPr>
          <w:rFonts w:hint="eastAsia"/>
          <w:color w:val="auto"/>
          <w:highlight w:val="none"/>
          <w:lang w:eastAsia="zh-CN"/>
        </w:rPr>
        <w:t>　</w:t>
      </w:r>
      <w:r>
        <w:rPr>
          <w:rFonts w:cs="宋体"/>
          <w:color w:val="auto"/>
          <w:highlight w:val="none"/>
          <w:lang w:eastAsia="zh-CN"/>
        </w:rPr>
        <w:t>工期：指承包人在投标函中承诺的完成合同工程所需的期限，包括按第</w:t>
      </w:r>
      <w:r>
        <w:rPr>
          <w:rFonts w:hAnsi="Times New Roman" w:cs="Times New Roman"/>
          <w:color w:val="auto"/>
          <w:highlight w:val="none"/>
          <w:lang w:eastAsia="zh-CN"/>
        </w:rPr>
        <w:t>11.3</w:t>
      </w:r>
      <w:r>
        <w:rPr>
          <w:rFonts w:cs="宋体"/>
          <w:color w:val="auto"/>
          <w:highlight w:val="none"/>
          <w:lang w:eastAsia="zh-CN"/>
        </w:rPr>
        <w:t>款、第</w:t>
      </w:r>
      <w:r>
        <w:rPr>
          <w:rFonts w:hAnsi="Times New Roman" w:cs="Times New Roman"/>
          <w:color w:val="auto"/>
          <w:highlight w:val="none"/>
          <w:lang w:eastAsia="zh-CN"/>
        </w:rPr>
        <w:t>11.4</w:t>
      </w:r>
      <w:r>
        <w:rPr>
          <w:rFonts w:cs="宋体"/>
          <w:color w:val="auto"/>
          <w:highlight w:val="none"/>
          <w:lang w:eastAsia="zh-CN"/>
        </w:rPr>
        <w:t>款和第</w:t>
      </w:r>
      <w:r>
        <w:rPr>
          <w:rFonts w:hAnsi="Times New Roman" w:cs="Times New Roman"/>
          <w:color w:val="auto"/>
          <w:highlight w:val="none"/>
          <w:lang w:eastAsia="zh-CN"/>
        </w:rPr>
        <w:t>11.6</w:t>
      </w:r>
      <w:r>
        <w:rPr>
          <w:rFonts w:cs="宋体"/>
          <w:color w:val="auto"/>
          <w:highlight w:val="none"/>
          <w:lang w:eastAsia="zh-CN"/>
        </w:rPr>
        <w:t>款约定所作的变更。</w:t>
      </w:r>
    </w:p>
    <w:p w14:paraId="18F1A486">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"1.1.4.4"</w:instrText>
      </w:r>
      <w:r>
        <w:rPr>
          <w:color w:val="auto"/>
          <w:highlight w:val="none"/>
        </w:rPr>
        <w:fldChar w:fldCharType="separate"/>
      </w:r>
      <w:r>
        <w:rPr>
          <w:rFonts w:hAnsi="Times New Roman" w:cs="Times New Roman"/>
          <w:color w:val="auto"/>
          <w:highlight w:val="none"/>
          <w:lang w:eastAsia="zh-CN"/>
        </w:rPr>
        <w:t>1.1.4.4</w:t>
      </w:r>
      <w:r>
        <w:rPr>
          <w:color w:val="auto"/>
          <w:highlight w:val="none"/>
        </w:rPr>
        <w:fldChar w:fldCharType="end"/>
      </w:r>
      <w:r>
        <w:rPr>
          <w:rFonts w:hint="eastAsia"/>
          <w:color w:val="auto"/>
          <w:highlight w:val="none"/>
          <w:lang w:eastAsia="zh-CN"/>
        </w:rPr>
        <w:t>　</w:t>
      </w:r>
      <w:r>
        <w:rPr>
          <w:rFonts w:cs="宋体"/>
          <w:color w:val="auto"/>
          <w:highlight w:val="none"/>
          <w:lang w:eastAsia="zh-CN"/>
        </w:rPr>
        <w:t>完工日期：指第</w:t>
      </w:r>
      <w:r>
        <w:rPr>
          <w:color w:val="auto"/>
          <w:highlight w:val="none"/>
        </w:rPr>
        <w:fldChar w:fldCharType="begin"/>
      </w:r>
      <w:r>
        <w:rPr>
          <w:color w:val="auto"/>
          <w:highlight w:val="none"/>
          <w:lang w:eastAsia="zh-CN"/>
        </w:rPr>
        <w:instrText xml:space="preserve">HYPERLINK "1.1.4.3"</w:instrText>
      </w:r>
      <w:r>
        <w:rPr>
          <w:color w:val="auto"/>
          <w:highlight w:val="none"/>
        </w:rPr>
        <w:fldChar w:fldCharType="separate"/>
      </w:r>
      <w:r>
        <w:rPr>
          <w:rFonts w:hAnsi="Times New Roman" w:cs="Times New Roman"/>
          <w:color w:val="auto"/>
          <w:highlight w:val="none"/>
          <w:lang w:eastAsia="zh-CN"/>
        </w:rPr>
        <w:t>1.1.4.3</w:t>
      </w:r>
      <w:r>
        <w:rPr>
          <w:color w:val="auto"/>
          <w:highlight w:val="none"/>
        </w:rPr>
        <w:fldChar w:fldCharType="end"/>
      </w:r>
      <w:r>
        <w:rPr>
          <w:rFonts w:cs="宋体"/>
          <w:color w:val="auto"/>
          <w:highlight w:val="none"/>
          <w:lang w:eastAsia="zh-CN"/>
        </w:rPr>
        <w:t>目约定工期届满时的日期。实际完工日期以合同工程完工证书中写明的日期为准。</w:t>
      </w:r>
    </w:p>
    <w:p w14:paraId="7CFABE20">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"1.1.4.5"</w:instrText>
      </w:r>
      <w:r>
        <w:rPr>
          <w:color w:val="auto"/>
          <w:highlight w:val="none"/>
        </w:rPr>
        <w:fldChar w:fldCharType="separate"/>
      </w:r>
      <w:r>
        <w:rPr>
          <w:rFonts w:hAnsi="Times New Roman" w:cs="Times New Roman"/>
          <w:color w:val="auto"/>
          <w:highlight w:val="none"/>
          <w:lang w:eastAsia="zh-CN"/>
        </w:rPr>
        <w:t>1.1.4.5</w:t>
      </w:r>
      <w:r>
        <w:rPr>
          <w:color w:val="auto"/>
          <w:highlight w:val="none"/>
        </w:rPr>
        <w:fldChar w:fldCharType="end"/>
      </w:r>
      <w:r>
        <w:rPr>
          <w:rFonts w:hint="eastAsia"/>
          <w:color w:val="auto"/>
          <w:highlight w:val="none"/>
          <w:lang w:eastAsia="zh-CN"/>
        </w:rPr>
        <w:t>　</w:t>
      </w:r>
      <w:r>
        <w:rPr>
          <w:rFonts w:cs="宋体"/>
          <w:color w:val="auto"/>
          <w:highlight w:val="none"/>
          <w:lang w:eastAsia="zh-CN"/>
        </w:rPr>
        <w:t>缺陷责任期：即工程质量保修期，指履行第</w:t>
      </w:r>
      <w:r>
        <w:rPr>
          <w:rFonts w:hAnsi="Times New Roman" w:cs="Times New Roman"/>
          <w:color w:val="auto"/>
          <w:highlight w:val="none"/>
          <w:lang w:eastAsia="zh-CN"/>
        </w:rPr>
        <w:t>19.2</w:t>
      </w:r>
      <w:r>
        <w:rPr>
          <w:rFonts w:cs="宋体"/>
          <w:color w:val="auto"/>
          <w:highlight w:val="none"/>
          <w:lang w:eastAsia="zh-CN"/>
        </w:rPr>
        <w:t>款约定的缺陷责任的期限，包括根据第</w:t>
      </w:r>
      <w:r>
        <w:rPr>
          <w:rFonts w:hAnsi="Times New Roman" w:cs="Times New Roman"/>
          <w:color w:val="auto"/>
          <w:highlight w:val="none"/>
          <w:lang w:eastAsia="zh-CN"/>
        </w:rPr>
        <w:t>19.3</w:t>
      </w:r>
      <w:r>
        <w:rPr>
          <w:rFonts w:cs="宋体"/>
          <w:color w:val="auto"/>
          <w:highlight w:val="none"/>
          <w:lang w:eastAsia="zh-CN"/>
        </w:rPr>
        <w:t>款约定所作的延长，具体期限由专用合同条款约定。</w:t>
      </w:r>
    </w:p>
    <w:p w14:paraId="260F511F">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"1.1.4.6"</w:instrText>
      </w:r>
      <w:r>
        <w:rPr>
          <w:color w:val="auto"/>
          <w:highlight w:val="none"/>
        </w:rPr>
        <w:fldChar w:fldCharType="separate"/>
      </w:r>
      <w:r>
        <w:rPr>
          <w:rFonts w:hAnsi="Times New Roman" w:cs="Times New Roman"/>
          <w:color w:val="auto"/>
          <w:highlight w:val="none"/>
          <w:lang w:eastAsia="zh-CN"/>
        </w:rPr>
        <w:t>1.1.4.6</w:t>
      </w:r>
      <w:r>
        <w:rPr>
          <w:color w:val="auto"/>
          <w:highlight w:val="none"/>
        </w:rPr>
        <w:fldChar w:fldCharType="end"/>
      </w:r>
      <w:r>
        <w:rPr>
          <w:rFonts w:hint="eastAsia"/>
          <w:color w:val="auto"/>
          <w:highlight w:val="none"/>
          <w:lang w:eastAsia="zh-CN"/>
        </w:rPr>
        <w:t>　</w:t>
      </w:r>
      <w:r>
        <w:rPr>
          <w:rFonts w:cs="宋体"/>
          <w:color w:val="auto"/>
          <w:highlight w:val="none"/>
          <w:lang w:eastAsia="zh-CN"/>
        </w:rPr>
        <w:t>基准日期：指投标截止时间前</w:t>
      </w:r>
      <w:r>
        <w:rPr>
          <w:rFonts w:hAnsi="Times New Roman" w:cs="Times New Roman"/>
          <w:color w:val="auto"/>
          <w:highlight w:val="none"/>
          <w:lang w:eastAsia="zh-CN"/>
        </w:rPr>
        <w:t>28</w:t>
      </w:r>
      <w:r>
        <w:rPr>
          <w:rFonts w:cs="宋体"/>
          <w:color w:val="auto"/>
          <w:highlight w:val="none"/>
          <w:lang w:eastAsia="zh-CN"/>
        </w:rPr>
        <w:t>天的日期。</w:t>
      </w:r>
    </w:p>
    <w:p w14:paraId="4FD459F4">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"1.1.4.7"</w:instrText>
      </w:r>
      <w:r>
        <w:rPr>
          <w:color w:val="auto"/>
          <w:highlight w:val="none"/>
        </w:rPr>
        <w:fldChar w:fldCharType="separate"/>
      </w:r>
      <w:r>
        <w:rPr>
          <w:rFonts w:hAnsi="Times New Roman" w:cs="Times New Roman"/>
          <w:color w:val="auto"/>
          <w:highlight w:val="none"/>
          <w:lang w:eastAsia="zh-CN"/>
        </w:rPr>
        <w:t>1.1.4.7</w:t>
      </w:r>
      <w:r>
        <w:rPr>
          <w:color w:val="auto"/>
          <w:highlight w:val="none"/>
        </w:rPr>
        <w:fldChar w:fldCharType="end"/>
      </w:r>
      <w:r>
        <w:rPr>
          <w:rFonts w:hint="eastAsia"/>
          <w:color w:val="auto"/>
          <w:highlight w:val="none"/>
          <w:lang w:eastAsia="zh-CN"/>
        </w:rPr>
        <w:t>　</w:t>
      </w:r>
      <w:r>
        <w:rPr>
          <w:rFonts w:cs="宋体"/>
          <w:color w:val="auto"/>
          <w:highlight w:val="none"/>
          <w:lang w:eastAsia="zh-CN"/>
        </w:rPr>
        <w:t>天：除特别指明外，指日历天。合同中按天计算时间的，开始当天不计入，从次日开始计算。期限最后一天的截止时间为当天</w:t>
      </w:r>
      <w:r>
        <w:rPr>
          <w:rFonts w:hAnsi="Times New Roman" w:cs="Times New Roman"/>
          <w:color w:val="auto"/>
          <w:highlight w:val="none"/>
          <w:lang w:eastAsia="zh-CN"/>
        </w:rPr>
        <w:t>24:00</w:t>
      </w:r>
      <w:r>
        <w:rPr>
          <w:rFonts w:cs="宋体"/>
          <w:color w:val="auto"/>
          <w:highlight w:val="none"/>
          <w:lang w:eastAsia="zh-CN"/>
        </w:rPr>
        <w:t>。</w:t>
      </w:r>
    </w:p>
    <w:p w14:paraId="40BA9B2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1.1.5</w:t>
      </w:r>
      <w:r>
        <w:rPr>
          <w:rFonts w:hint="eastAsia" w:hAnsi="Times New Roman" w:cs="Times New Roman"/>
          <w:b/>
          <w:bCs/>
          <w:color w:val="auto"/>
          <w:highlight w:val="none"/>
          <w:lang w:eastAsia="zh-CN"/>
        </w:rPr>
        <w:t>　</w:t>
      </w:r>
      <w:r>
        <w:rPr>
          <w:rFonts w:cs="宋体"/>
          <w:color w:val="auto"/>
          <w:highlight w:val="none"/>
          <w:lang w:eastAsia="zh-CN"/>
        </w:rPr>
        <w:t>合同价格和费用</w:t>
      </w:r>
    </w:p>
    <w:p w14:paraId="6672D84F">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"1.1.5.1"</w:instrText>
      </w:r>
      <w:r>
        <w:rPr>
          <w:color w:val="auto"/>
          <w:highlight w:val="none"/>
        </w:rPr>
        <w:fldChar w:fldCharType="separate"/>
      </w:r>
      <w:r>
        <w:rPr>
          <w:rFonts w:hAnsi="Times New Roman" w:cs="Times New Roman"/>
          <w:color w:val="auto"/>
          <w:highlight w:val="none"/>
          <w:lang w:eastAsia="zh-CN"/>
        </w:rPr>
        <w:t>1.1.5.1</w:t>
      </w:r>
      <w:r>
        <w:rPr>
          <w:color w:val="auto"/>
          <w:highlight w:val="none"/>
        </w:rPr>
        <w:fldChar w:fldCharType="end"/>
      </w:r>
      <w:r>
        <w:rPr>
          <w:rFonts w:hint="eastAsia"/>
          <w:color w:val="auto"/>
          <w:highlight w:val="none"/>
          <w:lang w:eastAsia="zh-CN"/>
        </w:rPr>
        <w:t>　</w:t>
      </w:r>
      <w:r>
        <w:rPr>
          <w:rFonts w:cs="宋体"/>
          <w:color w:val="auto"/>
          <w:highlight w:val="none"/>
          <w:lang w:eastAsia="zh-CN"/>
        </w:rPr>
        <w:t>签约合同价：指签定合同时合同协议书中写明的，包括了预留金额、暂估价的合同总金额。</w:t>
      </w:r>
    </w:p>
    <w:p w14:paraId="12C9340A">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"1.1.5.2"</w:instrText>
      </w:r>
      <w:r>
        <w:rPr>
          <w:color w:val="auto"/>
          <w:highlight w:val="none"/>
        </w:rPr>
        <w:fldChar w:fldCharType="separate"/>
      </w:r>
      <w:r>
        <w:rPr>
          <w:rFonts w:hAnsi="Times New Roman" w:cs="Times New Roman"/>
          <w:color w:val="auto"/>
          <w:highlight w:val="none"/>
          <w:lang w:eastAsia="zh-CN"/>
        </w:rPr>
        <w:t>1.1.5.2</w:t>
      </w:r>
      <w:r>
        <w:rPr>
          <w:color w:val="auto"/>
          <w:highlight w:val="none"/>
        </w:rPr>
        <w:fldChar w:fldCharType="end"/>
      </w:r>
      <w:r>
        <w:rPr>
          <w:rFonts w:hint="eastAsia"/>
          <w:color w:val="auto"/>
          <w:highlight w:val="none"/>
          <w:lang w:eastAsia="zh-CN"/>
        </w:rPr>
        <w:t>　</w:t>
      </w:r>
      <w:r>
        <w:rPr>
          <w:rFonts w:cs="宋体"/>
          <w:color w:val="auto"/>
          <w:highlight w:val="none"/>
          <w:lang w:eastAsia="zh-CN"/>
        </w:rPr>
        <w:t>合同价格：指承包人按合同约定完成了包括缺陷责任期内的全部承包工作后，发包人应付给承包人的金额，包括在履行合同过程中按合同约定进行的变更和调整。</w:t>
      </w:r>
    </w:p>
    <w:p w14:paraId="1231295E">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"1.1.5.3"</w:instrText>
      </w:r>
      <w:r>
        <w:rPr>
          <w:color w:val="auto"/>
          <w:highlight w:val="none"/>
        </w:rPr>
        <w:fldChar w:fldCharType="separate"/>
      </w:r>
      <w:r>
        <w:rPr>
          <w:rFonts w:hAnsi="Times New Roman" w:cs="Times New Roman"/>
          <w:color w:val="auto"/>
          <w:highlight w:val="none"/>
          <w:lang w:eastAsia="zh-CN"/>
        </w:rPr>
        <w:t>1.1.5.3</w:t>
      </w:r>
      <w:r>
        <w:rPr>
          <w:color w:val="auto"/>
          <w:highlight w:val="none"/>
        </w:rPr>
        <w:fldChar w:fldCharType="end"/>
      </w:r>
      <w:r>
        <w:rPr>
          <w:rFonts w:hint="eastAsia"/>
          <w:color w:val="auto"/>
          <w:highlight w:val="none"/>
          <w:lang w:eastAsia="zh-CN"/>
        </w:rPr>
        <w:t>　</w:t>
      </w:r>
      <w:r>
        <w:rPr>
          <w:rFonts w:cs="宋体"/>
          <w:color w:val="auto"/>
          <w:highlight w:val="none"/>
          <w:lang w:eastAsia="zh-CN"/>
        </w:rPr>
        <w:t>费用：指为履行合同所发生的或将要发生的所有合理开支，包括管理费和应分摊的其他费用，但不包括利润。</w:t>
      </w:r>
    </w:p>
    <w:p w14:paraId="7E9B188F">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"1.1.5.4"</w:instrText>
      </w:r>
      <w:r>
        <w:rPr>
          <w:color w:val="auto"/>
          <w:highlight w:val="none"/>
        </w:rPr>
        <w:fldChar w:fldCharType="separate"/>
      </w:r>
      <w:r>
        <w:rPr>
          <w:rFonts w:hAnsi="Times New Roman" w:cs="Times New Roman"/>
          <w:color w:val="auto"/>
          <w:highlight w:val="none"/>
          <w:lang w:eastAsia="zh-CN"/>
        </w:rPr>
        <w:t>1.1.5.4</w:t>
      </w:r>
      <w:r>
        <w:rPr>
          <w:color w:val="auto"/>
          <w:highlight w:val="none"/>
        </w:rPr>
        <w:fldChar w:fldCharType="end"/>
      </w:r>
      <w:r>
        <w:rPr>
          <w:rFonts w:hint="eastAsia"/>
          <w:color w:val="auto"/>
          <w:highlight w:val="none"/>
          <w:lang w:eastAsia="zh-CN"/>
        </w:rPr>
        <w:t>　</w:t>
      </w:r>
      <w:r>
        <w:rPr>
          <w:rFonts w:cs="宋体"/>
          <w:color w:val="auto"/>
          <w:highlight w:val="none"/>
          <w:lang w:eastAsia="zh-CN"/>
        </w:rPr>
        <w:t>预留金：指已标价工程量清单中所列的预留金，用于在签订协议书时尚未确定或不可预见变更的施工及其所需材料、工程设备、服务等的金额，包括以计日工方式支付的金额。</w:t>
      </w:r>
    </w:p>
    <w:p w14:paraId="66ADBD5C">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"1.1.5.5"</w:instrText>
      </w:r>
      <w:r>
        <w:rPr>
          <w:color w:val="auto"/>
          <w:highlight w:val="none"/>
        </w:rPr>
        <w:fldChar w:fldCharType="separate"/>
      </w:r>
      <w:r>
        <w:rPr>
          <w:rFonts w:hAnsi="Times New Roman" w:cs="Times New Roman"/>
          <w:color w:val="auto"/>
          <w:highlight w:val="none"/>
          <w:lang w:eastAsia="zh-CN"/>
        </w:rPr>
        <w:t>1.1.5.5</w:t>
      </w:r>
      <w:r>
        <w:rPr>
          <w:color w:val="auto"/>
          <w:highlight w:val="none"/>
        </w:rPr>
        <w:fldChar w:fldCharType="end"/>
      </w:r>
      <w:r>
        <w:rPr>
          <w:rFonts w:hint="eastAsia"/>
          <w:color w:val="auto"/>
          <w:highlight w:val="none"/>
          <w:lang w:eastAsia="zh-CN"/>
        </w:rPr>
        <w:t>　</w:t>
      </w:r>
      <w:r>
        <w:rPr>
          <w:rFonts w:cs="宋体"/>
          <w:color w:val="auto"/>
          <w:highlight w:val="none"/>
          <w:lang w:eastAsia="zh-CN"/>
        </w:rPr>
        <w:t>暂估价：指发包人在工程量清单中给定的用于支付必然发生但暂时不能确定价格的材料、设备以及专业工程的金额。</w:t>
      </w:r>
    </w:p>
    <w:p w14:paraId="1EEE0EB3">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"1.1.5.6"</w:instrText>
      </w:r>
      <w:r>
        <w:rPr>
          <w:color w:val="auto"/>
          <w:highlight w:val="none"/>
        </w:rPr>
        <w:fldChar w:fldCharType="separate"/>
      </w:r>
      <w:r>
        <w:rPr>
          <w:rFonts w:hAnsi="Times New Roman" w:cs="Times New Roman"/>
          <w:color w:val="auto"/>
          <w:highlight w:val="none"/>
          <w:lang w:eastAsia="zh-CN"/>
        </w:rPr>
        <w:t>1.1.5.6</w:t>
      </w:r>
      <w:r>
        <w:rPr>
          <w:color w:val="auto"/>
          <w:highlight w:val="none"/>
        </w:rPr>
        <w:fldChar w:fldCharType="end"/>
      </w:r>
      <w:r>
        <w:rPr>
          <w:rFonts w:hint="eastAsia"/>
          <w:color w:val="auto"/>
          <w:highlight w:val="none"/>
          <w:lang w:eastAsia="zh-CN"/>
        </w:rPr>
        <w:t>　</w:t>
      </w:r>
      <w:r>
        <w:rPr>
          <w:rFonts w:cs="宋体"/>
          <w:color w:val="auto"/>
          <w:highlight w:val="none"/>
          <w:lang w:eastAsia="zh-CN"/>
        </w:rPr>
        <w:t>计日工：指对零星工作采取的一种计价方式，按合同中的计日工子目及其单价计价付款。</w:t>
      </w:r>
    </w:p>
    <w:p w14:paraId="016892B2">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"1.1.5.7"</w:instrText>
      </w:r>
      <w:r>
        <w:rPr>
          <w:color w:val="auto"/>
          <w:highlight w:val="none"/>
        </w:rPr>
        <w:fldChar w:fldCharType="separate"/>
      </w:r>
      <w:r>
        <w:rPr>
          <w:rFonts w:hAnsi="Times New Roman" w:cs="Times New Roman"/>
          <w:color w:val="auto"/>
          <w:highlight w:val="none"/>
          <w:lang w:eastAsia="zh-CN"/>
        </w:rPr>
        <w:t>1.1.5.7</w:t>
      </w:r>
      <w:r>
        <w:rPr>
          <w:color w:val="auto"/>
          <w:highlight w:val="none"/>
        </w:rPr>
        <w:fldChar w:fldCharType="end"/>
      </w:r>
      <w:r>
        <w:rPr>
          <w:rFonts w:hint="eastAsia"/>
          <w:color w:val="auto"/>
          <w:highlight w:val="none"/>
          <w:lang w:eastAsia="zh-CN"/>
        </w:rPr>
        <w:t>　</w:t>
      </w:r>
      <w:r>
        <w:rPr>
          <w:rFonts w:cs="宋体"/>
          <w:color w:val="auto"/>
          <w:highlight w:val="none"/>
          <w:lang w:eastAsia="zh-CN"/>
        </w:rPr>
        <w:t>质量保证金（或称保留金）：指按第</w:t>
      </w:r>
      <w:r>
        <w:rPr>
          <w:rFonts w:hAnsi="Times New Roman" w:cs="Times New Roman"/>
          <w:color w:val="auto"/>
          <w:highlight w:val="none"/>
          <w:lang w:eastAsia="zh-CN"/>
        </w:rPr>
        <w:t>17.4.1</w:t>
      </w:r>
      <w:r>
        <w:rPr>
          <w:rFonts w:cs="宋体"/>
          <w:color w:val="auto"/>
          <w:highlight w:val="none"/>
          <w:lang w:eastAsia="zh-CN"/>
        </w:rPr>
        <w:t>项约定用于保证在缺陷责任期内履行缺陷修复义务的金额。</w:t>
      </w:r>
    </w:p>
    <w:p w14:paraId="3E39157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1.1.6</w:t>
      </w:r>
      <w:r>
        <w:rPr>
          <w:rFonts w:hint="eastAsia" w:hAnsi="Times New Roman" w:cs="Times New Roman"/>
          <w:b/>
          <w:bCs/>
          <w:color w:val="auto"/>
          <w:highlight w:val="none"/>
          <w:lang w:eastAsia="zh-CN"/>
        </w:rPr>
        <w:t>　</w:t>
      </w:r>
      <w:r>
        <w:rPr>
          <w:rFonts w:cs="宋体"/>
          <w:color w:val="auto"/>
          <w:highlight w:val="none"/>
          <w:lang w:eastAsia="zh-CN"/>
        </w:rPr>
        <w:t>其他</w:t>
      </w:r>
    </w:p>
    <w:p w14:paraId="2C320188">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"1.1.6.1"</w:instrText>
      </w:r>
      <w:r>
        <w:rPr>
          <w:color w:val="auto"/>
          <w:highlight w:val="none"/>
        </w:rPr>
        <w:fldChar w:fldCharType="separate"/>
      </w:r>
      <w:r>
        <w:rPr>
          <w:rFonts w:hAnsi="Times New Roman" w:cs="Times New Roman"/>
          <w:color w:val="auto"/>
          <w:highlight w:val="none"/>
          <w:lang w:eastAsia="zh-CN"/>
        </w:rPr>
        <w:t>1.1.6.1</w:t>
      </w:r>
      <w:r>
        <w:rPr>
          <w:color w:val="auto"/>
          <w:highlight w:val="none"/>
        </w:rPr>
        <w:fldChar w:fldCharType="end"/>
      </w:r>
      <w:r>
        <w:rPr>
          <w:rFonts w:hint="eastAsia"/>
          <w:color w:val="auto"/>
          <w:highlight w:val="none"/>
          <w:lang w:eastAsia="zh-CN"/>
        </w:rPr>
        <w:t>　</w:t>
      </w:r>
      <w:r>
        <w:rPr>
          <w:rFonts w:cs="宋体"/>
          <w:color w:val="auto"/>
          <w:highlight w:val="none"/>
          <w:lang w:eastAsia="zh-CN"/>
        </w:rPr>
        <w:t>书面形式：指合同文件、信函、电报、传真等可以有形地表现所载内容的形式。</w:t>
      </w:r>
    </w:p>
    <w:p w14:paraId="25F14275">
      <w:pPr>
        <w:pStyle w:val="4"/>
        <w:autoSpaceDE/>
        <w:autoSpaceDN/>
        <w:spacing w:beforeLines="0" w:afterLines="0"/>
        <w:ind w:firstLine="0"/>
        <w:rPr>
          <w:rFonts w:hint="eastAsia" w:ascii="宋体" w:cs="宋体"/>
          <w:bCs/>
          <w:color w:val="auto"/>
          <w:szCs w:val="24"/>
          <w:highlight w:val="none"/>
        </w:rPr>
      </w:pPr>
      <w:bookmarkStart w:id="679" w:name="_Toc6048"/>
      <w:bookmarkStart w:id="680" w:name="_Toc7949"/>
      <w:bookmarkStart w:id="681" w:name="_Toc24902"/>
      <w:r>
        <w:rPr>
          <w:rFonts w:hint="eastAsia" w:ascii="宋体" w:hAnsi="宋体" w:cs="宋体"/>
          <w:bCs/>
          <w:color w:val="auto"/>
          <w:szCs w:val="24"/>
          <w:highlight w:val="none"/>
        </w:rPr>
        <w:t>1.2</w:t>
      </w:r>
      <w:r>
        <w:rPr>
          <w:rFonts w:hint="eastAsia" w:cs="宋体"/>
          <w:bCs/>
          <w:color w:val="auto"/>
          <w:szCs w:val="24"/>
          <w:highlight w:val="none"/>
          <w:lang w:eastAsia="zh-CN"/>
        </w:rPr>
        <w:t>　</w:t>
      </w:r>
      <w:r>
        <w:rPr>
          <w:rFonts w:hint="eastAsia" w:ascii="宋体" w:cs="宋体"/>
          <w:bCs/>
          <w:color w:val="auto"/>
          <w:szCs w:val="24"/>
          <w:highlight w:val="none"/>
        </w:rPr>
        <w:t>语言文字</w:t>
      </w:r>
      <w:bookmarkEnd w:id="679"/>
      <w:bookmarkEnd w:id="680"/>
      <w:bookmarkEnd w:id="681"/>
    </w:p>
    <w:p w14:paraId="00BBCC88">
      <w:pPr>
        <w:kinsoku/>
        <w:ind w:firstLine="0"/>
        <w:jc w:val="left"/>
        <w:rPr>
          <w:color w:val="auto"/>
          <w:highlight w:val="none"/>
          <w:lang w:eastAsia="zh-CN"/>
        </w:rPr>
      </w:pPr>
      <w:r>
        <w:rPr>
          <w:color w:val="auto"/>
          <w:highlight w:val="none"/>
          <w:lang w:eastAsia="zh-CN"/>
        </w:rPr>
        <w:t>除专用术语外，合同使用的语言文字为中文。必要时专用术语应附有中文注释。</w:t>
      </w:r>
    </w:p>
    <w:p w14:paraId="08501610">
      <w:pPr>
        <w:pStyle w:val="4"/>
        <w:kinsoku/>
        <w:spacing w:before="0" w:beforeLines="0" w:afterLines="0" w:line="360" w:lineRule="auto"/>
        <w:ind w:left="0" w:firstLine="0"/>
        <w:rPr>
          <w:rFonts w:hint="eastAsia" w:ascii="宋体" w:hAnsi="宋体" w:cs="宋体"/>
          <w:bCs/>
          <w:color w:val="auto"/>
          <w:szCs w:val="24"/>
          <w:highlight w:val="none"/>
        </w:rPr>
      </w:pPr>
      <w:bookmarkStart w:id="682" w:name="_Toc16074"/>
      <w:bookmarkStart w:id="683" w:name="_Toc22962"/>
      <w:bookmarkStart w:id="684" w:name="_Toc13845"/>
      <w:r>
        <w:rPr>
          <w:rFonts w:hint="eastAsia" w:ascii="宋体" w:cs="宋体"/>
          <w:bCs/>
          <w:color w:val="auto"/>
          <w:szCs w:val="24"/>
          <w:highlight w:val="none"/>
        </w:rPr>
        <w:t>1.3</w:t>
      </w:r>
      <w:r>
        <w:rPr>
          <w:rFonts w:hint="eastAsia" w:cs="宋体"/>
          <w:bCs/>
          <w:color w:val="auto"/>
          <w:szCs w:val="24"/>
          <w:highlight w:val="none"/>
          <w:lang w:eastAsia="zh-CN"/>
        </w:rPr>
        <w:t>　</w:t>
      </w:r>
      <w:r>
        <w:rPr>
          <w:rFonts w:hint="eastAsia" w:ascii="宋体" w:hAnsi="宋体" w:cs="宋体"/>
          <w:bCs/>
          <w:color w:val="auto"/>
          <w:szCs w:val="24"/>
          <w:highlight w:val="none"/>
        </w:rPr>
        <w:t>法律</w:t>
      </w:r>
      <w:bookmarkEnd w:id="682"/>
      <w:bookmarkEnd w:id="683"/>
      <w:bookmarkEnd w:id="684"/>
    </w:p>
    <w:p w14:paraId="504684C6">
      <w:pPr>
        <w:kinsoku/>
        <w:ind w:firstLine="0"/>
        <w:rPr>
          <w:color w:val="auto"/>
          <w:highlight w:val="none"/>
          <w:lang w:eastAsia="zh-CN"/>
        </w:rPr>
      </w:pPr>
      <w:r>
        <w:rPr>
          <w:color w:val="auto"/>
          <w:highlight w:val="none"/>
          <w:lang w:eastAsia="zh-CN"/>
        </w:rPr>
        <w:t>适用于合同的法律包括中华人民共和国法律、行政法规、部门规章，以及工程所在地的地方法规、自治条例、单行条例和地方政府规章。</w:t>
      </w:r>
    </w:p>
    <w:p w14:paraId="5951B600">
      <w:pPr>
        <w:pStyle w:val="4"/>
        <w:autoSpaceDE/>
        <w:autoSpaceDN/>
        <w:spacing w:beforeLines="0" w:afterLines="0"/>
        <w:ind w:firstLine="0"/>
        <w:rPr>
          <w:rFonts w:hint="eastAsia" w:ascii="宋体" w:cs="宋体"/>
          <w:bCs/>
          <w:color w:val="auto"/>
          <w:szCs w:val="24"/>
          <w:highlight w:val="none"/>
        </w:rPr>
      </w:pPr>
      <w:bookmarkStart w:id="685" w:name="_Toc30599"/>
      <w:bookmarkStart w:id="686" w:name="_Toc5734"/>
      <w:bookmarkStart w:id="687" w:name="_Toc21776"/>
      <w:r>
        <w:rPr>
          <w:rFonts w:hint="eastAsia" w:ascii="宋体" w:cs="宋体"/>
          <w:bCs/>
          <w:color w:val="auto"/>
          <w:szCs w:val="24"/>
          <w:highlight w:val="none"/>
        </w:rPr>
        <w:t>1.4</w:t>
      </w:r>
      <w:r>
        <w:rPr>
          <w:rFonts w:hint="eastAsia" w:cs="宋体"/>
          <w:bCs/>
          <w:color w:val="auto"/>
          <w:szCs w:val="24"/>
          <w:highlight w:val="none"/>
          <w:lang w:eastAsia="zh-CN"/>
        </w:rPr>
        <w:t>　</w:t>
      </w:r>
      <w:r>
        <w:rPr>
          <w:rFonts w:hint="eastAsia" w:ascii="宋体" w:cs="宋体"/>
          <w:bCs/>
          <w:color w:val="auto"/>
          <w:sz w:val="24"/>
          <w:szCs w:val="24"/>
          <w:highlight w:val="none"/>
        </w:rPr>
        <w:t>合同文件的优先顺序</w:t>
      </w:r>
      <w:bookmarkEnd w:id="685"/>
      <w:bookmarkEnd w:id="686"/>
      <w:bookmarkEnd w:id="687"/>
    </w:p>
    <w:p w14:paraId="09B88599">
      <w:pPr>
        <w:kinsoku/>
        <w:ind w:firstLine="0"/>
        <w:rPr>
          <w:color w:val="auto"/>
          <w:highlight w:val="none"/>
          <w:lang w:eastAsia="zh-CN"/>
        </w:rPr>
      </w:pPr>
      <w:r>
        <w:rPr>
          <w:color w:val="auto"/>
          <w:highlight w:val="none"/>
          <w:lang w:eastAsia="zh-CN"/>
        </w:rPr>
        <w:t>组成合同的各项文件应互相解释，互为说明。除专用合同条款另有约定外，解释合同文件的优先顺序如下：</w:t>
      </w:r>
    </w:p>
    <w:p w14:paraId="3FF1E7D9">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）合同协议书。</w:t>
      </w:r>
    </w:p>
    <w:p w14:paraId="778EDB22">
      <w:pPr>
        <w:kinsoku/>
        <w:ind w:firstLine="0"/>
        <w:rPr>
          <w:color w:val="auto"/>
          <w:highlight w:val="none"/>
          <w:lang w:eastAsia="zh-CN"/>
        </w:rPr>
      </w:pPr>
      <w:r>
        <w:rPr>
          <w:color w:val="auto"/>
          <w:highlight w:val="none"/>
          <w:lang w:eastAsia="zh-CN"/>
        </w:rPr>
        <w:t>（2）中标通知书。</w:t>
      </w:r>
    </w:p>
    <w:p w14:paraId="722257CD">
      <w:pPr>
        <w:kinsoku/>
        <w:ind w:firstLine="0"/>
        <w:rPr>
          <w:color w:val="auto"/>
          <w:highlight w:val="none"/>
          <w:lang w:eastAsia="zh-CN"/>
        </w:rPr>
      </w:pPr>
      <w:r>
        <w:rPr>
          <w:color w:val="auto"/>
          <w:highlight w:val="none"/>
          <w:lang w:eastAsia="zh-CN"/>
        </w:rPr>
        <w:t>（3）投标函及投标函附录。</w:t>
      </w:r>
    </w:p>
    <w:p w14:paraId="572FFABC">
      <w:pPr>
        <w:kinsoku/>
        <w:ind w:firstLine="0"/>
        <w:rPr>
          <w:color w:val="auto"/>
          <w:highlight w:val="none"/>
          <w:lang w:eastAsia="zh-CN"/>
        </w:rPr>
      </w:pPr>
      <w:r>
        <w:rPr>
          <w:color w:val="auto"/>
          <w:highlight w:val="none"/>
          <w:lang w:eastAsia="zh-CN"/>
        </w:rPr>
        <w:t>（4）专用合同条款。</w:t>
      </w:r>
    </w:p>
    <w:p w14:paraId="07C8F5EB">
      <w:pPr>
        <w:kinsoku/>
        <w:ind w:firstLine="0"/>
        <w:rPr>
          <w:color w:val="auto"/>
          <w:highlight w:val="none"/>
          <w:lang w:eastAsia="zh-CN"/>
        </w:rPr>
      </w:pPr>
      <w:r>
        <w:rPr>
          <w:color w:val="auto"/>
          <w:highlight w:val="none"/>
          <w:lang w:eastAsia="zh-CN"/>
        </w:rPr>
        <w:t>（5）通用合同条款。</w:t>
      </w:r>
    </w:p>
    <w:p w14:paraId="2EB7576B">
      <w:pPr>
        <w:kinsoku/>
        <w:ind w:firstLine="0"/>
        <w:rPr>
          <w:color w:val="auto"/>
          <w:highlight w:val="none"/>
          <w:lang w:eastAsia="zh-CN"/>
        </w:rPr>
      </w:pPr>
      <w:r>
        <w:rPr>
          <w:color w:val="auto"/>
          <w:highlight w:val="none"/>
          <w:lang w:eastAsia="zh-CN"/>
        </w:rPr>
        <w:t>（6）技术标准和要求。</w:t>
      </w:r>
    </w:p>
    <w:p w14:paraId="1DDB976D">
      <w:pPr>
        <w:kinsoku/>
        <w:ind w:firstLine="0"/>
        <w:rPr>
          <w:color w:val="auto"/>
          <w:highlight w:val="none"/>
          <w:lang w:eastAsia="zh-CN"/>
        </w:rPr>
      </w:pPr>
      <w:r>
        <w:rPr>
          <w:color w:val="auto"/>
          <w:highlight w:val="none"/>
          <w:lang w:eastAsia="zh-CN"/>
        </w:rPr>
        <w:t>（7）图纸。</w:t>
      </w:r>
    </w:p>
    <w:p w14:paraId="136276A9">
      <w:pPr>
        <w:kinsoku/>
        <w:ind w:firstLine="0"/>
        <w:rPr>
          <w:rFonts w:cs="宋体"/>
          <w:color w:val="auto"/>
          <w:highlight w:val="none"/>
          <w:lang w:eastAsia="zh-CN"/>
        </w:rPr>
      </w:pPr>
      <w:r>
        <w:rPr>
          <w:color w:val="auto"/>
          <w:highlight w:val="none"/>
          <w:lang w:eastAsia="zh-CN"/>
        </w:rPr>
        <w:t>（8）已标价工</w:t>
      </w:r>
      <w:r>
        <w:rPr>
          <w:rFonts w:cs="宋体"/>
          <w:color w:val="auto"/>
          <w:highlight w:val="none"/>
          <w:lang w:eastAsia="zh-CN"/>
        </w:rPr>
        <w:t>程量清单。</w:t>
      </w:r>
    </w:p>
    <w:p w14:paraId="55D3E1F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9</w:t>
      </w:r>
      <w:r>
        <w:rPr>
          <w:rFonts w:cs="宋体"/>
          <w:color w:val="auto"/>
          <w:highlight w:val="none"/>
          <w:lang w:eastAsia="zh-CN"/>
        </w:rPr>
        <w:t>）其他合同文件。</w:t>
      </w:r>
    </w:p>
    <w:p w14:paraId="2FD90E0D">
      <w:pPr>
        <w:pStyle w:val="4"/>
        <w:autoSpaceDE/>
        <w:autoSpaceDN/>
        <w:spacing w:beforeLines="0" w:afterLines="0"/>
        <w:ind w:firstLine="0"/>
        <w:rPr>
          <w:rFonts w:hint="eastAsia" w:ascii="宋体" w:cs="宋体"/>
          <w:bCs/>
          <w:color w:val="auto"/>
          <w:szCs w:val="24"/>
          <w:highlight w:val="none"/>
        </w:rPr>
      </w:pPr>
      <w:bookmarkStart w:id="688" w:name="_Toc27779"/>
      <w:bookmarkStart w:id="689" w:name="_Toc6009"/>
      <w:bookmarkStart w:id="690" w:name="_Toc26152"/>
      <w:r>
        <w:rPr>
          <w:rFonts w:hint="eastAsia" w:ascii="宋体" w:cs="宋体"/>
          <w:bCs/>
          <w:color w:val="auto"/>
          <w:szCs w:val="24"/>
          <w:highlight w:val="none"/>
        </w:rPr>
        <w:t>1.5</w:t>
      </w:r>
      <w:r>
        <w:rPr>
          <w:rFonts w:hint="eastAsia" w:cs="宋体"/>
          <w:bCs/>
          <w:color w:val="auto"/>
          <w:szCs w:val="24"/>
          <w:highlight w:val="none"/>
          <w:lang w:eastAsia="zh-CN"/>
        </w:rPr>
        <w:t>　</w:t>
      </w:r>
      <w:r>
        <w:rPr>
          <w:rFonts w:hint="eastAsia" w:ascii="宋体" w:cs="宋体"/>
          <w:bCs/>
          <w:color w:val="auto"/>
          <w:sz w:val="24"/>
          <w:szCs w:val="24"/>
          <w:highlight w:val="none"/>
        </w:rPr>
        <w:t>合同协议书</w:t>
      </w:r>
      <w:bookmarkEnd w:id="688"/>
      <w:bookmarkEnd w:id="689"/>
      <w:bookmarkEnd w:id="690"/>
    </w:p>
    <w:p w14:paraId="35ACA623">
      <w:pPr>
        <w:kinsoku/>
        <w:ind w:firstLine="0"/>
        <w:rPr>
          <w:color w:val="auto"/>
          <w:highlight w:val="none"/>
          <w:lang w:eastAsia="zh-CN"/>
        </w:rPr>
      </w:pPr>
      <w:r>
        <w:rPr>
          <w:color w:val="auto"/>
          <w:highlight w:val="none"/>
          <w:lang w:eastAsia="zh-CN"/>
        </w:rPr>
        <w:t>承包人按中标通知书规定的时间与发包人签订合同协议书。除法律另有规定或合同另有约定外，发包人和承包人的法定代表人或其委托代理人在合同协议书上签字并盖单位章后，合同生效。</w:t>
      </w:r>
    </w:p>
    <w:p w14:paraId="0339DC3D">
      <w:pPr>
        <w:pStyle w:val="4"/>
        <w:autoSpaceDE/>
        <w:autoSpaceDN/>
        <w:spacing w:beforeLines="0" w:afterLines="0"/>
        <w:ind w:firstLine="0"/>
        <w:rPr>
          <w:rFonts w:hint="eastAsia" w:ascii="宋体" w:cs="宋体"/>
          <w:bCs/>
          <w:color w:val="auto"/>
          <w:szCs w:val="24"/>
          <w:highlight w:val="none"/>
        </w:rPr>
      </w:pPr>
      <w:bookmarkStart w:id="691" w:name="_Toc10040"/>
      <w:bookmarkStart w:id="692" w:name="_Toc6294"/>
      <w:bookmarkStart w:id="693" w:name="_Toc15859"/>
      <w:r>
        <w:rPr>
          <w:rFonts w:hint="eastAsia" w:ascii="宋体" w:cs="宋体"/>
          <w:bCs/>
          <w:color w:val="auto"/>
          <w:szCs w:val="24"/>
          <w:highlight w:val="none"/>
        </w:rPr>
        <w:t>1.6</w:t>
      </w:r>
      <w:r>
        <w:rPr>
          <w:rFonts w:hint="eastAsia" w:cs="宋体"/>
          <w:bCs/>
          <w:color w:val="auto"/>
          <w:szCs w:val="24"/>
          <w:highlight w:val="none"/>
          <w:lang w:eastAsia="zh-CN"/>
        </w:rPr>
        <w:t>　</w:t>
      </w:r>
      <w:r>
        <w:rPr>
          <w:rFonts w:hint="eastAsia" w:ascii="宋体" w:cs="宋体"/>
          <w:bCs/>
          <w:color w:val="auto"/>
          <w:sz w:val="24"/>
          <w:szCs w:val="24"/>
          <w:highlight w:val="none"/>
        </w:rPr>
        <w:t>图纸和承包人文件</w:t>
      </w:r>
      <w:bookmarkEnd w:id="691"/>
      <w:bookmarkEnd w:id="692"/>
      <w:bookmarkEnd w:id="693"/>
    </w:p>
    <w:p w14:paraId="52112A27">
      <w:pPr>
        <w:pStyle w:val="5"/>
        <w:kinsoku/>
        <w:spacing w:before="0" w:beforeLines="0" w:afterLines="0" w:line="360" w:lineRule="auto"/>
        <w:ind w:left="0" w:firstLine="0"/>
        <w:jc w:val="left"/>
        <w:rPr>
          <w:rFonts w:cs="宋体"/>
          <w:color w:val="auto"/>
          <w:highlight w:val="none"/>
          <w:lang w:eastAsia="zh-CN"/>
        </w:rPr>
      </w:pPr>
      <w:r>
        <w:rPr>
          <w:rFonts w:hAnsi="Times New Roman" w:cs="Times New Roman"/>
          <w:b/>
          <w:bCs/>
          <w:color w:val="auto"/>
          <w:highlight w:val="none"/>
          <w:lang w:eastAsia="zh-CN"/>
        </w:rPr>
        <w:t>1.6.1</w:t>
      </w:r>
      <w:r>
        <w:rPr>
          <w:rFonts w:hint="eastAsia" w:hAnsi="Times New Roman" w:cs="Times New Roman"/>
          <w:b/>
          <w:bCs/>
          <w:color w:val="auto"/>
          <w:highlight w:val="none"/>
          <w:lang w:eastAsia="zh-CN"/>
        </w:rPr>
        <w:t>　</w:t>
      </w:r>
      <w:r>
        <w:rPr>
          <w:rFonts w:cs="宋体"/>
          <w:color w:val="auto"/>
          <w:highlight w:val="none"/>
          <w:lang w:eastAsia="zh-CN"/>
        </w:rPr>
        <w:t>图纸的提供</w:t>
      </w:r>
    </w:p>
    <w:p w14:paraId="2D16C1E2">
      <w:pPr>
        <w:kinsoku/>
        <w:ind w:firstLine="0"/>
        <w:rPr>
          <w:rFonts w:cs="宋体"/>
          <w:color w:val="auto"/>
          <w:highlight w:val="none"/>
          <w:lang w:eastAsia="zh-CN"/>
        </w:rPr>
      </w:pPr>
      <w:r>
        <w:rPr>
          <w:rFonts w:cs="宋体"/>
          <w:color w:val="auto"/>
          <w:highlight w:val="none"/>
          <w:lang w:eastAsia="zh-CN"/>
        </w:rPr>
        <w:t>发包人应按技术标准和要求（合同技术条款）约定的期限和数量将施工图纸以及其它图纸（包括配套说明和有关资料）提供给承包人。由于发包人未按时提供图纸造成工期延误的，按第</w:t>
      </w:r>
      <w:r>
        <w:rPr>
          <w:rFonts w:hAnsi="Times New Roman" w:cs="Times New Roman"/>
          <w:color w:val="auto"/>
          <w:highlight w:val="none"/>
          <w:lang w:eastAsia="zh-CN"/>
        </w:rPr>
        <w:t>11.3</w:t>
      </w:r>
      <w:r>
        <w:rPr>
          <w:rFonts w:cs="宋体"/>
          <w:color w:val="auto"/>
          <w:highlight w:val="none"/>
          <w:lang w:eastAsia="zh-CN"/>
        </w:rPr>
        <w:t>款的约定办理。</w:t>
      </w:r>
    </w:p>
    <w:p w14:paraId="383BADC6">
      <w:pPr>
        <w:pStyle w:val="5"/>
        <w:kinsoku/>
        <w:spacing w:before="0" w:beforeLines="0" w:afterLines="0" w:line="360" w:lineRule="auto"/>
        <w:ind w:left="0" w:firstLine="0"/>
        <w:jc w:val="left"/>
        <w:rPr>
          <w:rFonts w:cs="宋体"/>
          <w:color w:val="auto"/>
          <w:highlight w:val="none"/>
          <w:lang w:eastAsia="zh-CN"/>
        </w:rPr>
      </w:pPr>
      <w:r>
        <w:rPr>
          <w:rFonts w:hAnsi="Times New Roman" w:cs="Times New Roman"/>
          <w:b/>
          <w:bCs/>
          <w:color w:val="auto"/>
          <w:highlight w:val="none"/>
          <w:lang w:eastAsia="zh-CN"/>
        </w:rPr>
        <w:t>1.6.2</w:t>
      </w:r>
      <w:r>
        <w:rPr>
          <w:rFonts w:hint="eastAsia" w:hAnsi="Times New Roman" w:cs="Times New Roman"/>
          <w:b/>
          <w:bCs/>
          <w:color w:val="auto"/>
          <w:highlight w:val="none"/>
          <w:lang w:eastAsia="zh-CN"/>
        </w:rPr>
        <w:t>　</w:t>
      </w:r>
      <w:r>
        <w:rPr>
          <w:rFonts w:cs="宋体"/>
          <w:color w:val="auto"/>
          <w:highlight w:val="none"/>
          <w:lang w:eastAsia="zh-CN"/>
        </w:rPr>
        <w:t>承包人提供的文件</w:t>
      </w:r>
    </w:p>
    <w:p w14:paraId="4F2CCF94">
      <w:pPr>
        <w:kinsoku/>
        <w:ind w:firstLine="0"/>
        <w:rPr>
          <w:color w:val="auto"/>
          <w:highlight w:val="none"/>
          <w:lang w:eastAsia="zh-CN"/>
        </w:rPr>
      </w:pPr>
      <w:r>
        <w:rPr>
          <w:color w:val="auto"/>
          <w:highlight w:val="none"/>
          <w:lang w:eastAsia="zh-CN"/>
        </w:rPr>
        <w:t>承包人提供的文件应按技术标准和要求（合同技术条款）约定的期限和数量提供给监理人。监理人应按技术标准和要求（合同技术条款）约定的期限批复承包人。</w:t>
      </w:r>
    </w:p>
    <w:p w14:paraId="1075248A">
      <w:pPr>
        <w:pStyle w:val="5"/>
        <w:kinsoku/>
        <w:spacing w:before="0" w:beforeLines="0" w:afterLines="0" w:line="360" w:lineRule="auto"/>
        <w:ind w:left="0" w:firstLine="0"/>
        <w:jc w:val="left"/>
        <w:rPr>
          <w:rFonts w:cs="宋体"/>
          <w:color w:val="auto"/>
          <w:highlight w:val="none"/>
          <w:lang w:eastAsia="zh-CN"/>
        </w:rPr>
      </w:pPr>
      <w:r>
        <w:rPr>
          <w:rFonts w:hAnsi="Times New Roman" w:cs="Times New Roman"/>
          <w:b/>
          <w:bCs/>
          <w:color w:val="auto"/>
          <w:highlight w:val="none"/>
          <w:lang w:eastAsia="zh-CN"/>
        </w:rPr>
        <w:t>1.6.3</w:t>
      </w:r>
      <w:r>
        <w:rPr>
          <w:rFonts w:hint="eastAsia" w:hAnsi="Times New Roman" w:cs="Times New Roman"/>
          <w:b/>
          <w:bCs/>
          <w:color w:val="auto"/>
          <w:highlight w:val="none"/>
          <w:lang w:eastAsia="zh-CN"/>
        </w:rPr>
        <w:t>　</w:t>
      </w:r>
      <w:r>
        <w:rPr>
          <w:rFonts w:cs="宋体"/>
          <w:color w:val="auto"/>
          <w:highlight w:val="none"/>
          <w:lang w:eastAsia="zh-CN"/>
        </w:rPr>
        <w:t>图纸的修改</w:t>
      </w:r>
    </w:p>
    <w:p w14:paraId="4DAD7864">
      <w:pPr>
        <w:kinsoku/>
        <w:ind w:firstLine="0"/>
        <w:rPr>
          <w:color w:val="auto"/>
          <w:highlight w:val="none"/>
          <w:lang w:eastAsia="zh-CN"/>
        </w:rPr>
      </w:pPr>
      <w:r>
        <w:rPr>
          <w:color w:val="auto"/>
          <w:highlight w:val="none"/>
          <w:lang w:eastAsia="zh-CN"/>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317D6021">
      <w:pPr>
        <w:pStyle w:val="5"/>
        <w:kinsoku/>
        <w:spacing w:before="0" w:beforeLines="0" w:afterLines="0" w:line="360" w:lineRule="auto"/>
        <w:ind w:left="0" w:firstLine="0"/>
        <w:jc w:val="left"/>
        <w:rPr>
          <w:rFonts w:cs="宋体"/>
          <w:color w:val="auto"/>
          <w:highlight w:val="none"/>
          <w:lang w:eastAsia="zh-CN"/>
        </w:rPr>
      </w:pPr>
      <w:r>
        <w:rPr>
          <w:rFonts w:hAnsi="Times New Roman" w:cs="Times New Roman"/>
          <w:b/>
          <w:bCs/>
          <w:color w:val="auto"/>
          <w:highlight w:val="none"/>
          <w:lang w:eastAsia="zh-CN"/>
        </w:rPr>
        <w:t>1.6.4</w:t>
      </w:r>
      <w:r>
        <w:rPr>
          <w:rFonts w:hint="eastAsia" w:hAnsi="Times New Roman" w:cs="Times New Roman"/>
          <w:b/>
          <w:bCs/>
          <w:color w:val="auto"/>
          <w:highlight w:val="none"/>
          <w:lang w:eastAsia="zh-CN"/>
        </w:rPr>
        <w:t>　</w:t>
      </w:r>
      <w:r>
        <w:rPr>
          <w:rFonts w:cs="宋体"/>
          <w:color w:val="auto"/>
          <w:highlight w:val="none"/>
          <w:lang w:eastAsia="zh-CN"/>
        </w:rPr>
        <w:t>图纸的错误</w:t>
      </w:r>
    </w:p>
    <w:p w14:paraId="212BC683">
      <w:pPr>
        <w:kinsoku/>
        <w:ind w:firstLine="0"/>
        <w:rPr>
          <w:color w:val="auto"/>
          <w:highlight w:val="none"/>
          <w:lang w:eastAsia="zh-CN"/>
        </w:rPr>
      </w:pPr>
      <w:r>
        <w:rPr>
          <w:color w:val="auto"/>
          <w:highlight w:val="none"/>
          <w:lang w:eastAsia="zh-CN"/>
        </w:rPr>
        <w:t>承包人发现发包人提供的图纸存在明显错误或疏忽，应及时通知监理人。</w:t>
      </w:r>
    </w:p>
    <w:p w14:paraId="16D99FCB">
      <w:pPr>
        <w:pStyle w:val="5"/>
        <w:kinsoku/>
        <w:spacing w:before="0" w:beforeLines="0" w:afterLines="0" w:line="360" w:lineRule="auto"/>
        <w:ind w:left="0" w:firstLine="0"/>
        <w:jc w:val="left"/>
        <w:rPr>
          <w:rFonts w:cs="宋体"/>
          <w:color w:val="auto"/>
          <w:highlight w:val="none"/>
          <w:lang w:eastAsia="zh-CN"/>
        </w:rPr>
      </w:pPr>
      <w:r>
        <w:rPr>
          <w:rFonts w:hAnsi="Times New Roman" w:cs="Times New Roman"/>
          <w:b/>
          <w:bCs/>
          <w:color w:val="auto"/>
          <w:highlight w:val="none"/>
          <w:lang w:eastAsia="zh-CN"/>
        </w:rPr>
        <w:t>1.6.5</w:t>
      </w:r>
      <w:r>
        <w:rPr>
          <w:rFonts w:hint="eastAsia" w:hAnsi="Times New Roman" w:cs="Times New Roman"/>
          <w:b/>
          <w:bCs/>
          <w:color w:val="auto"/>
          <w:highlight w:val="none"/>
          <w:lang w:eastAsia="zh-CN"/>
        </w:rPr>
        <w:t>　</w:t>
      </w:r>
      <w:r>
        <w:rPr>
          <w:rFonts w:cs="宋体"/>
          <w:color w:val="auto"/>
          <w:highlight w:val="none"/>
          <w:lang w:eastAsia="zh-CN"/>
        </w:rPr>
        <w:t>图纸和承包人文件的保管</w:t>
      </w:r>
    </w:p>
    <w:p w14:paraId="54AA10A6">
      <w:pPr>
        <w:kinsoku/>
        <w:ind w:firstLine="0"/>
        <w:rPr>
          <w:rFonts w:cs="宋体"/>
          <w:color w:val="auto"/>
          <w:highlight w:val="none"/>
          <w:lang w:eastAsia="zh-CN"/>
        </w:rPr>
      </w:pPr>
      <w:r>
        <w:rPr>
          <w:rFonts w:cs="宋体"/>
          <w:color w:val="auto"/>
          <w:highlight w:val="none"/>
          <w:lang w:eastAsia="zh-CN"/>
        </w:rPr>
        <w:t>监理人和承包人均应在施工场地各保存一套完整的包含第</w:t>
      </w:r>
      <w:r>
        <w:rPr>
          <w:rFonts w:hAnsi="Times New Roman" w:cs="Times New Roman"/>
          <w:color w:val="auto"/>
          <w:highlight w:val="none"/>
          <w:lang w:eastAsia="zh-CN"/>
        </w:rPr>
        <w:t>1.6.1</w:t>
      </w:r>
      <w:r>
        <w:rPr>
          <w:rFonts w:cs="宋体"/>
          <w:color w:val="auto"/>
          <w:highlight w:val="none"/>
          <w:lang w:eastAsia="zh-CN"/>
        </w:rPr>
        <w:t>项、第</w:t>
      </w:r>
      <w:r>
        <w:rPr>
          <w:rFonts w:hAnsi="Times New Roman" w:cs="Times New Roman"/>
          <w:color w:val="auto"/>
          <w:highlight w:val="none"/>
          <w:lang w:eastAsia="zh-CN"/>
        </w:rPr>
        <w:t>1.6.2</w:t>
      </w:r>
      <w:r>
        <w:rPr>
          <w:rFonts w:cs="宋体"/>
          <w:color w:val="auto"/>
          <w:highlight w:val="none"/>
          <w:lang w:eastAsia="zh-CN"/>
        </w:rPr>
        <w:t>项、第</w:t>
      </w:r>
      <w:r>
        <w:rPr>
          <w:rFonts w:hAnsi="Times New Roman" w:cs="Times New Roman"/>
          <w:color w:val="auto"/>
          <w:highlight w:val="none"/>
          <w:lang w:eastAsia="zh-CN"/>
        </w:rPr>
        <w:t>1.6.3</w:t>
      </w:r>
      <w:r>
        <w:rPr>
          <w:rFonts w:cs="宋体"/>
          <w:color w:val="auto"/>
          <w:highlight w:val="none"/>
          <w:lang w:eastAsia="zh-CN"/>
        </w:rPr>
        <w:t>项约定内容的图纸和承包人文件。</w:t>
      </w:r>
    </w:p>
    <w:p w14:paraId="0C48F6DE">
      <w:pPr>
        <w:pStyle w:val="4"/>
        <w:kinsoku/>
        <w:spacing w:before="0" w:beforeLines="0" w:afterLines="0" w:line="360" w:lineRule="auto"/>
        <w:ind w:left="0" w:firstLine="0"/>
        <w:rPr>
          <w:rFonts w:hint="eastAsia" w:ascii="宋体" w:hAnsi="宋体" w:cs="宋体"/>
          <w:bCs/>
          <w:color w:val="auto"/>
          <w:szCs w:val="24"/>
          <w:highlight w:val="none"/>
        </w:rPr>
      </w:pPr>
      <w:bookmarkStart w:id="694" w:name="_Toc21964"/>
      <w:bookmarkStart w:id="695" w:name="_Toc29713"/>
      <w:bookmarkStart w:id="696" w:name="_Toc23265"/>
      <w:r>
        <w:rPr>
          <w:rFonts w:hint="eastAsia" w:ascii="宋体" w:cs="宋体"/>
          <w:bCs/>
          <w:color w:val="auto"/>
          <w:szCs w:val="24"/>
          <w:highlight w:val="none"/>
        </w:rPr>
        <w:t>1.7</w:t>
      </w:r>
      <w:r>
        <w:rPr>
          <w:rFonts w:hint="eastAsia" w:cs="宋体"/>
          <w:bCs/>
          <w:color w:val="auto"/>
          <w:szCs w:val="24"/>
          <w:highlight w:val="none"/>
          <w:lang w:eastAsia="zh-CN"/>
        </w:rPr>
        <w:t>　</w:t>
      </w:r>
      <w:r>
        <w:rPr>
          <w:rFonts w:hint="eastAsia" w:ascii="宋体" w:hAnsi="宋体" w:cs="宋体"/>
          <w:bCs/>
          <w:color w:val="auto"/>
          <w:szCs w:val="24"/>
          <w:highlight w:val="none"/>
        </w:rPr>
        <w:t>联络</w:t>
      </w:r>
      <w:bookmarkEnd w:id="694"/>
      <w:bookmarkEnd w:id="695"/>
      <w:bookmarkEnd w:id="696"/>
    </w:p>
    <w:p w14:paraId="75015C4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1.7.1</w:t>
      </w:r>
      <w:r>
        <w:rPr>
          <w:rFonts w:hint="eastAsia" w:hAnsi="Times New Roman" w:cs="Times New Roman"/>
          <w:b/>
          <w:bCs/>
          <w:color w:val="auto"/>
          <w:highlight w:val="none"/>
          <w:lang w:eastAsia="zh-CN"/>
        </w:rPr>
        <w:t>　</w:t>
      </w:r>
      <w:r>
        <w:rPr>
          <w:rFonts w:cs="宋体"/>
          <w:color w:val="auto"/>
          <w:highlight w:val="none"/>
          <w:lang w:eastAsia="zh-CN"/>
        </w:rPr>
        <w:t>与合同有关的通知、批准、证明、证书、指示、要求、请求、同意、意见、确定和决定等，均应采用书面形式。</w:t>
      </w:r>
    </w:p>
    <w:p w14:paraId="25FF1DF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1.7.2</w:t>
      </w:r>
      <w:r>
        <w:rPr>
          <w:rFonts w:hint="eastAsia" w:hAnsi="Times New Roman" w:cs="Times New Roman"/>
          <w:b/>
          <w:bCs/>
          <w:color w:val="auto"/>
          <w:highlight w:val="none"/>
          <w:lang w:eastAsia="zh-CN"/>
        </w:rPr>
        <w:t>　</w:t>
      </w:r>
      <w:r>
        <w:rPr>
          <w:rFonts w:cs="宋体"/>
          <w:color w:val="auto"/>
          <w:highlight w:val="none"/>
          <w:lang w:eastAsia="zh-CN"/>
        </w:rPr>
        <w:t>第</w:t>
      </w:r>
      <w:r>
        <w:rPr>
          <w:rFonts w:hAnsi="Times New Roman" w:cs="Times New Roman"/>
          <w:color w:val="auto"/>
          <w:highlight w:val="none"/>
          <w:lang w:eastAsia="zh-CN"/>
        </w:rPr>
        <w:t>1.7.1</w:t>
      </w:r>
      <w:r>
        <w:rPr>
          <w:rFonts w:cs="宋体"/>
          <w:color w:val="auto"/>
          <w:highlight w:val="none"/>
          <w:lang w:eastAsia="zh-CN"/>
        </w:rPr>
        <w:t>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05EB5CD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1.7.3</w:t>
      </w:r>
      <w:r>
        <w:rPr>
          <w:rFonts w:hint="eastAsia" w:hAnsi="Times New Roman" w:cs="Times New Roman"/>
          <w:b/>
          <w:bCs/>
          <w:color w:val="auto"/>
          <w:highlight w:val="none"/>
          <w:lang w:eastAsia="zh-CN"/>
        </w:rPr>
        <w:t>　</w:t>
      </w:r>
      <w:r>
        <w:rPr>
          <w:rFonts w:cs="宋体"/>
          <w:color w:val="auto"/>
          <w:highlight w:val="none"/>
          <w:lang w:eastAsia="zh-CN"/>
        </w:rPr>
        <w:t>来往函件均应按合同约定的期限及时发出和答复，不得无故扣压和拖延，亦不得拒收。否则，由此造成的后果由责任方负责。</w:t>
      </w:r>
    </w:p>
    <w:p w14:paraId="0DE95278">
      <w:pPr>
        <w:pStyle w:val="4"/>
        <w:kinsoku/>
        <w:autoSpaceDE/>
        <w:autoSpaceDN/>
        <w:adjustRightInd w:val="0"/>
        <w:snapToGrid w:val="0"/>
        <w:spacing w:beforeLines="0" w:afterLines="0" w:line="360" w:lineRule="auto"/>
        <w:ind w:firstLine="0"/>
        <w:jc w:val="both"/>
        <w:textAlignment w:val="baseline"/>
        <w:rPr>
          <w:rFonts w:hint="eastAsia" w:ascii="宋体" w:hAnsi="宋体" w:eastAsia="宋体" w:cs="宋体"/>
          <w:b/>
          <w:bCs/>
          <w:snapToGrid w:val="0"/>
          <w:color w:val="auto"/>
          <w:sz w:val="24"/>
          <w:szCs w:val="24"/>
          <w:highlight w:val="none"/>
          <w:lang w:val="en-US" w:eastAsia="en-US" w:bidi="ar-SA"/>
        </w:rPr>
      </w:pPr>
      <w:bookmarkStart w:id="697" w:name="_Toc8123"/>
      <w:bookmarkStart w:id="698" w:name="_Toc28"/>
      <w:bookmarkStart w:id="699" w:name="_Toc4935"/>
      <w:r>
        <w:rPr>
          <w:rFonts w:hint="eastAsia" w:ascii="宋体" w:hAnsi="宋体" w:eastAsia="宋体" w:cs="宋体"/>
          <w:b/>
          <w:bCs/>
          <w:snapToGrid w:val="0"/>
          <w:color w:val="auto"/>
          <w:sz w:val="24"/>
          <w:szCs w:val="24"/>
          <w:highlight w:val="none"/>
          <w:lang w:val="en-US" w:eastAsia="en-US" w:bidi="ar-SA"/>
        </w:rPr>
        <w:t>1.8</w:t>
      </w:r>
      <w:r>
        <w:rPr>
          <w:rFonts w:hint="eastAsia" w:cs="宋体"/>
          <w:b/>
          <w:bCs/>
          <w:snapToGrid w:val="0"/>
          <w:color w:val="auto"/>
          <w:sz w:val="24"/>
          <w:szCs w:val="24"/>
          <w:highlight w:val="none"/>
          <w:lang w:val="en-US" w:eastAsia="zh-CN" w:bidi="ar-SA"/>
        </w:rPr>
        <w:t>　</w:t>
      </w:r>
      <w:r>
        <w:rPr>
          <w:rFonts w:hint="eastAsia" w:ascii="宋体" w:hAnsi="宋体" w:eastAsia="宋体" w:cs="宋体"/>
          <w:b/>
          <w:bCs/>
          <w:snapToGrid w:val="0"/>
          <w:color w:val="auto"/>
          <w:sz w:val="24"/>
          <w:szCs w:val="24"/>
          <w:highlight w:val="none"/>
          <w:lang w:val="en-US" w:eastAsia="en-US" w:bidi="ar-SA"/>
        </w:rPr>
        <w:t>转让</w:t>
      </w:r>
      <w:bookmarkEnd w:id="697"/>
      <w:bookmarkEnd w:id="698"/>
      <w:bookmarkEnd w:id="699"/>
    </w:p>
    <w:p w14:paraId="2BEF9B5C">
      <w:pPr>
        <w:kinsoku/>
        <w:ind w:firstLine="0"/>
        <w:rPr>
          <w:color w:val="auto"/>
          <w:highlight w:val="none"/>
          <w:lang w:eastAsia="zh-CN"/>
        </w:rPr>
      </w:pPr>
      <w:r>
        <w:rPr>
          <w:color w:val="auto"/>
          <w:highlight w:val="none"/>
          <w:lang w:eastAsia="zh-CN"/>
        </w:rPr>
        <w:t>除合同另有约定外，未经对方当事人同意，一方当事人不得将合同权利全部或部分转让给第三人，也不得全部或部分转移合同义务。</w:t>
      </w:r>
    </w:p>
    <w:p w14:paraId="1FDCDF01">
      <w:pPr>
        <w:pStyle w:val="4"/>
        <w:kinsoku/>
        <w:autoSpaceDE/>
        <w:autoSpaceDN/>
        <w:adjustRightInd w:val="0"/>
        <w:snapToGrid w:val="0"/>
        <w:spacing w:beforeLines="0" w:afterLines="0" w:line="360" w:lineRule="auto"/>
        <w:ind w:firstLine="0"/>
        <w:jc w:val="both"/>
        <w:textAlignment w:val="baseline"/>
        <w:rPr>
          <w:rFonts w:hint="eastAsia" w:ascii="宋体" w:hAnsi="宋体" w:eastAsia="宋体" w:cs="宋体"/>
          <w:b/>
          <w:bCs/>
          <w:snapToGrid w:val="0"/>
          <w:color w:val="auto"/>
          <w:sz w:val="24"/>
          <w:szCs w:val="24"/>
          <w:highlight w:val="none"/>
          <w:lang w:val="en-US" w:eastAsia="en-US" w:bidi="ar-SA"/>
        </w:rPr>
      </w:pPr>
      <w:bookmarkStart w:id="700" w:name="_Toc25525"/>
      <w:bookmarkStart w:id="701" w:name="_Toc4029"/>
      <w:bookmarkStart w:id="702" w:name="_Toc20510"/>
      <w:r>
        <w:rPr>
          <w:rFonts w:hint="eastAsia" w:ascii="宋体" w:hAnsi="宋体" w:eastAsia="宋体" w:cs="宋体"/>
          <w:b/>
          <w:bCs/>
          <w:snapToGrid w:val="0"/>
          <w:color w:val="auto"/>
          <w:sz w:val="24"/>
          <w:szCs w:val="24"/>
          <w:highlight w:val="none"/>
          <w:lang w:val="en-US" w:eastAsia="en-US" w:bidi="ar-SA"/>
        </w:rPr>
        <w:t>1.9</w:t>
      </w:r>
      <w:r>
        <w:rPr>
          <w:rFonts w:hint="eastAsia" w:cs="宋体"/>
          <w:b/>
          <w:bCs/>
          <w:snapToGrid w:val="0"/>
          <w:color w:val="auto"/>
          <w:sz w:val="24"/>
          <w:szCs w:val="24"/>
          <w:highlight w:val="none"/>
          <w:lang w:val="en-US" w:eastAsia="zh-CN" w:bidi="ar-SA"/>
        </w:rPr>
        <w:t>　</w:t>
      </w:r>
      <w:r>
        <w:rPr>
          <w:rFonts w:hint="eastAsia" w:ascii="宋体" w:hAnsi="宋体" w:eastAsia="宋体" w:cs="宋体"/>
          <w:b/>
          <w:bCs/>
          <w:snapToGrid w:val="0"/>
          <w:color w:val="auto"/>
          <w:sz w:val="24"/>
          <w:szCs w:val="24"/>
          <w:highlight w:val="none"/>
          <w:lang w:val="en-US" w:eastAsia="en-US" w:bidi="ar-SA"/>
        </w:rPr>
        <w:t>严禁贿赂</w:t>
      </w:r>
      <w:bookmarkEnd w:id="700"/>
      <w:bookmarkEnd w:id="701"/>
      <w:bookmarkEnd w:id="702"/>
    </w:p>
    <w:p w14:paraId="0CB3655B">
      <w:pPr>
        <w:kinsoku/>
        <w:ind w:firstLine="0"/>
        <w:rPr>
          <w:color w:val="auto"/>
          <w:highlight w:val="none"/>
          <w:lang w:eastAsia="zh-CN"/>
        </w:rPr>
      </w:pPr>
      <w:r>
        <w:rPr>
          <w:color w:val="auto"/>
          <w:highlight w:val="none"/>
          <w:lang w:eastAsia="zh-CN"/>
        </w:rPr>
        <w:t>合同双方当事人不得以贿赂或变相贿赂的方式，谋取不当利益或损害对方权益。因贿赂造成对方损失的，行为人应赔偿损失，并承担相应的法律责任。</w:t>
      </w:r>
    </w:p>
    <w:p w14:paraId="2296381F">
      <w:pPr>
        <w:pStyle w:val="4"/>
        <w:kinsoku/>
        <w:autoSpaceDE/>
        <w:autoSpaceDN/>
        <w:adjustRightInd w:val="0"/>
        <w:snapToGrid w:val="0"/>
        <w:spacing w:beforeLines="0" w:afterLines="0" w:line="360" w:lineRule="auto"/>
        <w:ind w:firstLine="0"/>
        <w:jc w:val="both"/>
        <w:textAlignment w:val="baseline"/>
        <w:rPr>
          <w:rFonts w:hint="eastAsia" w:ascii="宋体" w:hAnsi="宋体" w:eastAsia="宋体" w:cs="宋体"/>
          <w:b/>
          <w:bCs/>
          <w:snapToGrid w:val="0"/>
          <w:color w:val="auto"/>
          <w:sz w:val="24"/>
          <w:szCs w:val="24"/>
          <w:highlight w:val="none"/>
          <w:lang w:val="en-US" w:eastAsia="en-US" w:bidi="ar-SA"/>
        </w:rPr>
      </w:pPr>
      <w:bookmarkStart w:id="703" w:name="_Toc9938"/>
      <w:bookmarkStart w:id="704" w:name="_Toc20473"/>
      <w:bookmarkStart w:id="705" w:name="_Toc22532"/>
      <w:r>
        <w:rPr>
          <w:rFonts w:hint="eastAsia" w:ascii="宋体" w:hAnsi="宋体" w:eastAsia="宋体" w:cs="宋体"/>
          <w:b/>
          <w:bCs/>
          <w:snapToGrid w:val="0"/>
          <w:color w:val="auto"/>
          <w:sz w:val="24"/>
          <w:szCs w:val="24"/>
          <w:highlight w:val="none"/>
          <w:lang w:val="en-US" w:eastAsia="en-US" w:bidi="ar-SA"/>
        </w:rPr>
        <w:t>1.10</w:t>
      </w:r>
      <w:r>
        <w:rPr>
          <w:rFonts w:hint="eastAsia" w:cs="宋体"/>
          <w:b/>
          <w:bCs/>
          <w:snapToGrid w:val="0"/>
          <w:color w:val="auto"/>
          <w:sz w:val="24"/>
          <w:szCs w:val="24"/>
          <w:highlight w:val="none"/>
          <w:lang w:val="en-US" w:eastAsia="zh-CN" w:bidi="ar-SA"/>
        </w:rPr>
        <w:t>　</w:t>
      </w:r>
      <w:r>
        <w:rPr>
          <w:rFonts w:hint="eastAsia" w:ascii="宋体" w:hAnsi="宋体" w:eastAsia="宋体" w:cs="宋体"/>
          <w:b/>
          <w:bCs/>
          <w:snapToGrid w:val="0"/>
          <w:color w:val="auto"/>
          <w:sz w:val="24"/>
          <w:szCs w:val="24"/>
          <w:highlight w:val="none"/>
          <w:lang w:val="en-US" w:eastAsia="en-US" w:bidi="ar-SA"/>
        </w:rPr>
        <w:t>化石、文物</w:t>
      </w:r>
      <w:bookmarkEnd w:id="703"/>
      <w:bookmarkEnd w:id="704"/>
      <w:bookmarkEnd w:id="705"/>
    </w:p>
    <w:p w14:paraId="58D7B02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1.10.1</w:t>
      </w:r>
      <w:r>
        <w:rPr>
          <w:rFonts w:hint="eastAsia" w:hAnsi="Times New Roman" w:cs="Times New Roman"/>
          <w:b/>
          <w:bCs/>
          <w:color w:val="auto"/>
          <w:highlight w:val="none"/>
          <w:lang w:eastAsia="zh-CN"/>
        </w:rPr>
        <w:t>　</w:t>
      </w:r>
      <w:r>
        <w:rPr>
          <w:rFonts w:cs="宋体"/>
          <w:color w:val="auto"/>
          <w:highlight w:val="none"/>
          <w:lang w:eastAsia="zh-CN"/>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230F610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1.10.2</w:t>
      </w:r>
      <w:r>
        <w:rPr>
          <w:rFonts w:hint="eastAsia" w:hAnsi="Times New Roman" w:cs="Times New Roman"/>
          <w:b/>
          <w:bCs/>
          <w:color w:val="auto"/>
          <w:highlight w:val="none"/>
          <w:lang w:eastAsia="zh-CN"/>
        </w:rPr>
        <w:t>　</w:t>
      </w:r>
      <w:r>
        <w:rPr>
          <w:rFonts w:cs="宋体"/>
          <w:color w:val="auto"/>
          <w:highlight w:val="none"/>
          <w:lang w:eastAsia="zh-CN"/>
        </w:rPr>
        <w:t>承包人发现文物后不及时报告或隐瞒不报，致使文物丢失或损坏的，应赔偿损失，并承担相应的法律责任。</w:t>
      </w:r>
    </w:p>
    <w:p w14:paraId="03B581D3">
      <w:pPr>
        <w:pStyle w:val="4"/>
        <w:kinsoku/>
        <w:autoSpaceDE/>
        <w:autoSpaceDN/>
        <w:adjustRightInd w:val="0"/>
        <w:snapToGrid w:val="0"/>
        <w:spacing w:beforeLines="0" w:afterLines="0" w:line="360" w:lineRule="auto"/>
        <w:jc w:val="both"/>
        <w:textAlignment w:val="baseline"/>
        <w:rPr>
          <w:rFonts w:hint="eastAsia" w:ascii="宋体" w:hAnsi="宋体" w:eastAsia="宋体" w:cs="宋体"/>
          <w:b/>
          <w:bCs/>
          <w:snapToGrid w:val="0"/>
          <w:color w:val="auto"/>
          <w:sz w:val="24"/>
          <w:szCs w:val="24"/>
          <w:highlight w:val="none"/>
          <w:lang w:val="en-US" w:eastAsia="en-US" w:bidi="ar-SA"/>
        </w:rPr>
      </w:pPr>
      <w:bookmarkStart w:id="706" w:name="_Toc8799"/>
      <w:bookmarkStart w:id="707" w:name="_Toc32017"/>
      <w:bookmarkStart w:id="708" w:name="_Toc18929"/>
      <w:r>
        <w:rPr>
          <w:rFonts w:hint="eastAsia" w:ascii="宋体" w:hAnsi="宋体" w:eastAsia="宋体" w:cs="宋体"/>
          <w:b/>
          <w:bCs/>
          <w:snapToGrid w:val="0"/>
          <w:color w:val="auto"/>
          <w:sz w:val="24"/>
          <w:szCs w:val="24"/>
          <w:highlight w:val="none"/>
          <w:lang w:val="en-US" w:eastAsia="en-US" w:bidi="ar-SA"/>
        </w:rPr>
        <w:t>1.11</w:t>
      </w:r>
      <w:r>
        <w:rPr>
          <w:rFonts w:hint="eastAsia" w:cs="宋体"/>
          <w:b/>
          <w:bCs/>
          <w:snapToGrid w:val="0"/>
          <w:color w:val="auto"/>
          <w:sz w:val="24"/>
          <w:szCs w:val="24"/>
          <w:highlight w:val="none"/>
          <w:lang w:val="en-US" w:eastAsia="zh-CN" w:bidi="ar-SA"/>
        </w:rPr>
        <w:t>　</w:t>
      </w:r>
      <w:r>
        <w:rPr>
          <w:rFonts w:hint="eastAsia" w:ascii="宋体" w:hAnsi="宋体" w:eastAsia="宋体" w:cs="宋体"/>
          <w:b/>
          <w:bCs/>
          <w:snapToGrid w:val="0"/>
          <w:color w:val="auto"/>
          <w:sz w:val="24"/>
          <w:szCs w:val="24"/>
          <w:highlight w:val="none"/>
          <w:lang w:val="en-US" w:eastAsia="en-US" w:bidi="ar-SA"/>
        </w:rPr>
        <w:t>专利技术</w:t>
      </w:r>
      <w:bookmarkEnd w:id="706"/>
      <w:bookmarkEnd w:id="707"/>
      <w:bookmarkEnd w:id="708"/>
    </w:p>
    <w:p w14:paraId="02743D9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1.11.1</w:t>
      </w:r>
      <w:r>
        <w:rPr>
          <w:rFonts w:hint="eastAsia" w:hAnsi="Times New Roman" w:cs="Times New Roman"/>
          <w:b/>
          <w:bCs/>
          <w:color w:val="auto"/>
          <w:highlight w:val="none"/>
          <w:lang w:eastAsia="zh-CN"/>
        </w:rPr>
        <w:t>　</w:t>
      </w:r>
      <w:r>
        <w:rPr>
          <w:rFonts w:cs="宋体"/>
          <w:color w:val="auto"/>
          <w:highlight w:val="none"/>
          <w:lang w:eastAsia="zh-CN"/>
        </w:rPr>
        <w:t>承包人在使用任何材料、承包人设备、工程设备或采用施工工艺时，因侵犯专利权或其他知识产权所引起的责任，由承包人承担，但由于遵照发包人提供的设计或技术标准和要求引起的除外。</w:t>
      </w:r>
    </w:p>
    <w:p w14:paraId="2B27896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1.11.2</w:t>
      </w:r>
      <w:r>
        <w:rPr>
          <w:rFonts w:hint="eastAsia" w:hAnsi="Times New Roman" w:cs="Times New Roman"/>
          <w:b/>
          <w:bCs/>
          <w:color w:val="auto"/>
          <w:highlight w:val="none"/>
          <w:lang w:eastAsia="zh-CN"/>
        </w:rPr>
        <w:t>　</w:t>
      </w:r>
      <w:r>
        <w:rPr>
          <w:rFonts w:cs="宋体"/>
          <w:color w:val="auto"/>
          <w:highlight w:val="none"/>
          <w:lang w:eastAsia="zh-CN"/>
        </w:rPr>
        <w:t>承包人在投标文件中采用专利技术的，专利技术的使用费包含在投标报价内。</w:t>
      </w:r>
    </w:p>
    <w:p w14:paraId="459CBF3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1.11.3</w:t>
      </w:r>
      <w:r>
        <w:rPr>
          <w:rFonts w:hint="eastAsia" w:hAnsi="Times New Roman" w:cs="Times New Roman"/>
          <w:b/>
          <w:bCs/>
          <w:color w:val="auto"/>
          <w:highlight w:val="none"/>
          <w:lang w:eastAsia="zh-CN"/>
        </w:rPr>
        <w:t>　</w:t>
      </w:r>
      <w:r>
        <w:rPr>
          <w:rFonts w:cs="宋体"/>
          <w:color w:val="auto"/>
          <w:highlight w:val="none"/>
          <w:lang w:eastAsia="zh-CN"/>
        </w:rPr>
        <w:t>承包人的技术秘密和声明需要保密的资料和信息，发包人和监理人不得为合同以外的目的泄露给他人。</w:t>
      </w:r>
    </w:p>
    <w:p w14:paraId="68A30DF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1.11.4</w:t>
      </w:r>
      <w:r>
        <w:rPr>
          <w:rFonts w:hint="eastAsia" w:hAnsi="Times New Roman" w:cs="Times New Roman"/>
          <w:b/>
          <w:bCs/>
          <w:color w:val="auto"/>
          <w:highlight w:val="none"/>
          <w:lang w:eastAsia="zh-CN"/>
        </w:rPr>
        <w:t>　</w:t>
      </w:r>
      <w:r>
        <w:rPr>
          <w:rFonts w:cs="宋体"/>
          <w:color w:val="auto"/>
          <w:highlight w:val="none"/>
          <w:lang w:eastAsia="zh-CN"/>
        </w:rPr>
        <w:t>合同实施过程中，发包人要求承包人采用专利技术的，发包人应办理相应的使用手续，承包人应按发包人约定的条件使用，并承担使用专利技术的相关试验工作，所需费用由发包人承担。</w:t>
      </w:r>
    </w:p>
    <w:p w14:paraId="4DA93C64">
      <w:pPr>
        <w:pStyle w:val="4"/>
        <w:kinsoku/>
        <w:autoSpaceDE/>
        <w:autoSpaceDN/>
        <w:adjustRightInd w:val="0"/>
        <w:snapToGrid w:val="0"/>
        <w:spacing w:beforeLines="0" w:afterLines="0" w:line="360" w:lineRule="auto"/>
        <w:jc w:val="both"/>
        <w:textAlignment w:val="baseline"/>
        <w:rPr>
          <w:rFonts w:hint="eastAsia" w:ascii="宋体" w:hAnsi="宋体" w:eastAsia="宋体" w:cs="宋体"/>
          <w:b/>
          <w:bCs/>
          <w:snapToGrid w:val="0"/>
          <w:color w:val="auto"/>
          <w:sz w:val="24"/>
          <w:szCs w:val="24"/>
          <w:highlight w:val="none"/>
          <w:lang w:val="en-US" w:eastAsia="en-US" w:bidi="ar-SA"/>
        </w:rPr>
      </w:pPr>
      <w:bookmarkStart w:id="709" w:name="_Toc30061"/>
      <w:bookmarkStart w:id="710" w:name="_Toc32684"/>
      <w:bookmarkStart w:id="711" w:name="_Toc22897"/>
      <w:r>
        <w:rPr>
          <w:rFonts w:hint="eastAsia" w:ascii="宋体" w:hAnsi="宋体" w:eastAsia="宋体" w:cs="宋体"/>
          <w:b/>
          <w:bCs/>
          <w:snapToGrid w:val="0"/>
          <w:color w:val="auto"/>
          <w:sz w:val="24"/>
          <w:szCs w:val="24"/>
          <w:highlight w:val="none"/>
          <w:lang w:val="en-US" w:eastAsia="en-US" w:bidi="ar-SA"/>
        </w:rPr>
        <w:t>1.12</w:t>
      </w:r>
      <w:r>
        <w:rPr>
          <w:rFonts w:hint="eastAsia" w:cs="宋体"/>
          <w:b/>
          <w:bCs/>
          <w:snapToGrid w:val="0"/>
          <w:color w:val="auto"/>
          <w:sz w:val="24"/>
          <w:szCs w:val="24"/>
          <w:highlight w:val="none"/>
          <w:lang w:val="en-US" w:eastAsia="zh-CN" w:bidi="ar-SA"/>
        </w:rPr>
        <w:t>　</w:t>
      </w:r>
      <w:r>
        <w:rPr>
          <w:rFonts w:hint="eastAsia" w:ascii="宋体" w:hAnsi="宋体" w:eastAsia="宋体" w:cs="宋体"/>
          <w:b/>
          <w:bCs/>
          <w:snapToGrid w:val="0"/>
          <w:color w:val="auto"/>
          <w:sz w:val="24"/>
          <w:szCs w:val="24"/>
          <w:highlight w:val="none"/>
          <w:lang w:val="en-US" w:eastAsia="en-US" w:bidi="ar-SA"/>
        </w:rPr>
        <w:t>图纸和文件的保密</w:t>
      </w:r>
      <w:bookmarkEnd w:id="709"/>
      <w:bookmarkEnd w:id="710"/>
      <w:bookmarkEnd w:id="711"/>
    </w:p>
    <w:p w14:paraId="63264CF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1.12.1</w:t>
      </w:r>
      <w:r>
        <w:rPr>
          <w:rFonts w:hint="eastAsia" w:hAnsi="Times New Roman" w:cs="Times New Roman"/>
          <w:b/>
          <w:bCs/>
          <w:color w:val="auto"/>
          <w:highlight w:val="none"/>
          <w:lang w:eastAsia="zh-CN"/>
        </w:rPr>
        <w:t>　</w:t>
      </w:r>
      <w:r>
        <w:rPr>
          <w:rFonts w:cs="宋体"/>
          <w:color w:val="auto"/>
          <w:highlight w:val="none"/>
          <w:lang w:eastAsia="zh-CN"/>
        </w:rPr>
        <w:t>发包人提供的图纸和文件，未经发包人同意，承包人不得为合同以外的目的泄露给他人或公开发表与引用。</w:t>
      </w:r>
    </w:p>
    <w:p w14:paraId="6F5115F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1.12.2</w:t>
      </w:r>
      <w:r>
        <w:rPr>
          <w:rFonts w:hint="eastAsia" w:hAnsi="Times New Roman" w:cs="Times New Roman"/>
          <w:b/>
          <w:bCs/>
          <w:color w:val="auto"/>
          <w:highlight w:val="none"/>
          <w:lang w:eastAsia="zh-CN"/>
        </w:rPr>
        <w:t>　</w:t>
      </w:r>
      <w:r>
        <w:rPr>
          <w:rFonts w:cs="宋体"/>
          <w:color w:val="auto"/>
          <w:highlight w:val="none"/>
          <w:lang w:eastAsia="zh-CN"/>
        </w:rPr>
        <w:t>承包人提供的文件，未经承包人同意，发包人和监理人不得为合同以外的目的泄露给他人或公开发表与引用。</w:t>
      </w:r>
    </w:p>
    <w:p w14:paraId="00012C76">
      <w:pPr>
        <w:pStyle w:val="3"/>
        <w:kinsoku/>
        <w:autoSpaceDE w:val="0"/>
        <w:autoSpaceDN w:val="0"/>
        <w:adjustRightInd w:val="0"/>
        <w:snapToGrid w:val="0"/>
        <w:spacing w:line="360" w:lineRule="auto"/>
        <w:textAlignment w:val="baseline"/>
        <w:rPr>
          <w:rFonts w:hint="eastAsia" w:ascii="宋体" w:cs="宋体"/>
          <w:b/>
          <w:bCs/>
          <w:color w:val="auto"/>
          <w:sz w:val="30"/>
          <w:szCs w:val="30"/>
          <w:highlight w:val="none"/>
        </w:rPr>
      </w:pPr>
      <w:bookmarkStart w:id="712" w:name="_Toc8225"/>
      <w:bookmarkStart w:id="713" w:name="_Toc2451"/>
      <w:bookmarkStart w:id="714" w:name="_Toc10968"/>
      <w:bookmarkStart w:id="715" w:name="_Toc7481"/>
      <w:bookmarkStart w:id="716" w:name="_Toc17832"/>
      <w:bookmarkStart w:id="717" w:name="_Toc15486"/>
      <w:bookmarkStart w:id="718" w:name="_Toc26757"/>
      <w:bookmarkStart w:id="719" w:name="_Toc20971"/>
      <w:bookmarkStart w:id="720" w:name="_Toc15348"/>
      <w:bookmarkStart w:id="721" w:name="_Toc22583"/>
      <w:bookmarkStart w:id="722" w:name="_Toc22769"/>
      <w:bookmarkStart w:id="723" w:name="_Toc220"/>
      <w:bookmarkStart w:id="724" w:name="_Toc15956"/>
      <w:bookmarkStart w:id="725" w:name="_Toc1456"/>
      <w:r>
        <w:rPr>
          <w:rFonts w:hint="eastAsia" w:ascii="宋体" w:cs="宋体"/>
          <w:b/>
          <w:bCs/>
          <w:color w:val="auto"/>
          <w:sz w:val="30"/>
          <w:szCs w:val="30"/>
          <w:highlight w:val="none"/>
        </w:rPr>
        <w:t>2</w:t>
      </w:r>
      <w:r>
        <w:rPr>
          <w:rFonts w:ascii="Arial" w:hAnsi="Arial" w:eastAsia="宋体" w:cs="Arial"/>
          <w:snapToGrid w:val="0"/>
          <w:color w:val="auto"/>
          <w:sz w:val="30"/>
          <w:szCs w:val="30"/>
          <w:highlight w:val="none"/>
          <w:lang w:val="en-US" w:eastAsia="en-US" w:bidi="ar-SA"/>
        </w:rPr>
        <w:t>　</w:t>
      </w:r>
      <w:r>
        <w:rPr>
          <w:rFonts w:hint="eastAsia" w:ascii="宋体" w:cs="宋体"/>
          <w:b/>
          <w:bCs/>
          <w:color w:val="auto"/>
          <w:sz w:val="30"/>
          <w:szCs w:val="30"/>
          <w:highlight w:val="none"/>
        </w:rPr>
        <w:t>发包人义务</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7ED0C9F0">
      <w:pPr>
        <w:pStyle w:val="4"/>
        <w:kinsoku/>
        <w:spacing w:beforeLines="0" w:afterLines="0"/>
        <w:jc w:val="both"/>
        <w:rPr>
          <w:rFonts w:hint="eastAsia" w:hAnsi="宋体" w:cs="宋体"/>
          <w:b/>
          <w:bCs/>
          <w:color w:val="auto"/>
          <w:szCs w:val="24"/>
          <w:highlight w:val="none"/>
          <w:lang w:eastAsia="zh-CN"/>
        </w:rPr>
      </w:pPr>
      <w:bookmarkStart w:id="726" w:name="_Toc12946"/>
      <w:bookmarkStart w:id="727" w:name="_Toc14347"/>
      <w:bookmarkStart w:id="728" w:name="_Toc1911"/>
      <w:r>
        <w:rPr>
          <w:rFonts w:hint="eastAsia" w:hAnsi="宋体" w:cs="宋体"/>
          <w:b/>
          <w:bCs/>
          <w:color w:val="auto"/>
          <w:szCs w:val="24"/>
          <w:highlight w:val="none"/>
          <w:lang w:eastAsia="zh-CN"/>
        </w:rPr>
        <w:t>2.1</w:t>
      </w:r>
      <w:r>
        <w:rPr>
          <w:rFonts w:hint="eastAsia" w:cs="宋体"/>
          <w:b/>
          <w:bCs/>
          <w:color w:val="auto"/>
          <w:szCs w:val="24"/>
          <w:highlight w:val="none"/>
          <w:lang w:eastAsia="zh-CN"/>
        </w:rPr>
        <w:t>　</w:t>
      </w:r>
      <w:r>
        <w:rPr>
          <w:rFonts w:hint="eastAsia" w:hAnsi="宋体" w:cs="宋体"/>
          <w:b/>
          <w:bCs/>
          <w:color w:val="auto"/>
          <w:szCs w:val="24"/>
          <w:highlight w:val="none"/>
          <w:lang w:eastAsia="zh-CN"/>
        </w:rPr>
        <w:t>遵守法律</w:t>
      </w:r>
      <w:bookmarkEnd w:id="726"/>
      <w:bookmarkEnd w:id="727"/>
      <w:bookmarkEnd w:id="728"/>
    </w:p>
    <w:p w14:paraId="2D93444E">
      <w:pPr>
        <w:kinsoku/>
        <w:ind w:firstLine="0"/>
        <w:rPr>
          <w:color w:val="auto"/>
          <w:highlight w:val="none"/>
          <w:lang w:eastAsia="zh-CN"/>
        </w:rPr>
      </w:pPr>
      <w:r>
        <w:rPr>
          <w:color w:val="auto"/>
          <w:highlight w:val="none"/>
          <w:lang w:eastAsia="zh-CN"/>
        </w:rPr>
        <w:t>发包人在履行合同过程中应遵守法律，并保证承包人免于承担因发包人违反法律而引起的任何责任。</w:t>
      </w:r>
    </w:p>
    <w:p w14:paraId="305C26E7">
      <w:pPr>
        <w:pStyle w:val="4"/>
        <w:kinsoku/>
        <w:spacing w:beforeLines="0" w:afterLines="0"/>
        <w:rPr>
          <w:rFonts w:hint="eastAsia" w:hAnsi="宋体" w:cs="宋体"/>
          <w:bCs/>
          <w:color w:val="auto"/>
          <w:szCs w:val="24"/>
          <w:highlight w:val="none"/>
          <w:lang w:eastAsia="zh-CN"/>
        </w:rPr>
      </w:pPr>
      <w:bookmarkStart w:id="729" w:name="_Toc26171"/>
      <w:bookmarkStart w:id="730" w:name="_Toc7026"/>
      <w:bookmarkStart w:id="731" w:name="_Toc5330"/>
      <w:r>
        <w:rPr>
          <w:rFonts w:hint="eastAsia" w:hAnsi="宋体" w:cs="宋体"/>
          <w:b/>
          <w:bCs/>
          <w:color w:val="auto"/>
          <w:szCs w:val="24"/>
          <w:highlight w:val="none"/>
          <w:lang w:eastAsia="zh-CN"/>
        </w:rPr>
        <w:t>2.2</w:t>
      </w:r>
      <w:r>
        <w:rPr>
          <w:rFonts w:hint="eastAsia" w:cs="宋体"/>
          <w:b/>
          <w:bCs/>
          <w:color w:val="auto"/>
          <w:szCs w:val="24"/>
          <w:highlight w:val="none"/>
          <w:lang w:eastAsia="zh-CN"/>
        </w:rPr>
        <w:t>　</w:t>
      </w:r>
      <w:r>
        <w:rPr>
          <w:rFonts w:hint="eastAsia" w:hAnsi="宋体" w:cs="宋体"/>
          <w:b/>
          <w:bCs/>
          <w:color w:val="auto"/>
          <w:szCs w:val="24"/>
          <w:highlight w:val="none"/>
          <w:lang w:eastAsia="zh-CN"/>
        </w:rPr>
        <w:t>发出开工通知</w:t>
      </w:r>
      <w:bookmarkEnd w:id="729"/>
      <w:bookmarkEnd w:id="730"/>
      <w:bookmarkEnd w:id="731"/>
    </w:p>
    <w:p w14:paraId="50799FB4">
      <w:pPr>
        <w:kinsoku/>
        <w:ind w:firstLine="0"/>
        <w:rPr>
          <w:rFonts w:cs="宋体"/>
          <w:color w:val="auto"/>
          <w:highlight w:val="none"/>
          <w:lang w:eastAsia="zh-CN"/>
        </w:rPr>
      </w:pPr>
      <w:r>
        <w:rPr>
          <w:rFonts w:cs="宋体"/>
          <w:color w:val="auto"/>
          <w:highlight w:val="none"/>
          <w:lang w:eastAsia="zh-CN"/>
        </w:rPr>
        <w:t>发包人应委托监理人按第</w:t>
      </w:r>
      <w:r>
        <w:rPr>
          <w:rFonts w:hAnsi="Times New Roman" w:cs="Times New Roman"/>
          <w:color w:val="auto"/>
          <w:highlight w:val="none"/>
          <w:lang w:eastAsia="zh-CN"/>
        </w:rPr>
        <w:t>11.1</w:t>
      </w:r>
      <w:r>
        <w:rPr>
          <w:rFonts w:cs="宋体"/>
          <w:color w:val="auto"/>
          <w:highlight w:val="none"/>
          <w:lang w:eastAsia="zh-CN"/>
        </w:rPr>
        <w:t>款的约定向承包人发出开工通知。</w:t>
      </w:r>
    </w:p>
    <w:p w14:paraId="3D2C318D">
      <w:pPr>
        <w:pStyle w:val="4"/>
        <w:kinsoku/>
        <w:spacing w:beforeLines="0" w:afterLines="0"/>
        <w:rPr>
          <w:rFonts w:hint="eastAsia" w:hAnsi="宋体" w:cs="宋体"/>
          <w:bCs/>
          <w:color w:val="auto"/>
          <w:szCs w:val="24"/>
          <w:highlight w:val="none"/>
          <w:lang w:eastAsia="zh-CN"/>
        </w:rPr>
      </w:pPr>
      <w:bookmarkStart w:id="732" w:name="_Toc2607"/>
      <w:bookmarkStart w:id="733" w:name="_Toc14508"/>
      <w:bookmarkStart w:id="734" w:name="_Toc3153"/>
      <w:r>
        <w:rPr>
          <w:rFonts w:hint="eastAsia" w:hAnsi="宋体" w:cs="宋体"/>
          <w:b/>
          <w:bCs/>
          <w:color w:val="auto"/>
          <w:szCs w:val="24"/>
          <w:highlight w:val="none"/>
          <w:lang w:eastAsia="zh-CN"/>
        </w:rPr>
        <w:t>2.3</w:t>
      </w:r>
      <w:r>
        <w:rPr>
          <w:rFonts w:hint="eastAsia" w:cs="宋体"/>
          <w:b/>
          <w:bCs/>
          <w:color w:val="auto"/>
          <w:szCs w:val="24"/>
          <w:highlight w:val="none"/>
          <w:lang w:eastAsia="zh-CN"/>
        </w:rPr>
        <w:t>　</w:t>
      </w:r>
      <w:r>
        <w:rPr>
          <w:rFonts w:hint="eastAsia" w:hAnsi="宋体" w:cs="宋体"/>
          <w:b/>
          <w:bCs/>
          <w:color w:val="auto"/>
          <w:szCs w:val="24"/>
          <w:highlight w:val="none"/>
          <w:lang w:eastAsia="zh-CN"/>
        </w:rPr>
        <w:t>提供施工场地</w:t>
      </w:r>
      <w:bookmarkEnd w:id="732"/>
      <w:bookmarkEnd w:id="733"/>
      <w:bookmarkEnd w:id="734"/>
    </w:p>
    <w:p w14:paraId="701BA76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2.3.1</w:t>
      </w:r>
      <w:r>
        <w:rPr>
          <w:rFonts w:hint="eastAsia" w:hAnsi="Times New Roman" w:cs="Times New Roman"/>
          <w:b/>
          <w:bCs/>
          <w:color w:val="auto"/>
          <w:highlight w:val="none"/>
          <w:lang w:eastAsia="zh-CN"/>
        </w:rPr>
        <w:t>　</w:t>
      </w:r>
      <w:r>
        <w:rPr>
          <w:rFonts w:cs="宋体"/>
          <w:color w:val="auto"/>
          <w:highlight w:val="none"/>
          <w:lang w:eastAsia="zh-CN"/>
        </w:rPr>
        <w:t>发包人应在合同双方签订合同协议书后的</w:t>
      </w:r>
      <w:r>
        <w:rPr>
          <w:rFonts w:hAnsi="Times New Roman" w:cs="Times New Roman"/>
          <w:color w:val="auto"/>
          <w:highlight w:val="none"/>
          <w:lang w:eastAsia="zh-CN"/>
        </w:rPr>
        <w:t>14</w:t>
      </w:r>
      <w:r>
        <w:rPr>
          <w:rFonts w:cs="宋体"/>
          <w:color w:val="auto"/>
          <w:highlight w:val="none"/>
          <w:lang w:eastAsia="zh-CN"/>
        </w:rPr>
        <w:t>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5246EBB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2.3.2</w:t>
      </w:r>
      <w:r>
        <w:rPr>
          <w:rFonts w:hint="eastAsia" w:hAnsi="Times New Roman" w:cs="Times New Roman"/>
          <w:b/>
          <w:bCs/>
          <w:color w:val="auto"/>
          <w:highlight w:val="none"/>
          <w:lang w:eastAsia="zh-CN"/>
        </w:rPr>
        <w:t>　</w:t>
      </w:r>
      <w:r>
        <w:rPr>
          <w:rFonts w:cs="宋体"/>
          <w:color w:val="auto"/>
          <w:highlight w:val="none"/>
          <w:lang w:eastAsia="zh-CN"/>
        </w:rPr>
        <w:t>发包人提供的施工用地范围在专用合同条款中约定。</w:t>
      </w:r>
    </w:p>
    <w:p w14:paraId="3322A77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2.3.3</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除专用合同条款另有约定外，发包人应按技术标准和要求（合同技术条款）的约定，向承包人提供施工场地内的工程地质图纸和报告，以及地下障碍物图纸等施工场地有关资料，并保证资料的真实、准确、完整。</w:t>
      </w:r>
    </w:p>
    <w:p w14:paraId="7BE95CD7">
      <w:pPr>
        <w:pStyle w:val="4"/>
        <w:kinsoku/>
        <w:spacing w:beforeLines="0" w:afterLines="0"/>
        <w:rPr>
          <w:rFonts w:hint="eastAsia" w:hAnsi="宋体" w:cs="宋体"/>
          <w:bCs/>
          <w:color w:val="auto"/>
          <w:szCs w:val="24"/>
          <w:highlight w:val="none"/>
          <w:lang w:eastAsia="zh-CN"/>
        </w:rPr>
      </w:pPr>
      <w:bookmarkStart w:id="735" w:name="_Toc28127"/>
      <w:bookmarkStart w:id="736" w:name="_Toc1546"/>
      <w:bookmarkStart w:id="737" w:name="_Toc3837"/>
      <w:r>
        <w:rPr>
          <w:rFonts w:hint="eastAsia" w:hAnsi="宋体" w:cs="宋体"/>
          <w:b/>
          <w:bCs/>
          <w:color w:val="auto"/>
          <w:szCs w:val="24"/>
          <w:highlight w:val="none"/>
          <w:lang w:eastAsia="zh-CN"/>
        </w:rPr>
        <w:t>2.4</w:t>
      </w:r>
      <w:r>
        <w:rPr>
          <w:rFonts w:hint="eastAsia" w:cs="宋体"/>
          <w:b/>
          <w:bCs/>
          <w:color w:val="auto"/>
          <w:szCs w:val="24"/>
          <w:highlight w:val="none"/>
          <w:lang w:eastAsia="zh-CN"/>
        </w:rPr>
        <w:t>　</w:t>
      </w:r>
      <w:r>
        <w:rPr>
          <w:rFonts w:hint="eastAsia" w:hAnsi="宋体" w:cs="宋体"/>
          <w:b/>
          <w:bCs/>
          <w:color w:val="auto"/>
          <w:szCs w:val="24"/>
          <w:highlight w:val="none"/>
          <w:lang w:eastAsia="zh-CN"/>
        </w:rPr>
        <w:t>协助承包人办理证件和批件</w:t>
      </w:r>
      <w:bookmarkEnd w:id="735"/>
      <w:bookmarkEnd w:id="736"/>
      <w:bookmarkEnd w:id="737"/>
    </w:p>
    <w:p w14:paraId="12E41FA6">
      <w:pPr>
        <w:kinsoku/>
        <w:ind w:firstLine="0"/>
        <w:rPr>
          <w:color w:val="auto"/>
          <w:highlight w:val="none"/>
          <w:lang w:eastAsia="zh-CN"/>
        </w:rPr>
      </w:pPr>
      <w:r>
        <w:rPr>
          <w:color w:val="auto"/>
          <w:highlight w:val="none"/>
          <w:lang w:eastAsia="zh-CN"/>
        </w:rPr>
        <w:t>发包人应协助承包人办理法律规定的有关施工证件和批件。</w:t>
      </w:r>
    </w:p>
    <w:p w14:paraId="14B861D1">
      <w:pPr>
        <w:pStyle w:val="4"/>
        <w:kinsoku/>
        <w:spacing w:beforeLines="0" w:afterLines="0"/>
        <w:rPr>
          <w:rFonts w:hint="eastAsia" w:hAnsi="宋体" w:cs="宋体"/>
          <w:bCs/>
          <w:color w:val="auto"/>
          <w:szCs w:val="24"/>
          <w:highlight w:val="none"/>
          <w:lang w:eastAsia="zh-CN"/>
        </w:rPr>
      </w:pPr>
      <w:bookmarkStart w:id="738" w:name="_Toc17056"/>
      <w:bookmarkStart w:id="739" w:name="_Toc10836"/>
      <w:bookmarkStart w:id="740" w:name="_Toc23119"/>
      <w:r>
        <w:rPr>
          <w:rFonts w:hint="eastAsia" w:hAnsi="宋体" w:cs="宋体"/>
          <w:b/>
          <w:bCs/>
          <w:color w:val="auto"/>
          <w:szCs w:val="24"/>
          <w:highlight w:val="none"/>
          <w:lang w:eastAsia="zh-CN"/>
        </w:rPr>
        <w:t>2.5</w:t>
      </w:r>
      <w:r>
        <w:rPr>
          <w:rFonts w:hint="eastAsia" w:cs="宋体"/>
          <w:b/>
          <w:bCs/>
          <w:color w:val="auto"/>
          <w:szCs w:val="24"/>
          <w:highlight w:val="none"/>
          <w:lang w:eastAsia="zh-CN"/>
        </w:rPr>
        <w:t>　</w:t>
      </w:r>
      <w:r>
        <w:rPr>
          <w:rFonts w:hint="eastAsia" w:hAnsi="宋体" w:cs="宋体"/>
          <w:b/>
          <w:bCs/>
          <w:color w:val="auto"/>
          <w:szCs w:val="24"/>
          <w:highlight w:val="none"/>
          <w:lang w:eastAsia="zh-CN"/>
        </w:rPr>
        <w:t>组织设计交底</w:t>
      </w:r>
      <w:bookmarkEnd w:id="738"/>
      <w:bookmarkEnd w:id="739"/>
      <w:bookmarkEnd w:id="740"/>
    </w:p>
    <w:p w14:paraId="1C78B5BE">
      <w:pPr>
        <w:kinsoku/>
        <w:ind w:firstLine="0"/>
        <w:rPr>
          <w:color w:val="auto"/>
          <w:highlight w:val="none"/>
          <w:lang w:eastAsia="zh-CN"/>
        </w:rPr>
      </w:pPr>
      <w:r>
        <w:rPr>
          <w:color w:val="auto"/>
          <w:highlight w:val="none"/>
          <w:lang w:eastAsia="zh-CN"/>
        </w:rPr>
        <w:t>发包人应根据合同进度计划，组织设计单位向承包人进行设计交底。</w:t>
      </w:r>
    </w:p>
    <w:p w14:paraId="05948DF2">
      <w:pPr>
        <w:pStyle w:val="4"/>
        <w:kinsoku/>
        <w:spacing w:beforeLines="0" w:afterLines="0"/>
        <w:rPr>
          <w:rFonts w:hint="eastAsia" w:hAnsi="宋体" w:cs="宋体"/>
          <w:bCs/>
          <w:color w:val="auto"/>
          <w:szCs w:val="24"/>
          <w:highlight w:val="none"/>
          <w:lang w:eastAsia="zh-CN"/>
        </w:rPr>
      </w:pPr>
      <w:bookmarkStart w:id="741" w:name="_Toc4572"/>
      <w:bookmarkStart w:id="742" w:name="_Toc14110"/>
      <w:bookmarkStart w:id="743" w:name="_Toc6333"/>
      <w:r>
        <w:rPr>
          <w:rFonts w:hint="eastAsia" w:hAnsi="宋体" w:cs="宋体"/>
          <w:b/>
          <w:bCs/>
          <w:color w:val="auto"/>
          <w:szCs w:val="24"/>
          <w:highlight w:val="none"/>
          <w:lang w:eastAsia="zh-CN"/>
        </w:rPr>
        <w:t>2.6</w:t>
      </w:r>
      <w:r>
        <w:rPr>
          <w:rFonts w:hint="eastAsia" w:cs="宋体"/>
          <w:b/>
          <w:bCs/>
          <w:color w:val="auto"/>
          <w:szCs w:val="24"/>
          <w:highlight w:val="none"/>
          <w:lang w:eastAsia="zh-CN"/>
        </w:rPr>
        <w:t>　</w:t>
      </w:r>
      <w:r>
        <w:rPr>
          <w:rFonts w:hint="eastAsia" w:hAnsi="宋体" w:cs="宋体"/>
          <w:b/>
          <w:bCs/>
          <w:color w:val="auto"/>
          <w:szCs w:val="24"/>
          <w:highlight w:val="none"/>
          <w:lang w:eastAsia="zh-CN"/>
        </w:rPr>
        <w:t>支付合同价款</w:t>
      </w:r>
      <w:bookmarkEnd w:id="741"/>
      <w:bookmarkEnd w:id="742"/>
      <w:bookmarkEnd w:id="743"/>
    </w:p>
    <w:p w14:paraId="79381462">
      <w:pPr>
        <w:kinsoku/>
        <w:ind w:firstLine="0"/>
        <w:rPr>
          <w:color w:val="auto"/>
          <w:highlight w:val="none"/>
          <w:lang w:eastAsia="zh-CN"/>
        </w:rPr>
      </w:pPr>
      <w:r>
        <w:rPr>
          <w:color w:val="auto"/>
          <w:highlight w:val="none"/>
          <w:lang w:eastAsia="zh-CN"/>
        </w:rPr>
        <w:t>发包人应按合同约定向承包人及时支付合同价款，并将人工费用及时足额拨付至农民工工资专用账户，加强对承包人按时足额支付农民工工资的监督。因发包人未按照合同约定及时拨付工程款导致农民工工资拖欠的，发包人应当以未结清的工程款为限先行垫付被拖欠的农民工工资。</w:t>
      </w:r>
    </w:p>
    <w:p w14:paraId="1043B831">
      <w:pPr>
        <w:pStyle w:val="4"/>
        <w:kinsoku/>
        <w:spacing w:beforeLines="0" w:afterLines="0"/>
        <w:rPr>
          <w:rFonts w:hint="eastAsia" w:hAnsi="宋体" w:cs="宋体"/>
          <w:bCs/>
          <w:color w:val="auto"/>
          <w:szCs w:val="24"/>
          <w:highlight w:val="none"/>
          <w:lang w:eastAsia="zh-CN"/>
        </w:rPr>
      </w:pPr>
      <w:bookmarkStart w:id="744" w:name="_Toc27293"/>
      <w:bookmarkStart w:id="745" w:name="_Toc19061"/>
      <w:bookmarkStart w:id="746" w:name="_Toc31319"/>
      <w:r>
        <w:rPr>
          <w:rFonts w:hint="eastAsia" w:hAnsi="宋体" w:cs="宋体"/>
          <w:b/>
          <w:bCs/>
          <w:color w:val="auto"/>
          <w:szCs w:val="24"/>
          <w:highlight w:val="none"/>
          <w:lang w:eastAsia="zh-CN"/>
        </w:rPr>
        <w:t>2.7</w:t>
      </w:r>
      <w:r>
        <w:rPr>
          <w:rFonts w:hint="eastAsia" w:cs="宋体"/>
          <w:b/>
          <w:bCs/>
          <w:color w:val="auto"/>
          <w:szCs w:val="24"/>
          <w:highlight w:val="none"/>
          <w:lang w:eastAsia="zh-CN"/>
        </w:rPr>
        <w:t>　</w:t>
      </w:r>
      <w:r>
        <w:rPr>
          <w:rFonts w:hint="eastAsia" w:hAnsi="宋体" w:cs="宋体"/>
          <w:b/>
          <w:bCs/>
          <w:color w:val="auto"/>
          <w:szCs w:val="24"/>
          <w:highlight w:val="none"/>
          <w:lang w:eastAsia="zh-CN"/>
        </w:rPr>
        <w:t>组织法人验收</w:t>
      </w:r>
      <w:bookmarkEnd w:id="744"/>
      <w:bookmarkEnd w:id="745"/>
      <w:bookmarkEnd w:id="746"/>
    </w:p>
    <w:p w14:paraId="5AB3C5C2">
      <w:pPr>
        <w:kinsoku/>
        <w:ind w:firstLine="0"/>
        <w:rPr>
          <w:color w:val="auto"/>
          <w:highlight w:val="none"/>
          <w:lang w:eastAsia="zh-CN"/>
        </w:rPr>
      </w:pPr>
      <w:r>
        <w:rPr>
          <w:color w:val="auto"/>
          <w:highlight w:val="none"/>
          <w:lang w:eastAsia="zh-CN"/>
        </w:rPr>
        <w:t>发包人应按合同约定及时组织法人验收。</w:t>
      </w:r>
    </w:p>
    <w:p w14:paraId="3C89F89C">
      <w:pPr>
        <w:pStyle w:val="4"/>
        <w:kinsoku/>
        <w:spacing w:beforeLines="0" w:afterLines="0"/>
        <w:rPr>
          <w:rFonts w:hint="eastAsia" w:hAnsi="宋体" w:cs="宋体"/>
          <w:bCs/>
          <w:color w:val="auto"/>
          <w:szCs w:val="24"/>
          <w:highlight w:val="none"/>
          <w:lang w:eastAsia="zh-CN"/>
        </w:rPr>
      </w:pPr>
      <w:bookmarkStart w:id="747" w:name="_Toc4889"/>
      <w:bookmarkStart w:id="748" w:name="_Toc26894"/>
      <w:bookmarkStart w:id="749" w:name="_Toc21713"/>
      <w:r>
        <w:rPr>
          <w:rFonts w:hint="eastAsia" w:hAnsi="宋体" w:cs="宋体"/>
          <w:b/>
          <w:bCs/>
          <w:color w:val="auto"/>
          <w:szCs w:val="24"/>
          <w:highlight w:val="none"/>
          <w:lang w:eastAsia="zh-CN"/>
        </w:rPr>
        <w:t>2.8</w:t>
      </w:r>
      <w:r>
        <w:rPr>
          <w:rFonts w:hint="eastAsia" w:cs="宋体"/>
          <w:b/>
          <w:bCs/>
          <w:color w:val="auto"/>
          <w:szCs w:val="24"/>
          <w:highlight w:val="none"/>
          <w:lang w:eastAsia="zh-CN"/>
        </w:rPr>
        <w:t>　</w:t>
      </w:r>
      <w:r>
        <w:rPr>
          <w:rFonts w:hint="eastAsia" w:hAnsi="宋体" w:cs="宋体"/>
          <w:b/>
          <w:bCs/>
          <w:color w:val="auto"/>
          <w:szCs w:val="24"/>
          <w:highlight w:val="none"/>
          <w:lang w:eastAsia="zh-CN"/>
        </w:rPr>
        <w:t>其它义务</w:t>
      </w:r>
      <w:bookmarkEnd w:id="747"/>
      <w:bookmarkEnd w:id="748"/>
      <w:bookmarkEnd w:id="749"/>
    </w:p>
    <w:p w14:paraId="477841F1">
      <w:pPr>
        <w:kinsoku/>
        <w:ind w:firstLine="0"/>
        <w:rPr>
          <w:color w:val="auto"/>
          <w:highlight w:val="none"/>
          <w:lang w:eastAsia="zh-CN"/>
        </w:rPr>
      </w:pPr>
      <w:r>
        <w:rPr>
          <w:color w:val="auto"/>
          <w:highlight w:val="none"/>
          <w:lang w:eastAsia="zh-CN"/>
        </w:rPr>
        <w:t>其它义务在专用合同条款中补充约定。</w:t>
      </w:r>
    </w:p>
    <w:p w14:paraId="0199611E">
      <w:pPr>
        <w:pStyle w:val="3"/>
        <w:kinsoku/>
        <w:autoSpaceDE/>
        <w:autoSpaceDN/>
        <w:adjustRightInd/>
        <w:snapToGrid/>
        <w:spacing w:line="360" w:lineRule="auto"/>
        <w:textAlignment w:val="auto"/>
        <w:rPr>
          <w:rFonts w:hint="eastAsia" w:ascii="宋体" w:hAnsi="Arial" w:eastAsia="宋体" w:cs="宋体"/>
          <w:snapToGrid w:val="0"/>
          <w:color w:val="auto"/>
          <w:sz w:val="30"/>
          <w:szCs w:val="30"/>
          <w:highlight w:val="none"/>
          <w:lang w:val="en-US" w:eastAsia="en-US" w:bidi="ar-SA"/>
        </w:rPr>
      </w:pPr>
      <w:bookmarkStart w:id="750" w:name="_Toc4070"/>
      <w:bookmarkStart w:id="751" w:name="_Toc3038"/>
      <w:bookmarkStart w:id="752" w:name="_Toc3236"/>
      <w:bookmarkStart w:id="753" w:name="_Toc31552"/>
      <w:bookmarkStart w:id="754" w:name="_Toc8032"/>
      <w:bookmarkStart w:id="755" w:name="_Toc21893"/>
      <w:bookmarkStart w:id="756" w:name="_Toc20447"/>
      <w:bookmarkStart w:id="757" w:name="_Toc131"/>
      <w:bookmarkStart w:id="758" w:name="_Toc8339"/>
      <w:bookmarkStart w:id="759" w:name="_Toc25891"/>
      <w:bookmarkStart w:id="760" w:name="_Toc7752"/>
      <w:bookmarkStart w:id="761" w:name="_Toc8048"/>
      <w:bookmarkStart w:id="762" w:name="_Toc125"/>
      <w:bookmarkStart w:id="763" w:name="_Toc6716"/>
      <w:r>
        <w:rPr>
          <w:rFonts w:hint="eastAsia" w:ascii="宋体" w:hAnsi="Arial" w:eastAsia="宋体" w:cs="宋体"/>
          <w:snapToGrid w:val="0"/>
          <w:color w:val="auto"/>
          <w:sz w:val="30"/>
          <w:szCs w:val="30"/>
          <w:highlight w:val="none"/>
          <w:lang w:val="en-US" w:eastAsia="en-US" w:bidi="ar-SA"/>
        </w:rPr>
        <w:t>3</w:t>
      </w:r>
      <w:r>
        <w:rPr>
          <w:rFonts w:ascii="Arial" w:hAnsi="Arial" w:eastAsia="宋体" w:cs="Arial"/>
          <w:snapToGrid w:val="0"/>
          <w:color w:val="auto"/>
          <w:sz w:val="30"/>
          <w:szCs w:val="30"/>
          <w:highlight w:val="none"/>
          <w:lang w:val="en-US" w:eastAsia="en-US" w:bidi="ar-SA"/>
        </w:rPr>
        <w:t>　</w:t>
      </w:r>
      <w:r>
        <w:rPr>
          <w:rFonts w:hint="eastAsia" w:ascii="宋体" w:hAnsi="Arial" w:eastAsia="宋体" w:cs="宋体"/>
          <w:snapToGrid w:val="0"/>
          <w:color w:val="auto"/>
          <w:sz w:val="30"/>
          <w:szCs w:val="30"/>
          <w:highlight w:val="none"/>
          <w:lang w:val="en-US" w:eastAsia="en-US" w:bidi="ar-SA"/>
        </w:rPr>
        <w:t>监理人</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0FB7CAB7">
      <w:pPr>
        <w:pStyle w:val="4"/>
        <w:kinsoku/>
        <w:spacing w:beforeLines="0" w:afterLines="0"/>
        <w:rPr>
          <w:rFonts w:hint="eastAsia" w:hAnsi="宋体" w:cs="宋体"/>
          <w:bCs/>
          <w:color w:val="auto"/>
          <w:szCs w:val="24"/>
          <w:highlight w:val="none"/>
          <w:lang w:eastAsia="zh-CN"/>
        </w:rPr>
      </w:pPr>
      <w:bookmarkStart w:id="764" w:name="_Toc12805"/>
      <w:bookmarkStart w:id="765" w:name="_Toc18746"/>
      <w:bookmarkStart w:id="766" w:name="_Toc13836"/>
      <w:r>
        <w:rPr>
          <w:rFonts w:hint="eastAsia" w:hAnsi="宋体" w:cs="宋体"/>
          <w:b/>
          <w:bCs/>
          <w:color w:val="auto"/>
          <w:szCs w:val="24"/>
          <w:highlight w:val="none"/>
          <w:lang w:eastAsia="zh-CN"/>
        </w:rPr>
        <w:t>3.1</w:t>
      </w:r>
      <w:r>
        <w:rPr>
          <w:rFonts w:hint="eastAsia" w:cs="宋体"/>
          <w:b/>
          <w:bCs/>
          <w:color w:val="auto"/>
          <w:szCs w:val="24"/>
          <w:highlight w:val="none"/>
          <w:lang w:eastAsia="zh-CN"/>
        </w:rPr>
        <w:t>　</w:t>
      </w:r>
      <w:r>
        <w:rPr>
          <w:rFonts w:hint="eastAsia" w:hAnsi="宋体" w:cs="宋体"/>
          <w:b/>
          <w:bCs/>
          <w:color w:val="auto"/>
          <w:szCs w:val="24"/>
          <w:highlight w:val="none"/>
          <w:lang w:eastAsia="zh-CN"/>
        </w:rPr>
        <w:t>监理人的职责和权力</w:t>
      </w:r>
      <w:bookmarkEnd w:id="764"/>
      <w:bookmarkEnd w:id="765"/>
      <w:bookmarkEnd w:id="766"/>
    </w:p>
    <w:p w14:paraId="6C879A0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3.1.1</w:t>
      </w:r>
      <w:r>
        <w:rPr>
          <w:rFonts w:hint="eastAsia" w:hAnsi="Times New Roman" w:cs="Times New Roman"/>
          <w:b/>
          <w:bCs/>
          <w:color w:val="auto"/>
          <w:highlight w:val="none"/>
          <w:lang w:eastAsia="zh-CN"/>
        </w:rPr>
        <w:t>　</w:t>
      </w:r>
      <w:r>
        <w:rPr>
          <w:rFonts w:cs="宋体"/>
          <w:color w:val="auto"/>
          <w:highlight w:val="none"/>
          <w:lang w:eastAsia="zh-CN"/>
        </w:rPr>
        <w:t>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rFonts w:hAnsi="Times New Roman" w:cs="Times New Roman"/>
          <w:color w:val="auto"/>
          <w:highlight w:val="none"/>
          <w:lang w:eastAsia="zh-CN"/>
        </w:rPr>
        <w:t>15</w:t>
      </w:r>
      <w:r>
        <w:rPr>
          <w:rFonts w:cs="宋体"/>
          <w:color w:val="auto"/>
          <w:highlight w:val="none"/>
          <w:lang w:eastAsia="zh-CN"/>
        </w:rPr>
        <w:t>条的约定增加相应的费用，并通知承包人。</w:t>
      </w:r>
    </w:p>
    <w:p w14:paraId="7D2AF79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3.1.2</w:t>
      </w:r>
      <w:r>
        <w:rPr>
          <w:rFonts w:hint="eastAsia" w:hAnsi="Times New Roman" w:cs="Times New Roman"/>
          <w:b/>
          <w:bCs/>
          <w:color w:val="auto"/>
          <w:highlight w:val="none"/>
          <w:lang w:eastAsia="zh-CN"/>
        </w:rPr>
        <w:t>　</w:t>
      </w:r>
      <w:r>
        <w:rPr>
          <w:rFonts w:cs="宋体"/>
          <w:color w:val="auto"/>
          <w:highlight w:val="none"/>
          <w:lang w:eastAsia="zh-CN"/>
        </w:rPr>
        <w:t>监理人发出的任何指示应视为已得到发包人的批准，但监理人无权免除或变更合同约定的发包人和承包人的权利、义务和责任。</w:t>
      </w:r>
    </w:p>
    <w:p w14:paraId="17174FC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3.1.3</w:t>
      </w:r>
      <w:r>
        <w:rPr>
          <w:rFonts w:hint="eastAsia" w:hAnsi="Times New Roman" w:cs="Times New Roman"/>
          <w:b/>
          <w:bCs/>
          <w:color w:val="auto"/>
          <w:highlight w:val="none"/>
          <w:lang w:eastAsia="zh-CN"/>
        </w:rPr>
        <w:t>　</w:t>
      </w:r>
      <w:r>
        <w:rPr>
          <w:rFonts w:cs="宋体"/>
          <w:color w:val="auto"/>
          <w:highlight w:val="none"/>
          <w:lang w:eastAsia="zh-CN"/>
        </w:rPr>
        <w:t>合同约定应由承包人承担的义务和责任，不因监理人对承包人提交文件的审查或批准，对工程、材料和设备的检查和检验，以及为实施监理作出的指示等职务行为而减轻或解除。</w:t>
      </w:r>
    </w:p>
    <w:p w14:paraId="0D05B17B">
      <w:pPr>
        <w:pStyle w:val="4"/>
        <w:kinsoku/>
        <w:spacing w:beforeLines="0" w:afterLines="0"/>
        <w:rPr>
          <w:rFonts w:hint="eastAsia" w:hAnsi="宋体" w:cs="宋体"/>
          <w:bCs/>
          <w:color w:val="auto"/>
          <w:szCs w:val="24"/>
          <w:highlight w:val="none"/>
          <w:lang w:eastAsia="zh-CN"/>
        </w:rPr>
      </w:pPr>
      <w:bookmarkStart w:id="767" w:name="_Toc11429"/>
      <w:bookmarkStart w:id="768" w:name="_Toc18839"/>
      <w:bookmarkStart w:id="769" w:name="_Toc12204"/>
      <w:r>
        <w:rPr>
          <w:rFonts w:hint="eastAsia" w:hAnsi="宋体" w:cs="宋体"/>
          <w:b/>
          <w:bCs/>
          <w:color w:val="auto"/>
          <w:szCs w:val="24"/>
          <w:highlight w:val="none"/>
          <w:lang w:eastAsia="zh-CN"/>
        </w:rPr>
        <w:t>3.2</w:t>
      </w:r>
      <w:r>
        <w:rPr>
          <w:rFonts w:hint="eastAsia" w:cs="宋体"/>
          <w:b/>
          <w:bCs/>
          <w:color w:val="auto"/>
          <w:szCs w:val="24"/>
          <w:highlight w:val="none"/>
          <w:lang w:eastAsia="zh-CN"/>
        </w:rPr>
        <w:t>　</w:t>
      </w:r>
      <w:r>
        <w:rPr>
          <w:rFonts w:hint="eastAsia" w:hAnsi="宋体" w:cs="宋体"/>
          <w:b/>
          <w:bCs/>
          <w:color w:val="auto"/>
          <w:szCs w:val="24"/>
          <w:highlight w:val="none"/>
          <w:lang w:eastAsia="zh-CN"/>
        </w:rPr>
        <w:t>总监理工程师</w:t>
      </w:r>
      <w:bookmarkEnd w:id="767"/>
      <w:bookmarkEnd w:id="768"/>
      <w:bookmarkEnd w:id="769"/>
    </w:p>
    <w:p w14:paraId="7DE29BC4">
      <w:pPr>
        <w:kinsoku/>
        <w:spacing w:beforeLines="0" w:afterLines="0"/>
        <w:ind w:firstLine="480"/>
        <w:jc w:val="left"/>
        <w:rPr>
          <w:rFonts w:cs="宋体"/>
          <w:color w:val="auto"/>
          <w:highlight w:val="none"/>
          <w:lang w:eastAsia="zh-CN"/>
        </w:rPr>
      </w:pPr>
      <w:r>
        <w:rPr>
          <w:rFonts w:cs="宋体"/>
          <w:color w:val="auto"/>
          <w:highlight w:val="none"/>
          <w:lang w:eastAsia="zh-CN"/>
        </w:rPr>
        <w:t>发包人应在发出开工通知前将总监理工程师的任命通知承包人。总监理工程师更换时，应在调离</w:t>
      </w:r>
      <w:r>
        <w:rPr>
          <w:rFonts w:hAnsi="Times New Roman" w:cs="Times New Roman"/>
          <w:color w:val="auto"/>
          <w:highlight w:val="none"/>
          <w:lang w:eastAsia="zh-CN"/>
        </w:rPr>
        <w:t>14</w:t>
      </w:r>
      <w:r>
        <w:rPr>
          <w:rFonts w:cs="宋体"/>
          <w:color w:val="auto"/>
          <w:highlight w:val="none"/>
          <w:lang w:eastAsia="zh-CN"/>
        </w:rPr>
        <w:t>天前通知承包人。总监理工程师短期离开施工场地的，应委派代表代行其职责，并通知承包人。</w:t>
      </w:r>
    </w:p>
    <w:p w14:paraId="7CAE30F6">
      <w:pPr>
        <w:pStyle w:val="4"/>
        <w:kinsoku/>
        <w:spacing w:beforeLines="0" w:afterLines="0"/>
        <w:rPr>
          <w:rFonts w:hint="eastAsia" w:hAnsi="宋体" w:cs="宋体"/>
          <w:bCs/>
          <w:color w:val="auto"/>
          <w:szCs w:val="24"/>
          <w:highlight w:val="none"/>
          <w:lang w:eastAsia="zh-CN"/>
        </w:rPr>
      </w:pPr>
      <w:bookmarkStart w:id="770" w:name="_Toc12550"/>
      <w:bookmarkStart w:id="771" w:name="_Toc976"/>
      <w:bookmarkStart w:id="772" w:name="_Toc6255"/>
      <w:r>
        <w:rPr>
          <w:rFonts w:hint="eastAsia" w:hAnsi="宋体" w:cs="宋体"/>
          <w:b/>
          <w:bCs/>
          <w:color w:val="auto"/>
          <w:szCs w:val="24"/>
          <w:highlight w:val="none"/>
          <w:lang w:eastAsia="zh-CN"/>
        </w:rPr>
        <w:t>3.3</w:t>
      </w:r>
      <w:r>
        <w:rPr>
          <w:rFonts w:hint="eastAsia" w:cs="宋体"/>
          <w:b/>
          <w:bCs/>
          <w:color w:val="auto"/>
          <w:szCs w:val="24"/>
          <w:highlight w:val="none"/>
          <w:lang w:eastAsia="zh-CN"/>
        </w:rPr>
        <w:t>　</w:t>
      </w:r>
      <w:r>
        <w:rPr>
          <w:rFonts w:hint="eastAsia" w:hAnsi="宋体" w:cs="宋体"/>
          <w:b/>
          <w:bCs/>
          <w:color w:val="auto"/>
          <w:szCs w:val="24"/>
          <w:highlight w:val="none"/>
          <w:lang w:eastAsia="zh-CN"/>
        </w:rPr>
        <w:t>监理人员</w:t>
      </w:r>
      <w:bookmarkEnd w:id="770"/>
      <w:bookmarkEnd w:id="771"/>
      <w:bookmarkEnd w:id="772"/>
    </w:p>
    <w:p w14:paraId="1C4ED75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3.3.1</w:t>
      </w:r>
      <w:r>
        <w:rPr>
          <w:rFonts w:hint="eastAsia" w:hAnsi="Times New Roman" w:cs="Times New Roman"/>
          <w:b/>
          <w:bCs/>
          <w:color w:val="auto"/>
          <w:highlight w:val="none"/>
          <w:lang w:eastAsia="zh-CN"/>
        </w:rPr>
        <w:t>　</w:t>
      </w:r>
      <w:r>
        <w:rPr>
          <w:rFonts w:cs="宋体"/>
          <w:color w:val="auto"/>
          <w:highlight w:val="none"/>
          <w:lang w:eastAsia="zh-CN"/>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5B7054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3.3.2</w:t>
      </w:r>
      <w:r>
        <w:rPr>
          <w:rFonts w:hint="eastAsia" w:hAnsi="Times New Roman" w:cs="Times New Roman"/>
          <w:b/>
          <w:bCs/>
          <w:color w:val="auto"/>
          <w:highlight w:val="none"/>
          <w:lang w:eastAsia="zh-CN"/>
        </w:rPr>
        <w:t>　</w:t>
      </w:r>
      <w:r>
        <w:rPr>
          <w:rFonts w:cs="宋体"/>
          <w:color w:val="auto"/>
          <w:highlight w:val="none"/>
          <w:lang w:eastAsia="zh-CN"/>
        </w:rPr>
        <w:t>监理人员对承包人的任何工作、工程或其采用的材料和工程设备未在约定的或合理的期限内提出否定意见的，视为已获批准，但不影响监理人在以后拒绝该项工作、工程、材料或工程设备的权利。</w:t>
      </w:r>
    </w:p>
    <w:p w14:paraId="0CE12B4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3.3.3</w:t>
      </w:r>
      <w:r>
        <w:rPr>
          <w:rFonts w:hint="eastAsia" w:hAnsi="Times New Roman" w:cs="Times New Roman"/>
          <w:b/>
          <w:bCs/>
          <w:color w:val="auto"/>
          <w:highlight w:val="none"/>
          <w:lang w:eastAsia="zh-CN"/>
        </w:rPr>
        <w:t>　</w:t>
      </w:r>
      <w:r>
        <w:rPr>
          <w:rFonts w:cs="宋体"/>
          <w:color w:val="auto"/>
          <w:highlight w:val="none"/>
          <w:lang w:eastAsia="zh-CN"/>
        </w:rPr>
        <w:t>承包人对总监理工程师授权的监理人员发出的指示有疑问的，可向总监理工程师提出书面异议，总监理工程师应在</w:t>
      </w:r>
      <w:r>
        <w:rPr>
          <w:rFonts w:hAnsi="Times New Roman" w:cs="Times New Roman"/>
          <w:color w:val="auto"/>
          <w:highlight w:val="none"/>
          <w:lang w:eastAsia="zh-CN"/>
        </w:rPr>
        <w:t>48</w:t>
      </w:r>
      <w:r>
        <w:rPr>
          <w:rFonts w:cs="宋体"/>
          <w:color w:val="auto"/>
          <w:highlight w:val="none"/>
          <w:lang w:eastAsia="zh-CN"/>
        </w:rPr>
        <w:t>小时内对该指示予以确认、更改或撤销。</w:t>
      </w:r>
    </w:p>
    <w:p w14:paraId="08C985B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3.3.4</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除专用合同条款另有约定外，总监理工程师不应将第</w:t>
      </w:r>
      <w:r>
        <w:rPr>
          <w:rFonts w:hAnsi="Times New Roman" w:cs="Times New Roman"/>
          <w:color w:val="auto"/>
          <w:highlight w:val="none"/>
          <w:lang w:eastAsia="zh-CN"/>
        </w:rPr>
        <w:t>3.5</w:t>
      </w:r>
      <w:r>
        <w:rPr>
          <w:rFonts w:cs="宋体"/>
          <w:color w:val="auto"/>
          <w:highlight w:val="none"/>
          <w:lang w:eastAsia="zh-CN"/>
        </w:rPr>
        <w:t>款约定应由总监理工程师作出确定的权力授权或委托给其他监理人员。</w:t>
      </w:r>
    </w:p>
    <w:p w14:paraId="455B8FBD">
      <w:pPr>
        <w:pStyle w:val="4"/>
        <w:kinsoku/>
        <w:spacing w:beforeLines="0" w:afterLines="0"/>
        <w:rPr>
          <w:rFonts w:hint="eastAsia" w:hAnsi="宋体" w:cs="宋体"/>
          <w:bCs/>
          <w:color w:val="auto"/>
          <w:szCs w:val="24"/>
          <w:highlight w:val="none"/>
          <w:lang w:eastAsia="zh-CN"/>
        </w:rPr>
      </w:pPr>
      <w:bookmarkStart w:id="773" w:name="_Toc11483"/>
      <w:bookmarkStart w:id="774" w:name="_Toc2077"/>
      <w:bookmarkStart w:id="775" w:name="_Toc5164"/>
      <w:r>
        <w:rPr>
          <w:rFonts w:hint="eastAsia" w:hAnsi="宋体" w:cs="宋体"/>
          <w:b/>
          <w:bCs/>
          <w:color w:val="auto"/>
          <w:szCs w:val="24"/>
          <w:highlight w:val="none"/>
          <w:lang w:eastAsia="zh-CN"/>
        </w:rPr>
        <w:t>3.4</w:t>
      </w:r>
      <w:r>
        <w:rPr>
          <w:rFonts w:hint="eastAsia" w:cs="宋体"/>
          <w:b/>
          <w:bCs/>
          <w:color w:val="auto"/>
          <w:szCs w:val="24"/>
          <w:highlight w:val="none"/>
          <w:lang w:eastAsia="zh-CN"/>
        </w:rPr>
        <w:t>　</w:t>
      </w:r>
      <w:r>
        <w:rPr>
          <w:rFonts w:hint="eastAsia" w:hAnsi="宋体" w:cs="宋体"/>
          <w:b/>
          <w:bCs/>
          <w:color w:val="auto"/>
          <w:szCs w:val="24"/>
          <w:highlight w:val="none"/>
          <w:lang w:eastAsia="zh-CN"/>
        </w:rPr>
        <w:t>监理人的指示</w:t>
      </w:r>
      <w:bookmarkEnd w:id="773"/>
      <w:bookmarkEnd w:id="774"/>
      <w:bookmarkEnd w:id="775"/>
    </w:p>
    <w:p w14:paraId="6ACC0C5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3.4.1</w:t>
      </w:r>
      <w:r>
        <w:rPr>
          <w:rFonts w:hint="eastAsia" w:hAnsi="Times New Roman" w:cs="Times New Roman"/>
          <w:b/>
          <w:bCs/>
          <w:color w:val="auto"/>
          <w:highlight w:val="none"/>
          <w:lang w:eastAsia="zh-CN"/>
        </w:rPr>
        <w:t>　</w:t>
      </w:r>
      <w:r>
        <w:rPr>
          <w:rFonts w:cs="宋体"/>
          <w:color w:val="auto"/>
          <w:highlight w:val="none"/>
          <w:lang w:eastAsia="zh-CN"/>
        </w:rPr>
        <w:t>监理人应按第</w:t>
      </w:r>
      <w:r>
        <w:rPr>
          <w:rFonts w:hAnsi="Times New Roman" w:cs="Times New Roman"/>
          <w:color w:val="auto"/>
          <w:highlight w:val="none"/>
          <w:lang w:eastAsia="zh-CN"/>
        </w:rPr>
        <w:t>3.1</w:t>
      </w:r>
      <w:r>
        <w:rPr>
          <w:rFonts w:cs="宋体"/>
          <w:color w:val="auto"/>
          <w:highlight w:val="none"/>
          <w:lang w:eastAsia="zh-CN"/>
        </w:rPr>
        <w:t>款的约定向承包人发出指示，监理人的指示应盖有监理人授权的施工场地机构章，并由总监理工程师或总监理工程师按第</w:t>
      </w:r>
      <w:r>
        <w:rPr>
          <w:rFonts w:hAnsi="Times New Roman" w:cs="Times New Roman"/>
          <w:color w:val="auto"/>
          <w:highlight w:val="none"/>
          <w:lang w:eastAsia="zh-CN"/>
        </w:rPr>
        <w:t>3.3.1</w:t>
      </w:r>
      <w:r>
        <w:rPr>
          <w:rFonts w:cs="宋体"/>
          <w:color w:val="auto"/>
          <w:highlight w:val="none"/>
          <w:lang w:eastAsia="zh-CN"/>
        </w:rPr>
        <w:t>项约定授权的监理人员签字。</w:t>
      </w:r>
    </w:p>
    <w:p w14:paraId="3C41C27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3.4.2</w:t>
      </w:r>
      <w:r>
        <w:rPr>
          <w:rFonts w:hint="eastAsia" w:hAnsi="Times New Roman" w:cs="Times New Roman"/>
          <w:b/>
          <w:bCs/>
          <w:color w:val="auto"/>
          <w:highlight w:val="none"/>
          <w:lang w:eastAsia="zh-CN"/>
        </w:rPr>
        <w:t>　</w:t>
      </w:r>
      <w:r>
        <w:rPr>
          <w:rFonts w:cs="宋体"/>
          <w:color w:val="auto"/>
          <w:highlight w:val="none"/>
          <w:lang w:eastAsia="zh-CN"/>
        </w:rPr>
        <w:t>承包人收到监理人按第</w:t>
      </w:r>
      <w:r>
        <w:rPr>
          <w:rFonts w:hAnsi="Times New Roman" w:cs="Times New Roman"/>
          <w:color w:val="auto"/>
          <w:highlight w:val="none"/>
          <w:lang w:eastAsia="zh-CN"/>
        </w:rPr>
        <w:t>3.4.1</w:t>
      </w:r>
      <w:r>
        <w:rPr>
          <w:rFonts w:cs="宋体"/>
          <w:color w:val="auto"/>
          <w:highlight w:val="none"/>
          <w:lang w:eastAsia="zh-CN"/>
        </w:rPr>
        <w:t>项作出的指示后应遵照执行。指示构成变更的，应按第</w:t>
      </w:r>
      <w:r>
        <w:rPr>
          <w:rFonts w:hAnsi="Times New Roman" w:cs="Times New Roman"/>
          <w:color w:val="auto"/>
          <w:highlight w:val="none"/>
          <w:lang w:eastAsia="zh-CN"/>
        </w:rPr>
        <w:t>15</w:t>
      </w:r>
      <w:r>
        <w:rPr>
          <w:rFonts w:cs="宋体"/>
          <w:color w:val="auto"/>
          <w:highlight w:val="none"/>
          <w:lang w:eastAsia="zh-CN"/>
        </w:rPr>
        <w:t>条处理。</w:t>
      </w:r>
    </w:p>
    <w:p w14:paraId="7BDFAC8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3.4.3</w:t>
      </w:r>
      <w:r>
        <w:rPr>
          <w:rFonts w:hint="eastAsia" w:hAnsi="Times New Roman" w:cs="Times New Roman"/>
          <w:b/>
          <w:bCs/>
          <w:color w:val="auto"/>
          <w:highlight w:val="none"/>
          <w:lang w:eastAsia="zh-CN"/>
        </w:rPr>
        <w:t>　</w:t>
      </w:r>
      <w:r>
        <w:rPr>
          <w:rFonts w:cs="宋体"/>
          <w:color w:val="auto"/>
          <w:highlight w:val="none"/>
          <w:lang w:eastAsia="zh-CN"/>
        </w:rPr>
        <w:t>在紧急情况下，总监理工程师或被授权的监理人员可以当场签发临时书面指示，承包人应遵照执行。承包人应在收到上述临时书面指示后</w:t>
      </w:r>
      <w:r>
        <w:rPr>
          <w:rFonts w:hAnsi="Times New Roman" w:cs="Times New Roman"/>
          <w:color w:val="auto"/>
          <w:highlight w:val="none"/>
          <w:lang w:eastAsia="zh-CN"/>
        </w:rPr>
        <w:t>24</w:t>
      </w:r>
      <w:r>
        <w:rPr>
          <w:rFonts w:cs="宋体"/>
          <w:color w:val="auto"/>
          <w:highlight w:val="none"/>
          <w:lang w:eastAsia="zh-CN"/>
        </w:rPr>
        <w:t>小时内，向监理人发出书面确认函。监理人在收到书面确认函后</w:t>
      </w:r>
      <w:r>
        <w:rPr>
          <w:rFonts w:hAnsi="Times New Roman" w:cs="Times New Roman"/>
          <w:color w:val="auto"/>
          <w:highlight w:val="none"/>
          <w:lang w:eastAsia="zh-CN"/>
        </w:rPr>
        <w:t>24</w:t>
      </w:r>
      <w:r>
        <w:rPr>
          <w:rFonts w:cs="宋体"/>
          <w:color w:val="auto"/>
          <w:highlight w:val="none"/>
          <w:lang w:eastAsia="zh-CN"/>
        </w:rPr>
        <w:t>小时内未予答复的，该书面确认函应被视为监理人的正式指示。</w:t>
      </w:r>
    </w:p>
    <w:p w14:paraId="664A21A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3.4.4</w:t>
      </w:r>
      <w:r>
        <w:rPr>
          <w:rFonts w:hint="eastAsia" w:hAnsi="Times New Roman" w:cs="Times New Roman"/>
          <w:b/>
          <w:bCs/>
          <w:color w:val="auto"/>
          <w:highlight w:val="none"/>
          <w:lang w:eastAsia="zh-CN"/>
        </w:rPr>
        <w:t>　</w:t>
      </w:r>
      <w:r>
        <w:rPr>
          <w:rFonts w:cs="宋体"/>
          <w:color w:val="auto"/>
          <w:highlight w:val="none"/>
          <w:lang w:eastAsia="zh-CN"/>
        </w:rPr>
        <w:t>除合同另有约定外，承包人只从总监理工程师或按第</w:t>
      </w:r>
      <w:r>
        <w:rPr>
          <w:rFonts w:hAnsi="Times New Roman" w:cs="Times New Roman"/>
          <w:color w:val="auto"/>
          <w:highlight w:val="none"/>
          <w:lang w:eastAsia="zh-CN"/>
        </w:rPr>
        <w:t>3.3.1</w:t>
      </w:r>
      <w:r>
        <w:rPr>
          <w:rFonts w:cs="宋体"/>
          <w:color w:val="auto"/>
          <w:highlight w:val="none"/>
          <w:lang w:eastAsia="zh-CN"/>
        </w:rPr>
        <w:t>项被授权的监理人员处取得指示。</w:t>
      </w:r>
    </w:p>
    <w:p w14:paraId="6BC57A4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3.4.5</w:t>
      </w:r>
      <w:r>
        <w:rPr>
          <w:rFonts w:hint="eastAsia" w:hAnsi="Times New Roman" w:cs="Times New Roman"/>
          <w:b/>
          <w:bCs/>
          <w:color w:val="auto"/>
          <w:highlight w:val="none"/>
          <w:lang w:eastAsia="zh-CN"/>
        </w:rPr>
        <w:t>　</w:t>
      </w:r>
      <w:r>
        <w:rPr>
          <w:rFonts w:cs="宋体"/>
          <w:color w:val="auto"/>
          <w:highlight w:val="none"/>
          <w:lang w:eastAsia="zh-CN"/>
        </w:rPr>
        <w:t>由于监理人未能按合同约定发出指示、指示延误或指示错误而导致承包人费用增加和（或）工期延误的，由发包人承担赔偿责任。</w:t>
      </w:r>
    </w:p>
    <w:p w14:paraId="6921908B">
      <w:pPr>
        <w:pStyle w:val="4"/>
        <w:kinsoku/>
        <w:spacing w:beforeLines="0" w:afterLines="0"/>
        <w:rPr>
          <w:rFonts w:hint="eastAsia" w:hAnsi="宋体" w:cs="宋体"/>
          <w:bCs/>
          <w:color w:val="auto"/>
          <w:szCs w:val="24"/>
          <w:highlight w:val="none"/>
          <w:lang w:eastAsia="zh-CN"/>
        </w:rPr>
      </w:pPr>
      <w:bookmarkStart w:id="776" w:name="_Toc248"/>
      <w:bookmarkStart w:id="777" w:name="_Toc8160"/>
      <w:bookmarkStart w:id="778" w:name="_Toc6680"/>
      <w:r>
        <w:rPr>
          <w:rFonts w:hint="eastAsia" w:hAnsi="宋体" w:cs="宋体"/>
          <w:b/>
          <w:bCs/>
          <w:color w:val="auto"/>
          <w:szCs w:val="24"/>
          <w:highlight w:val="none"/>
          <w:lang w:eastAsia="zh-CN"/>
        </w:rPr>
        <w:t>3.5</w:t>
      </w:r>
      <w:r>
        <w:rPr>
          <w:rFonts w:hint="eastAsia" w:cs="宋体"/>
          <w:b/>
          <w:bCs/>
          <w:color w:val="auto"/>
          <w:szCs w:val="24"/>
          <w:highlight w:val="none"/>
          <w:lang w:eastAsia="zh-CN"/>
        </w:rPr>
        <w:t>　</w:t>
      </w:r>
      <w:r>
        <w:rPr>
          <w:rFonts w:hint="eastAsia" w:hAnsi="宋体" w:cs="宋体"/>
          <w:b/>
          <w:bCs/>
          <w:color w:val="auto"/>
          <w:szCs w:val="24"/>
          <w:highlight w:val="none"/>
          <w:lang w:eastAsia="zh-CN"/>
        </w:rPr>
        <w:t>商定或确定</w:t>
      </w:r>
      <w:bookmarkEnd w:id="776"/>
      <w:bookmarkEnd w:id="777"/>
      <w:bookmarkEnd w:id="778"/>
    </w:p>
    <w:p w14:paraId="353F3EB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3.5.1</w:t>
      </w:r>
      <w:r>
        <w:rPr>
          <w:rFonts w:hint="eastAsia" w:hAnsi="Times New Roman" w:cs="Times New Roman"/>
          <w:b/>
          <w:bCs/>
          <w:color w:val="auto"/>
          <w:highlight w:val="none"/>
          <w:lang w:eastAsia="zh-CN"/>
        </w:rPr>
        <w:t>　</w:t>
      </w:r>
      <w:r>
        <w:rPr>
          <w:rFonts w:cs="宋体"/>
          <w:color w:val="auto"/>
          <w:highlight w:val="none"/>
          <w:lang w:eastAsia="zh-CN"/>
        </w:rPr>
        <w:t>合同约定总监理工程师应按照本款对任何事项进行商定或确定时，总监理工程师应与合同当事人协商，尽量达成一致。不能达成一致的，总监理工程师应认真研究后审慎确定。</w:t>
      </w:r>
    </w:p>
    <w:p w14:paraId="79F07A2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3.5.2</w:t>
      </w:r>
      <w:r>
        <w:rPr>
          <w:rFonts w:hint="eastAsia" w:hAnsi="Times New Roman" w:cs="Times New Roman"/>
          <w:b/>
          <w:bCs/>
          <w:color w:val="auto"/>
          <w:highlight w:val="none"/>
          <w:lang w:eastAsia="zh-CN"/>
        </w:rPr>
        <w:t>　</w:t>
      </w:r>
      <w:r>
        <w:rPr>
          <w:rFonts w:cs="宋体"/>
          <w:color w:val="auto"/>
          <w:highlight w:val="none"/>
          <w:lang w:eastAsia="zh-CN"/>
        </w:rPr>
        <w:t>总监理工程师应将商定或确定的事项通知合同当事人，并附详细依据。对总监理工程师的确定有异议的，构成争议，按照第</w:t>
      </w:r>
      <w:r>
        <w:rPr>
          <w:rFonts w:hAnsi="Times New Roman" w:cs="Times New Roman"/>
          <w:color w:val="auto"/>
          <w:highlight w:val="none"/>
          <w:lang w:eastAsia="zh-CN"/>
        </w:rPr>
        <w:t>24</w:t>
      </w:r>
      <w:r>
        <w:rPr>
          <w:rFonts w:cs="宋体"/>
          <w:color w:val="auto"/>
          <w:highlight w:val="none"/>
          <w:lang w:eastAsia="zh-CN"/>
        </w:rPr>
        <w:t>条的约定处理。在争议解决前，双方应暂按总监理工程师的确定执行，按照第</w:t>
      </w:r>
      <w:r>
        <w:rPr>
          <w:rFonts w:hAnsi="Times New Roman" w:cs="Times New Roman"/>
          <w:color w:val="auto"/>
          <w:highlight w:val="none"/>
          <w:lang w:eastAsia="zh-CN"/>
        </w:rPr>
        <w:t>24</w:t>
      </w:r>
      <w:r>
        <w:rPr>
          <w:rFonts w:cs="宋体"/>
          <w:color w:val="auto"/>
          <w:highlight w:val="none"/>
          <w:lang w:eastAsia="zh-CN"/>
        </w:rPr>
        <w:t>条的约定对总监理工程师的确定作出修改的，按修改后的结果执行。</w:t>
      </w:r>
    </w:p>
    <w:p w14:paraId="737EEAEA">
      <w:pPr>
        <w:pStyle w:val="3"/>
        <w:kinsoku/>
        <w:spacing w:before="0" w:beforeLines="0" w:afterLines="0" w:line="360" w:lineRule="auto"/>
        <w:outlineLvl w:val="1"/>
        <w:rPr>
          <w:rFonts w:hint="eastAsia" w:ascii="宋体" w:cs="宋体"/>
          <w:color w:val="auto"/>
          <w:sz w:val="30"/>
          <w:szCs w:val="30"/>
          <w:highlight w:val="none"/>
        </w:rPr>
      </w:pPr>
      <w:bookmarkStart w:id="779" w:name="_Toc18198"/>
      <w:bookmarkStart w:id="780" w:name="_Toc27483"/>
      <w:bookmarkStart w:id="781" w:name="_Toc3290"/>
      <w:bookmarkStart w:id="782" w:name="_Toc6265"/>
      <w:bookmarkStart w:id="783" w:name="_Toc22295"/>
      <w:bookmarkStart w:id="784" w:name="_Toc5436"/>
      <w:bookmarkStart w:id="785" w:name="_Toc8372"/>
      <w:bookmarkStart w:id="786" w:name="_Toc21143"/>
      <w:bookmarkStart w:id="787" w:name="_Toc23621"/>
      <w:bookmarkStart w:id="788" w:name="_Toc17644"/>
      <w:bookmarkStart w:id="789" w:name="_Toc15012"/>
      <w:bookmarkStart w:id="790" w:name="_Toc9904"/>
      <w:bookmarkStart w:id="791" w:name="_Toc23440"/>
      <w:bookmarkStart w:id="792" w:name="_Toc7969"/>
      <w:r>
        <w:rPr>
          <w:rFonts w:hint="eastAsia" w:ascii="宋体" w:cs="宋体"/>
          <w:color w:val="auto"/>
          <w:sz w:val="30"/>
          <w:szCs w:val="30"/>
          <w:highlight w:val="none"/>
        </w:rPr>
        <w:t>4</w:t>
      </w:r>
      <w:r>
        <w:rPr>
          <w:rFonts w:hint="eastAsia" w:cs="宋体"/>
          <w:color w:val="auto"/>
          <w:sz w:val="30"/>
          <w:szCs w:val="30"/>
          <w:highlight w:val="none"/>
          <w:lang w:eastAsia="zh-CN"/>
        </w:rPr>
        <w:t>　</w:t>
      </w:r>
      <w:r>
        <w:rPr>
          <w:rFonts w:hint="eastAsia" w:ascii="宋体" w:cs="宋体"/>
          <w:color w:val="auto"/>
          <w:sz w:val="30"/>
          <w:szCs w:val="30"/>
          <w:highlight w:val="none"/>
        </w:rPr>
        <w:t>承包人</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7552584D">
      <w:pPr>
        <w:pStyle w:val="4"/>
        <w:kinsoku/>
        <w:spacing w:beforeLines="0" w:afterLines="0"/>
        <w:rPr>
          <w:rFonts w:hint="eastAsia" w:hAnsi="宋体" w:cs="宋体"/>
          <w:bCs/>
          <w:color w:val="auto"/>
          <w:szCs w:val="24"/>
          <w:highlight w:val="none"/>
          <w:lang w:eastAsia="zh-CN"/>
        </w:rPr>
      </w:pPr>
      <w:bookmarkStart w:id="793" w:name="_Toc10306"/>
      <w:bookmarkStart w:id="794" w:name="_Toc17737"/>
      <w:bookmarkStart w:id="795" w:name="_Toc14593"/>
      <w:r>
        <w:rPr>
          <w:rFonts w:hint="eastAsia" w:hAnsi="宋体" w:cs="宋体"/>
          <w:b/>
          <w:bCs/>
          <w:color w:val="auto"/>
          <w:szCs w:val="24"/>
          <w:highlight w:val="none"/>
          <w:lang w:eastAsia="zh-CN"/>
        </w:rPr>
        <w:t>4.1</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承包人的一般义务</w:t>
      </w:r>
      <w:bookmarkEnd w:id="793"/>
      <w:bookmarkEnd w:id="794"/>
      <w:bookmarkEnd w:id="795"/>
    </w:p>
    <w:p w14:paraId="0604B31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4.1.1</w:t>
      </w:r>
      <w:r>
        <w:rPr>
          <w:rFonts w:hint="eastAsia" w:hAnsi="Times New Roman" w:cs="Times New Roman"/>
          <w:b/>
          <w:bCs/>
          <w:color w:val="auto"/>
          <w:highlight w:val="none"/>
          <w:lang w:eastAsia="zh-CN"/>
        </w:rPr>
        <w:t>　</w:t>
      </w:r>
      <w:r>
        <w:rPr>
          <w:rFonts w:cs="宋体"/>
          <w:color w:val="auto"/>
          <w:highlight w:val="none"/>
          <w:lang w:eastAsia="zh-CN"/>
        </w:rPr>
        <w:t>遵守法律</w:t>
      </w:r>
    </w:p>
    <w:p w14:paraId="4C6B9771">
      <w:pPr>
        <w:kinsoku/>
        <w:spacing w:beforeLines="0" w:afterLines="0"/>
        <w:ind w:firstLine="480"/>
        <w:jc w:val="left"/>
        <w:rPr>
          <w:rFonts w:cs="宋体"/>
          <w:color w:val="auto"/>
          <w:highlight w:val="none"/>
          <w:lang w:eastAsia="zh-CN"/>
        </w:rPr>
      </w:pPr>
      <w:r>
        <w:rPr>
          <w:rFonts w:cs="宋体"/>
          <w:color w:val="auto"/>
          <w:highlight w:val="none"/>
          <w:lang w:eastAsia="zh-CN"/>
        </w:rPr>
        <w:t>承包人在履行合同过程中应遵守法律，并保证发包人免于承担因承包人违反法律而引起的任何责任。</w:t>
      </w:r>
    </w:p>
    <w:p w14:paraId="3EBCB23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4.1.2</w:t>
      </w:r>
      <w:r>
        <w:rPr>
          <w:rFonts w:hint="eastAsia" w:hAnsi="Times New Roman" w:cs="Times New Roman"/>
          <w:b/>
          <w:bCs/>
          <w:color w:val="auto"/>
          <w:highlight w:val="none"/>
          <w:lang w:eastAsia="zh-CN"/>
        </w:rPr>
        <w:t>　</w:t>
      </w:r>
      <w:r>
        <w:rPr>
          <w:rFonts w:cs="宋体"/>
          <w:color w:val="auto"/>
          <w:highlight w:val="none"/>
          <w:lang w:eastAsia="zh-CN"/>
        </w:rPr>
        <w:t>依法纳税</w:t>
      </w:r>
    </w:p>
    <w:p w14:paraId="3A5ADBC7">
      <w:pPr>
        <w:kinsoku/>
        <w:spacing w:beforeLines="0" w:afterLines="0"/>
        <w:ind w:firstLine="0" w:firstLineChars="0"/>
        <w:jc w:val="left"/>
        <w:rPr>
          <w:rFonts w:cs="宋体"/>
          <w:color w:val="auto"/>
          <w:highlight w:val="none"/>
          <w:lang w:eastAsia="zh-CN"/>
        </w:rPr>
      </w:pPr>
      <w:r>
        <w:rPr>
          <w:rFonts w:cs="宋体"/>
          <w:color w:val="auto"/>
          <w:highlight w:val="none"/>
          <w:lang w:eastAsia="zh-CN"/>
        </w:rPr>
        <w:t>承包人应按有关法律规定纳税，应缴纳的税金包括在合同价格内。</w:t>
      </w:r>
    </w:p>
    <w:p w14:paraId="491811B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4.1.3</w:t>
      </w:r>
      <w:r>
        <w:rPr>
          <w:rFonts w:hint="eastAsia" w:hAnsi="Times New Roman" w:cs="Times New Roman"/>
          <w:b/>
          <w:bCs/>
          <w:color w:val="auto"/>
          <w:highlight w:val="none"/>
          <w:lang w:eastAsia="zh-CN"/>
        </w:rPr>
        <w:t>　</w:t>
      </w:r>
      <w:r>
        <w:rPr>
          <w:rFonts w:cs="宋体"/>
          <w:color w:val="auto"/>
          <w:highlight w:val="none"/>
          <w:lang w:eastAsia="zh-CN"/>
        </w:rPr>
        <w:t>完成各项承包工作</w:t>
      </w:r>
    </w:p>
    <w:p w14:paraId="7FF742D3">
      <w:pPr>
        <w:kinsoku/>
        <w:spacing w:beforeLines="0" w:afterLines="0"/>
        <w:ind w:firstLine="480"/>
        <w:jc w:val="left"/>
        <w:rPr>
          <w:rFonts w:cs="宋体"/>
          <w:color w:val="auto"/>
          <w:highlight w:val="none"/>
          <w:lang w:eastAsia="zh-CN"/>
        </w:rPr>
      </w:pPr>
      <w:r>
        <w:rPr>
          <w:rFonts w:cs="宋体"/>
          <w:color w:val="auto"/>
          <w:highlight w:val="none"/>
          <w:lang w:eastAsia="zh-CN"/>
        </w:rPr>
        <w:t>承包人应按合同约定以及监理人根据第</w:t>
      </w:r>
      <w:r>
        <w:rPr>
          <w:rFonts w:hAnsi="Times New Roman" w:cs="Times New Roman"/>
          <w:color w:val="auto"/>
          <w:highlight w:val="none"/>
          <w:lang w:eastAsia="zh-CN"/>
        </w:rPr>
        <w:t>3.4</w:t>
      </w:r>
      <w:r>
        <w:rPr>
          <w:rFonts w:cs="宋体"/>
          <w:color w:val="auto"/>
          <w:highlight w:val="none"/>
          <w:lang w:eastAsia="zh-CN"/>
        </w:rPr>
        <w:t>款作出的指示，实施、完成全部工程，并修补工程中的任何缺陷。除第</w:t>
      </w:r>
      <w:r>
        <w:rPr>
          <w:rFonts w:hAnsi="Times New Roman" w:cs="Times New Roman"/>
          <w:color w:val="auto"/>
          <w:highlight w:val="none"/>
          <w:lang w:eastAsia="zh-CN"/>
        </w:rPr>
        <w:t>5.2</w:t>
      </w:r>
      <w:r>
        <w:rPr>
          <w:rFonts w:cs="宋体"/>
          <w:color w:val="auto"/>
          <w:highlight w:val="none"/>
          <w:lang w:eastAsia="zh-CN"/>
        </w:rPr>
        <w:t>款、第</w:t>
      </w:r>
      <w:r>
        <w:rPr>
          <w:rFonts w:hAnsi="Times New Roman" w:cs="Times New Roman"/>
          <w:color w:val="auto"/>
          <w:highlight w:val="none"/>
          <w:lang w:eastAsia="zh-CN"/>
        </w:rPr>
        <w:t>6.2</w:t>
      </w:r>
      <w:r>
        <w:rPr>
          <w:rFonts w:cs="宋体"/>
          <w:color w:val="auto"/>
          <w:highlight w:val="none"/>
          <w:lang w:eastAsia="zh-CN"/>
        </w:rPr>
        <w:t>款另有约定外，承包人应提供为完成合同工作所需的劳务、材料、施工设备、工程设备和其它物品，并按合同约定负责临时设施的设计、建造、运行、维护、管理和拆除。</w:t>
      </w:r>
    </w:p>
    <w:p w14:paraId="04D66E0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4.1.4</w:t>
      </w:r>
      <w:r>
        <w:rPr>
          <w:rFonts w:hint="eastAsia" w:hAnsi="Times New Roman" w:cs="Times New Roman"/>
          <w:b/>
          <w:bCs/>
          <w:color w:val="auto"/>
          <w:highlight w:val="none"/>
          <w:lang w:eastAsia="zh-CN"/>
        </w:rPr>
        <w:t>　</w:t>
      </w:r>
      <w:r>
        <w:rPr>
          <w:rFonts w:cs="宋体"/>
          <w:color w:val="auto"/>
          <w:highlight w:val="none"/>
          <w:lang w:eastAsia="zh-CN"/>
        </w:rPr>
        <w:t>对施工作业和施工方法的完备性负责</w:t>
      </w:r>
    </w:p>
    <w:p w14:paraId="238E59B0">
      <w:pPr>
        <w:kinsoku/>
        <w:spacing w:beforeLines="0" w:afterLines="0"/>
        <w:ind w:firstLine="480"/>
        <w:jc w:val="left"/>
        <w:rPr>
          <w:rFonts w:cs="宋体"/>
          <w:color w:val="auto"/>
          <w:highlight w:val="none"/>
          <w:lang w:eastAsia="zh-CN"/>
        </w:rPr>
      </w:pPr>
      <w:r>
        <w:rPr>
          <w:rFonts w:cs="宋体"/>
          <w:color w:val="auto"/>
          <w:highlight w:val="none"/>
          <w:lang w:eastAsia="zh-CN"/>
        </w:rPr>
        <w:t>承包人应按合同约定的工作内容和施工进度要求，编制施工组织设计和施工措施计划，并对所有施工作业和施工方法的完备性和安全可靠性负责。</w:t>
      </w:r>
    </w:p>
    <w:p w14:paraId="2D68FE0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4.1.5</w:t>
      </w:r>
      <w:r>
        <w:rPr>
          <w:rFonts w:hint="eastAsia" w:hAnsi="Times New Roman" w:cs="Times New Roman"/>
          <w:b/>
          <w:bCs/>
          <w:color w:val="auto"/>
          <w:highlight w:val="none"/>
          <w:lang w:eastAsia="zh-CN"/>
        </w:rPr>
        <w:t>　</w:t>
      </w:r>
      <w:r>
        <w:rPr>
          <w:rFonts w:cs="宋体"/>
          <w:color w:val="auto"/>
          <w:highlight w:val="none"/>
          <w:lang w:eastAsia="zh-CN"/>
        </w:rPr>
        <w:t>保证工程施工和人员的安全</w:t>
      </w:r>
    </w:p>
    <w:p w14:paraId="6C11AF57">
      <w:pPr>
        <w:kinsoku/>
        <w:spacing w:beforeLines="0" w:afterLines="0"/>
        <w:ind w:firstLine="480"/>
        <w:jc w:val="left"/>
        <w:rPr>
          <w:rFonts w:cs="宋体"/>
          <w:color w:val="auto"/>
          <w:highlight w:val="none"/>
          <w:lang w:eastAsia="zh-CN"/>
        </w:rPr>
      </w:pPr>
      <w:r>
        <w:rPr>
          <w:rFonts w:cs="宋体"/>
          <w:color w:val="auto"/>
          <w:highlight w:val="none"/>
          <w:lang w:eastAsia="zh-CN"/>
        </w:rPr>
        <w:t>承包人应按第</w:t>
      </w:r>
      <w:r>
        <w:rPr>
          <w:rFonts w:hAnsi="Times New Roman" w:cs="Times New Roman"/>
          <w:color w:val="auto"/>
          <w:highlight w:val="none"/>
          <w:lang w:eastAsia="zh-CN"/>
        </w:rPr>
        <w:t>9.2</w:t>
      </w:r>
      <w:r>
        <w:rPr>
          <w:rFonts w:cs="宋体"/>
          <w:color w:val="auto"/>
          <w:highlight w:val="none"/>
          <w:lang w:eastAsia="zh-CN"/>
        </w:rPr>
        <w:t>款约定采取施工安全措施，确保工程及其人员、材料、设备和设施的安全，防止因工程施工造成的人身伤害和财产损失。</w:t>
      </w:r>
    </w:p>
    <w:p w14:paraId="2D18951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4.1.6</w:t>
      </w:r>
      <w:r>
        <w:rPr>
          <w:rFonts w:hint="eastAsia" w:hAnsi="Times New Roman" w:cs="Times New Roman"/>
          <w:b/>
          <w:bCs/>
          <w:color w:val="auto"/>
          <w:highlight w:val="none"/>
          <w:lang w:eastAsia="zh-CN"/>
        </w:rPr>
        <w:t>　</w:t>
      </w:r>
      <w:r>
        <w:rPr>
          <w:rFonts w:cs="宋体"/>
          <w:color w:val="auto"/>
          <w:highlight w:val="none"/>
          <w:lang w:eastAsia="zh-CN"/>
        </w:rPr>
        <w:t>负责施工场地及其周边环境与生态的保护工作</w:t>
      </w:r>
    </w:p>
    <w:p w14:paraId="4CC114E8">
      <w:pPr>
        <w:kinsoku/>
        <w:spacing w:beforeLines="0" w:afterLines="0"/>
        <w:ind w:firstLine="480"/>
        <w:jc w:val="left"/>
        <w:rPr>
          <w:rFonts w:cs="宋体"/>
          <w:color w:val="auto"/>
          <w:highlight w:val="none"/>
          <w:lang w:eastAsia="zh-CN"/>
        </w:rPr>
      </w:pPr>
      <w:r>
        <w:rPr>
          <w:rFonts w:cs="宋体"/>
          <w:color w:val="auto"/>
          <w:highlight w:val="none"/>
          <w:lang w:eastAsia="zh-CN"/>
        </w:rPr>
        <w:t>承包人应按照第</w:t>
      </w:r>
      <w:r>
        <w:rPr>
          <w:rFonts w:hAnsi="Times New Roman" w:cs="Times New Roman"/>
          <w:color w:val="auto"/>
          <w:highlight w:val="none"/>
          <w:lang w:eastAsia="zh-CN"/>
        </w:rPr>
        <w:t>9.4</w:t>
      </w:r>
      <w:r>
        <w:rPr>
          <w:rFonts w:cs="宋体"/>
          <w:color w:val="auto"/>
          <w:highlight w:val="none"/>
          <w:lang w:eastAsia="zh-CN"/>
        </w:rPr>
        <w:t>款约定负责施工场地及其周边环境与生态的保护工作。</w:t>
      </w:r>
    </w:p>
    <w:p w14:paraId="403E9D9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4.1.7</w:t>
      </w:r>
      <w:r>
        <w:rPr>
          <w:rFonts w:hint="eastAsia" w:hAnsi="Times New Roman" w:cs="Times New Roman"/>
          <w:b/>
          <w:bCs/>
          <w:color w:val="auto"/>
          <w:highlight w:val="none"/>
          <w:lang w:eastAsia="zh-CN"/>
        </w:rPr>
        <w:t>　</w:t>
      </w:r>
      <w:r>
        <w:rPr>
          <w:rFonts w:cs="宋体"/>
          <w:color w:val="auto"/>
          <w:highlight w:val="none"/>
          <w:lang w:eastAsia="zh-CN"/>
        </w:rPr>
        <w:t>避免施工对公众与他人的利益造成损害</w:t>
      </w:r>
    </w:p>
    <w:p w14:paraId="7293046F">
      <w:pPr>
        <w:kinsoku/>
        <w:spacing w:beforeLines="0" w:afterLines="0"/>
        <w:ind w:firstLine="480"/>
        <w:jc w:val="left"/>
        <w:rPr>
          <w:rFonts w:cs="宋体"/>
          <w:color w:val="auto"/>
          <w:highlight w:val="none"/>
          <w:lang w:eastAsia="zh-CN"/>
        </w:rPr>
      </w:pPr>
      <w:r>
        <w:rPr>
          <w:rFonts w:cs="宋体"/>
          <w:color w:val="auto"/>
          <w:highlight w:val="none"/>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4F2AFB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4.1.8</w:t>
      </w:r>
      <w:r>
        <w:rPr>
          <w:rFonts w:hint="eastAsia" w:hAnsi="Times New Roman" w:cs="Times New Roman"/>
          <w:b/>
          <w:bCs/>
          <w:color w:val="auto"/>
          <w:highlight w:val="none"/>
          <w:lang w:eastAsia="zh-CN"/>
        </w:rPr>
        <w:t>　</w:t>
      </w:r>
      <w:r>
        <w:rPr>
          <w:rFonts w:cs="宋体"/>
          <w:color w:val="auto"/>
          <w:highlight w:val="none"/>
          <w:lang w:eastAsia="zh-CN"/>
        </w:rPr>
        <w:t>为他人提供方便</w:t>
      </w:r>
    </w:p>
    <w:p w14:paraId="18607C4B">
      <w:pPr>
        <w:kinsoku/>
        <w:spacing w:beforeLines="0" w:afterLines="0"/>
        <w:ind w:firstLine="480"/>
        <w:jc w:val="left"/>
        <w:rPr>
          <w:rFonts w:cs="宋体"/>
          <w:color w:val="auto"/>
          <w:highlight w:val="none"/>
          <w:lang w:eastAsia="zh-CN"/>
        </w:rPr>
      </w:pPr>
      <w:r>
        <w:rPr>
          <w:rFonts w:cs="宋体"/>
          <w:color w:val="auto"/>
          <w:highlight w:val="none"/>
          <w:lang w:eastAsia="zh-CN"/>
        </w:rPr>
        <w:t>承包人应按监理人的指示为他人在施工场地或附近实施与工程有关的其他各项工作提供可能的条件。除合同另有约定外，提供有关条件的内容和可能发生的费用，由监理人按第</w:t>
      </w:r>
      <w:r>
        <w:rPr>
          <w:rFonts w:hAnsi="Times New Roman" w:cs="Times New Roman"/>
          <w:color w:val="auto"/>
          <w:highlight w:val="none"/>
          <w:lang w:eastAsia="zh-CN"/>
        </w:rPr>
        <w:t>3.5</w:t>
      </w:r>
      <w:r>
        <w:rPr>
          <w:rFonts w:cs="宋体"/>
          <w:color w:val="auto"/>
          <w:highlight w:val="none"/>
          <w:lang w:eastAsia="zh-CN"/>
        </w:rPr>
        <w:t>款商定或确定。</w:t>
      </w:r>
    </w:p>
    <w:p w14:paraId="44F184B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4.1.9</w:t>
      </w:r>
      <w:r>
        <w:rPr>
          <w:rFonts w:hint="eastAsia" w:hAnsi="Times New Roman" w:cs="Times New Roman"/>
          <w:b/>
          <w:bCs/>
          <w:color w:val="auto"/>
          <w:highlight w:val="none"/>
          <w:lang w:eastAsia="zh-CN"/>
        </w:rPr>
        <w:t>　</w:t>
      </w:r>
      <w:r>
        <w:rPr>
          <w:rFonts w:cs="宋体"/>
          <w:color w:val="auto"/>
          <w:highlight w:val="none"/>
          <w:lang w:eastAsia="zh-CN"/>
        </w:rPr>
        <w:t>工程的维护和照管</w:t>
      </w:r>
    </w:p>
    <w:p w14:paraId="4B59F509">
      <w:pPr>
        <w:kinsoku/>
        <w:spacing w:beforeLines="0" w:afterLines="0"/>
        <w:ind w:firstLine="480"/>
        <w:jc w:val="left"/>
        <w:rPr>
          <w:rFonts w:cs="宋体"/>
          <w:color w:val="auto"/>
          <w:highlight w:val="none"/>
          <w:lang w:eastAsia="zh-CN"/>
        </w:rPr>
      </w:pPr>
      <w:r>
        <w:rPr>
          <w:rFonts w:cs="宋体"/>
          <w:color w:val="auto"/>
          <w:highlight w:val="none"/>
          <w:lang w:eastAsia="zh-CN"/>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5666C31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4.1.10</w:t>
      </w:r>
      <w:r>
        <w:rPr>
          <w:rFonts w:hint="eastAsia" w:hAnsi="Times New Roman" w:cs="Times New Roman"/>
          <w:b/>
          <w:bCs/>
          <w:color w:val="auto"/>
          <w:highlight w:val="none"/>
          <w:lang w:eastAsia="zh-CN"/>
        </w:rPr>
        <w:t>　</w:t>
      </w:r>
      <w:r>
        <w:rPr>
          <w:rFonts w:cs="宋体"/>
          <w:color w:val="auto"/>
          <w:highlight w:val="none"/>
          <w:lang w:eastAsia="zh-CN"/>
        </w:rPr>
        <w:t>农民工资专用账户</w:t>
      </w:r>
    </w:p>
    <w:p w14:paraId="66CB8E90">
      <w:pPr>
        <w:kinsoku/>
        <w:spacing w:beforeLines="0" w:afterLines="0"/>
        <w:ind w:firstLine="480"/>
        <w:jc w:val="left"/>
        <w:rPr>
          <w:rFonts w:cs="宋体"/>
          <w:color w:val="auto"/>
          <w:highlight w:val="none"/>
          <w:lang w:eastAsia="zh-CN"/>
        </w:rPr>
      </w:pPr>
      <w:r>
        <w:rPr>
          <w:rFonts w:cs="宋体"/>
          <w:color w:val="auto"/>
          <w:highlight w:val="none"/>
          <w:lang w:eastAsia="zh-CN"/>
        </w:rPr>
        <w:t>承包人应当按照有关规定开设农民工工资专用账户，专项用于支付该工程建设项目农民工工资。开设、使用农民工工资专用账户有关资料应当由承包人妥善保存备查。</w:t>
      </w:r>
    </w:p>
    <w:p w14:paraId="776C67D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4.1.11</w:t>
      </w:r>
      <w:r>
        <w:rPr>
          <w:rFonts w:hint="eastAsia" w:hAnsi="Times New Roman" w:cs="Times New Roman"/>
          <w:b/>
          <w:bCs/>
          <w:color w:val="auto"/>
          <w:highlight w:val="none"/>
          <w:lang w:eastAsia="zh-CN"/>
        </w:rPr>
        <w:t>　</w:t>
      </w:r>
      <w:r>
        <w:rPr>
          <w:rFonts w:cs="宋体"/>
          <w:color w:val="auto"/>
          <w:highlight w:val="none"/>
          <w:lang w:eastAsia="zh-CN"/>
        </w:rPr>
        <w:t>其它义务</w:t>
      </w:r>
    </w:p>
    <w:p w14:paraId="0736ACB4">
      <w:pPr>
        <w:kinsoku/>
        <w:spacing w:beforeLines="0" w:afterLines="0"/>
        <w:ind w:firstLine="0" w:firstLineChars="0"/>
        <w:jc w:val="left"/>
        <w:rPr>
          <w:rFonts w:cs="宋体"/>
          <w:color w:val="auto"/>
          <w:highlight w:val="none"/>
          <w:lang w:eastAsia="zh-CN"/>
        </w:rPr>
      </w:pPr>
      <w:r>
        <w:rPr>
          <w:rFonts w:cs="宋体"/>
          <w:color w:val="auto"/>
          <w:highlight w:val="none"/>
          <w:lang w:eastAsia="zh-CN"/>
        </w:rPr>
        <w:t>其它义务在专用合同条款中补充约定。</w:t>
      </w:r>
    </w:p>
    <w:p w14:paraId="16066B1C">
      <w:pPr>
        <w:pStyle w:val="4"/>
        <w:kinsoku/>
        <w:spacing w:beforeLines="0" w:afterLines="0"/>
        <w:rPr>
          <w:rFonts w:hint="eastAsia" w:hAnsi="宋体" w:cs="宋体"/>
          <w:bCs/>
          <w:color w:val="auto"/>
          <w:szCs w:val="24"/>
          <w:highlight w:val="none"/>
          <w:lang w:eastAsia="zh-CN"/>
        </w:rPr>
      </w:pPr>
      <w:bookmarkStart w:id="796" w:name="_Toc14044"/>
      <w:bookmarkStart w:id="797" w:name="_Toc25328"/>
      <w:bookmarkStart w:id="798" w:name="_Toc27754"/>
      <w:r>
        <w:rPr>
          <w:rFonts w:hint="eastAsia" w:hAnsi="宋体" w:cs="宋体"/>
          <w:b/>
          <w:bCs/>
          <w:color w:val="auto"/>
          <w:szCs w:val="24"/>
          <w:highlight w:val="none"/>
          <w:lang w:eastAsia="zh-CN"/>
        </w:rPr>
        <w:t>4.2</w:t>
      </w:r>
      <w:r>
        <w:rPr>
          <w:rFonts w:hint="eastAsia" w:cs="宋体"/>
          <w:b/>
          <w:bCs/>
          <w:color w:val="auto"/>
          <w:szCs w:val="24"/>
          <w:highlight w:val="none"/>
          <w:lang w:eastAsia="zh-CN"/>
        </w:rPr>
        <w:t>　</w:t>
      </w:r>
      <w:r>
        <w:rPr>
          <w:rFonts w:hint="eastAsia" w:hAnsi="宋体" w:cs="宋体"/>
          <w:b/>
          <w:bCs/>
          <w:color w:val="auto"/>
          <w:szCs w:val="24"/>
          <w:highlight w:val="none"/>
          <w:lang w:eastAsia="zh-CN"/>
        </w:rPr>
        <w:t>履约担保</w:t>
      </w:r>
      <w:bookmarkEnd w:id="796"/>
      <w:bookmarkEnd w:id="797"/>
      <w:bookmarkEnd w:id="798"/>
    </w:p>
    <w:p w14:paraId="5A4A8C92">
      <w:pPr>
        <w:kinsoku/>
        <w:spacing w:beforeLines="0" w:afterLines="0"/>
        <w:ind w:firstLine="480"/>
        <w:jc w:val="left"/>
        <w:rPr>
          <w:rFonts w:cs="宋体"/>
          <w:color w:val="auto"/>
          <w:highlight w:val="none"/>
          <w:lang w:eastAsia="zh-CN"/>
        </w:rPr>
      </w:pPr>
      <w:r>
        <w:rPr>
          <w:rFonts w:cs="宋体"/>
          <w:color w:val="auto"/>
          <w:highlight w:val="none"/>
          <w:lang w:eastAsia="zh-CN"/>
        </w:rPr>
        <w:t>承包人应保证其履约担保在合同工程通过完工验收前一直有效。发包人应在合同工程完工验收合格后</w:t>
      </w:r>
      <w:r>
        <w:rPr>
          <w:rFonts w:hAnsi="Times New Roman" w:cs="Times New Roman"/>
          <w:color w:val="auto"/>
          <w:highlight w:val="none"/>
          <w:lang w:eastAsia="zh-CN"/>
        </w:rPr>
        <w:t>10</w:t>
      </w:r>
      <w:r>
        <w:rPr>
          <w:rFonts w:cs="宋体"/>
          <w:color w:val="auto"/>
          <w:highlight w:val="none"/>
          <w:lang w:eastAsia="zh-CN"/>
        </w:rPr>
        <w:t>天内将履约担保退还给承包人。</w:t>
      </w:r>
    </w:p>
    <w:p w14:paraId="4CA9897A">
      <w:pPr>
        <w:pStyle w:val="4"/>
        <w:kinsoku/>
        <w:spacing w:beforeLines="0" w:afterLines="0"/>
        <w:rPr>
          <w:rFonts w:hint="eastAsia" w:hAnsi="宋体" w:cs="宋体"/>
          <w:bCs/>
          <w:color w:val="auto"/>
          <w:szCs w:val="24"/>
          <w:highlight w:val="none"/>
          <w:lang w:eastAsia="zh-CN"/>
        </w:rPr>
      </w:pPr>
      <w:bookmarkStart w:id="799" w:name="_Toc16523"/>
      <w:bookmarkStart w:id="800" w:name="_Toc27272"/>
      <w:bookmarkStart w:id="801" w:name="_Toc25768"/>
      <w:r>
        <w:rPr>
          <w:rFonts w:hint="eastAsia" w:hAnsi="宋体" w:cs="宋体"/>
          <w:b/>
          <w:bCs/>
          <w:color w:val="auto"/>
          <w:szCs w:val="24"/>
          <w:highlight w:val="none"/>
          <w:lang w:eastAsia="zh-CN"/>
        </w:rPr>
        <w:t>4.3</w:t>
      </w:r>
      <w:r>
        <w:rPr>
          <w:rFonts w:hint="eastAsia" w:cs="宋体"/>
          <w:b/>
          <w:bCs/>
          <w:color w:val="auto"/>
          <w:szCs w:val="24"/>
          <w:highlight w:val="none"/>
          <w:lang w:eastAsia="zh-CN"/>
        </w:rPr>
        <w:t>　</w:t>
      </w:r>
      <w:r>
        <w:rPr>
          <w:rFonts w:hint="eastAsia" w:hAnsi="宋体" w:cs="宋体"/>
          <w:b/>
          <w:bCs/>
          <w:color w:val="auto"/>
          <w:szCs w:val="24"/>
          <w:highlight w:val="none"/>
          <w:lang w:eastAsia="zh-CN"/>
        </w:rPr>
        <w:t>分包</w:t>
      </w:r>
      <w:bookmarkEnd w:id="799"/>
      <w:bookmarkEnd w:id="800"/>
      <w:bookmarkEnd w:id="801"/>
    </w:p>
    <w:p w14:paraId="17A5B97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4.3.1</w:t>
      </w:r>
      <w:r>
        <w:rPr>
          <w:rFonts w:hint="eastAsia" w:hAnsi="Times New Roman" w:cs="Times New Roman"/>
          <w:b/>
          <w:bCs/>
          <w:color w:val="auto"/>
          <w:highlight w:val="none"/>
          <w:lang w:eastAsia="zh-CN"/>
        </w:rPr>
        <w:t>　</w:t>
      </w:r>
      <w:r>
        <w:rPr>
          <w:rFonts w:cs="宋体"/>
          <w:color w:val="auto"/>
          <w:highlight w:val="none"/>
          <w:lang w:eastAsia="zh-CN"/>
        </w:rPr>
        <w:t>承包人不得将其承包的全部工程转包给第三人，或将其承包的全部工程肢解后以分包的名义转包给第三人。</w:t>
      </w:r>
    </w:p>
    <w:p w14:paraId="320AC4A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4.3.2</w:t>
      </w:r>
      <w:r>
        <w:rPr>
          <w:rFonts w:hint="eastAsia" w:hAnsi="Times New Roman" w:cs="Times New Roman"/>
          <w:b/>
          <w:bCs/>
          <w:color w:val="auto"/>
          <w:highlight w:val="none"/>
          <w:lang w:eastAsia="zh-CN"/>
        </w:rPr>
        <w:t>　</w:t>
      </w:r>
      <w:r>
        <w:rPr>
          <w:rFonts w:cs="宋体"/>
          <w:color w:val="auto"/>
          <w:highlight w:val="none"/>
          <w:lang w:eastAsia="zh-CN"/>
        </w:rPr>
        <w:t>承包人不得将工程主体、关键性工作分包给第三人。除专用合同条款另有约定外，未经发包人同意，承包人不得将工程的其他部分或工作分包给第三人。</w:t>
      </w:r>
    </w:p>
    <w:p w14:paraId="39AD365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4.3.3</w:t>
      </w:r>
      <w:r>
        <w:rPr>
          <w:rFonts w:hint="eastAsia" w:hAnsi="Times New Roman" w:cs="Times New Roman"/>
          <w:b/>
          <w:bCs/>
          <w:color w:val="auto"/>
          <w:highlight w:val="none"/>
          <w:lang w:eastAsia="zh-CN"/>
        </w:rPr>
        <w:t>　</w:t>
      </w:r>
      <w:r>
        <w:rPr>
          <w:rFonts w:cs="宋体"/>
          <w:color w:val="auto"/>
          <w:highlight w:val="none"/>
          <w:lang w:eastAsia="zh-CN"/>
        </w:rPr>
        <w:t>分包人的资格能力应与其分包工程的标准和规模相适应。</w:t>
      </w:r>
    </w:p>
    <w:p w14:paraId="0E14052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4.3.4</w:t>
      </w:r>
      <w:r>
        <w:rPr>
          <w:rFonts w:hint="eastAsia" w:hAnsi="Times New Roman" w:cs="Times New Roman"/>
          <w:b/>
          <w:bCs/>
          <w:color w:val="auto"/>
          <w:highlight w:val="none"/>
          <w:lang w:eastAsia="zh-CN"/>
        </w:rPr>
        <w:t>　</w:t>
      </w:r>
      <w:r>
        <w:rPr>
          <w:rFonts w:cs="宋体"/>
          <w:color w:val="auto"/>
          <w:highlight w:val="none"/>
          <w:lang w:eastAsia="zh-CN"/>
        </w:rPr>
        <w:t>按投标函附录约定分包工程的，承包人应向发包人和监理人提交分包合同副本。</w:t>
      </w:r>
    </w:p>
    <w:p w14:paraId="25D57A7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4.3.5</w:t>
      </w:r>
      <w:r>
        <w:rPr>
          <w:rFonts w:hint="eastAsia" w:hAnsi="Times New Roman" w:cs="Times New Roman"/>
          <w:b/>
          <w:bCs/>
          <w:color w:val="auto"/>
          <w:highlight w:val="none"/>
          <w:lang w:eastAsia="zh-CN"/>
        </w:rPr>
        <w:t>　</w:t>
      </w:r>
      <w:r>
        <w:rPr>
          <w:rFonts w:cs="宋体"/>
          <w:color w:val="auto"/>
          <w:highlight w:val="none"/>
          <w:lang w:eastAsia="zh-CN"/>
        </w:rPr>
        <w:t>承包人应与分包人就分包工程向发包人承担连带责任。</w:t>
      </w:r>
    </w:p>
    <w:p w14:paraId="45325B9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4.3.6</w:t>
      </w:r>
      <w:r>
        <w:rPr>
          <w:rFonts w:hint="eastAsia" w:hAnsi="Times New Roman" w:cs="Times New Roman"/>
          <w:b/>
          <w:bCs/>
          <w:color w:val="auto"/>
          <w:highlight w:val="none"/>
          <w:lang w:eastAsia="zh-CN"/>
        </w:rPr>
        <w:t>　</w:t>
      </w:r>
      <w:r>
        <w:rPr>
          <w:rFonts w:cs="宋体"/>
          <w:color w:val="auto"/>
          <w:highlight w:val="none"/>
          <w:lang w:eastAsia="zh-CN"/>
        </w:rPr>
        <w:t>分包分为工程分包和劳务作业分包。工程分包应遵循合同约定或者经发包</w:t>
      </w:r>
    </w:p>
    <w:p w14:paraId="2484F675">
      <w:pPr>
        <w:kinsoku/>
        <w:spacing w:beforeLines="0" w:afterLines="0"/>
        <w:ind w:firstLine="0" w:firstLineChars="0"/>
        <w:jc w:val="left"/>
        <w:rPr>
          <w:rFonts w:cs="宋体"/>
          <w:color w:val="auto"/>
          <w:highlight w:val="none"/>
          <w:lang w:eastAsia="zh-CN"/>
        </w:rPr>
      </w:pPr>
      <w:r>
        <w:rPr>
          <w:rFonts w:cs="宋体"/>
          <w:color w:val="auto"/>
          <w:highlight w:val="none"/>
          <w:lang w:eastAsia="zh-CN"/>
        </w:rPr>
        <w:t>人书面认可。禁止承包人将本合同工程进行违法分包。分包人应具备与分包工程规模和标准相适应的资质和业绩，在人力、设备、资金等方面具有承担分包工程施工的能力。分包人应自行完成所承包的任务。</w:t>
      </w:r>
    </w:p>
    <w:p w14:paraId="1303658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4.3.7</w:t>
      </w:r>
      <w:r>
        <w:rPr>
          <w:rFonts w:hint="eastAsia" w:hAnsi="Times New Roman" w:cs="Times New Roman"/>
          <w:b/>
          <w:bCs/>
          <w:color w:val="auto"/>
          <w:highlight w:val="none"/>
          <w:lang w:eastAsia="zh-CN"/>
        </w:rPr>
        <w:t>　</w:t>
      </w:r>
      <w:r>
        <w:rPr>
          <w:rFonts w:cs="宋体"/>
          <w:color w:val="auto"/>
          <w:highlight w:val="none"/>
          <w:lang w:eastAsia="zh-CN"/>
        </w:rPr>
        <w:t>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3436B0A8">
      <w:pPr>
        <w:kinsoku/>
        <w:spacing w:beforeLines="0" w:afterLines="0"/>
        <w:ind w:firstLine="0" w:firstLineChars="0"/>
        <w:jc w:val="left"/>
        <w:rPr>
          <w:rFonts w:cs="宋体"/>
          <w:color w:val="auto"/>
          <w:highlight w:val="none"/>
          <w:lang w:eastAsia="zh-CN"/>
        </w:rPr>
      </w:pPr>
      <w:r>
        <w:rPr>
          <w:rFonts w:cs="宋体"/>
          <w:color w:val="auto"/>
          <w:highlight w:val="none"/>
          <w:lang w:eastAsia="zh-CN"/>
        </w:rPr>
        <w:t>由指定分包人造成的与其分包工作有关的一切索赔、诉讼和损失赔偿由指定分包人直接对发包人负责，承包人不对此承担责任。</w:t>
      </w:r>
    </w:p>
    <w:p w14:paraId="3C30C08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4.3.8</w:t>
      </w:r>
      <w:r>
        <w:rPr>
          <w:rFonts w:hint="eastAsia" w:hAnsi="Times New Roman" w:cs="Times New Roman"/>
          <w:b/>
          <w:bCs/>
          <w:color w:val="auto"/>
          <w:highlight w:val="none"/>
          <w:lang w:eastAsia="zh-CN"/>
        </w:rPr>
        <w:t>　</w:t>
      </w:r>
      <w:r>
        <w:rPr>
          <w:rFonts w:cs="宋体"/>
          <w:color w:val="auto"/>
          <w:highlight w:val="none"/>
          <w:lang w:eastAsia="zh-CN"/>
        </w:rPr>
        <w:t>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2855025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4.3.9</w:t>
      </w:r>
      <w:r>
        <w:rPr>
          <w:rFonts w:hint="eastAsia" w:hAnsi="Times New Roman" w:cs="Times New Roman"/>
          <w:b/>
          <w:bCs/>
          <w:color w:val="auto"/>
          <w:highlight w:val="none"/>
          <w:lang w:eastAsia="zh-CN"/>
        </w:rPr>
        <w:t>　</w:t>
      </w:r>
      <w:r>
        <w:rPr>
          <w:rFonts w:cs="宋体"/>
          <w:color w:val="auto"/>
          <w:highlight w:val="none"/>
          <w:lang w:eastAsia="zh-CN"/>
        </w:rPr>
        <w:t>除第</w:t>
      </w:r>
      <w:r>
        <w:rPr>
          <w:rFonts w:hAnsi="Times New Roman" w:cs="Times New Roman"/>
          <w:color w:val="auto"/>
          <w:highlight w:val="none"/>
          <w:lang w:eastAsia="zh-CN"/>
        </w:rPr>
        <w:t>4.3.7</w:t>
      </w:r>
      <w:r>
        <w:rPr>
          <w:rFonts w:cs="宋体"/>
          <w:color w:val="auto"/>
          <w:highlight w:val="none"/>
          <w:lang w:eastAsia="zh-CN"/>
        </w:rPr>
        <w:t>项规定的指定分包外，承包人对其分包项目的实施以及分包人的行为向发包人负全部责任。承包人应对分包项目的工程进度、质量、安全、计量和验收等实施监督和管理。</w:t>
      </w:r>
    </w:p>
    <w:p w14:paraId="24E4E08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4.3.10</w:t>
      </w:r>
      <w:r>
        <w:rPr>
          <w:rFonts w:hint="eastAsia" w:hAnsi="Times New Roman" w:cs="Times New Roman"/>
          <w:b/>
          <w:bCs/>
          <w:color w:val="auto"/>
          <w:highlight w:val="none"/>
          <w:lang w:eastAsia="zh-CN"/>
        </w:rPr>
        <w:t>　</w:t>
      </w:r>
      <w:r>
        <w:rPr>
          <w:rFonts w:cs="宋体"/>
          <w:color w:val="auto"/>
          <w:highlight w:val="none"/>
          <w:lang w:eastAsia="zh-CN"/>
        </w:rPr>
        <w:t>分包人应按专用合同条款的约定设立项目管理机构组织管理分包工程的施工活动。</w:t>
      </w:r>
    </w:p>
    <w:p w14:paraId="2919C258">
      <w:pPr>
        <w:pStyle w:val="4"/>
        <w:kinsoku/>
        <w:spacing w:beforeLines="0" w:afterLines="0"/>
        <w:rPr>
          <w:rFonts w:hint="eastAsia" w:hAnsi="宋体" w:cs="宋体"/>
          <w:bCs/>
          <w:color w:val="auto"/>
          <w:szCs w:val="24"/>
          <w:highlight w:val="none"/>
          <w:lang w:eastAsia="zh-CN"/>
        </w:rPr>
      </w:pPr>
      <w:bookmarkStart w:id="802" w:name="_Toc28405"/>
      <w:bookmarkStart w:id="803" w:name="_Toc28221"/>
      <w:bookmarkStart w:id="804" w:name="_Toc3975"/>
      <w:r>
        <w:rPr>
          <w:rFonts w:hint="eastAsia" w:hAnsi="宋体" w:cs="宋体"/>
          <w:b/>
          <w:bCs/>
          <w:color w:val="auto"/>
          <w:szCs w:val="24"/>
          <w:highlight w:val="none"/>
          <w:lang w:eastAsia="zh-CN"/>
        </w:rPr>
        <w:t>4.4</w:t>
      </w:r>
      <w:r>
        <w:rPr>
          <w:rFonts w:hint="eastAsia" w:cs="宋体"/>
          <w:b/>
          <w:bCs/>
          <w:color w:val="auto"/>
          <w:szCs w:val="24"/>
          <w:highlight w:val="none"/>
          <w:lang w:eastAsia="zh-CN"/>
        </w:rPr>
        <w:t>　</w:t>
      </w:r>
      <w:r>
        <w:rPr>
          <w:rFonts w:hint="eastAsia" w:hAnsi="宋体" w:cs="宋体"/>
          <w:b/>
          <w:bCs/>
          <w:color w:val="auto"/>
          <w:szCs w:val="24"/>
          <w:highlight w:val="none"/>
          <w:lang w:eastAsia="zh-CN"/>
        </w:rPr>
        <w:t>联合体</w:t>
      </w:r>
      <w:bookmarkEnd w:id="802"/>
      <w:bookmarkEnd w:id="803"/>
      <w:bookmarkEnd w:id="804"/>
    </w:p>
    <w:p w14:paraId="655AD02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4.4.1</w:t>
      </w:r>
      <w:r>
        <w:rPr>
          <w:rFonts w:hint="eastAsia" w:hAnsi="Times New Roman" w:cs="Times New Roman"/>
          <w:b/>
          <w:bCs/>
          <w:color w:val="auto"/>
          <w:highlight w:val="none"/>
          <w:lang w:eastAsia="zh-CN"/>
        </w:rPr>
        <w:t>　</w:t>
      </w:r>
      <w:r>
        <w:rPr>
          <w:rFonts w:cs="宋体"/>
          <w:color w:val="auto"/>
          <w:highlight w:val="none"/>
          <w:lang w:eastAsia="zh-CN"/>
        </w:rPr>
        <w:t>联合体各方应共同与发包人签订合同协议书。联合体各方应为履行合同承担连带责任。</w:t>
      </w:r>
    </w:p>
    <w:p w14:paraId="175EE56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4.4.2</w:t>
      </w:r>
      <w:r>
        <w:rPr>
          <w:rFonts w:hint="eastAsia" w:hAnsi="Times New Roman" w:cs="Times New Roman"/>
          <w:b/>
          <w:bCs/>
          <w:color w:val="auto"/>
          <w:highlight w:val="none"/>
          <w:lang w:eastAsia="zh-CN"/>
        </w:rPr>
        <w:t>　</w:t>
      </w:r>
      <w:r>
        <w:rPr>
          <w:rFonts w:cs="宋体"/>
          <w:color w:val="auto"/>
          <w:highlight w:val="none"/>
          <w:lang w:eastAsia="zh-CN"/>
        </w:rPr>
        <w:t>联合体协议经发包人确认后作为合同附件。在履行合同过程中，未经发包人同意，不得修改联合体协议。</w:t>
      </w:r>
    </w:p>
    <w:p w14:paraId="401A505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4.4.3</w:t>
      </w:r>
      <w:r>
        <w:rPr>
          <w:rFonts w:hint="eastAsia" w:hAnsi="Times New Roman" w:cs="Times New Roman"/>
          <w:b/>
          <w:bCs/>
          <w:color w:val="auto"/>
          <w:highlight w:val="none"/>
          <w:lang w:eastAsia="zh-CN"/>
        </w:rPr>
        <w:t>　</w:t>
      </w:r>
      <w:r>
        <w:rPr>
          <w:rFonts w:cs="宋体"/>
          <w:color w:val="auto"/>
          <w:highlight w:val="none"/>
          <w:lang w:eastAsia="zh-CN"/>
        </w:rPr>
        <w:t>联合体牵头人负责与发包人和监理人联系，并接受指示，负责组织联合体各成员全面履行合同。</w:t>
      </w:r>
    </w:p>
    <w:p w14:paraId="60B629F2">
      <w:pPr>
        <w:pStyle w:val="4"/>
        <w:kinsoku/>
        <w:spacing w:beforeLines="0" w:afterLines="0"/>
        <w:rPr>
          <w:rFonts w:hint="eastAsia" w:hAnsi="宋体" w:cs="宋体"/>
          <w:bCs/>
          <w:color w:val="auto"/>
          <w:szCs w:val="24"/>
          <w:highlight w:val="none"/>
          <w:lang w:eastAsia="zh-CN"/>
        </w:rPr>
      </w:pPr>
      <w:bookmarkStart w:id="805" w:name="_Toc5365"/>
      <w:bookmarkStart w:id="806" w:name="_Toc16826"/>
      <w:bookmarkStart w:id="807" w:name="_Toc9444"/>
      <w:r>
        <w:rPr>
          <w:rFonts w:hint="eastAsia" w:hAnsi="宋体" w:cs="宋体"/>
          <w:b/>
          <w:bCs/>
          <w:color w:val="auto"/>
          <w:szCs w:val="24"/>
          <w:highlight w:val="none"/>
          <w:lang w:eastAsia="zh-CN"/>
        </w:rPr>
        <w:t>4.5</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承包人项目负责人</w:t>
      </w:r>
      <w:bookmarkEnd w:id="805"/>
      <w:bookmarkEnd w:id="806"/>
      <w:bookmarkEnd w:id="807"/>
    </w:p>
    <w:p w14:paraId="4E91EB3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4.5.1</w:t>
      </w:r>
      <w:r>
        <w:rPr>
          <w:rFonts w:hint="eastAsia" w:hAnsi="Times New Roman" w:cs="Times New Roman"/>
          <w:b/>
          <w:bCs/>
          <w:color w:val="auto"/>
          <w:highlight w:val="none"/>
          <w:lang w:eastAsia="zh-CN"/>
        </w:rPr>
        <w:t>　</w:t>
      </w:r>
      <w:r>
        <w:rPr>
          <w:rFonts w:cs="宋体"/>
          <w:color w:val="auto"/>
          <w:highlight w:val="none"/>
          <w:lang w:eastAsia="zh-CN"/>
        </w:rPr>
        <w:t>承包人应按合同约定指派项目负责人，并在约定的期限内到职。承包人更换项目负责人应事先征得发包人同意，并应在更换</w:t>
      </w:r>
      <w:r>
        <w:rPr>
          <w:rFonts w:hAnsi="Times New Roman" w:cs="Times New Roman"/>
          <w:color w:val="auto"/>
          <w:highlight w:val="none"/>
          <w:lang w:eastAsia="zh-CN"/>
        </w:rPr>
        <w:t>14</w:t>
      </w:r>
      <w:r>
        <w:rPr>
          <w:rFonts w:cs="宋体"/>
          <w:color w:val="auto"/>
          <w:highlight w:val="none"/>
          <w:lang w:eastAsia="zh-CN"/>
        </w:rPr>
        <w:t>天前通知发包人和监理人。承包人项目负责人短期离开施工场地，应事先征得监理人同意，并委派代表代行其职责。</w:t>
      </w:r>
    </w:p>
    <w:p w14:paraId="1BDAB40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4.5.2</w:t>
      </w:r>
      <w:r>
        <w:rPr>
          <w:rFonts w:hint="eastAsia" w:hAnsi="Times New Roman" w:cs="Times New Roman"/>
          <w:b/>
          <w:bCs/>
          <w:color w:val="auto"/>
          <w:highlight w:val="none"/>
          <w:lang w:eastAsia="zh-CN"/>
        </w:rPr>
        <w:t>　</w:t>
      </w:r>
      <w:r>
        <w:rPr>
          <w:rFonts w:cs="宋体"/>
          <w:color w:val="auto"/>
          <w:highlight w:val="none"/>
          <w:lang w:eastAsia="zh-CN"/>
        </w:rPr>
        <w:t>承包人项目负责人应按合同约定以及监理人按第</w:t>
      </w:r>
      <w:r>
        <w:rPr>
          <w:rFonts w:hAnsi="Times New Roman" w:cs="Times New Roman"/>
          <w:color w:val="auto"/>
          <w:highlight w:val="none"/>
          <w:lang w:eastAsia="zh-CN"/>
        </w:rPr>
        <w:t>3.4</w:t>
      </w:r>
      <w:r>
        <w:rPr>
          <w:rFonts w:cs="宋体"/>
          <w:color w:val="auto"/>
          <w:highlight w:val="none"/>
          <w:lang w:eastAsia="zh-CN"/>
        </w:rPr>
        <w:t>款作出的指示，负责组织合同工程的实施。在情况紧急且无法与监理人取得联系时，可采取保证工程和人员</w:t>
      </w:r>
      <w:r>
        <w:rPr>
          <w:rFonts w:hint="eastAsia" w:cs="宋体"/>
          <w:color w:val="auto"/>
          <w:highlight w:val="none"/>
          <w:lang w:eastAsia="zh-CN"/>
        </w:rPr>
        <w:t>生命财产安全</w:t>
      </w:r>
      <w:r>
        <w:rPr>
          <w:rFonts w:cs="宋体"/>
          <w:color w:val="auto"/>
          <w:highlight w:val="none"/>
          <w:lang w:eastAsia="zh-CN"/>
        </w:rPr>
        <w:t>的紧急措施，并在采取措施后</w:t>
      </w:r>
      <w:r>
        <w:rPr>
          <w:rFonts w:hAnsi="Times New Roman" w:cs="Times New Roman"/>
          <w:color w:val="auto"/>
          <w:highlight w:val="none"/>
          <w:lang w:eastAsia="zh-CN"/>
        </w:rPr>
        <w:t>24</w:t>
      </w:r>
      <w:r>
        <w:rPr>
          <w:rFonts w:cs="宋体"/>
          <w:color w:val="auto"/>
          <w:highlight w:val="none"/>
          <w:lang w:eastAsia="zh-CN"/>
        </w:rPr>
        <w:t>小时内向监理人提交书面报告。</w:t>
      </w:r>
    </w:p>
    <w:p w14:paraId="61E33B1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4.5.3</w:t>
      </w:r>
      <w:r>
        <w:rPr>
          <w:rFonts w:hint="eastAsia" w:hAnsi="Times New Roman" w:cs="Times New Roman"/>
          <w:b/>
          <w:bCs/>
          <w:color w:val="auto"/>
          <w:highlight w:val="none"/>
          <w:lang w:eastAsia="zh-CN"/>
        </w:rPr>
        <w:t>　</w:t>
      </w:r>
      <w:r>
        <w:rPr>
          <w:rFonts w:cs="宋体"/>
          <w:color w:val="auto"/>
          <w:highlight w:val="none"/>
          <w:lang w:eastAsia="zh-CN"/>
        </w:rPr>
        <w:t>承包人为履行合同发出的一切函件均应盖有承包人授权的施工场地管理机构章，并由承包人项目负责人或其授权代表签字。</w:t>
      </w:r>
    </w:p>
    <w:p w14:paraId="118925D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4.5.4</w:t>
      </w:r>
      <w:r>
        <w:rPr>
          <w:rFonts w:hint="eastAsia" w:hAnsi="Times New Roman" w:cs="Times New Roman"/>
          <w:b/>
          <w:bCs/>
          <w:color w:val="auto"/>
          <w:highlight w:val="none"/>
          <w:lang w:eastAsia="zh-CN"/>
        </w:rPr>
        <w:t>　</w:t>
      </w:r>
      <w:r>
        <w:rPr>
          <w:rFonts w:cs="宋体"/>
          <w:color w:val="auto"/>
          <w:highlight w:val="none"/>
          <w:lang w:eastAsia="zh-CN"/>
        </w:rPr>
        <w:t>承包人项目负责人可以授权其下属人员履行其某项职责，但事先应将这些人员的姓名和授权范围通知监理人。</w:t>
      </w:r>
    </w:p>
    <w:p w14:paraId="3779D81F">
      <w:pPr>
        <w:pStyle w:val="4"/>
        <w:kinsoku/>
        <w:spacing w:beforeLines="0" w:afterLines="0"/>
        <w:rPr>
          <w:rFonts w:hint="eastAsia" w:hAnsi="宋体" w:cs="宋体"/>
          <w:bCs/>
          <w:color w:val="auto"/>
          <w:szCs w:val="24"/>
          <w:highlight w:val="none"/>
          <w:lang w:eastAsia="zh-CN"/>
        </w:rPr>
      </w:pPr>
      <w:bookmarkStart w:id="808" w:name="_Toc12315"/>
      <w:bookmarkStart w:id="809" w:name="_Toc19742"/>
      <w:bookmarkStart w:id="810" w:name="_Toc18976"/>
      <w:r>
        <w:rPr>
          <w:rFonts w:hint="eastAsia" w:hAnsi="宋体" w:cs="宋体"/>
          <w:b/>
          <w:bCs/>
          <w:color w:val="auto"/>
          <w:szCs w:val="24"/>
          <w:highlight w:val="none"/>
          <w:lang w:eastAsia="zh-CN"/>
        </w:rPr>
        <w:t>4.6</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承包人人员的管理</w:t>
      </w:r>
      <w:bookmarkEnd w:id="808"/>
      <w:bookmarkEnd w:id="809"/>
      <w:bookmarkEnd w:id="810"/>
    </w:p>
    <w:p w14:paraId="5D3CA6C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4.6.1</w:t>
      </w:r>
      <w:r>
        <w:rPr>
          <w:rFonts w:hint="eastAsia" w:hAnsi="Times New Roman" w:cs="Times New Roman"/>
          <w:b/>
          <w:bCs/>
          <w:color w:val="auto"/>
          <w:highlight w:val="none"/>
          <w:lang w:eastAsia="zh-CN"/>
        </w:rPr>
        <w:t>　</w:t>
      </w:r>
      <w:r>
        <w:rPr>
          <w:rFonts w:cs="宋体"/>
          <w:color w:val="auto"/>
          <w:highlight w:val="none"/>
          <w:lang w:eastAsia="zh-CN"/>
        </w:rPr>
        <w:t>承包人应在接到开工通知后</w:t>
      </w:r>
      <w:r>
        <w:rPr>
          <w:rFonts w:hAnsi="Times New Roman" w:cs="Times New Roman"/>
          <w:color w:val="auto"/>
          <w:highlight w:val="none"/>
          <w:lang w:eastAsia="zh-CN"/>
        </w:rPr>
        <w:t>28</w:t>
      </w:r>
      <w:r>
        <w:rPr>
          <w:rFonts w:cs="宋体"/>
          <w:color w:val="auto"/>
          <w:highlight w:val="none"/>
          <w:lang w:eastAsia="zh-CN"/>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27C3973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4.6.2</w:t>
      </w:r>
      <w:r>
        <w:rPr>
          <w:rFonts w:hint="eastAsia" w:hAnsi="Times New Roman" w:cs="Times New Roman"/>
          <w:b/>
          <w:bCs/>
          <w:color w:val="auto"/>
          <w:highlight w:val="none"/>
          <w:lang w:eastAsia="zh-CN"/>
        </w:rPr>
        <w:t>　</w:t>
      </w:r>
      <w:r>
        <w:rPr>
          <w:rFonts w:cs="宋体"/>
          <w:color w:val="auto"/>
          <w:highlight w:val="none"/>
          <w:lang w:eastAsia="zh-CN"/>
        </w:rPr>
        <w:t>为完成合同约定的各项工作，承包人应向施工场地派遣或雇佣足够数量的下列人员：</w:t>
      </w:r>
    </w:p>
    <w:p w14:paraId="7E16B03A">
      <w:pPr>
        <w:kinsoku/>
        <w:spacing w:beforeLines="0" w:afterLines="0"/>
        <w:ind w:firstLine="0" w:firstLineChars="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）具有相应资格的专业技工和合格的普工。</w:t>
      </w:r>
    </w:p>
    <w:p w14:paraId="6E69DC4E">
      <w:pPr>
        <w:kinsoku/>
        <w:spacing w:beforeLines="0" w:afterLines="0"/>
        <w:ind w:firstLine="0" w:firstLineChars="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）具有相应施工经验的技术人员。</w:t>
      </w:r>
    </w:p>
    <w:p w14:paraId="57874050">
      <w:pPr>
        <w:kinsoku/>
        <w:spacing w:beforeLines="0" w:afterLines="0"/>
        <w:ind w:firstLine="0" w:firstLineChars="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）具有相应岗位资格的各级管理人员。</w:t>
      </w:r>
    </w:p>
    <w:p w14:paraId="59D8932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4.6.3</w:t>
      </w:r>
      <w:r>
        <w:rPr>
          <w:rFonts w:hint="eastAsia" w:hAnsi="Times New Roman" w:cs="Times New Roman"/>
          <w:b/>
          <w:bCs/>
          <w:color w:val="auto"/>
          <w:highlight w:val="none"/>
          <w:lang w:eastAsia="zh-CN"/>
        </w:rPr>
        <w:t>　</w:t>
      </w:r>
      <w:r>
        <w:rPr>
          <w:rFonts w:cs="宋体"/>
          <w:color w:val="auto"/>
          <w:highlight w:val="none"/>
          <w:lang w:eastAsia="zh-CN"/>
        </w:rPr>
        <w:t>承包人安排在施工场地的主要管理人员和技术骨干应相对稳定。承包人更换主要管理人员和技术骨干时，应取得监理人的同意。</w:t>
      </w:r>
    </w:p>
    <w:p w14:paraId="7B9FA65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4.6.4</w:t>
      </w:r>
      <w:r>
        <w:rPr>
          <w:rFonts w:hint="eastAsia" w:hAnsi="Times New Roman" w:cs="Times New Roman"/>
          <w:b/>
          <w:bCs/>
          <w:color w:val="auto"/>
          <w:highlight w:val="none"/>
          <w:lang w:eastAsia="zh-CN"/>
        </w:rPr>
        <w:t>　</w:t>
      </w:r>
      <w:r>
        <w:rPr>
          <w:rFonts w:cs="宋体"/>
          <w:color w:val="auto"/>
          <w:highlight w:val="none"/>
          <w:lang w:eastAsia="zh-CN"/>
        </w:rPr>
        <w:t>特殊岗位的工作人员均应持有相应的资格证明，监理人有权随时检查。监理人认为有必要时，可进行现场考核。</w:t>
      </w:r>
    </w:p>
    <w:p w14:paraId="18DF6247">
      <w:pPr>
        <w:pStyle w:val="4"/>
        <w:kinsoku/>
        <w:spacing w:beforeLines="0" w:afterLines="0"/>
        <w:rPr>
          <w:rFonts w:hint="eastAsia" w:hAnsi="宋体" w:cs="宋体"/>
          <w:bCs/>
          <w:color w:val="auto"/>
          <w:szCs w:val="24"/>
          <w:highlight w:val="none"/>
          <w:lang w:eastAsia="zh-CN"/>
        </w:rPr>
      </w:pPr>
      <w:bookmarkStart w:id="811" w:name="_Toc7554"/>
      <w:bookmarkStart w:id="812" w:name="_Toc18303"/>
      <w:bookmarkStart w:id="813" w:name="_Toc12847"/>
      <w:r>
        <w:rPr>
          <w:rFonts w:hint="eastAsia" w:hAnsi="宋体" w:cs="宋体"/>
          <w:b/>
          <w:bCs/>
          <w:color w:val="auto"/>
          <w:szCs w:val="24"/>
          <w:highlight w:val="none"/>
          <w:lang w:eastAsia="zh-CN"/>
        </w:rPr>
        <w:t>4.7</w:t>
      </w:r>
      <w:r>
        <w:rPr>
          <w:rFonts w:hint="eastAsia" w:cs="宋体"/>
          <w:b/>
          <w:bCs/>
          <w:color w:val="auto"/>
          <w:szCs w:val="24"/>
          <w:highlight w:val="none"/>
          <w:lang w:eastAsia="zh-CN"/>
        </w:rPr>
        <w:t>　</w:t>
      </w:r>
      <w:r>
        <w:rPr>
          <w:rFonts w:hint="eastAsia" w:hAnsi="宋体" w:cs="宋体"/>
          <w:b/>
          <w:bCs/>
          <w:color w:val="auto"/>
          <w:szCs w:val="24"/>
          <w:highlight w:val="none"/>
          <w:lang w:eastAsia="zh-CN"/>
        </w:rPr>
        <w:t>撤换承包人项目负责人和其他人员</w:t>
      </w:r>
      <w:bookmarkEnd w:id="811"/>
      <w:bookmarkEnd w:id="812"/>
      <w:bookmarkEnd w:id="813"/>
    </w:p>
    <w:p w14:paraId="582CE766">
      <w:pPr>
        <w:kinsoku/>
        <w:spacing w:beforeLines="0" w:afterLines="0"/>
        <w:ind w:firstLine="0" w:firstLineChars="0"/>
        <w:jc w:val="left"/>
        <w:rPr>
          <w:rFonts w:cs="宋体"/>
          <w:color w:val="auto"/>
          <w:highlight w:val="none"/>
          <w:lang w:eastAsia="zh-CN"/>
        </w:rPr>
      </w:pPr>
      <w:r>
        <w:rPr>
          <w:rFonts w:cs="宋体"/>
          <w:color w:val="auto"/>
          <w:highlight w:val="none"/>
          <w:lang w:eastAsia="zh-CN"/>
        </w:rPr>
        <w:t>承包人应对其项目负责人和其他人员进行有效管理。监理人要求撤换不能胜任本职工作、行为不端或玩忽职守的承包人项目负责人和其他人员的，承包人应予以撤换。</w:t>
      </w:r>
    </w:p>
    <w:p w14:paraId="313D727F">
      <w:pPr>
        <w:pStyle w:val="4"/>
        <w:kinsoku/>
        <w:spacing w:beforeLines="0" w:afterLines="0"/>
        <w:rPr>
          <w:rFonts w:hint="eastAsia" w:hAnsi="宋体" w:cs="宋体"/>
          <w:bCs/>
          <w:color w:val="auto"/>
          <w:szCs w:val="24"/>
          <w:highlight w:val="none"/>
          <w:lang w:eastAsia="zh-CN"/>
        </w:rPr>
      </w:pPr>
      <w:bookmarkStart w:id="814" w:name="_Toc22146"/>
      <w:bookmarkStart w:id="815" w:name="_Toc27624"/>
      <w:bookmarkStart w:id="816" w:name="_Toc7041"/>
      <w:r>
        <w:rPr>
          <w:rFonts w:hint="eastAsia" w:hAnsi="宋体" w:cs="宋体"/>
          <w:b/>
          <w:bCs/>
          <w:color w:val="auto"/>
          <w:szCs w:val="24"/>
          <w:highlight w:val="none"/>
          <w:lang w:eastAsia="zh-CN"/>
        </w:rPr>
        <w:t>4.8</w:t>
      </w:r>
      <w:r>
        <w:rPr>
          <w:rFonts w:hint="eastAsia" w:cs="宋体"/>
          <w:b/>
          <w:bCs/>
          <w:color w:val="auto"/>
          <w:szCs w:val="24"/>
          <w:highlight w:val="none"/>
          <w:lang w:eastAsia="zh-CN"/>
        </w:rPr>
        <w:t>　</w:t>
      </w:r>
      <w:r>
        <w:rPr>
          <w:rFonts w:hint="eastAsia" w:hAnsi="宋体" w:cs="宋体"/>
          <w:b/>
          <w:bCs/>
          <w:color w:val="auto"/>
          <w:szCs w:val="24"/>
          <w:highlight w:val="none"/>
          <w:lang w:eastAsia="zh-CN"/>
        </w:rPr>
        <w:t>保障承包人人员的合法权益</w:t>
      </w:r>
      <w:bookmarkEnd w:id="814"/>
      <w:bookmarkEnd w:id="815"/>
      <w:bookmarkEnd w:id="816"/>
    </w:p>
    <w:p w14:paraId="4208554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4.8.1</w:t>
      </w:r>
      <w:r>
        <w:rPr>
          <w:rFonts w:hint="eastAsia" w:hAnsi="Times New Roman" w:cs="Times New Roman"/>
          <w:b/>
          <w:bCs/>
          <w:color w:val="auto"/>
          <w:highlight w:val="none"/>
          <w:lang w:eastAsia="zh-CN"/>
        </w:rPr>
        <w:t>　</w:t>
      </w:r>
      <w:r>
        <w:rPr>
          <w:rFonts w:cs="宋体"/>
          <w:color w:val="auto"/>
          <w:highlight w:val="none"/>
          <w:lang w:eastAsia="zh-CN"/>
        </w:rPr>
        <w:t>承包人应与其雇佣的人员签订劳动合同，并按时发放工资。</w:t>
      </w:r>
    </w:p>
    <w:p w14:paraId="3028E91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4.8.2</w:t>
      </w:r>
      <w:r>
        <w:rPr>
          <w:rFonts w:hint="eastAsia" w:hAnsi="Times New Roman" w:cs="Times New Roman"/>
          <w:b/>
          <w:bCs/>
          <w:color w:val="auto"/>
          <w:highlight w:val="none"/>
          <w:lang w:eastAsia="zh-CN"/>
        </w:rPr>
        <w:t>　</w:t>
      </w:r>
      <w:r>
        <w:rPr>
          <w:rFonts w:cs="宋体"/>
          <w:color w:val="auto"/>
          <w:highlight w:val="none"/>
          <w:lang w:eastAsia="zh-CN"/>
        </w:rPr>
        <w:t>承包人应按劳动法的规定安排工作时间，保证其雇佣人员享有休息和休假的权利。因工程施工的特殊需要占用休假日或延长工作时间的，应不超过法律规定的限度，并按法律规定给予补休或付酬。</w:t>
      </w:r>
    </w:p>
    <w:p w14:paraId="0AF89BB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4.8.3</w:t>
      </w:r>
      <w:r>
        <w:rPr>
          <w:rFonts w:hint="eastAsia" w:hAnsi="Times New Roman" w:cs="Times New Roman"/>
          <w:b/>
          <w:bCs/>
          <w:color w:val="auto"/>
          <w:highlight w:val="none"/>
          <w:lang w:eastAsia="zh-CN"/>
        </w:rPr>
        <w:t>　</w:t>
      </w:r>
      <w:r>
        <w:rPr>
          <w:rFonts w:cs="宋体"/>
          <w:color w:val="auto"/>
          <w:highlight w:val="none"/>
          <w:lang w:eastAsia="zh-CN"/>
        </w:rPr>
        <w:t>承包人应为其雇佣人员提供必要的食宿条件，以及符合环境保护和卫生要求的生活环境，在远离城镇的施工场地，还应配备必要的伤病防治和急救的医务人员与医疗设施。</w:t>
      </w:r>
    </w:p>
    <w:p w14:paraId="790B170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4.8.4</w:t>
      </w:r>
      <w:r>
        <w:rPr>
          <w:rFonts w:hint="eastAsia" w:hAnsi="Times New Roman" w:cs="Times New Roman"/>
          <w:b/>
          <w:bCs/>
          <w:color w:val="auto"/>
          <w:highlight w:val="none"/>
          <w:lang w:eastAsia="zh-CN"/>
        </w:rPr>
        <w:t>　</w:t>
      </w:r>
      <w:r>
        <w:rPr>
          <w:rFonts w:cs="宋体"/>
          <w:color w:val="auto"/>
          <w:highlight w:val="none"/>
          <w:lang w:eastAsia="zh-CN"/>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7614847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4.8.5</w:t>
      </w:r>
      <w:r>
        <w:rPr>
          <w:rFonts w:hint="eastAsia" w:hAnsi="Times New Roman" w:cs="Times New Roman"/>
          <w:b/>
          <w:bCs/>
          <w:color w:val="auto"/>
          <w:highlight w:val="none"/>
          <w:lang w:eastAsia="zh-CN"/>
        </w:rPr>
        <w:t>　</w:t>
      </w:r>
      <w:r>
        <w:rPr>
          <w:rFonts w:cs="宋体"/>
          <w:color w:val="auto"/>
          <w:highlight w:val="none"/>
          <w:lang w:eastAsia="zh-CN"/>
        </w:rPr>
        <w:t>承包人应按有关法律规定和合同约定，为其雇佣人员办理保险。</w:t>
      </w:r>
    </w:p>
    <w:p w14:paraId="5EF0DEE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4.8.6</w:t>
      </w:r>
      <w:r>
        <w:rPr>
          <w:rFonts w:hint="eastAsia" w:hAnsi="Times New Roman" w:cs="Times New Roman"/>
          <w:b/>
          <w:bCs/>
          <w:color w:val="auto"/>
          <w:highlight w:val="none"/>
          <w:lang w:eastAsia="zh-CN"/>
        </w:rPr>
        <w:t>　</w:t>
      </w:r>
      <w:r>
        <w:rPr>
          <w:rFonts w:cs="宋体"/>
          <w:color w:val="auto"/>
          <w:highlight w:val="none"/>
          <w:lang w:eastAsia="zh-CN"/>
        </w:rPr>
        <w:t>承包人应负责处理其雇佣人员因工伤亡事故的善后事宜。</w:t>
      </w:r>
    </w:p>
    <w:p w14:paraId="7B03371F">
      <w:pPr>
        <w:pStyle w:val="4"/>
        <w:kinsoku/>
        <w:spacing w:beforeLines="0" w:afterLines="0"/>
        <w:rPr>
          <w:rFonts w:hint="eastAsia" w:hAnsi="宋体" w:cs="宋体"/>
          <w:bCs/>
          <w:color w:val="auto"/>
          <w:szCs w:val="24"/>
          <w:highlight w:val="none"/>
          <w:lang w:eastAsia="zh-CN"/>
        </w:rPr>
      </w:pPr>
      <w:bookmarkStart w:id="817" w:name="_Toc23792"/>
      <w:bookmarkStart w:id="818" w:name="_Toc15843"/>
      <w:bookmarkStart w:id="819" w:name="_Toc4731"/>
      <w:r>
        <w:rPr>
          <w:rFonts w:hint="eastAsia" w:hAnsi="宋体" w:cs="宋体"/>
          <w:b/>
          <w:bCs/>
          <w:color w:val="auto"/>
          <w:szCs w:val="24"/>
          <w:highlight w:val="none"/>
          <w:lang w:eastAsia="zh-CN"/>
        </w:rPr>
        <w:t>4.9</w:t>
      </w:r>
      <w:r>
        <w:rPr>
          <w:rFonts w:hint="eastAsia" w:cs="宋体"/>
          <w:b/>
          <w:bCs/>
          <w:color w:val="auto"/>
          <w:szCs w:val="24"/>
          <w:highlight w:val="none"/>
          <w:lang w:eastAsia="zh-CN"/>
        </w:rPr>
        <w:t>　</w:t>
      </w:r>
      <w:r>
        <w:rPr>
          <w:rFonts w:hint="eastAsia" w:hAnsi="宋体" w:cs="宋体"/>
          <w:b/>
          <w:bCs/>
          <w:color w:val="auto"/>
          <w:szCs w:val="24"/>
          <w:highlight w:val="none"/>
          <w:lang w:eastAsia="zh-CN"/>
        </w:rPr>
        <w:t>工程价款应专款专用</w:t>
      </w:r>
      <w:bookmarkEnd w:id="817"/>
      <w:bookmarkEnd w:id="818"/>
      <w:bookmarkEnd w:id="819"/>
    </w:p>
    <w:p w14:paraId="2281D644">
      <w:pPr>
        <w:kinsoku/>
        <w:spacing w:beforeLines="0" w:afterLines="0"/>
        <w:ind w:firstLine="0" w:firstLineChars="0"/>
        <w:jc w:val="left"/>
        <w:rPr>
          <w:rFonts w:cs="宋体"/>
          <w:color w:val="auto"/>
          <w:highlight w:val="none"/>
          <w:lang w:eastAsia="zh-CN"/>
        </w:rPr>
      </w:pPr>
      <w:r>
        <w:rPr>
          <w:rFonts w:cs="宋体"/>
          <w:color w:val="auto"/>
          <w:highlight w:val="none"/>
          <w:lang w:eastAsia="zh-CN"/>
        </w:rPr>
        <w:t>发包人按合同约定支付给承包人的各项价款应专用于合同工程。</w:t>
      </w:r>
    </w:p>
    <w:p w14:paraId="6EC4AF98">
      <w:pPr>
        <w:pStyle w:val="4"/>
        <w:kinsoku/>
        <w:spacing w:beforeLines="0" w:afterLines="0"/>
        <w:rPr>
          <w:rFonts w:hint="eastAsia" w:hAnsi="宋体" w:cs="宋体"/>
          <w:bCs/>
          <w:color w:val="auto"/>
          <w:szCs w:val="24"/>
          <w:highlight w:val="none"/>
          <w:lang w:eastAsia="zh-CN"/>
        </w:rPr>
      </w:pPr>
      <w:bookmarkStart w:id="820" w:name="_Toc25994"/>
      <w:bookmarkStart w:id="821" w:name="_Toc3685"/>
      <w:bookmarkStart w:id="822" w:name="_Toc19837"/>
      <w:r>
        <w:rPr>
          <w:rFonts w:hint="eastAsia" w:hAnsi="宋体" w:cs="宋体"/>
          <w:b/>
          <w:bCs/>
          <w:color w:val="auto"/>
          <w:szCs w:val="24"/>
          <w:highlight w:val="none"/>
          <w:lang w:eastAsia="zh-CN"/>
        </w:rPr>
        <w:t>4.10</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承包人现场查勘</w:t>
      </w:r>
      <w:bookmarkEnd w:id="820"/>
      <w:bookmarkEnd w:id="821"/>
      <w:bookmarkEnd w:id="822"/>
    </w:p>
    <w:p w14:paraId="62EAE99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4.10.1</w:t>
      </w:r>
      <w:r>
        <w:rPr>
          <w:rFonts w:hint="eastAsia" w:hAnsi="Times New Roman" w:cs="Times New Roman"/>
          <w:b/>
          <w:bCs/>
          <w:color w:val="auto"/>
          <w:highlight w:val="none"/>
          <w:lang w:eastAsia="zh-CN"/>
        </w:rPr>
        <w:t>　</w:t>
      </w:r>
      <w:r>
        <w:rPr>
          <w:rFonts w:cs="宋体"/>
          <w:color w:val="auto"/>
          <w:highlight w:val="none"/>
          <w:lang w:eastAsia="zh-CN"/>
        </w:rPr>
        <w:t>发包人应将其持有的现场地质勘探资料、水文气象资料提供给承包人，并对其准确性负责。但承包人应对其阅读上述有关资料后所作出的解释和推断负责。</w:t>
      </w:r>
    </w:p>
    <w:p w14:paraId="3F71A44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4.10.2</w:t>
      </w:r>
      <w:r>
        <w:rPr>
          <w:rFonts w:hint="eastAsia" w:hAnsi="Times New Roman" w:cs="Times New Roman"/>
          <w:b/>
          <w:bCs/>
          <w:color w:val="auto"/>
          <w:highlight w:val="none"/>
          <w:lang w:eastAsia="zh-CN"/>
        </w:rPr>
        <w:t>　</w:t>
      </w:r>
      <w:r>
        <w:rPr>
          <w:rFonts w:cs="宋体"/>
          <w:color w:val="auto"/>
          <w:highlight w:val="none"/>
          <w:lang w:eastAsia="zh-CN"/>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263BD5A">
      <w:pPr>
        <w:pStyle w:val="4"/>
        <w:kinsoku/>
        <w:spacing w:beforeLines="0" w:afterLines="0"/>
        <w:rPr>
          <w:rFonts w:hint="eastAsia" w:hAnsi="宋体" w:cs="宋体"/>
          <w:bCs/>
          <w:color w:val="auto"/>
          <w:szCs w:val="24"/>
          <w:highlight w:val="none"/>
          <w:lang w:eastAsia="zh-CN"/>
        </w:rPr>
      </w:pPr>
      <w:bookmarkStart w:id="823" w:name="_Toc1149"/>
      <w:bookmarkStart w:id="824" w:name="_Toc10107"/>
      <w:bookmarkStart w:id="825" w:name="_Toc19215"/>
      <w:r>
        <w:rPr>
          <w:rFonts w:hint="eastAsia" w:hAnsi="宋体" w:cs="宋体"/>
          <w:b/>
          <w:bCs/>
          <w:color w:val="auto"/>
          <w:szCs w:val="24"/>
          <w:highlight w:val="none"/>
          <w:lang w:eastAsia="zh-CN"/>
        </w:rPr>
        <w:t>4.11</w:t>
      </w:r>
      <w:r>
        <w:rPr>
          <w:rFonts w:hint="eastAsia" w:cs="宋体"/>
          <w:b/>
          <w:bCs/>
          <w:color w:val="auto"/>
          <w:szCs w:val="24"/>
          <w:highlight w:val="none"/>
          <w:lang w:eastAsia="zh-CN"/>
        </w:rPr>
        <w:t>　</w:t>
      </w:r>
      <w:r>
        <w:rPr>
          <w:rFonts w:hint="eastAsia" w:hAnsi="宋体" w:cs="宋体"/>
          <w:b/>
          <w:bCs/>
          <w:color w:val="auto"/>
          <w:szCs w:val="24"/>
          <w:highlight w:val="none"/>
          <w:lang w:eastAsia="zh-CN"/>
        </w:rPr>
        <w:t>不利物质条件</w:t>
      </w:r>
      <w:bookmarkEnd w:id="823"/>
      <w:bookmarkEnd w:id="824"/>
      <w:bookmarkEnd w:id="825"/>
    </w:p>
    <w:p w14:paraId="05409BD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4.11.1</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除专用合同条款另有约定外，不利物质条件是指在施工中遭遇不可预见的外界障碍或自然条件造成施工受阻。</w:t>
      </w:r>
    </w:p>
    <w:p w14:paraId="18171E7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4.11.2</w:t>
      </w:r>
      <w:r>
        <w:rPr>
          <w:rFonts w:hint="eastAsia" w:hAnsi="Times New Roman" w:cs="Times New Roman"/>
          <w:b/>
          <w:bCs/>
          <w:color w:val="auto"/>
          <w:highlight w:val="none"/>
          <w:lang w:eastAsia="zh-CN"/>
        </w:rPr>
        <w:t>　</w:t>
      </w:r>
      <w:r>
        <w:rPr>
          <w:rFonts w:cs="宋体"/>
          <w:color w:val="auto"/>
          <w:highlight w:val="none"/>
          <w:lang w:eastAsia="zh-CN"/>
        </w:rPr>
        <w:t>承包人遇到不利物质条件时，应采取适应不利物质条件的合理措施继续施工，并及时通知监理人。承包人有权根据第</w:t>
      </w:r>
      <w:r>
        <w:rPr>
          <w:rFonts w:hAnsi="Times New Roman" w:cs="Times New Roman"/>
          <w:color w:val="auto"/>
          <w:highlight w:val="none"/>
          <w:lang w:eastAsia="zh-CN"/>
        </w:rPr>
        <w:t>23.1</w:t>
      </w:r>
      <w:r>
        <w:rPr>
          <w:rFonts w:cs="宋体"/>
          <w:color w:val="auto"/>
          <w:highlight w:val="none"/>
          <w:lang w:eastAsia="zh-CN"/>
        </w:rPr>
        <w:t>款的约定，要求延长工期及增加费用。监理人收到此类要求后，应在分析上述外界障碍或自然条件是否不可预见及不可预见程度的基础上，按照通用合同条款第</w:t>
      </w:r>
      <w:r>
        <w:rPr>
          <w:rFonts w:hAnsi="Times New Roman" w:cs="Times New Roman"/>
          <w:color w:val="auto"/>
          <w:highlight w:val="none"/>
          <w:lang w:eastAsia="zh-CN"/>
        </w:rPr>
        <w:t>15</w:t>
      </w:r>
      <w:r>
        <w:rPr>
          <w:rFonts w:cs="宋体"/>
          <w:color w:val="auto"/>
          <w:highlight w:val="none"/>
          <w:lang w:eastAsia="zh-CN"/>
        </w:rPr>
        <w:t>条的约定办理。</w:t>
      </w:r>
    </w:p>
    <w:p w14:paraId="4B767917">
      <w:pPr>
        <w:pStyle w:val="3"/>
        <w:kinsoku/>
        <w:spacing w:before="0" w:beforeLines="0" w:afterLines="0" w:line="360" w:lineRule="auto"/>
        <w:outlineLvl w:val="1"/>
        <w:rPr>
          <w:rFonts w:hint="eastAsia" w:ascii="宋体" w:cs="宋体"/>
          <w:color w:val="auto"/>
          <w:sz w:val="30"/>
          <w:szCs w:val="30"/>
          <w:highlight w:val="none"/>
        </w:rPr>
      </w:pPr>
      <w:bookmarkStart w:id="826" w:name="_Toc32553"/>
      <w:bookmarkStart w:id="827" w:name="_Toc7551"/>
      <w:bookmarkStart w:id="828" w:name="_Toc27050"/>
      <w:bookmarkStart w:id="829" w:name="_Toc2751"/>
      <w:bookmarkStart w:id="830" w:name="_Toc13319"/>
      <w:bookmarkStart w:id="831" w:name="_Toc24"/>
      <w:bookmarkStart w:id="832" w:name="_Toc25394"/>
      <w:bookmarkStart w:id="833" w:name="_Toc7089"/>
      <w:bookmarkStart w:id="834" w:name="_Toc20234"/>
      <w:bookmarkStart w:id="835" w:name="_Toc9333"/>
      <w:bookmarkStart w:id="836" w:name="_Toc25892"/>
      <w:bookmarkStart w:id="837" w:name="_Toc27508"/>
      <w:bookmarkStart w:id="838" w:name="_Toc13056"/>
      <w:bookmarkStart w:id="839" w:name="_Toc19209"/>
      <w:r>
        <w:rPr>
          <w:rFonts w:hint="eastAsia" w:ascii="宋体" w:cs="宋体"/>
          <w:color w:val="auto"/>
          <w:sz w:val="30"/>
          <w:szCs w:val="30"/>
          <w:highlight w:val="none"/>
        </w:rPr>
        <w:t>5</w:t>
      </w:r>
      <w:r>
        <w:rPr>
          <w:rFonts w:hint="eastAsia" w:cs="宋体"/>
          <w:color w:val="auto"/>
          <w:sz w:val="30"/>
          <w:szCs w:val="30"/>
          <w:highlight w:val="none"/>
          <w:lang w:eastAsia="zh-CN"/>
        </w:rPr>
        <w:t>　</w:t>
      </w:r>
      <w:r>
        <w:rPr>
          <w:rFonts w:hint="eastAsia" w:ascii="宋体" w:cs="宋体"/>
          <w:color w:val="auto"/>
          <w:sz w:val="30"/>
          <w:szCs w:val="30"/>
          <w:highlight w:val="none"/>
        </w:rPr>
        <w:t>材料和工程设备</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620A88DC">
      <w:pPr>
        <w:pStyle w:val="4"/>
        <w:kinsoku/>
        <w:spacing w:beforeLines="0" w:afterLines="0"/>
        <w:rPr>
          <w:rFonts w:hint="eastAsia" w:hAnsi="宋体" w:cs="宋体"/>
          <w:bCs/>
          <w:color w:val="auto"/>
          <w:szCs w:val="24"/>
          <w:highlight w:val="none"/>
          <w:lang w:eastAsia="zh-CN"/>
        </w:rPr>
      </w:pPr>
      <w:bookmarkStart w:id="840" w:name="_Toc17895"/>
      <w:bookmarkStart w:id="841" w:name="_Toc8229"/>
      <w:bookmarkStart w:id="842" w:name="_Toc5028"/>
      <w:r>
        <w:rPr>
          <w:rFonts w:hint="eastAsia" w:hAnsi="宋体" w:cs="宋体"/>
          <w:b/>
          <w:bCs/>
          <w:color w:val="auto"/>
          <w:szCs w:val="24"/>
          <w:highlight w:val="none"/>
          <w:lang w:eastAsia="zh-CN"/>
        </w:rPr>
        <w:t>5.1</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承包人提供的材料和工程设备</w:t>
      </w:r>
      <w:bookmarkEnd w:id="840"/>
      <w:bookmarkEnd w:id="841"/>
      <w:bookmarkEnd w:id="842"/>
    </w:p>
    <w:p w14:paraId="423F3FA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5.1.1</w:t>
      </w:r>
      <w:r>
        <w:rPr>
          <w:rFonts w:hint="eastAsia" w:hAnsi="Times New Roman" w:cs="Times New Roman"/>
          <w:b/>
          <w:bCs/>
          <w:color w:val="auto"/>
          <w:highlight w:val="none"/>
          <w:lang w:eastAsia="zh-CN"/>
        </w:rPr>
        <w:t>　</w:t>
      </w:r>
      <w:r>
        <w:rPr>
          <w:rFonts w:cs="宋体"/>
          <w:color w:val="auto"/>
          <w:highlight w:val="none"/>
          <w:lang w:eastAsia="zh-CN"/>
        </w:rPr>
        <w:t>除第</w:t>
      </w:r>
      <w:r>
        <w:rPr>
          <w:rFonts w:hAnsi="Times New Roman" w:cs="Times New Roman"/>
          <w:color w:val="auto"/>
          <w:highlight w:val="none"/>
          <w:lang w:eastAsia="zh-CN"/>
        </w:rPr>
        <w:t>5.2</w:t>
      </w:r>
      <w:r>
        <w:rPr>
          <w:rFonts w:cs="宋体"/>
          <w:color w:val="auto"/>
          <w:highlight w:val="none"/>
          <w:lang w:eastAsia="zh-CN"/>
        </w:rPr>
        <w:t>款约定由发包人提供的材料和工程设备外，承包人负责采购、运输和保管完成本合同工作所需的材料和工程设备。承包人应对其采购的材料和工程设备负责。</w:t>
      </w:r>
    </w:p>
    <w:p w14:paraId="1FA7854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5.1.2</w:t>
      </w:r>
      <w:r>
        <w:rPr>
          <w:rFonts w:hint="eastAsia" w:hAnsi="Times New Roman" w:cs="Times New Roman"/>
          <w:b/>
          <w:bCs/>
          <w:color w:val="auto"/>
          <w:highlight w:val="none"/>
          <w:lang w:eastAsia="zh-CN"/>
        </w:rPr>
        <w:t>　</w:t>
      </w:r>
      <w:r>
        <w:rPr>
          <w:rFonts w:cs="宋体"/>
          <w:color w:val="auto"/>
          <w:highlight w:val="none"/>
          <w:lang w:eastAsia="zh-CN"/>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1715A87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5.1.3</w:t>
      </w:r>
      <w:r>
        <w:rPr>
          <w:rFonts w:hint="eastAsia" w:hAnsi="Times New Roman" w:cs="Times New Roman"/>
          <w:b/>
          <w:bCs/>
          <w:color w:val="auto"/>
          <w:highlight w:val="none"/>
          <w:lang w:eastAsia="zh-CN"/>
        </w:rPr>
        <w:t>　</w:t>
      </w:r>
      <w:r>
        <w:rPr>
          <w:rFonts w:cs="宋体"/>
          <w:color w:val="auto"/>
          <w:highlight w:val="none"/>
          <w:lang w:eastAsia="zh-CN"/>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70CA3D6D">
      <w:pPr>
        <w:pStyle w:val="4"/>
        <w:kinsoku/>
        <w:spacing w:beforeLines="0" w:afterLines="0"/>
        <w:rPr>
          <w:rFonts w:hint="eastAsia" w:hAnsi="宋体" w:cs="宋体"/>
          <w:bCs/>
          <w:color w:val="auto"/>
          <w:szCs w:val="24"/>
          <w:highlight w:val="none"/>
          <w:lang w:eastAsia="zh-CN"/>
        </w:rPr>
      </w:pPr>
      <w:bookmarkStart w:id="843" w:name="_Toc17590"/>
      <w:bookmarkStart w:id="844" w:name="_Toc24810"/>
      <w:bookmarkStart w:id="845" w:name="_Toc10658"/>
      <w:r>
        <w:rPr>
          <w:rFonts w:hint="eastAsia" w:hAnsi="宋体" w:cs="宋体"/>
          <w:b/>
          <w:bCs/>
          <w:color w:val="auto"/>
          <w:szCs w:val="24"/>
          <w:highlight w:val="none"/>
          <w:lang w:eastAsia="zh-CN"/>
        </w:rPr>
        <w:t>5.2</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发包人提供的材料和工程设备</w:t>
      </w:r>
      <w:bookmarkEnd w:id="843"/>
      <w:bookmarkEnd w:id="844"/>
      <w:bookmarkEnd w:id="845"/>
    </w:p>
    <w:p w14:paraId="61C648D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5.2.1</w:t>
      </w:r>
      <w:r>
        <w:rPr>
          <w:rFonts w:hint="eastAsia" w:hAnsi="Times New Roman" w:cs="Times New Roman"/>
          <w:b/>
          <w:bCs/>
          <w:color w:val="auto"/>
          <w:highlight w:val="none"/>
          <w:lang w:eastAsia="zh-CN"/>
        </w:rPr>
        <w:t>　</w:t>
      </w:r>
      <w:r>
        <w:rPr>
          <w:rFonts w:cs="宋体"/>
          <w:color w:val="auto"/>
          <w:highlight w:val="none"/>
          <w:lang w:eastAsia="zh-CN"/>
        </w:rPr>
        <w:t>发包人提供的材料和工程设备，应在专用合同条款中写明材料和工程设备的名称、规格、数量、价格、交货方式、交货地点和计划交货日期等。</w:t>
      </w:r>
    </w:p>
    <w:p w14:paraId="0BD8EF5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5.2.2</w:t>
      </w:r>
      <w:r>
        <w:rPr>
          <w:rFonts w:hint="eastAsia" w:hAnsi="Times New Roman" w:cs="Times New Roman"/>
          <w:b/>
          <w:bCs/>
          <w:color w:val="auto"/>
          <w:highlight w:val="none"/>
          <w:lang w:eastAsia="zh-CN"/>
        </w:rPr>
        <w:t>　</w:t>
      </w:r>
      <w:r>
        <w:rPr>
          <w:rFonts w:cs="宋体"/>
          <w:color w:val="auto"/>
          <w:highlight w:val="none"/>
          <w:lang w:eastAsia="zh-CN"/>
        </w:rPr>
        <w:t>承包人应根据合同进度计划的安排，向监理人报送要求发包人交货的日期计划。发包人应按照监理人与合同双方当事人商定的交货日期，向承包人提交材料和工程设备。</w:t>
      </w:r>
    </w:p>
    <w:p w14:paraId="05BC15D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5.2.3</w:t>
      </w:r>
      <w:r>
        <w:rPr>
          <w:rFonts w:hint="eastAsia" w:hAnsi="Times New Roman" w:cs="Times New Roman"/>
          <w:b/>
          <w:bCs/>
          <w:color w:val="auto"/>
          <w:highlight w:val="none"/>
          <w:lang w:eastAsia="zh-CN"/>
        </w:rPr>
        <w:t>　</w:t>
      </w:r>
      <w:r>
        <w:rPr>
          <w:rFonts w:cs="宋体"/>
          <w:color w:val="auto"/>
          <w:highlight w:val="none"/>
          <w:lang w:eastAsia="zh-CN"/>
        </w:rPr>
        <w:t>发包人应在材料和工程设备到货</w:t>
      </w:r>
      <w:r>
        <w:rPr>
          <w:rFonts w:hAnsi="Times New Roman" w:cs="Times New Roman"/>
          <w:color w:val="auto"/>
          <w:highlight w:val="none"/>
          <w:lang w:eastAsia="zh-CN"/>
        </w:rPr>
        <w:t>7</w:t>
      </w:r>
      <w:r>
        <w:rPr>
          <w:rFonts w:cs="宋体"/>
          <w:color w:val="auto"/>
          <w:highlight w:val="none"/>
          <w:lang w:eastAsia="zh-CN"/>
        </w:rPr>
        <w:t>天前通知承包人，承包人应会同监理人在约定的时间内，赴交货地点共同进行验收。发包人提供的材料和工程设备运至交货地点验收后，由承包人负责接收、卸货、运输和保管。</w:t>
      </w:r>
    </w:p>
    <w:p w14:paraId="140A3D1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5.2.4</w:t>
      </w:r>
      <w:r>
        <w:rPr>
          <w:rFonts w:hint="eastAsia" w:hAnsi="Times New Roman" w:cs="Times New Roman"/>
          <w:b/>
          <w:bCs/>
          <w:color w:val="auto"/>
          <w:highlight w:val="none"/>
          <w:lang w:eastAsia="zh-CN"/>
        </w:rPr>
        <w:t>　</w:t>
      </w:r>
      <w:r>
        <w:rPr>
          <w:rFonts w:cs="宋体"/>
          <w:color w:val="auto"/>
          <w:highlight w:val="none"/>
          <w:lang w:eastAsia="zh-CN"/>
        </w:rPr>
        <w:t>发包人要求向承包人提前交货的，承包人不得拒绝，但发包人应承担承包人由此增加的费用。</w:t>
      </w:r>
    </w:p>
    <w:p w14:paraId="6AEA99A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5.2.5</w:t>
      </w:r>
      <w:r>
        <w:rPr>
          <w:rFonts w:hint="eastAsia" w:hAnsi="Times New Roman" w:cs="Times New Roman"/>
          <w:b/>
          <w:bCs/>
          <w:color w:val="auto"/>
          <w:highlight w:val="none"/>
          <w:lang w:eastAsia="zh-CN"/>
        </w:rPr>
        <w:t>　</w:t>
      </w:r>
      <w:r>
        <w:rPr>
          <w:rFonts w:cs="宋体"/>
          <w:color w:val="auto"/>
          <w:highlight w:val="none"/>
          <w:lang w:eastAsia="zh-CN"/>
        </w:rPr>
        <w:t>承包人要求更改交货日期或地点的，应事先报请监理人批准。由于承包人要求更改交货时间或地点所增加的费用和（或）工期延误由承包人承担。</w:t>
      </w:r>
    </w:p>
    <w:p w14:paraId="0084D41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5.2.6</w:t>
      </w:r>
      <w:r>
        <w:rPr>
          <w:rFonts w:hint="eastAsia" w:hAnsi="Times New Roman" w:cs="Times New Roman"/>
          <w:b/>
          <w:bCs/>
          <w:color w:val="auto"/>
          <w:highlight w:val="none"/>
          <w:lang w:eastAsia="zh-CN"/>
        </w:rPr>
        <w:t>　</w:t>
      </w:r>
      <w:r>
        <w:rPr>
          <w:rFonts w:cs="宋体"/>
          <w:color w:val="auto"/>
          <w:highlight w:val="none"/>
          <w:lang w:eastAsia="zh-CN"/>
        </w:rPr>
        <w:t>发包人提供的材料和工程设备的规格、数量或质量不符合合同要求，或由于发包人原因发生交货日期延误及交货地点变更等情况的，发包人应承担由此增加的</w:t>
      </w:r>
    </w:p>
    <w:p w14:paraId="30BCC4A9">
      <w:pPr>
        <w:kinsoku/>
        <w:spacing w:beforeLines="0" w:afterLines="0"/>
        <w:ind w:firstLine="0" w:firstLineChars="0"/>
        <w:jc w:val="left"/>
        <w:rPr>
          <w:rFonts w:cs="宋体"/>
          <w:color w:val="auto"/>
          <w:highlight w:val="none"/>
          <w:lang w:eastAsia="zh-CN"/>
        </w:rPr>
      </w:pPr>
      <w:r>
        <w:rPr>
          <w:rFonts w:cs="宋体"/>
          <w:color w:val="auto"/>
          <w:highlight w:val="none"/>
          <w:lang w:eastAsia="zh-CN"/>
        </w:rPr>
        <w:t>费用和（或）工期延误，并向承包人支付合理利润。</w:t>
      </w:r>
    </w:p>
    <w:p w14:paraId="7374D7C8">
      <w:pPr>
        <w:pStyle w:val="4"/>
        <w:kinsoku/>
        <w:spacing w:beforeLines="0" w:afterLines="0"/>
        <w:rPr>
          <w:rFonts w:hint="eastAsia" w:hAnsi="宋体" w:cs="宋体"/>
          <w:bCs/>
          <w:color w:val="auto"/>
          <w:szCs w:val="24"/>
          <w:highlight w:val="none"/>
          <w:lang w:eastAsia="zh-CN"/>
        </w:rPr>
      </w:pPr>
      <w:bookmarkStart w:id="846" w:name="_Toc10635"/>
      <w:bookmarkStart w:id="847" w:name="_Toc16837"/>
      <w:bookmarkStart w:id="848" w:name="_Toc7595"/>
      <w:r>
        <w:rPr>
          <w:rFonts w:hint="eastAsia" w:hAnsi="宋体" w:cs="宋体"/>
          <w:b/>
          <w:bCs/>
          <w:color w:val="auto"/>
          <w:szCs w:val="24"/>
          <w:highlight w:val="none"/>
          <w:lang w:eastAsia="zh-CN"/>
        </w:rPr>
        <w:t>5.3</w:t>
      </w:r>
      <w:r>
        <w:rPr>
          <w:rFonts w:hint="eastAsia" w:cs="宋体"/>
          <w:b/>
          <w:bCs/>
          <w:color w:val="auto"/>
          <w:szCs w:val="24"/>
          <w:highlight w:val="none"/>
          <w:lang w:eastAsia="zh-CN"/>
        </w:rPr>
        <w:t>　</w:t>
      </w:r>
      <w:r>
        <w:rPr>
          <w:rFonts w:hint="eastAsia" w:hAnsi="宋体" w:cs="宋体"/>
          <w:b/>
          <w:bCs/>
          <w:color w:val="auto"/>
          <w:szCs w:val="24"/>
          <w:highlight w:val="none"/>
          <w:lang w:eastAsia="zh-CN"/>
        </w:rPr>
        <w:t>材料和工程设备专用于合同工程</w:t>
      </w:r>
      <w:bookmarkEnd w:id="846"/>
      <w:bookmarkEnd w:id="847"/>
      <w:bookmarkEnd w:id="848"/>
    </w:p>
    <w:p w14:paraId="052A087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5.3.1</w:t>
      </w:r>
      <w:r>
        <w:rPr>
          <w:rFonts w:hint="eastAsia" w:hAnsi="Times New Roman" w:cs="Times New Roman"/>
          <w:b/>
          <w:bCs/>
          <w:color w:val="auto"/>
          <w:highlight w:val="none"/>
          <w:lang w:eastAsia="zh-CN"/>
        </w:rPr>
        <w:t>　</w:t>
      </w:r>
      <w:r>
        <w:rPr>
          <w:rFonts w:cs="宋体"/>
          <w:color w:val="auto"/>
          <w:highlight w:val="none"/>
          <w:lang w:eastAsia="zh-CN"/>
        </w:rPr>
        <w:t>运入施工场地的材料、工程设备，包括备品备件、安装专用工器具与随机资料，必须专用于合同工程，未经监理人同意，承包人不得运出施工场地或挪作他用。</w:t>
      </w:r>
    </w:p>
    <w:p w14:paraId="138C21C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5.3.2</w:t>
      </w:r>
      <w:r>
        <w:rPr>
          <w:rFonts w:hint="eastAsia" w:hAnsi="Times New Roman" w:cs="Times New Roman"/>
          <w:b/>
          <w:bCs/>
          <w:color w:val="auto"/>
          <w:highlight w:val="none"/>
          <w:lang w:eastAsia="zh-CN"/>
        </w:rPr>
        <w:t>　</w:t>
      </w:r>
      <w:r>
        <w:rPr>
          <w:rFonts w:cs="宋体"/>
          <w:color w:val="auto"/>
          <w:highlight w:val="none"/>
          <w:lang w:eastAsia="zh-CN"/>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11B93C87">
      <w:pPr>
        <w:pStyle w:val="4"/>
        <w:kinsoku/>
        <w:spacing w:beforeLines="0" w:afterLines="0"/>
        <w:rPr>
          <w:rFonts w:hint="eastAsia" w:hAnsi="宋体" w:cs="宋体"/>
          <w:bCs/>
          <w:color w:val="auto"/>
          <w:szCs w:val="24"/>
          <w:highlight w:val="none"/>
          <w:lang w:eastAsia="zh-CN"/>
        </w:rPr>
      </w:pPr>
      <w:bookmarkStart w:id="849" w:name="_Toc30002"/>
      <w:bookmarkStart w:id="850" w:name="_Toc19298"/>
      <w:bookmarkStart w:id="851" w:name="_Toc24056"/>
      <w:r>
        <w:rPr>
          <w:rFonts w:hint="eastAsia" w:hAnsi="宋体" w:cs="宋体"/>
          <w:b/>
          <w:bCs/>
          <w:color w:val="auto"/>
          <w:szCs w:val="24"/>
          <w:highlight w:val="none"/>
          <w:lang w:eastAsia="zh-CN"/>
        </w:rPr>
        <w:t>5.4</w:t>
      </w:r>
      <w:r>
        <w:rPr>
          <w:rFonts w:hint="eastAsia" w:cs="宋体"/>
          <w:b/>
          <w:bCs/>
          <w:color w:val="auto"/>
          <w:szCs w:val="24"/>
          <w:highlight w:val="none"/>
          <w:lang w:eastAsia="zh-CN"/>
        </w:rPr>
        <w:t>　</w:t>
      </w:r>
      <w:r>
        <w:rPr>
          <w:rFonts w:hint="eastAsia" w:hAnsi="宋体" w:cs="宋体"/>
          <w:b/>
          <w:bCs/>
          <w:color w:val="auto"/>
          <w:szCs w:val="24"/>
          <w:highlight w:val="none"/>
          <w:lang w:eastAsia="zh-CN"/>
        </w:rPr>
        <w:t>禁止使用不合格的材料和工程设备</w:t>
      </w:r>
      <w:bookmarkEnd w:id="849"/>
      <w:bookmarkEnd w:id="850"/>
      <w:bookmarkEnd w:id="851"/>
    </w:p>
    <w:p w14:paraId="724976A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5.4.1</w:t>
      </w:r>
      <w:r>
        <w:rPr>
          <w:rFonts w:hint="eastAsia" w:hAnsi="Times New Roman" w:cs="Times New Roman"/>
          <w:b/>
          <w:bCs/>
          <w:color w:val="auto"/>
          <w:highlight w:val="none"/>
          <w:lang w:eastAsia="zh-CN"/>
        </w:rPr>
        <w:t>　</w:t>
      </w:r>
      <w:r>
        <w:rPr>
          <w:rFonts w:cs="宋体"/>
          <w:color w:val="auto"/>
          <w:highlight w:val="none"/>
          <w:lang w:eastAsia="zh-CN"/>
        </w:rPr>
        <w:t>监理人有权拒绝承包人提供的不合格材料或工程设备，并要求承包人立即进行更换。监理人应在更换后再次进行检查和检验，由此增加的费用和（或）工期延误由承包人承担。</w:t>
      </w:r>
    </w:p>
    <w:p w14:paraId="1A1C0D9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5.4.2</w:t>
      </w:r>
      <w:r>
        <w:rPr>
          <w:rFonts w:hint="eastAsia" w:hAnsi="Times New Roman" w:cs="Times New Roman"/>
          <w:b/>
          <w:bCs/>
          <w:color w:val="auto"/>
          <w:highlight w:val="none"/>
          <w:lang w:eastAsia="zh-CN"/>
        </w:rPr>
        <w:t>　</w:t>
      </w:r>
      <w:r>
        <w:rPr>
          <w:rFonts w:cs="宋体"/>
          <w:color w:val="auto"/>
          <w:highlight w:val="none"/>
          <w:lang w:eastAsia="zh-CN"/>
        </w:rPr>
        <w:t>监理人发现承包人使用了不合格的材料和工程设备，应即时发出指示要求承包人立即改正，并禁止在工程中继续使用不合格的材料和工程设备。</w:t>
      </w:r>
    </w:p>
    <w:p w14:paraId="24121C7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5.4.3</w:t>
      </w:r>
      <w:r>
        <w:rPr>
          <w:rFonts w:hint="eastAsia" w:hAnsi="Times New Roman" w:cs="Times New Roman"/>
          <w:b/>
          <w:bCs/>
          <w:color w:val="auto"/>
          <w:highlight w:val="none"/>
          <w:lang w:eastAsia="zh-CN"/>
        </w:rPr>
        <w:t>　</w:t>
      </w:r>
      <w:r>
        <w:rPr>
          <w:rFonts w:cs="宋体"/>
          <w:color w:val="auto"/>
          <w:highlight w:val="none"/>
          <w:lang w:eastAsia="zh-CN"/>
        </w:rPr>
        <w:t>发包人提供的材料或工程设备不符合合同要求的，承包人有权拒绝，并可要求发包人更换，由此增加的费用和（或）工期延误由发包人承担。</w:t>
      </w:r>
    </w:p>
    <w:p w14:paraId="736ADDCD">
      <w:pPr>
        <w:pStyle w:val="3"/>
        <w:kinsoku/>
        <w:spacing w:before="0" w:beforeLines="0" w:afterLines="0" w:line="360" w:lineRule="auto"/>
        <w:outlineLvl w:val="1"/>
        <w:rPr>
          <w:rFonts w:hint="eastAsia" w:ascii="宋体" w:cs="宋体"/>
          <w:color w:val="auto"/>
          <w:sz w:val="30"/>
          <w:szCs w:val="30"/>
          <w:highlight w:val="none"/>
        </w:rPr>
      </w:pPr>
      <w:bookmarkStart w:id="852" w:name="_Toc27550"/>
      <w:bookmarkStart w:id="853" w:name="_Toc22389"/>
      <w:bookmarkStart w:id="854" w:name="_Toc19571"/>
      <w:bookmarkStart w:id="855" w:name="_Toc1850"/>
      <w:bookmarkStart w:id="856" w:name="_Toc9220"/>
      <w:bookmarkStart w:id="857" w:name="_Toc32590"/>
      <w:bookmarkStart w:id="858" w:name="_Toc25423"/>
      <w:bookmarkStart w:id="859" w:name="_Toc17774"/>
      <w:bookmarkStart w:id="860" w:name="_Toc4138"/>
      <w:bookmarkStart w:id="861" w:name="_Toc11330"/>
      <w:bookmarkStart w:id="862" w:name="_Toc21474"/>
      <w:bookmarkStart w:id="863" w:name="_Toc27416"/>
      <w:bookmarkStart w:id="864" w:name="_Toc6966"/>
      <w:bookmarkStart w:id="865" w:name="_Toc31077"/>
      <w:r>
        <w:rPr>
          <w:rFonts w:hint="eastAsia" w:ascii="宋体" w:cs="宋体"/>
          <w:color w:val="auto"/>
          <w:sz w:val="30"/>
          <w:szCs w:val="30"/>
          <w:highlight w:val="none"/>
        </w:rPr>
        <w:t>6</w:t>
      </w:r>
      <w:r>
        <w:rPr>
          <w:rFonts w:hint="eastAsia" w:cs="宋体"/>
          <w:color w:val="auto"/>
          <w:sz w:val="30"/>
          <w:szCs w:val="30"/>
          <w:highlight w:val="none"/>
          <w:lang w:eastAsia="zh-CN"/>
        </w:rPr>
        <w:t>　</w:t>
      </w:r>
      <w:r>
        <w:rPr>
          <w:rFonts w:hint="eastAsia" w:ascii="宋体" w:cs="宋体"/>
          <w:color w:val="auto"/>
          <w:sz w:val="30"/>
          <w:szCs w:val="30"/>
          <w:highlight w:val="none"/>
        </w:rPr>
        <w:t>施工设备和临时设施</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1CD45318">
      <w:pPr>
        <w:pStyle w:val="4"/>
        <w:kinsoku/>
        <w:spacing w:beforeLines="0" w:afterLines="0"/>
        <w:rPr>
          <w:rFonts w:hint="eastAsia" w:hAnsi="宋体" w:cs="宋体"/>
          <w:bCs/>
          <w:color w:val="auto"/>
          <w:szCs w:val="24"/>
          <w:highlight w:val="none"/>
          <w:lang w:eastAsia="zh-CN"/>
        </w:rPr>
      </w:pPr>
      <w:bookmarkStart w:id="866" w:name="_Toc17422"/>
      <w:bookmarkStart w:id="867" w:name="_Toc28717"/>
      <w:bookmarkStart w:id="868" w:name="_Toc22421"/>
      <w:r>
        <w:rPr>
          <w:rFonts w:hint="eastAsia" w:hAnsi="宋体" w:cs="宋体"/>
          <w:b/>
          <w:bCs/>
          <w:color w:val="auto"/>
          <w:szCs w:val="24"/>
          <w:highlight w:val="none"/>
          <w:lang w:eastAsia="zh-CN"/>
        </w:rPr>
        <w:t>6.1</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承包人提供的施工设备和临时设施</w:t>
      </w:r>
      <w:bookmarkEnd w:id="866"/>
      <w:bookmarkEnd w:id="867"/>
      <w:bookmarkEnd w:id="868"/>
    </w:p>
    <w:p w14:paraId="1A342B6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6.1.1</w:t>
      </w:r>
      <w:r>
        <w:rPr>
          <w:rFonts w:hint="eastAsia" w:hAnsi="Times New Roman" w:cs="Times New Roman"/>
          <w:b/>
          <w:bCs/>
          <w:color w:val="auto"/>
          <w:highlight w:val="none"/>
          <w:lang w:eastAsia="zh-CN"/>
        </w:rPr>
        <w:t>　</w:t>
      </w:r>
      <w:r>
        <w:rPr>
          <w:rFonts w:cs="宋体"/>
          <w:color w:val="auto"/>
          <w:highlight w:val="none"/>
          <w:lang w:eastAsia="zh-CN"/>
        </w:rPr>
        <w:t>承包人应按合同进度计划的要求，及时配置施工设备和修建临时设施。进入施工场地的承包人设备需经监理人核查后才能投入使用。承包人更换合同约定的承包人设备的，应报监理人批准。</w:t>
      </w:r>
    </w:p>
    <w:p w14:paraId="4ED9A88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6.1.2</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除专用合同条款另有约定外，承包人应自行承担修建临时设施的费用，需要临时占地的，应由发包人办理申请手续并承担相应费用。</w:t>
      </w:r>
    </w:p>
    <w:p w14:paraId="4EAB2E83">
      <w:pPr>
        <w:pStyle w:val="4"/>
        <w:kinsoku/>
        <w:spacing w:beforeLines="0" w:afterLines="0"/>
        <w:rPr>
          <w:rFonts w:hint="eastAsia" w:hAnsi="宋体" w:cs="宋体"/>
          <w:bCs/>
          <w:color w:val="auto"/>
          <w:szCs w:val="24"/>
          <w:highlight w:val="none"/>
          <w:lang w:eastAsia="zh-CN"/>
        </w:rPr>
      </w:pPr>
      <w:bookmarkStart w:id="869" w:name="_Toc22817"/>
      <w:bookmarkStart w:id="870" w:name="_Toc6989"/>
      <w:bookmarkStart w:id="871" w:name="_Toc2081"/>
      <w:r>
        <w:rPr>
          <w:rFonts w:hint="eastAsia" w:hAnsi="宋体" w:cs="宋体"/>
          <w:b/>
          <w:bCs/>
          <w:color w:val="auto"/>
          <w:szCs w:val="24"/>
          <w:highlight w:val="none"/>
          <w:lang w:eastAsia="zh-CN"/>
        </w:rPr>
        <w:t>6.2</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发包人提供的施工设备和临时设施</w:t>
      </w:r>
      <w:bookmarkEnd w:id="869"/>
      <w:bookmarkEnd w:id="870"/>
      <w:bookmarkEnd w:id="871"/>
    </w:p>
    <w:p w14:paraId="5055FF0C">
      <w:pPr>
        <w:kinsoku/>
        <w:spacing w:beforeLines="0" w:afterLines="0"/>
        <w:ind w:firstLine="0" w:firstLineChars="0"/>
        <w:jc w:val="left"/>
        <w:rPr>
          <w:rFonts w:cs="宋体"/>
          <w:color w:val="auto"/>
          <w:highlight w:val="none"/>
          <w:lang w:eastAsia="zh-CN"/>
        </w:rPr>
      </w:pPr>
      <w:r>
        <w:rPr>
          <w:rFonts w:cs="宋体"/>
          <w:color w:val="auto"/>
          <w:highlight w:val="none"/>
          <w:lang w:eastAsia="zh-CN"/>
        </w:rPr>
        <w:t>发包人提供的施工设备或临时设施在专用合同条款中约定。</w:t>
      </w:r>
    </w:p>
    <w:p w14:paraId="19FB50FD">
      <w:pPr>
        <w:pStyle w:val="4"/>
        <w:kinsoku/>
        <w:spacing w:beforeLines="0" w:afterLines="0"/>
        <w:rPr>
          <w:rFonts w:hint="eastAsia" w:hAnsi="宋体" w:cs="宋体"/>
          <w:bCs/>
          <w:color w:val="auto"/>
          <w:szCs w:val="24"/>
          <w:highlight w:val="none"/>
          <w:lang w:eastAsia="zh-CN"/>
        </w:rPr>
      </w:pPr>
      <w:bookmarkStart w:id="872" w:name="_Toc3874"/>
      <w:bookmarkStart w:id="873" w:name="_Toc28754"/>
      <w:bookmarkStart w:id="874" w:name="_Toc2623"/>
      <w:r>
        <w:rPr>
          <w:rFonts w:hint="eastAsia" w:hAnsi="宋体" w:cs="宋体"/>
          <w:b/>
          <w:bCs/>
          <w:color w:val="auto"/>
          <w:szCs w:val="24"/>
          <w:highlight w:val="none"/>
          <w:lang w:eastAsia="zh-CN"/>
        </w:rPr>
        <w:t>6.3</w:t>
      </w:r>
      <w:r>
        <w:rPr>
          <w:rFonts w:hint="eastAsia" w:cs="宋体"/>
          <w:b/>
          <w:bCs/>
          <w:color w:val="auto"/>
          <w:szCs w:val="24"/>
          <w:highlight w:val="none"/>
          <w:lang w:eastAsia="zh-CN"/>
        </w:rPr>
        <w:t>　</w:t>
      </w:r>
      <w:r>
        <w:rPr>
          <w:rFonts w:hint="eastAsia" w:hAnsi="宋体" w:cs="宋体"/>
          <w:b/>
          <w:bCs/>
          <w:color w:val="auto"/>
          <w:szCs w:val="24"/>
          <w:highlight w:val="none"/>
          <w:lang w:eastAsia="zh-CN"/>
        </w:rPr>
        <w:t>要求承包人增加或更换施工设备</w:t>
      </w:r>
      <w:bookmarkEnd w:id="872"/>
      <w:bookmarkEnd w:id="873"/>
      <w:bookmarkEnd w:id="874"/>
    </w:p>
    <w:p w14:paraId="6300AA8B">
      <w:pPr>
        <w:kinsoku/>
        <w:spacing w:beforeLines="0" w:afterLines="0"/>
        <w:ind w:firstLine="0" w:firstLineChars="0"/>
        <w:jc w:val="left"/>
        <w:rPr>
          <w:rFonts w:cs="宋体"/>
          <w:color w:val="auto"/>
          <w:highlight w:val="none"/>
          <w:lang w:eastAsia="zh-CN"/>
        </w:rPr>
      </w:pPr>
      <w:r>
        <w:rPr>
          <w:rFonts w:cs="宋体"/>
          <w:color w:val="auto"/>
          <w:highlight w:val="none"/>
          <w:lang w:eastAsia="zh-CN"/>
        </w:rPr>
        <w:t>承包人使用的施工设备不能满足合同进度计划和（或）质量要求时，监理人有权要求承包人增加或更换施工设备，承包人应及时增加或更换，由此增加的费用和（或）工期延误由承包人承担。</w:t>
      </w:r>
    </w:p>
    <w:p w14:paraId="520FBC01">
      <w:pPr>
        <w:pStyle w:val="4"/>
        <w:kinsoku/>
        <w:spacing w:beforeLines="0" w:afterLines="0"/>
        <w:rPr>
          <w:rFonts w:hint="eastAsia" w:hAnsi="宋体" w:cs="宋体"/>
          <w:bCs/>
          <w:color w:val="auto"/>
          <w:szCs w:val="24"/>
          <w:highlight w:val="none"/>
          <w:lang w:eastAsia="zh-CN"/>
        </w:rPr>
      </w:pPr>
      <w:bookmarkStart w:id="875" w:name="_Toc28150"/>
      <w:bookmarkStart w:id="876" w:name="_Toc30226"/>
      <w:bookmarkStart w:id="877" w:name="_Toc18904"/>
      <w:r>
        <w:rPr>
          <w:rFonts w:hint="eastAsia" w:hAnsi="宋体" w:cs="宋体"/>
          <w:b/>
          <w:bCs/>
          <w:color w:val="auto"/>
          <w:szCs w:val="24"/>
          <w:highlight w:val="none"/>
          <w:lang w:eastAsia="zh-CN"/>
        </w:rPr>
        <w:t>6.4</w:t>
      </w:r>
      <w:r>
        <w:rPr>
          <w:rFonts w:hint="eastAsia" w:cs="宋体"/>
          <w:b/>
          <w:bCs/>
          <w:color w:val="auto"/>
          <w:szCs w:val="24"/>
          <w:highlight w:val="none"/>
          <w:lang w:eastAsia="zh-CN"/>
        </w:rPr>
        <w:t>　</w:t>
      </w:r>
      <w:r>
        <w:rPr>
          <w:rFonts w:hint="eastAsia" w:hAnsi="宋体" w:cs="宋体"/>
          <w:b/>
          <w:bCs/>
          <w:color w:val="auto"/>
          <w:szCs w:val="24"/>
          <w:highlight w:val="none"/>
          <w:lang w:eastAsia="zh-CN"/>
        </w:rPr>
        <w:t>施工设备和临时设施专用于合同工程</w:t>
      </w:r>
      <w:bookmarkEnd w:id="875"/>
      <w:bookmarkEnd w:id="876"/>
      <w:bookmarkEnd w:id="877"/>
    </w:p>
    <w:p w14:paraId="7DDA955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6.4.1</w:t>
      </w:r>
      <w:r>
        <w:rPr>
          <w:rFonts w:hint="eastAsia" w:hAnsi="Times New Roman" w:cs="Times New Roman"/>
          <w:b/>
          <w:bCs/>
          <w:color w:val="auto"/>
          <w:highlight w:val="none"/>
          <w:lang w:eastAsia="zh-CN"/>
        </w:rPr>
        <w:t>　</w:t>
      </w:r>
      <w:r>
        <w:rPr>
          <w:rFonts w:cs="宋体"/>
          <w:color w:val="auto"/>
          <w:highlight w:val="none"/>
          <w:lang w:eastAsia="zh-CN"/>
        </w:rPr>
        <w:t>除合同另有约定外，运入施工场地的所有施工设备以及在施工场地建设的临时设施应专用于合同工程。未经监理人同意，不得将上述施工设备和临时设施中的任何部分运出施工场地或挪作他用。</w:t>
      </w:r>
    </w:p>
    <w:p w14:paraId="535FFAB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6.4.2</w:t>
      </w:r>
      <w:r>
        <w:rPr>
          <w:rFonts w:hint="eastAsia" w:hAnsi="Times New Roman" w:cs="Times New Roman"/>
          <w:b/>
          <w:bCs/>
          <w:color w:val="auto"/>
          <w:highlight w:val="none"/>
          <w:lang w:eastAsia="zh-CN"/>
        </w:rPr>
        <w:t>　</w:t>
      </w:r>
      <w:r>
        <w:rPr>
          <w:rFonts w:cs="宋体"/>
          <w:color w:val="auto"/>
          <w:highlight w:val="none"/>
          <w:lang w:eastAsia="zh-CN"/>
        </w:rPr>
        <w:t>经监理人同意，承包人可根据合同进度计划撤走闲置的施工设备。</w:t>
      </w:r>
    </w:p>
    <w:p w14:paraId="2CE8CA3A">
      <w:pPr>
        <w:pStyle w:val="3"/>
        <w:kinsoku/>
        <w:spacing w:beforeLines="0" w:afterLines="0"/>
        <w:rPr>
          <w:rFonts w:cs="宋体"/>
          <w:color w:val="auto"/>
          <w:szCs w:val="30"/>
          <w:highlight w:val="none"/>
          <w:lang w:eastAsia="zh-CN"/>
        </w:rPr>
      </w:pPr>
      <w:bookmarkStart w:id="878" w:name="_Toc123"/>
      <w:bookmarkStart w:id="879" w:name="_Toc26852"/>
      <w:bookmarkStart w:id="880" w:name="_Toc9432"/>
      <w:bookmarkStart w:id="881" w:name="_Toc18348"/>
      <w:bookmarkStart w:id="882" w:name="_Toc24931"/>
      <w:bookmarkStart w:id="883" w:name="_Toc5283"/>
      <w:bookmarkStart w:id="884" w:name="_Toc2925"/>
      <w:bookmarkStart w:id="885" w:name="_Toc10984"/>
      <w:bookmarkStart w:id="886" w:name="_Toc30780"/>
      <w:bookmarkStart w:id="887" w:name="_Toc5294"/>
      <w:bookmarkStart w:id="888" w:name="_Toc19142"/>
      <w:bookmarkStart w:id="889" w:name="_Toc12408"/>
      <w:bookmarkStart w:id="890" w:name="_Toc27814"/>
      <w:bookmarkStart w:id="891" w:name="_Toc1156"/>
      <w:r>
        <w:rPr>
          <w:rFonts w:hint="eastAsia" w:hAnsi="宋体" w:cs="宋体"/>
          <w:b/>
          <w:bCs/>
          <w:color w:val="auto"/>
          <w:szCs w:val="30"/>
          <w:highlight w:val="none"/>
          <w:lang w:eastAsia="zh-CN"/>
        </w:rPr>
        <w:t>7</w:t>
      </w:r>
      <w:r>
        <w:rPr>
          <w:rFonts w:hint="eastAsia" w:cs="宋体"/>
          <w:b/>
          <w:bCs/>
          <w:color w:val="auto"/>
          <w:szCs w:val="30"/>
          <w:highlight w:val="none"/>
          <w:lang w:eastAsia="zh-CN"/>
        </w:rPr>
        <w:t>　</w:t>
      </w:r>
      <w:r>
        <w:rPr>
          <w:rFonts w:cs="宋体"/>
          <w:b/>
          <w:bCs/>
          <w:color w:val="auto"/>
          <w:szCs w:val="30"/>
          <w:highlight w:val="none"/>
          <w:lang w:eastAsia="zh-CN"/>
        </w:rPr>
        <w:t>交通运输</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7E82F9CD">
      <w:pPr>
        <w:pStyle w:val="4"/>
        <w:kinsoku/>
        <w:spacing w:beforeLines="0" w:afterLines="0"/>
        <w:rPr>
          <w:rFonts w:hint="eastAsia" w:hAnsi="宋体" w:cs="宋体"/>
          <w:bCs/>
          <w:color w:val="auto"/>
          <w:szCs w:val="24"/>
          <w:highlight w:val="none"/>
          <w:lang w:eastAsia="zh-CN"/>
        </w:rPr>
      </w:pPr>
      <w:bookmarkStart w:id="892" w:name="_Toc15124"/>
      <w:bookmarkStart w:id="893" w:name="_Toc13603"/>
      <w:bookmarkStart w:id="894" w:name="_Toc12817"/>
      <w:r>
        <w:rPr>
          <w:rFonts w:hint="eastAsia" w:hAnsi="宋体" w:cs="宋体"/>
          <w:b/>
          <w:bCs/>
          <w:color w:val="auto"/>
          <w:szCs w:val="24"/>
          <w:highlight w:val="none"/>
          <w:lang w:eastAsia="zh-CN"/>
        </w:rPr>
        <w:t>7.1</w:t>
      </w:r>
      <w:r>
        <w:rPr>
          <w:rFonts w:hint="eastAsia" w:cs="宋体"/>
          <w:b/>
          <w:bCs/>
          <w:color w:val="auto"/>
          <w:szCs w:val="24"/>
          <w:highlight w:val="none"/>
          <w:lang w:eastAsia="zh-CN"/>
        </w:rPr>
        <w:t>　</w:t>
      </w:r>
      <w:r>
        <w:rPr>
          <w:rFonts w:hint="eastAsia" w:hAnsi="宋体" w:cs="宋体"/>
          <w:b/>
          <w:bCs/>
          <w:color w:val="auto"/>
          <w:szCs w:val="24"/>
          <w:highlight w:val="none"/>
          <w:lang w:eastAsia="zh-CN"/>
        </w:rPr>
        <w:t>道路通行权和场外设施</w:t>
      </w:r>
      <w:bookmarkEnd w:id="892"/>
      <w:bookmarkEnd w:id="893"/>
      <w:bookmarkEnd w:id="894"/>
    </w:p>
    <w:p w14:paraId="7EE0C967">
      <w:pPr>
        <w:kinsoku/>
        <w:spacing w:beforeLines="0" w:afterLines="0"/>
        <w:ind w:firstLine="0" w:firstLineChars="0"/>
        <w:jc w:val="left"/>
        <w:rPr>
          <w:rFonts w:cs="宋体"/>
          <w:color w:val="auto"/>
          <w:highlight w:val="none"/>
          <w:lang w:eastAsia="zh-CN"/>
        </w:rPr>
      </w:pPr>
      <w:r>
        <w:rPr>
          <w:rFonts w:cs="宋体"/>
          <w:color w:val="auto"/>
          <w:highlight w:val="none"/>
          <w:lang w:eastAsia="zh-CN"/>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244BB067">
      <w:pPr>
        <w:pStyle w:val="4"/>
        <w:kinsoku/>
        <w:spacing w:beforeLines="0" w:afterLines="0"/>
        <w:rPr>
          <w:rFonts w:hint="eastAsia" w:hAnsi="宋体" w:cs="宋体"/>
          <w:bCs/>
          <w:color w:val="auto"/>
          <w:szCs w:val="24"/>
          <w:highlight w:val="none"/>
          <w:lang w:eastAsia="zh-CN"/>
        </w:rPr>
      </w:pPr>
      <w:bookmarkStart w:id="895" w:name="_Toc23123"/>
      <w:bookmarkStart w:id="896" w:name="_Toc3211"/>
      <w:bookmarkStart w:id="897" w:name="_Toc25727"/>
      <w:r>
        <w:rPr>
          <w:rFonts w:hint="eastAsia" w:hAnsi="宋体" w:cs="宋体"/>
          <w:b/>
          <w:bCs/>
          <w:color w:val="auto"/>
          <w:szCs w:val="24"/>
          <w:highlight w:val="none"/>
          <w:lang w:eastAsia="zh-CN"/>
        </w:rPr>
        <w:t>7.2</w:t>
      </w:r>
      <w:r>
        <w:rPr>
          <w:rFonts w:hint="eastAsia" w:cs="宋体"/>
          <w:b/>
          <w:bCs/>
          <w:color w:val="auto"/>
          <w:szCs w:val="24"/>
          <w:highlight w:val="none"/>
          <w:lang w:eastAsia="zh-CN"/>
        </w:rPr>
        <w:t>　</w:t>
      </w:r>
      <w:r>
        <w:rPr>
          <w:rFonts w:hint="eastAsia" w:hAnsi="宋体" w:cs="宋体"/>
          <w:b/>
          <w:bCs/>
          <w:color w:val="auto"/>
          <w:szCs w:val="24"/>
          <w:highlight w:val="none"/>
          <w:lang w:eastAsia="zh-CN"/>
        </w:rPr>
        <w:t>场内施工道路</w:t>
      </w:r>
      <w:bookmarkEnd w:id="895"/>
      <w:bookmarkEnd w:id="896"/>
      <w:bookmarkEnd w:id="897"/>
    </w:p>
    <w:p w14:paraId="4F29D3D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7.2.1</w:t>
      </w:r>
      <w:r>
        <w:rPr>
          <w:rFonts w:hint="eastAsia" w:hAnsi="Times New Roman" w:cs="Times New Roman"/>
          <w:b/>
          <w:bCs/>
          <w:color w:val="auto"/>
          <w:highlight w:val="none"/>
          <w:lang w:eastAsia="zh-CN"/>
        </w:rPr>
        <w:t>　</w:t>
      </w:r>
      <w:r>
        <w:rPr>
          <w:rFonts w:cs="宋体"/>
          <w:color w:val="auto"/>
          <w:highlight w:val="none"/>
          <w:lang w:eastAsia="zh-CN"/>
        </w:rPr>
        <w:t>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7AA2455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7.2.2</w:t>
      </w:r>
      <w:r>
        <w:rPr>
          <w:rFonts w:hint="eastAsia" w:hAnsi="Times New Roman" w:cs="Times New Roman"/>
          <w:b/>
          <w:bCs/>
          <w:color w:val="auto"/>
          <w:highlight w:val="none"/>
          <w:lang w:eastAsia="zh-CN"/>
        </w:rPr>
        <w:t>　</w:t>
      </w:r>
      <w:r>
        <w:rPr>
          <w:rFonts w:cs="宋体"/>
          <w:color w:val="auto"/>
          <w:highlight w:val="none"/>
          <w:lang w:eastAsia="zh-CN"/>
        </w:rPr>
        <w:t>承包人修建的临时道路和交通设施，应免费提供发包人、监理人以及与本合同有关的其他承包人使用。</w:t>
      </w:r>
    </w:p>
    <w:p w14:paraId="027D3A51">
      <w:pPr>
        <w:pStyle w:val="4"/>
        <w:kinsoku/>
        <w:spacing w:beforeLines="0" w:afterLines="0"/>
        <w:rPr>
          <w:rFonts w:hint="eastAsia" w:hAnsi="宋体" w:cs="宋体"/>
          <w:bCs/>
          <w:color w:val="auto"/>
          <w:szCs w:val="24"/>
          <w:highlight w:val="none"/>
          <w:lang w:eastAsia="zh-CN"/>
        </w:rPr>
      </w:pPr>
      <w:bookmarkStart w:id="898" w:name="_Toc19768"/>
      <w:bookmarkStart w:id="899" w:name="_Toc24724"/>
      <w:bookmarkStart w:id="900" w:name="_Toc9418"/>
      <w:r>
        <w:rPr>
          <w:rFonts w:hint="eastAsia" w:hAnsi="宋体" w:cs="宋体"/>
          <w:b/>
          <w:bCs/>
          <w:color w:val="auto"/>
          <w:szCs w:val="24"/>
          <w:highlight w:val="none"/>
          <w:lang w:eastAsia="zh-CN"/>
        </w:rPr>
        <w:t>7.3</w:t>
      </w:r>
      <w:r>
        <w:rPr>
          <w:rFonts w:hint="eastAsia" w:cs="宋体"/>
          <w:b/>
          <w:bCs/>
          <w:color w:val="auto"/>
          <w:szCs w:val="24"/>
          <w:highlight w:val="none"/>
          <w:lang w:eastAsia="zh-CN"/>
        </w:rPr>
        <w:t>　</w:t>
      </w:r>
      <w:r>
        <w:rPr>
          <w:rFonts w:hint="eastAsia" w:hAnsi="宋体" w:cs="宋体"/>
          <w:b/>
          <w:bCs/>
          <w:color w:val="auto"/>
          <w:szCs w:val="24"/>
          <w:highlight w:val="none"/>
          <w:lang w:eastAsia="zh-CN"/>
        </w:rPr>
        <w:t>场外交通</w:t>
      </w:r>
      <w:bookmarkEnd w:id="898"/>
      <w:bookmarkEnd w:id="899"/>
      <w:bookmarkEnd w:id="900"/>
    </w:p>
    <w:p w14:paraId="665075C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7.3.1</w:t>
      </w:r>
      <w:r>
        <w:rPr>
          <w:rFonts w:hint="eastAsia" w:hAnsi="Times New Roman" w:cs="Times New Roman"/>
          <w:b/>
          <w:bCs/>
          <w:color w:val="auto"/>
          <w:highlight w:val="none"/>
          <w:lang w:eastAsia="zh-CN"/>
        </w:rPr>
        <w:t>　</w:t>
      </w:r>
      <w:r>
        <w:rPr>
          <w:rFonts w:cs="宋体"/>
          <w:color w:val="auto"/>
          <w:highlight w:val="none"/>
          <w:lang w:eastAsia="zh-CN"/>
        </w:rPr>
        <w:t>承包人车辆外出行驶所需的场外公共道路的通行费、养路费和税款等由承包人承担。</w:t>
      </w:r>
    </w:p>
    <w:p w14:paraId="213E9C3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7.3.2</w:t>
      </w:r>
      <w:r>
        <w:rPr>
          <w:rFonts w:hint="eastAsia" w:hAnsi="Times New Roman" w:cs="Times New Roman"/>
          <w:b/>
          <w:bCs/>
          <w:color w:val="auto"/>
          <w:highlight w:val="none"/>
          <w:lang w:eastAsia="zh-CN"/>
        </w:rPr>
        <w:t>　</w:t>
      </w:r>
      <w:r>
        <w:rPr>
          <w:rFonts w:cs="宋体"/>
          <w:color w:val="auto"/>
          <w:highlight w:val="none"/>
          <w:lang w:eastAsia="zh-CN"/>
        </w:rPr>
        <w:t>承包人应遵守有关交通法规，严格按照道路和桥梁的限制荷重安全行驶，并服从交通管理部门的检查和监督。</w:t>
      </w:r>
    </w:p>
    <w:p w14:paraId="09BB761D">
      <w:pPr>
        <w:pStyle w:val="4"/>
        <w:kinsoku/>
        <w:spacing w:beforeLines="0" w:afterLines="0"/>
        <w:rPr>
          <w:rFonts w:hint="eastAsia" w:hAnsi="宋体" w:cs="宋体"/>
          <w:bCs/>
          <w:color w:val="auto"/>
          <w:szCs w:val="24"/>
          <w:highlight w:val="none"/>
          <w:lang w:eastAsia="zh-CN"/>
        </w:rPr>
      </w:pPr>
      <w:bookmarkStart w:id="901" w:name="_Toc8619"/>
      <w:bookmarkStart w:id="902" w:name="_Toc8165"/>
      <w:bookmarkStart w:id="903" w:name="_Toc14788"/>
      <w:r>
        <w:rPr>
          <w:rFonts w:hint="eastAsia" w:hAnsi="宋体" w:cs="宋体"/>
          <w:b/>
          <w:bCs/>
          <w:color w:val="auto"/>
          <w:szCs w:val="24"/>
          <w:highlight w:val="none"/>
          <w:lang w:eastAsia="zh-CN"/>
        </w:rPr>
        <w:t>7.4</w:t>
      </w:r>
      <w:r>
        <w:rPr>
          <w:rFonts w:hint="eastAsia" w:cs="宋体"/>
          <w:b/>
          <w:bCs/>
          <w:color w:val="auto"/>
          <w:szCs w:val="24"/>
          <w:highlight w:val="none"/>
          <w:lang w:eastAsia="zh-CN"/>
        </w:rPr>
        <w:t>　</w:t>
      </w:r>
      <w:r>
        <w:rPr>
          <w:rFonts w:hint="eastAsia" w:hAnsi="宋体" w:cs="宋体"/>
          <w:b/>
          <w:bCs/>
          <w:color w:val="auto"/>
          <w:szCs w:val="24"/>
          <w:highlight w:val="none"/>
          <w:lang w:eastAsia="zh-CN"/>
        </w:rPr>
        <w:t>超大件和超重件的运输</w:t>
      </w:r>
      <w:bookmarkEnd w:id="901"/>
      <w:bookmarkEnd w:id="902"/>
      <w:bookmarkEnd w:id="903"/>
    </w:p>
    <w:p w14:paraId="20A67C07">
      <w:pPr>
        <w:kinsoku/>
        <w:spacing w:beforeLines="0" w:afterLines="0"/>
        <w:ind w:firstLine="480"/>
        <w:jc w:val="left"/>
        <w:rPr>
          <w:rFonts w:cs="宋体"/>
          <w:color w:val="auto"/>
          <w:highlight w:val="none"/>
          <w:lang w:eastAsia="zh-CN"/>
        </w:rPr>
      </w:pPr>
      <w:r>
        <w:rPr>
          <w:rFonts w:cs="宋体"/>
          <w:color w:val="auto"/>
          <w:highlight w:val="none"/>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3F1604C3">
      <w:pPr>
        <w:pStyle w:val="4"/>
        <w:kinsoku/>
        <w:spacing w:beforeLines="0" w:afterLines="0"/>
        <w:rPr>
          <w:rFonts w:hint="eastAsia" w:hAnsi="宋体" w:cs="宋体"/>
          <w:bCs/>
          <w:color w:val="auto"/>
          <w:szCs w:val="24"/>
          <w:highlight w:val="none"/>
          <w:lang w:eastAsia="zh-CN"/>
        </w:rPr>
      </w:pPr>
      <w:bookmarkStart w:id="904" w:name="_Toc30314"/>
      <w:bookmarkStart w:id="905" w:name="_Toc32719"/>
      <w:bookmarkStart w:id="906" w:name="_Toc15920"/>
      <w:r>
        <w:rPr>
          <w:rFonts w:hint="eastAsia" w:hAnsi="宋体" w:cs="宋体"/>
          <w:b/>
          <w:bCs/>
          <w:color w:val="auto"/>
          <w:szCs w:val="24"/>
          <w:highlight w:val="none"/>
          <w:lang w:eastAsia="zh-CN"/>
        </w:rPr>
        <w:t>7.5</w:t>
      </w:r>
      <w:r>
        <w:rPr>
          <w:rFonts w:hint="eastAsia" w:cs="宋体"/>
          <w:b/>
          <w:bCs/>
          <w:color w:val="auto"/>
          <w:szCs w:val="24"/>
          <w:highlight w:val="none"/>
          <w:lang w:eastAsia="zh-CN"/>
        </w:rPr>
        <w:t>　</w:t>
      </w:r>
      <w:r>
        <w:rPr>
          <w:rFonts w:hint="eastAsia" w:hAnsi="宋体" w:cs="宋体"/>
          <w:b/>
          <w:bCs/>
          <w:color w:val="auto"/>
          <w:szCs w:val="24"/>
          <w:highlight w:val="none"/>
          <w:lang w:eastAsia="zh-CN"/>
        </w:rPr>
        <w:t>道路和桥梁的损坏责任</w:t>
      </w:r>
      <w:bookmarkEnd w:id="904"/>
      <w:bookmarkEnd w:id="905"/>
      <w:bookmarkEnd w:id="906"/>
    </w:p>
    <w:p w14:paraId="56EC54E7">
      <w:pPr>
        <w:kinsoku/>
        <w:spacing w:beforeLines="0" w:afterLines="0"/>
        <w:ind w:firstLine="480"/>
        <w:jc w:val="left"/>
        <w:rPr>
          <w:rFonts w:cs="宋体"/>
          <w:color w:val="auto"/>
          <w:highlight w:val="none"/>
          <w:lang w:eastAsia="zh-CN"/>
        </w:rPr>
      </w:pPr>
      <w:r>
        <w:rPr>
          <w:rFonts w:cs="宋体"/>
          <w:color w:val="auto"/>
          <w:highlight w:val="none"/>
          <w:lang w:eastAsia="zh-CN"/>
        </w:rPr>
        <w:t>因承包人运输造成施工场地内外公共道路和桥梁损坏的，由承包人承担修复损坏的全部费用和可能引起的赔偿。</w:t>
      </w:r>
    </w:p>
    <w:p w14:paraId="4C8EFE72">
      <w:pPr>
        <w:pStyle w:val="4"/>
        <w:kinsoku/>
        <w:spacing w:beforeLines="0" w:afterLines="0"/>
        <w:rPr>
          <w:rFonts w:hint="eastAsia" w:hAnsi="宋体" w:cs="宋体"/>
          <w:bCs/>
          <w:color w:val="auto"/>
          <w:szCs w:val="24"/>
          <w:highlight w:val="none"/>
          <w:lang w:eastAsia="zh-CN"/>
        </w:rPr>
      </w:pPr>
      <w:bookmarkStart w:id="907" w:name="_Toc936"/>
      <w:bookmarkStart w:id="908" w:name="_Toc13847"/>
      <w:bookmarkStart w:id="909" w:name="_Toc10698"/>
      <w:r>
        <w:rPr>
          <w:rFonts w:hint="eastAsia" w:hAnsi="宋体" w:cs="宋体"/>
          <w:b/>
          <w:bCs/>
          <w:color w:val="auto"/>
          <w:szCs w:val="24"/>
          <w:highlight w:val="none"/>
          <w:lang w:eastAsia="zh-CN"/>
        </w:rPr>
        <w:t>7.6</w:t>
      </w:r>
      <w:r>
        <w:rPr>
          <w:rFonts w:hint="eastAsia" w:cs="宋体"/>
          <w:b/>
          <w:bCs/>
          <w:color w:val="auto"/>
          <w:szCs w:val="24"/>
          <w:highlight w:val="none"/>
          <w:lang w:eastAsia="zh-CN"/>
        </w:rPr>
        <w:t>　</w:t>
      </w:r>
      <w:r>
        <w:rPr>
          <w:rFonts w:hint="eastAsia" w:hAnsi="宋体" w:cs="宋体"/>
          <w:b/>
          <w:bCs/>
          <w:color w:val="auto"/>
          <w:szCs w:val="24"/>
          <w:highlight w:val="none"/>
          <w:lang w:eastAsia="zh-CN"/>
        </w:rPr>
        <w:t>水路和航空运输</w:t>
      </w:r>
      <w:bookmarkEnd w:id="907"/>
      <w:bookmarkEnd w:id="908"/>
      <w:bookmarkEnd w:id="909"/>
    </w:p>
    <w:p w14:paraId="44C7D1E3">
      <w:pPr>
        <w:kinsoku/>
        <w:spacing w:beforeLines="0" w:afterLines="0"/>
        <w:ind w:firstLine="480"/>
        <w:jc w:val="left"/>
        <w:rPr>
          <w:rFonts w:cs="宋体"/>
          <w:color w:val="auto"/>
          <w:highlight w:val="none"/>
          <w:lang w:eastAsia="zh-CN"/>
        </w:rPr>
      </w:pPr>
      <w:r>
        <w:rPr>
          <w:rFonts w:cs="宋体"/>
          <w:color w:val="auto"/>
          <w:highlight w:val="none"/>
          <w:lang w:eastAsia="zh-CN"/>
        </w:rPr>
        <w:t>本条上述各款的内容适用于水路运输和航空运输，其中“道路”一词的涵义包括河道、航线、船闸、机场、码头、堤防以及水路或航空运输中其他相似结构物。“车辆”一词的涵义包括船舶和飞机等。</w:t>
      </w:r>
    </w:p>
    <w:p w14:paraId="1DB80A7F">
      <w:pPr>
        <w:pStyle w:val="3"/>
        <w:kinsoku/>
        <w:spacing w:before="0" w:beforeLines="0" w:afterLines="0" w:line="360" w:lineRule="auto"/>
        <w:outlineLvl w:val="1"/>
        <w:rPr>
          <w:rFonts w:hint="eastAsia" w:ascii="宋体" w:cs="宋体"/>
          <w:color w:val="auto"/>
          <w:sz w:val="30"/>
          <w:szCs w:val="30"/>
          <w:highlight w:val="none"/>
        </w:rPr>
      </w:pPr>
      <w:bookmarkStart w:id="910" w:name="_Toc5259"/>
      <w:bookmarkStart w:id="911" w:name="_Toc5457"/>
      <w:bookmarkStart w:id="912" w:name="_Toc28780"/>
      <w:bookmarkStart w:id="913" w:name="_Toc16896"/>
      <w:bookmarkStart w:id="914" w:name="_Toc31726"/>
      <w:bookmarkStart w:id="915" w:name="_Toc12425"/>
      <w:bookmarkStart w:id="916" w:name="_Toc14229"/>
      <w:bookmarkStart w:id="917" w:name="_Toc18048"/>
      <w:bookmarkStart w:id="918" w:name="_Toc15709"/>
      <w:bookmarkStart w:id="919" w:name="_Toc21797"/>
      <w:bookmarkStart w:id="920" w:name="_Toc13210"/>
      <w:bookmarkStart w:id="921" w:name="_Toc6039"/>
      <w:bookmarkStart w:id="922" w:name="_Toc23837"/>
      <w:bookmarkStart w:id="923" w:name="_Toc655"/>
      <w:r>
        <w:rPr>
          <w:rFonts w:hint="eastAsia" w:ascii="宋体" w:cs="宋体"/>
          <w:color w:val="auto"/>
          <w:sz w:val="30"/>
          <w:szCs w:val="30"/>
          <w:highlight w:val="none"/>
        </w:rPr>
        <w:t>8</w:t>
      </w:r>
      <w:r>
        <w:rPr>
          <w:rFonts w:hint="eastAsia" w:cs="宋体"/>
          <w:color w:val="auto"/>
          <w:sz w:val="30"/>
          <w:szCs w:val="30"/>
          <w:highlight w:val="none"/>
          <w:lang w:eastAsia="zh-CN"/>
        </w:rPr>
        <w:t>　</w:t>
      </w:r>
      <w:r>
        <w:rPr>
          <w:rFonts w:hint="eastAsia" w:ascii="宋体" w:cs="宋体"/>
          <w:color w:val="auto"/>
          <w:sz w:val="30"/>
          <w:szCs w:val="30"/>
          <w:highlight w:val="none"/>
        </w:rPr>
        <w:t>测量放线</w:t>
      </w:r>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 w14:paraId="0DE80CDA">
      <w:pPr>
        <w:pStyle w:val="4"/>
        <w:kinsoku/>
        <w:spacing w:beforeLines="0" w:afterLines="0"/>
        <w:rPr>
          <w:rFonts w:hint="eastAsia" w:hAnsi="宋体" w:cs="宋体"/>
          <w:bCs/>
          <w:color w:val="auto"/>
          <w:szCs w:val="24"/>
          <w:highlight w:val="none"/>
          <w:lang w:eastAsia="zh-CN"/>
        </w:rPr>
      </w:pPr>
      <w:bookmarkStart w:id="924" w:name="_Toc4486"/>
      <w:bookmarkStart w:id="925" w:name="_Toc17093"/>
      <w:bookmarkStart w:id="926" w:name="_Toc7420"/>
      <w:r>
        <w:rPr>
          <w:rFonts w:hint="eastAsia" w:hAnsi="宋体" w:cs="宋体"/>
          <w:b/>
          <w:bCs/>
          <w:color w:val="auto"/>
          <w:szCs w:val="24"/>
          <w:highlight w:val="none"/>
          <w:lang w:eastAsia="zh-CN"/>
        </w:rPr>
        <w:t>8.1</w:t>
      </w:r>
      <w:r>
        <w:rPr>
          <w:rFonts w:hint="eastAsia" w:cs="宋体"/>
          <w:b/>
          <w:bCs/>
          <w:color w:val="auto"/>
          <w:szCs w:val="24"/>
          <w:highlight w:val="none"/>
          <w:lang w:eastAsia="zh-CN"/>
        </w:rPr>
        <w:t>　</w:t>
      </w:r>
      <w:r>
        <w:rPr>
          <w:rFonts w:hint="eastAsia" w:hAnsi="宋体" w:cs="宋体"/>
          <w:b/>
          <w:bCs/>
          <w:color w:val="auto"/>
          <w:szCs w:val="24"/>
          <w:highlight w:val="none"/>
          <w:lang w:eastAsia="zh-CN"/>
        </w:rPr>
        <w:t>施工控制网</w:t>
      </w:r>
      <w:bookmarkEnd w:id="924"/>
      <w:bookmarkEnd w:id="925"/>
      <w:bookmarkEnd w:id="926"/>
    </w:p>
    <w:p w14:paraId="353A2AB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8.1.1</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除专用合同条款另有约定外，施工控制网由承包人负责测设，发包人应在本合同协议书签订后的</w:t>
      </w:r>
      <w:r>
        <w:rPr>
          <w:rFonts w:hAnsi="Times New Roman" w:cs="Times New Roman"/>
          <w:color w:val="auto"/>
          <w:highlight w:val="none"/>
          <w:lang w:eastAsia="zh-CN"/>
        </w:rPr>
        <w:t>14</w:t>
      </w:r>
      <w:r>
        <w:rPr>
          <w:rFonts w:cs="宋体"/>
          <w:color w:val="auto"/>
          <w:highlight w:val="none"/>
          <w:lang w:eastAsia="zh-CN"/>
        </w:rPr>
        <w:t>天内，向承包人提供测量基准点、基准线和水准点及其相关资料。承包人应在收到上述资料后的</w:t>
      </w:r>
      <w:r>
        <w:rPr>
          <w:rFonts w:hAnsi="Times New Roman" w:cs="Times New Roman"/>
          <w:color w:val="auto"/>
          <w:highlight w:val="none"/>
          <w:lang w:eastAsia="zh-CN"/>
        </w:rPr>
        <w:t>28</w:t>
      </w:r>
      <w:r>
        <w:rPr>
          <w:rFonts w:cs="宋体"/>
          <w:color w:val="auto"/>
          <w:highlight w:val="none"/>
          <w:lang w:eastAsia="zh-CN"/>
        </w:rPr>
        <w:t>天内，将施测的施工控制网资料提交监理人审批。监理人应在收到报批件后的</w:t>
      </w:r>
      <w:r>
        <w:rPr>
          <w:rFonts w:hAnsi="Times New Roman" w:cs="Times New Roman"/>
          <w:color w:val="auto"/>
          <w:highlight w:val="none"/>
          <w:lang w:eastAsia="zh-CN"/>
        </w:rPr>
        <w:t>14</w:t>
      </w:r>
      <w:r>
        <w:rPr>
          <w:rFonts w:cs="宋体"/>
          <w:color w:val="auto"/>
          <w:highlight w:val="none"/>
          <w:lang w:eastAsia="zh-CN"/>
        </w:rPr>
        <w:t>天内批复承包人。</w:t>
      </w:r>
    </w:p>
    <w:p w14:paraId="0E2A190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8.1.2</w:t>
      </w:r>
      <w:r>
        <w:rPr>
          <w:rFonts w:hint="eastAsia" w:hAnsi="Times New Roman" w:cs="Times New Roman"/>
          <w:b/>
          <w:bCs/>
          <w:color w:val="auto"/>
          <w:highlight w:val="none"/>
          <w:lang w:eastAsia="zh-CN"/>
        </w:rPr>
        <w:t>　</w:t>
      </w:r>
      <w:r>
        <w:rPr>
          <w:rFonts w:cs="宋体"/>
          <w:color w:val="auto"/>
          <w:highlight w:val="none"/>
          <w:lang w:eastAsia="zh-CN"/>
        </w:rPr>
        <w:t>承包人应负责管理施工控制网点。施工控制网点丢失或损坏的，承包人应及时修复。承包人应承担施工控制网点的管理与修复费用，并在工程竣工后将施工控制网点移交发包人。</w:t>
      </w:r>
    </w:p>
    <w:p w14:paraId="3BF10D84">
      <w:pPr>
        <w:pStyle w:val="4"/>
        <w:kinsoku/>
        <w:spacing w:beforeLines="0" w:afterLines="0"/>
        <w:rPr>
          <w:rFonts w:hint="eastAsia" w:hAnsi="宋体" w:cs="宋体"/>
          <w:bCs/>
          <w:color w:val="auto"/>
          <w:szCs w:val="24"/>
          <w:highlight w:val="none"/>
          <w:lang w:eastAsia="zh-CN"/>
        </w:rPr>
      </w:pPr>
      <w:bookmarkStart w:id="927" w:name="_Toc18272"/>
      <w:bookmarkStart w:id="928" w:name="_Toc15401"/>
      <w:bookmarkStart w:id="929" w:name="_Toc17177"/>
      <w:r>
        <w:rPr>
          <w:rFonts w:hint="eastAsia" w:hAnsi="宋体" w:cs="宋体"/>
          <w:b/>
          <w:bCs/>
          <w:color w:val="auto"/>
          <w:szCs w:val="24"/>
          <w:highlight w:val="none"/>
          <w:lang w:eastAsia="zh-CN"/>
        </w:rPr>
        <w:t>8.2</w:t>
      </w:r>
      <w:r>
        <w:rPr>
          <w:rFonts w:hint="eastAsia" w:cs="宋体"/>
          <w:b/>
          <w:bCs/>
          <w:color w:val="auto"/>
          <w:szCs w:val="24"/>
          <w:highlight w:val="none"/>
          <w:lang w:eastAsia="zh-CN"/>
        </w:rPr>
        <w:t>　</w:t>
      </w:r>
      <w:r>
        <w:rPr>
          <w:rFonts w:hint="eastAsia" w:hAnsi="宋体" w:cs="宋体"/>
          <w:b/>
          <w:bCs/>
          <w:color w:val="auto"/>
          <w:szCs w:val="24"/>
          <w:highlight w:val="none"/>
          <w:lang w:eastAsia="zh-CN"/>
        </w:rPr>
        <w:t>施工测量</w:t>
      </w:r>
      <w:bookmarkEnd w:id="927"/>
      <w:bookmarkEnd w:id="928"/>
      <w:bookmarkEnd w:id="929"/>
    </w:p>
    <w:p w14:paraId="1AC02ED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8.2.1</w:t>
      </w:r>
      <w:r>
        <w:rPr>
          <w:rFonts w:hint="eastAsia" w:hAnsi="Times New Roman" w:cs="Times New Roman"/>
          <w:b/>
          <w:bCs/>
          <w:color w:val="auto"/>
          <w:highlight w:val="none"/>
          <w:lang w:eastAsia="zh-CN"/>
        </w:rPr>
        <w:t>　</w:t>
      </w:r>
      <w:r>
        <w:rPr>
          <w:rFonts w:cs="宋体"/>
          <w:color w:val="auto"/>
          <w:highlight w:val="none"/>
          <w:lang w:eastAsia="zh-CN"/>
        </w:rPr>
        <w:t>承包人应负责施工过程中的全部施工测量放线工作，并配置合格的人员、仪器、设备和其他物品。</w:t>
      </w:r>
    </w:p>
    <w:p w14:paraId="0CCDEBE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8.2.2</w:t>
      </w:r>
      <w:r>
        <w:rPr>
          <w:rFonts w:hint="eastAsia" w:hAnsi="Times New Roman" w:cs="Times New Roman"/>
          <w:b/>
          <w:bCs/>
          <w:color w:val="auto"/>
          <w:highlight w:val="none"/>
          <w:lang w:eastAsia="zh-CN"/>
        </w:rPr>
        <w:t>　</w:t>
      </w:r>
      <w:r>
        <w:rPr>
          <w:rFonts w:cs="宋体"/>
          <w:color w:val="auto"/>
          <w:highlight w:val="none"/>
          <w:lang w:eastAsia="zh-CN"/>
        </w:rPr>
        <w:t>监理人可以指示承包人进行抽样复测，当复测中发现错误或出现超过合同约定的误差时，承包人应按监理人指示进行修正或补测，并承担相应的复测费用。</w:t>
      </w:r>
    </w:p>
    <w:p w14:paraId="2FB5E362">
      <w:pPr>
        <w:pStyle w:val="4"/>
        <w:kinsoku/>
        <w:spacing w:beforeLines="0" w:afterLines="0"/>
        <w:rPr>
          <w:rFonts w:hint="eastAsia" w:hAnsi="宋体" w:cs="宋体"/>
          <w:bCs/>
          <w:color w:val="auto"/>
          <w:szCs w:val="24"/>
          <w:highlight w:val="none"/>
          <w:lang w:eastAsia="zh-CN"/>
        </w:rPr>
      </w:pPr>
      <w:bookmarkStart w:id="930" w:name="_Toc24917"/>
      <w:bookmarkStart w:id="931" w:name="_Toc1473"/>
      <w:bookmarkStart w:id="932" w:name="_Toc11348"/>
      <w:r>
        <w:rPr>
          <w:rFonts w:hint="eastAsia" w:hAnsi="宋体" w:cs="宋体"/>
          <w:b/>
          <w:bCs/>
          <w:color w:val="auto"/>
          <w:szCs w:val="24"/>
          <w:highlight w:val="none"/>
          <w:lang w:eastAsia="zh-CN"/>
        </w:rPr>
        <w:t>8.3</w:t>
      </w:r>
      <w:r>
        <w:rPr>
          <w:rFonts w:hint="eastAsia" w:cs="宋体"/>
          <w:b/>
          <w:bCs/>
          <w:color w:val="auto"/>
          <w:szCs w:val="24"/>
          <w:highlight w:val="none"/>
          <w:lang w:eastAsia="zh-CN"/>
        </w:rPr>
        <w:t>　</w:t>
      </w:r>
      <w:r>
        <w:rPr>
          <w:rFonts w:hint="eastAsia" w:hAnsi="宋体" w:cs="宋体"/>
          <w:b/>
          <w:bCs/>
          <w:color w:val="auto"/>
          <w:szCs w:val="24"/>
          <w:highlight w:val="none"/>
          <w:lang w:eastAsia="zh-CN"/>
        </w:rPr>
        <w:t>基准资料错误的责任</w:t>
      </w:r>
      <w:bookmarkEnd w:id="930"/>
      <w:bookmarkEnd w:id="931"/>
      <w:bookmarkEnd w:id="932"/>
    </w:p>
    <w:p w14:paraId="6EB53798">
      <w:pPr>
        <w:kinsoku/>
        <w:ind w:firstLine="0"/>
        <w:rPr>
          <w:color w:val="auto"/>
          <w:highlight w:val="none"/>
          <w:lang w:eastAsia="zh-CN"/>
        </w:rPr>
      </w:pPr>
      <w:r>
        <w:rPr>
          <w:color w:val="auto"/>
          <w:highlight w:val="none"/>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0CDFA49">
      <w:pPr>
        <w:pStyle w:val="4"/>
        <w:kinsoku/>
        <w:spacing w:beforeLines="0" w:afterLines="0"/>
        <w:rPr>
          <w:rFonts w:hint="eastAsia" w:hAnsi="宋体" w:cs="宋体"/>
          <w:bCs/>
          <w:color w:val="auto"/>
          <w:szCs w:val="24"/>
          <w:highlight w:val="none"/>
          <w:lang w:eastAsia="zh-CN"/>
        </w:rPr>
      </w:pPr>
      <w:bookmarkStart w:id="933" w:name="_Toc20544"/>
      <w:bookmarkStart w:id="934" w:name="_Toc30498"/>
      <w:bookmarkStart w:id="935" w:name="_Toc22330"/>
      <w:r>
        <w:rPr>
          <w:rFonts w:hint="eastAsia" w:hAnsi="宋体" w:cs="宋体"/>
          <w:b/>
          <w:bCs/>
          <w:color w:val="auto"/>
          <w:szCs w:val="24"/>
          <w:highlight w:val="none"/>
          <w:lang w:eastAsia="zh-CN"/>
        </w:rPr>
        <w:t>8.4</w:t>
      </w:r>
      <w:r>
        <w:rPr>
          <w:rFonts w:hint="eastAsia" w:cs="宋体"/>
          <w:b/>
          <w:bCs/>
          <w:color w:val="auto"/>
          <w:szCs w:val="24"/>
          <w:highlight w:val="none"/>
          <w:lang w:eastAsia="zh-CN"/>
        </w:rPr>
        <w:t>　</w:t>
      </w:r>
      <w:r>
        <w:rPr>
          <w:rFonts w:hint="eastAsia" w:hAnsi="宋体" w:cs="宋体"/>
          <w:b/>
          <w:bCs/>
          <w:color w:val="auto"/>
          <w:szCs w:val="24"/>
          <w:highlight w:val="none"/>
          <w:lang w:eastAsia="zh-CN"/>
        </w:rPr>
        <w:t>监理人使用施工控制网</w:t>
      </w:r>
      <w:bookmarkEnd w:id="933"/>
      <w:bookmarkEnd w:id="934"/>
      <w:bookmarkEnd w:id="935"/>
    </w:p>
    <w:p w14:paraId="2603FBB6">
      <w:pPr>
        <w:kinsoku/>
        <w:spacing w:beforeLines="0" w:afterLines="0"/>
        <w:ind w:firstLine="0" w:firstLineChars="0"/>
        <w:jc w:val="left"/>
        <w:rPr>
          <w:rFonts w:cs="宋体"/>
          <w:color w:val="auto"/>
          <w:highlight w:val="none"/>
          <w:lang w:eastAsia="zh-CN"/>
        </w:rPr>
      </w:pPr>
      <w:r>
        <w:rPr>
          <w:rFonts w:cs="宋体"/>
          <w:color w:val="auto"/>
          <w:highlight w:val="none"/>
          <w:lang w:eastAsia="zh-CN"/>
        </w:rPr>
        <w:t>监理人需要使用施工控制网的，承包人应提供必要的协助，发包人不再为此支付费用。</w:t>
      </w:r>
    </w:p>
    <w:p w14:paraId="44D48B7B">
      <w:pPr>
        <w:pStyle w:val="4"/>
        <w:kinsoku/>
        <w:spacing w:beforeLines="0" w:afterLines="0"/>
        <w:rPr>
          <w:rFonts w:hint="eastAsia" w:hAnsi="宋体" w:cs="宋体"/>
          <w:bCs/>
          <w:color w:val="auto"/>
          <w:szCs w:val="24"/>
          <w:highlight w:val="none"/>
          <w:lang w:eastAsia="zh-CN"/>
        </w:rPr>
      </w:pPr>
      <w:bookmarkStart w:id="936" w:name="_Toc14591"/>
      <w:bookmarkStart w:id="937" w:name="_Toc1719"/>
      <w:bookmarkStart w:id="938" w:name="_Toc16933"/>
      <w:r>
        <w:rPr>
          <w:rFonts w:hint="eastAsia" w:hAnsi="宋体" w:cs="宋体"/>
          <w:b/>
          <w:bCs/>
          <w:color w:val="auto"/>
          <w:szCs w:val="24"/>
          <w:highlight w:val="none"/>
          <w:lang w:eastAsia="zh-CN"/>
        </w:rPr>
        <w:t>8.5</w:t>
      </w:r>
      <w:r>
        <w:rPr>
          <w:rFonts w:hint="eastAsia" w:cs="宋体"/>
          <w:b/>
          <w:bCs/>
          <w:color w:val="auto"/>
          <w:szCs w:val="24"/>
          <w:highlight w:val="none"/>
          <w:lang w:eastAsia="zh-CN"/>
        </w:rPr>
        <w:t>　</w:t>
      </w:r>
      <w:r>
        <w:rPr>
          <w:rFonts w:hint="eastAsia" w:hAnsi="宋体" w:cs="宋体"/>
          <w:b/>
          <w:bCs/>
          <w:color w:val="auto"/>
          <w:szCs w:val="24"/>
          <w:highlight w:val="none"/>
          <w:lang w:eastAsia="zh-CN"/>
        </w:rPr>
        <w:t>补充地质勘探</w:t>
      </w:r>
      <w:bookmarkEnd w:id="936"/>
      <w:bookmarkEnd w:id="937"/>
      <w:bookmarkEnd w:id="938"/>
    </w:p>
    <w:p w14:paraId="6B23CBA8">
      <w:pPr>
        <w:kinsoku/>
        <w:ind w:firstLine="0"/>
        <w:rPr>
          <w:color w:val="auto"/>
          <w:highlight w:val="none"/>
          <w:lang w:eastAsia="zh-CN"/>
        </w:rPr>
      </w:pPr>
      <w:r>
        <w:rPr>
          <w:color w:val="auto"/>
          <w:highlight w:val="none"/>
          <w:lang w:eastAsia="zh-CN"/>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79FD0554">
      <w:pPr>
        <w:pStyle w:val="3"/>
        <w:kinsoku/>
        <w:spacing w:before="0" w:beforeLines="0" w:afterLines="0" w:line="360" w:lineRule="auto"/>
        <w:outlineLvl w:val="1"/>
        <w:rPr>
          <w:rFonts w:hint="eastAsia" w:ascii="宋体" w:cs="宋体"/>
          <w:color w:val="auto"/>
          <w:sz w:val="30"/>
          <w:szCs w:val="30"/>
          <w:highlight w:val="none"/>
        </w:rPr>
      </w:pPr>
      <w:bookmarkStart w:id="939" w:name="_Toc22818"/>
      <w:bookmarkStart w:id="940" w:name="_Toc29934"/>
      <w:bookmarkStart w:id="941" w:name="_Toc31859"/>
      <w:bookmarkStart w:id="942" w:name="_Toc2773"/>
      <w:bookmarkStart w:id="943" w:name="_Toc2060"/>
      <w:bookmarkStart w:id="944" w:name="_Toc2743"/>
      <w:bookmarkStart w:id="945" w:name="_Toc531"/>
      <w:bookmarkStart w:id="946" w:name="_Toc16186"/>
      <w:bookmarkStart w:id="947" w:name="_Toc17363"/>
      <w:bookmarkStart w:id="948" w:name="_Toc30508"/>
      <w:bookmarkStart w:id="949" w:name="_Toc11841"/>
      <w:bookmarkStart w:id="950" w:name="_Toc13330"/>
      <w:bookmarkStart w:id="951" w:name="_Toc22511"/>
      <w:bookmarkStart w:id="952" w:name="_Toc21890"/>
      <w:r>
        <w:rPr>
          <w:rFonts w:hint="eastAsia" w:ascii="宋体" w:cs="宋体"/>
          <w:color w:val="auto"/>
          <w:sz w:val="30"/>
          <w:szCs w:val="30"/>
          <w:highlight w:val="none"/>
        </w:rPr>
        <w:t>9</w:t>
      </w:r>
      <w:r>
        <w:rPr>
          <w:rFonts w:hint="eastAsia" w:cs="宋体"/>
          <w:color w:val="auto"/>
          <w:sz w:val="30"/>
          <w:szCs w:val="30"/>
          <w:highlight w:val="none"/>
          <w:lang w:eastAsia="zh-CN"/>
        </w:rPr>
        <w:t>　</w:t>
      </w:r>
      <w:r>
        <w:rPr>
          <w:rFonts w:hint="eastAsia" w:ascii="宋体" w:cs="宋体"/>
          <w:color w:val="auto"/>
          <w:sz w:val="30"/>
          <w:szCs w:val="30"/>
          <w:highlight w:val="none"/>
        </w:rPr>
        <w:t>施工安全、治安保卫和环境保护</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0CA0B6A7">
      <w:pPr>
        <w:pStyle w:val="4"/>
        <w:kinsoku/>
        <w:spacing w:beforeLines="0" w:afterLines="0"/>
        <w:rPr>
          <w:rFonts w:hint="eastAsia" w:hAnsi="宋体" w:cs="宋体"/>
          <w:bCs/>
          <w:color w:val="auto"/>
          <w:szCs w:val="24"/>
          <w:highlight w:val="none"/>
          <w:lang w:eastAsia="zh-CN"/>
        </w:rPr>
      </w:pPr>
      <w:bookmarkStart w:id="953" w:name="_Toc6696"/>
      <w:bookmarkStart w:id="954" w:name="_Toc26668"/>
      <w:bookmarkStart w:id="955" w:name="_Toc4084"/>
      <w:r>
        <w:rPr>
          <w:rFonts w:hint="eastAsia" w:hAnsi="宋体" w:cs="宋体"/>
          <w:b/>
          <w:bCs/>
          <w:color w:val="auto"/>
          <w:szCs w:val="24"/>
          <w:highlight w:val="none"/>
          <w:lang w:eastAsia="zh-CN"/>
        </w:rPr>
        <w:t>9.1</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发包人的施工安全责任</w:t>
      </w:r>
      <w:bookmarkEnd w:id="953"/>
      <w:bookmarkEnd w:id="954"/>
      <w:bookmarkEnd w:id="955"/>
    </w:p>
    <w:p w14:paraId="60A0E86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9.1.1</w:t>
      </w:r>
      <w:r>
        <w:rPr>
          <w:rFonts w:hint="eastAsia" w:hAnsi="Times New Roman" w:cs="Times New Roman"/>
          <w:b/>
          <w:bCs/>
          <w:color w:val="auto"/>
          <w:highlight w:val="none"/>
          <w:lang w:eastAsia="zh-CN"/>
        </w:rPr>
        <w:t>　</w:t>
      </w:r>
      <w:r>
        <w:rPr>
          <w:rFonts w:cs="宋体"/>
          <w:color w:val="auto"/>
          <w:highlight w:val="none"/>
          <w:lang w:eastAsia="zh-CN"/>
        </w:rPr>
        <w:t>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63A2A49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9.1.2</w:t>
      </w:r>
      <w:r>
        <w:rPr>
          <w:rFonts w:hint="eastAsia" w:hAnsi="Times New Roman" w:cs="Times New Roman"/>
          <w:b/>
          <w:bCs/>
          <w:color w:val="auto"/>
          <w:highlight w:val="none"/>
          <w:lang w:eastAsia="zh-CN"/>
        </w:rPr>
        <w:t>　</w:t>
      </w:r>
      <w:r>
        <w:rPr>
          <w:rFonts w:cs="宋体"/>
          <w:color w:val="auto"/>
          <w:highlight w:val="none"/>
          <w:lang w:eastAsia="zh-CN"/>
        </w:rPr>
        <w:t>发包人应对其现场机构雇佣的全部人员的工伤事故承担责任，但由于承包人原因造成发包人人员工伤的，应由承包人承担责任。</w:t>
      </w:r>
    </w:p>
    <w:p w14:paraId="47AB8B9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9.1.3</w:t>
      </w:r>
      <w:r>
        <w:rPr>
          <w:rFonts w:hint="eastAsia" w:hAnsi="Times New Roman" w:cs="Times New Roman"/>
          <w:b/>
          <w:bCs/>
          <w:color w:val="auto"/>
          <w:highlight w:val="none"/>
          <w:lang w:eastAsia="zh-CN"/>
        </w:rPr>
        <w:t>　</w:t>
      </w:r>
      <w:r>
        <w:rPr>
          <w:rFonts w:cs="宋体"/>
          <w:color w:val="auto"/>
          <w:highlight w:val="none"/>
          <w:lang w:eastAsia="zh-CN"/>
        </w:rPr>
        <w:t>发包人应负责赔偿以下各种情况造成的第三者人身伤亡和财产损失：</w:t>
      </w:r>
    </w:p>
    <w:p w14:paraId="4B56F7B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）工程或工程的任何部分对土地的占用所造成的第三者财产损失。</w:t>
      </w:r>
    </w:p>
    <w:p w14:paraId="6CC6D78D">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）由于发包人原因在施工场地及其毗邻地带造成的第三者人身伤亡和财产损失。</w:t>
      </w:r>
    </w:p>
    <w:p w14:paraId="504A278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9.1.4</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04787CF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9.1.5</w:t>
      </w:r>
      <w:r>
        <w:rPr>
          <w:rFonts w:hint="eastAsia" w:hAnsi="Times New Roman" w:cs="Times New Roman"/>
          <w:b/>
          <w:bCs/>
          <w:color w:val="auto"/>
          <w:highlight w:val="none"/>
          <w:lang w:eastAsia="zh-CN"/>
        </w:rPr>
        <w:t>　</w:t>
      </w:r>
      <w:r>
        <w:rPr>
          <w:rFonts w:cs="宋体"/>
          <w:color w:val="auto"/>
          <w:highlight w:val="none"/>
          <w:lang w:eastAsia="zh-CN"/>
        </w:rPr>
        <w:t>发包人按照已标价工程量清单所列金额和合同约定的计量支付规定，支付安全作业环境及安全施工措施所需费用。</w:t>
      </w:r>
    </w:p>
    <w:p w14:paraId="21E8553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9.1.6</w:t>
      </w:r>
      <w:r>
        <w:rPr>
          <w:rFonts w:hint="eastAsia" w:hAnsi="Times New Roman" w:cs="Times New Roman"/>
          <w:b/>
          <w:bCs/>
          <w:color w:val="auto"/>
          <w:highlight w:val="none"/>
          <w:lang w:eastAsia="zh-CN"/>
        </w:rPr>
        <w:t>　</w:t>
      </w:r>
      <w:r>
        <w:rPr>
          <w:rFonts w:cs="宋体"/>
          <w:color w:val="auto"/>
          <w:highlight w:val="none"/>
          <w:lang w:eastAsia="zh-CN"/>
        </w:rPr>
        <w:t>发包人负责组织工程参建单位编制保证安全生产的措施方案。工程开工前，就落实保证安全生产的措施进行全面系统的布置，进一步明确承包人的安全生产责任。</w:t>
      </w:r>
    </w:p>
    <w:p w14:paraId="0519377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9.1.7</w:t>
      </w:r>
      <w:r>
        <w:rPr>
          <w:rFonts w:hint="eastAsia" w:hAnsi="Times New Roman" w:cs="Times New Roman"/>
          <w:b/>
          <w:bCs/>
          <w:color w:val="auto"/>
          <w:highlight w:val="none"/>
          <w:lang w:eastAsia="zh-CN"/>
        </w:rPr>
        <w:t>　</w:t>
      </w:r>
      <w:r>
        <w:rPr>
          <w:rFonts w:cs="宋体"/>
          <w:color w:val="auto"/>
          <w:highlight w:val="none"/>
          <w:lang w:eastAsia="zh-CN"/>
        </w:rPr>
        <w:t>发包人负责在拆除工程和爆破工程施工</w:t>
      </w:r>
      <w:r>
        <w:rPr>
          <w:rFonts w:hAnsi="Times New Roman" w:cs="Times New Roman"/>
          <w:color w:val="auto"/>
          <w:highlight w:val="none"/>
          <w:lang w:eastAsia="zh-CN"/>
        </w:rPr>
        <w:t>14</w:t>
      </w:r>
      <w:r>
        <w:rPr>
          <w:rFonts w:cs="宋体"/>
          <w:color w:val="auto"/>
          <w:highlight w:val="none"/>
          <w:lang w:eastAsia="zh-CN"/>
        </w:rPr>
        <w:t>天前向有关部门或机构报送相关备案资料。</w:t>
      </w:r>
    </w:p>
    <w:p w14:paraId="1D97E4A8">
      <w:pPr>
        <w:pStyle w:val="4"/>
        <w:kinsoku/>
        <w:spacing w:beforeLines="0" w:afterLines="0"/>
        <w:rPr>
          <w:rFonts w:hint="eastAsia" w:hAnsi="宋体" w:cs="宋体"/>
          <w:bCs/>
          <w:color w:val="auto"/>
          <w:szCs w:val="24"/>
          <w:highlight w:val="none"/>
          <w:lang w:eastAsia="zh-CN"/>
        </w:rPr>
      </w:pPr>
      <w:bookmarkStart w:id="956" w:name="_Toc13027"/>
      <w:bookmarkStart w:id="957" w:name="_Toc26143"/>
      <w:bookmarkStart w:id="958" w:name="_Toc31790"/>
      <w:r>
        <w:rPr>
          <w:rFonts w:hint="eastAsia" w:hAnsi="宋体" w:cs="宋体"/>
          <w:b/>
          <w:bCs/>
          <w:color w:val="auto"/>
          <w:szCs w:val="24"/>
          <w:highlight w:val="none"/>
          <w:lang w:eastAsia="zh-CN"/>
        </w:rPr>
        <w:t>9.2</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承包人的施工安全责任</w:t>
      </w:r>
      <w:bookmarkEnd w:id="956"/>
      <w:bookmarkEnd w:id="957"/>
      <w:bookmarkEnd w:id="958"/>
    </w:p>
    <w:p w14:paraId="7F5BFCB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9.2.1</w:t>
      </w:r>
      <w:r>
        <w:rPr>
          <w:rFonts w:hint="eastAsia" w:hAnsi="Times New Roman" w:cs="Times New Roman"/>
          <w:b/>
          <w:bCs/>
          <w:color w:val="auto"/>
          <w:highlight w:val="none"/>
          <w:lang w:eastAsia="zh-CN"/>
        </w:rPr>
        <w:t>　</w:t>
      </w:r>
      <w:r>
        <w:rPr>
          <w:rFonts w:cs="宋体"/>
          <w:color w:val="auto"/>
          <w:highlight w:val="none"/>
          <w:lang w:eastAsia="zh-CN"/>
        </w:rPr>
        <w:t>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5AF49F4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9.2.2</w:t>
      </w:r>
      <w:r>
        <w:rPr>
          <w:rFonts w:hint="eastAsia" w:hAnsi="Times New Roman" w:cs="Times New Roman"/>
          <w:b/>
          <w:bCs/>
          <w:color w:val="auto"/>
          <w:highlight w:val="none"/>
          <w:lang w:eastAsia="zh-CN"/>
        </w:rPr>
        <w:t>　</w:t>
      </w:r>
      <w:r>
        <w:rPr>
          <w:rFonts w:cs="宋体"/>
          <w:color w:val="auto"/>
          <w:highlight w:val="none"/>
          <w:lang w:eastAsia="zh-CN"/>
        </w:rPr>
        <w:t>承包人应加强施工作业安全管理，特别应加强易燃易爆材料、火工器材、有毒与腐蚀性材料和其他危险品的管理，以及对爆破作业和地下工程施工等危险作业的管理。</w:t>
      </w:r>
    </w:p>
    <w:p w14:paraId="387D466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9.2.3</w:t>
      </w:r>
      <w:r>
        <w:rPr>
          <w:rFonts w:hint="eastAsia" w:hAnsi="Times New Roman" w:cs="Times New Roman"/>
          <w:b/>
          <w:bCs/>
          <w:color w:val="auto"/>
          <w:highlight w:val="none"/>
          <w:lang w:eastAsia="zh-CN"/>
        </w:rPr>
        <w:t>　</w:t>
      </w:r>
      <w:r>
        <w:rPr>
          <w:rFonts w:cs="宋体"/>
          <w:color w:val="auto"/>
          <w:highlight w:val="none"/>
          <w:lang w:eastAsia="zh-CN"/>
        </w:rPr>
        <w:t>承包人应严格按照国家安全标准制定施工安全操作规程，配备必要的安全生产和劳动保护设施，加强对承包人人员的安全教育，并发放安全工作手册和劳动保护用具。</w:t>
      </w:r>
    </w:p>
    <w:p w14:paraId="359C395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9.2.4</w:t>
      </w:r>
      <w:r>
        <w:rPr>
          <w:rFonts w:hint="eastAsia" w:hAnsi="Times New Roman" w:cs="Times New Roman"/>
          <w:b/>
          <w:bCs/>
          <w:color w:val="auto"/>
          <w:highlight w:val="none"/>
          <w:lang w:eastAsia="zh-CN"/>
        </w:rPr>
        <w:t>　</w:t>
      </w:r>
      <w:r>
        <w:rPr>
          <w:rFonts w:cs="宋体"/>
          <w:color w:val="auto"/>
          <w:highlight w:val="none"/>
          <w:lang w:eastAsia="zh-CN"/>
        </w:rPr>
        <w:t>承包人应按监理人的指示制定应对灾害的紧急预案，报送监理人审批。承包人还应按预案做好安全检查，配置必要的救助物资和器材，切实保护好有关人员的人身和财产安全。</w:t>
      </w:r>
    </w:p>
    <w:p w14:paraId="0AED978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9.2.5</w:t>
      </w:r>
      <w:r>
        <w:rPr>
          <w:rFonts w:hint="eastAsia" w:hAnsi="Times New Roman" w:cs="Times New Roman"/>
          <w:b/>
          <w:bCs/>
          <w:color w:val="auto"/>
          <w:highlight w:val="none"/>
          <w:lang w:eastAsia="zh-CN"/>
        </w:rPr>
        <w:t>　</w:t>
      </w:r>
      <w:r>
        <w:rPr>
          <w:rFonts w:cs="宋体"/>
          <w:color w:val="auto"/>
          <w:highlight w:val="none"/>
          <w:lang w:eastAsia="zh-CN"/>
        </w:rPr>
        <w:t>合同约定的安全作业环境及安全施工措施所需费用应遵守有关规定，并包括在相关工作的合同价格中。因采取合同未约定的安全作业环境及安全施工措施增加的费用，由监理人按第</w:t>
      </w:r>
      <w:r>
        <w:rPr>
          <w:rFonts w:hAnsi="Times New Roman" w:cs="Times New Roman"/>
          <w:color w:val="auto"/>
          <w:highlight w:val="none"/>
          <w:lang w:eastAsia="zh-CN"/>
        </w:rPr>
        <w:t>3.5</w:t>
      </w:r>
      <w:r>
        <w:rPr>
          <w:rFonts w:cs="宋体"/>
          <w:color w:val="auto"/>
          <w:highlight w:val="none"/>
          <w:lang w:eastAsia="zh-CN"/>
        </w:rPr>
        <w:t>款商定或确定。</w:t>
      </w:r>
    </w:p>
    <w:p w14:paraId="6BC65C5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9.2.6</w:t>
      </w:r>
      <w:r>
        <w:rPr>
          <w:rFonts w:hint="eastAsia" w:hAnsi="Times New Roman" w:cs="Times New Roman"/>
          <w:b/>
          <w:bCs/>
          <w:color w:val="auto"/>
          <w:highlight w:val="none"/>
          <w:lang w:eastAsia="zh-CN"/>
        </w:rPr>
        <w:t>　</w:t>
      </w:r>
      <w:r>
        <w:rPr>
          <w:rFonts w:cs="宋体"/>
          <w:color w:val="auto"/>
          <w:highlight w:val="none"/>
          <w:lang w:eastAsia="zh-CN"/>
        </w:rPr>
        <w:t>承包人应对其履行合同所雇佣的全部人员，包括分包人人员的工伤事故承担责任，但由于发包人原因造成承包人人员工伤事故的，应由发包人承担责任。</w:t>
      </w:r>
    </w:p>
    <w:p w14:paraId="0D19AA0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9.2.7</w:t>
      </w:r>
      <w:r>
        <w:rPr>
          <w:rFonts w:hint="eastAsia" w:hAnsi="Times New Roman" w:cs="Times New Roman"/>
          <w:b/>
          <w:bCs/>
          <w:color w:val="auto"/>
          <w:highlight w:val="none"/>
          <w:lang w:eastAsia="zh-CN"/>
        </w:rPr>
        <w:t>　</w:t>
      </w:r>
      <w:r>
        <w:rPr>
          <w:rFonts w:cs="宋体"/>
          <w:color w:val="auto"/>
          <w:highlight w:val="none"/>
          <w:lang w:eastAsia="zh-CN"/>
        </w:rPr>
        <w:t>由于承包人原因在施工场地内及其毗邻地带造成的第三者人员伤亡和财产损失，由承包人负责赔偿。</w:t>
      </w:r>
    </w:p>
    <w:p w14:paraId="06A2652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9.2.8</w:t>
      </w:r>
      <w:r>
        <w:rPr>
          <w:rFonts w:hint="eastAsia" w:hAnsi="Times New Roman" w:cs="Times New Roman"/>
          <w:b/>
          <w:bCs/>
          <w:color w:val="auto"/>
          <w:highlight w:val="none"/>
          <w:lang w:eastAsia="zh-CN"/>
        </w:rPr>
        <w:t>　</w:t>
      </w:r>
      <w:r>
        <w:rPr>
          <w:rFonts w:cs="宋体"/>
          <w:color w:val="auto"/>
          <w:highlight w:val="none"/>
          <w:lang w:eastAsia="zh-CN"/>
        </w:rPr>
        <w:t>承包人已标价工程量清单应包含工程安全作业环境及安全施工措施所需费用。</w:t>
      </w:r>
    </w:p>
    <w:p w14:paraId="777FAE5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9.2.9</w:t>
      </w:r>
      <w:r>
        <w:rPr>
          <w:rFonts w:hint="eastAsia" w:hAnsi="Times New Roman" w:cs="Times New Roman"/>
          <w:b/>
          <w:bCs/>
          <w:color w:val="auto"/>
          <w:highlight w:val="none"/>
          <w:lang w:eastAsia="zh-CN"/>
        </w:rPr>
        <w:t>　</w:t>
      </w:r>
      <w:r>
        <w:rPr>
          <w:rFonts w:cs="宋体"/>
          <w:color w:val="auto"/>
          <w:highlight w:val="none"/>
          <w:lang w:eastAsia="zh-CN"/>
        </w:rPr>
        <w:t>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518FBF4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9.2.10</w:t>
      </w:r>
      <w:r>
        <w:rPr>
          <w:rFonts w:hint="eastAsia" w:hAnsi="Times New Roman" w:cs="Times New Roman"/>
          <w:b/>
          <w:bCs/>
          <w:color w:val="auto"/>
          <w:highlight w:val="none"/>
          <w:lang w:eastAsia="zh-CN"/>
        </w:rPr>
        <w:t>　</w:t>
      </w:r>
      <w:r>
        <w:rPr>
          <w:rFonts w:cs="宋体"/>
          <w:color w:val="auto"/>
          <w:highlight w:val="none"/>
          <w:lang w:eastAsia="zh-CN"/>
        </w:rPr>
        <w:t>承包人应设立安全生产管理机构，施工现场应有专职安全生产管理人员。</w:t>
      </w:r>
    </w:p>
    <w:p w14:paraId="18FB36B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9.2.11</w:t>
      </w:r>
      <w:r>
        <w:rPr>
          <w:rFonts w:hint="eastAsia" w:hAnsi="Times New Roman" w:cs="Times New Roman"/>
          <w:b/>
          <w:bCs/>
          <w:color w:val="auto"/>
          <w:highlight w:val="none"/>
          <w:lang w:eastAsia="zh-CN"/>
        </w:rPr>
        <w:t>　</w:t>
      </w:r>
      <w:r>
        <w:rPr>
          <w:rFonts w:cs="宋体"/>
          <w:color w:val="auto"/>
          <w:highlight w:val="none"/>
          <w:lang w:eastAsia="zh-CN"/>
        </w:rPr>
        <w:t>承包人应负责对特种作业人员进行专门的安全作业培训，并保证特种作业人员持证上岗。</w:t>
      </w:r>
    </w:p>
    <w:p w14:paraId="6FCBDF3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9.2.12</w:t>
      </w:r>
      <w:r>
        <w:rPr>
          <w:rFonts w:hint="eastAsia" w:hAnsi="Times New Roman" w:cs="Times New Roman"/>
          <w:b/>
          <w:bCs/>
          <w:color w:val="auto"/>
          <w:highlight w:val="none"/>
          <w:lang w:eastAsia="zh-CN"/>
        </w:rPr>
        <w:t>　</w:t>
      </w:r>
      <w:r>
        <w:rPr>
          <w:rFonts w:cs="宋体"/>
          <w:color w:val="auto"/>
          <w:highlight w:val="none"/>
          <w:lang w:eastAsia="zh-CN"/>
        </w:rPr>
        <w:t>承包人应在施工组织设计中编制安全技术措施和施工现场临时用电方案。对专用合同条款约定的工程，应编制专项施工方案报监理人批准。对专用合同条款约定的专项施工方案，还应组织专家进行论证、审查，其中专家中</w:t>
      </w:r>
      <w:r>
        <w:rPr>
          <w:rFonts w:hAnsi="Times New Roman" w:cs="Times New Roman"/>
          <w:color w:val="auto"/>
          <w:highlight w:val="none"/>
          <w:lang w:eastAsia="zh-CN"/>
        </w:rPr>
        <w:t>1/2</w:t>
      </w:r>
      <w:r>
        <w:rPr>
          <w:rFonts w:cs="宋体"/>
          <w:color w:val="auto"/>
          <w:highlight w:val="none"/>
          <w:lang w:eastAsia="zh-CN"/>
        </w:rPr>
        <w:t>的人员应经发包人同意。</w:t>
      </w:r>
    </w:p>
    <w:p w14:paraId="5F85041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9.2.13</w:t>
      </w:r>
      <w:r>
        <w:rPr>
          <w:rFonts w:hint="eastAsia" w:hAnsi="Times New Roman" w:cs="Times New Roman"/>
          <w:b/>
          <w:bCs/>
          <w:color w:val="auto"/>
          <w:highlight w:val="none"/>
          <w:lang w:eastAsia="zh-CN"/>
        </w:rPr>
        <w:t>　</w:t>
      </w:r>
      <w:r>
        <w:rPr>
          <w:rFonts w:cs="宋体"/>
          <w:color w:val="auto"/>
          <w:highlight w:val="none"/>
          <w:lang w:eastAsia="zh-CN"/>
        </w:rPr>
        <w:t>承包人在使用施工起重机械和整体提升脚手架、模板等自升式架设设施前，应组织有关单位进行验收。</w:t>
      </w:r>
    </w:p>
    <w:p w14:paraId="0C0036F9">
      <w:pPr>
        <w:pStyle w:val="4"/>
        <w:kinsoku/>
        <w:spacing w:beforeLines="0" w:afterLines="0"/>
        <w:rPr>
          <w:rFonts w:hint="eastAsia" w:hAnsi="宋体" w:cs="宋体"/>
          <w:bCs/>
          <w:color w:val="auto"/>
          <w:szCs w:val="24"/>
          <w:highlight w:val="none"/>
          <w:lang w:eastAsia="zh-CN"/>
        </w:rPr>
      </w:pPr>
      <w:bookmarkStart w:id="959" w:name="_Toc10520"/>
      <w:bookmarkStart w:id="960" w:name="_Toc3249"/>
      <w:bookmarkStart w:id="961" w:name="_Toc420"/>
      <w:r>
        <w:rPr>
          <w:rFonts w:hint="eastAsia" w:hAnsi="宋体" w:cs="宋体"/>
          <w:b/>
          <w:bCs/>
          <w:color w:val="auto"/>
          <w:szCs w:val="24"/>
          <w:highlight w:val="none"/>
          <w:lang w:eastAsia="zh-CN"/>
        </w:rPr>
        <w:t>9.3</w:t>
      </w:r>
      <w:r>
        <w:rPr>
          <w:rFonts w:hint="eastAsia" w:cs="宋体"/>
          <w:b/>
          <w:bCs/>
          <w:color w:val="auto"/>
          <w:szCs w:val="24"/>
          <w:highlight w:val="none"/>
          <w:lang w:eastAsia="zh-CN"/>
        </w:rPr>
        <w:t>　</w:t>
      </w:r>
      <w:r>
        <w:rPr>
          <w:rFonts w:hint="eastAsia" w:hAnsi="宋体" w:cs="宋体"/>
          <w:b/>
          <w:bCs/>
          <w:color w:val="auto"/>
          <w:szCs w:val="24"/>
          <w:highlight w:val="none"/>
          <w:lang w:eastAsia="zh-CN"/>
        </w:rPr>
        <w:t>治安保卫</w:t>
      </w:r>
      <w:bookmarkEnd w:id="959"/>
      <w:bookmarkEnd w:id="960"/>
      <w:bookmarkEnd w:id="961"/>
    </w:p>
    <w:p w14:paraId="2207A0E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9.3.1</w:t>
      </w:r>
      <w:r>
        <w:rPr>
          <w:rFonts w:hint="eastAsia" w:hAnsi="Times New Roman" w:cs="Times New Roman"/>
          <w:b/>
          <w:bCs/>
          <w:color w:val="auto"/>
          <w:highlight w:val="none"/>
          <w:lang w:eastAsia="zh-CN"/>
        </w:rPr>
        <w:t>　</w:t>
      </w:r>
      <w:r>
        <w:rPr>
          <w:rFonts w:cs="宋体"/>
          <w:color w:val="auto"/>
          <w:highlight w:val="none"/>
          <w:lang w:eastAsia="zh-CN"/>
        </w:rPr>
        <w:t>除合同另有约定外，发包人应与当地公安部门协商，在现场建立治安管理机构或联防组织，统一管理施工场地的治安保卫事项，履行合同工程的治安保卫职责。</w:t>
      </w:r>
    </w:p>
    <w:p w14:paraId="1D0427F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9.3.2</w:t>
      </w:r>
      <w:r>
        <w:rPr>
          <w:rFonts w:hint="eastAsia" w:hAnsi="Times New Roman" w:cs="Times New Roman"/>
          <w:b/>
          <w:bCs/>
          <w:color w:val="auto"/>
          <w:highlight w:val="none"/>
          <w:lang w:eastAsia="zh-CN"/>
        </w:rPr>
        <w:t>　</w:t>
      </w:r>
      <w:r>
        <w:rPr>
          <w:rFonts w:cs="宋体"/>
          <w:color w:val="auto"/>
          <w:highlight w:val="none"/>
          <w:lang w:eastAsia="zh-CN"/>
        </w:rPr>
        <w:t>发包人和承包人除应协助现场治安管理机构或联防组织维护施工场地的社会治安外，还应做好包括生活区在内的各自管辖区的治安保卫工作。</w:t>
      </w:r>
    </w:p>
    <w:p w14:paraId="0C21EBE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9.3.3</w:t>
      </w:r>
      <w:r>
        <w:rPr>
          <w:rFonts w:hint="eastAsia" w:hAnsi="Times New Roman" w:cs="Times New Roman"/>
          <w:b/>
          <w:bCs/>
          <w:color w:val="auto"/>
          <w:highlight w:val="none"/>
          <w:lang w:val="en-US" w:eastAsia="zh-CN"/>
        </w:rPr>
        <w:t>　</w:t>
      </w:r>
      <w:r>
        <w:rPr>
          <w:rFonts w:cs="宋体"/>
          <w:color w:val="auto"/>
          <w:highlight w:val="none"/>
          <w:lang w:eastAsia="zh-CN"/>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A034D87">
      <w:pPr>
        <w:pStyle w:val="4"/>
        <w:kinsoku/>
        <w:spacing w:beforeLines="0" w:afterLines="0"/>
        <w:rPr>
          <w:rFonts w:hint="eastAsia" w:hAnsi="宋体" w:cs="宋体"/>
          <w:bCs/>
          <w:color w:val="auto"/>
          <w:szCs w:val="24"/>
          <w:highlight w:val="none"/>
          <w:lang w:eastAsia="zh-CN"/>
        </w:rPr>
      </w:pPr>
      <w:bookmarkStart w:id="962" w:name="_Toc32082"/>
      <w:bookmarkStart w:id="963" w:name="_Toc31836"/>
      <w:bookmarkStart w:id="964" w:name="_Toc10085"/>
      <w:r>
        <w:rPr>
          <w:rFonts w:hint="eastAsia" w:hAnsi="宋体" w:cs="宋体"/>
          <w:b/>
          <w:bCs/>
          <w:color w:val="auto"/>
          <w:szCs w:val="24"/>
          <w:highlight w:val="none"/>
          <w:lang w:eastAsia="zh-CN"/>
        </w:rPr>
        <w:t>9.4</w:t>
      </w:r>
      <w:r>
        <w:rPr>
          <w:rFonts w:hint="eastAsia" w:cs="宋体"/>
          <w:b/>
          <w:bCs/>
          <w:color w:val="auto"/>
          <w:szCs w:val="24"/>
          <w:highlight w:val="none"/>
          <w:lang w:val="en-US" w:eastAsia="zh-CN"/>
        </w:rPr>
        <w:t>　</w:t>
      </w:r>
      <w:r>
        <w:rPr>
          <w:rFonts w:hint="eastAsia" w:hAnsi="宋体" w:cs="宋体"/>
          <w:b/>
          <w:bCs/>
          <w:color w:val="auto"/>
          <w:szCs w:val="24"/>
          <w:highlight w:val="none"/>
          <w:lang w:eastAsia="zh-CN"/>
        </w:rPr>
        <w:t>环境保护</w:t>
      </w:r>
      <w:bookmarkEnd w:id="962"/>
      <w:bookmarkEnd w:id="963"/>
      <w:bookmarkEnd w:id="964"/>
    </w:p>
    <w:p w14:paraId="2C4B658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9.4.1</w:t>
      </w:r>
      <w:r>
        <w:rPr>
          <w:rFonts w:hint="eastAsia" w:hAnsi="Times New Roman" w:cs="Times New Roman"/>
          <w:b/>
          <w:bCs/>
          <w:color w:val="auto"/>
          <w:highlight w:val="none"/>
          <w:lang w:val="en-US" w:eastAsia="zh-CN"/>
        </w:rPr>
        <w:t>　</w:t>
      </w:r>
      <w:r>
        <w:rPr>
          <w:rFonts w:cs="宋体"/>
          <w:color w:val="auto"/>
          <w:highlight w:val="none"/>
          <w:lang w:eastAsia="zh-CN"/>
        </w:rPr>
        <w:t>承包人在施工过程中，应遵守有关环境保护的法律，履行合同约定的环境保护义务，并对违反法律和合同约定义务所造成的环境破坏、人身伤害和财产损失负责。</w:t>
      </w:r>
    </w:p>
    <w:p w14:paraId="0276416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9.4.2</w:t>
      </w:r>
      <w:r>
        <w:rPr>
          <w:rFonts w:hint="eastAsia" w:hAnsi="Times New Roman" w:cs="Times New Roman"/>
          <w:b/>
          <w:bCs/>
          <w:color w:val="auto"/>
          <w:highlight w:val="none"/>
          <w:lang w:val="en-US" w:eastAsia="zh-CN"/>
        </w:rPr>
        <w:t>　</w:t>
      </w:r>
      <w:r>
        <w:rPr>
          <w:rFonts w:cs="宋体"/>
          <w:color w:val="auto"/>
          <w:highlight w:val="none"/>
          <w:lang w:eastAsia="zh-CN"/>
        </w:rPr>
        <w:t>承包人应按合同约定的环保工作内容，编制施工环保措施计划，报送监理人审批。</w:t>
      </w:r>
    </w:p>
    <w:p w14:paraId="5259691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9.4.3</w:t>
      </w:r>
      <w:r>
        <w:rPr>
          <w:rFonts w:hint="eastAsia" w:hAnsi="Times New Roman" w:cs="Times New Roman"/>
          <w:b/>
          <w:bCs/>
          <w:color w:val="auto"/>
          <w:highlight w:val="none"/>
          <w:lang w:val="en-US" w:eastAsia="zh-CN"/>
        </w:rPr>
        <w:t>　</w:t>
      </w:r>
      <w:r>
        <w:rPr>
          <w:rFonts w:cs="宋体"/>
          <w:color w:val="auto"/>
          <w:highlight w:val="none"/>
          <w:lang w:eastAsia="zh-CN"/>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1CEC439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9.4.4</w:t>
      </w:r>
      <w:r>
        <w:rPr>
          <w:rFonts w:hint="eastAsia" w:hAnsi="Times New Roman" w:cs="Times New Roman"/>
          <w:b/>
          <w:bCs/>
          <w:color w:val="auto"/>
          <w:highlight w:val="none"/>
          <w:lang w:val="en-US" w:eastAsia="zh-CN"/>
        </w:rPr>
        <w:t>　</w:t>
      </w:r>
      <w:r>
        <w:rPr>
          <w:rFonts w:cs="宋体"/>
          <w:color w:val="auto"/>
          <w:highlight w:val="none"/>
          <w:lang w:eastAsia="zh-CN"/>
        </w:rPr>
        <w:t>承包人应按合同约定采取有效措施，对施工开挖的边坡及时进行支护，维护排水设施，并进行水土保护，避免因施工造成的地质灾害。</w:t>
      </w:r>
    </w:p>
    <w:p w14:paraId="114E1ED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9.4.5</w:t>
      </w:r>
      <w:r>
        <w:rPr>
          <w:rFonts w:hint="eastAsia" w:hAnsi="Times New Roman" w:cs="Times New Roman"/>
          <w:b/>
          <w:bCs/>
          <w:color w:val="auto"/>
          <w:highlight w:val="none"/>
          <w:lang w:val="en-US" w:eastAsia="zh-CN"/>
        </w:rPr>
        <w:t>　</w:t>
      </w:r>
      <w:r>
        <w:rPr>
          <w:rFonts w:cs="宋体"/>
          <w:color w:val="auto"/>
          <w:highlight w:val="none"/>
          <w:lang w:eastAsia="zh-CN"/>
        </w:rPr>
        <w:t>承包人应按国家饮用水管理标准定期对饮用水源进行监测，防止施工活动污染饮用水源。</w:t>
      </w:r>
    </w:p>
    <w:p w14:paraId="1355C1B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9.4.6</w:t>
      </w:r>
      <w:r>
        <w:rPr>
          <w:rFonts w:hint="eastAsia" w:hAnsi="Times New Roman" w:cs="Times New Roman"/>
          <w:b/>
          <w:bCs/>
          <w:color w:val="auto"/>
          <w:highlight w:val="none"/>
          <w:lang w:val="en-US" w:eastAsia="zh-CN"/>
        </w:rPr>
        <w:t>　</w:t>
      </w:r>
      <w:r>
        <w:rPr>
          <w:rFonts w:cs="宋体"/>
          <w:color w:val="auto"/>
          <w:highlight w:val="none"/>
          <w:lang w:eastAsia="zh-CN"/>
        </w:rPr>
        <w:t>承包人应按合同约定，加强对噪声、粉尘、废气、废水和废油的控制，努力降低噪声，控制粉尘和废气浓度，做好废水和废油的治理和排放。</w:t>
      </w:r>
    </w:p>
    <w:p w14:paraId="686AF4C8">
      <w:pPr>
        <w:pStyle w:val="4"/>
        <w:kinsoku/>
        <w:spacing w:beforeLines="0" w:afterLines="0"/>
        <w:rPr>
          <w:rFonts w:hint="eastAsia" w:hAnsi="宋体" w:cs="宋体"/>
          <w:bCs/>
          <w:color w:val="auto"/>
          <w:szCs w:val="24"/>
          <w:highlight w:val="none"/>
          <w:lang w:eastAsia="zh-CN"/>
        </w:rPr>
      </w:pPr>
      <w:bookmarkStart w:id="965" w:name="_Toc473"/>
      <w:bookmarkStart w:id="966" w:name="_Toc14102"/>
      <w:bookmarkStart w:id="967" w:name="_Toc20253"/>
      <w:r>
        <w:rPr>
          <w:rFonts w:hint="eastAsia" w:hAnsi="宋体" w:cs="宋体"/>
          <w:b/>
          <w:bCs/>
          <w:color w:val="auto"/>
          <w:szCs w:val="24"/>
          <w:highlight w:val="none"/>
          <w:lang w:eastAsia="zh-CN"/>
        </w:rPr>
        <w:t>9.5</w:t>
      </w:r>
      <w:r>
        <w:rPr>
          <w:rFonts w:hint="eastAsia" w:cs="宋体"/>
          <w:b/>
          <w:bCs/>
          <w:color w:val="auto"/>
          <w:szCs w:val="24"/>
          <w:highlight w:val="none"/>
          <w:lang w:val="en-US" w:eastAsia="zh-CN"/>
        </w:rPr>
        <w:t>　</w:t>
      </w:r>
      <w:r>
        <w:rPr>
          <w:rFonts w:hint="eastAsia" w:hAnsi="宋体" w:cs="宋体"/>
          <w:b/>
          <w:bCs/>
          <w:color w:val="auto"/>
          <w:szCs w:val="24"/>
          <w:highlight w:val="none"/>
          <w:lang w:eastAsia="zh-CN"/>
        </w:rPr>
        <w:t>事故处理</w:t>
      </w:r>
      <w:bookmarkEnd w:id="965"/>
      <w:bookmarkEnd w:id="966"/>
      <w:bookmarkEnd w:id="967"/>
    </w:p>
    <w:p w14:paraId="620E2B5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9.5.1</w:t>
      </w:r>
      <w:r>
        <w:rPr>
          <w:rFonts w:hint="eastAsia" w:hAnsi="Times New Roman" w:cs="Times New Roman"/>
          <w:b/>
          <w:bCs/>
          <w:color w:val="auto"/>
          <w:highlight w:val="none"/>
          <w:lang w:val="en-US" w:eastAsia="zh-CN"/>
        </w:rPr>
        <w:t>　</w:t>
      </w:r>
      <w:r>
        <w:rPr>
          <w:rFonts w:cs="宋体"/>
          <w:color w:val="auto"/>
          <w:highlight w:val="none"/>
          <w:lang w:eastAsia="zh-CN"/>
        </w:rPr>
        <w:t>发包人负责组织参建单位制定本工程的质量与安全事故应急预案，建立质量与安全事故应急处置指挥部。</w:t>
      </w:r>
    </w:p>
    <w:p w14:paraId="00C901F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9.5.2</w:t>
      </w:r>
      <w:r>
        <w:rPr>
          <w:rFonts w:hint="eastAsia" w:hAnsi="Times New Roman" w:cs="Times New Roman"/>
          <w:b/>
          <w:bCs/>
          <w:color w:val="auto"/>
          <w:highlight w:val="none"/>
          <w:lang w:val="en-US" w:eastAsia="zh-CN"/>
        </w:rPr>
        <w:t>　</w:t>
      </w:r>
      <w:r>
        <w:rPr>
          <w:rFonts w:cs="宋体"/>
          <w:color w:val="auto"/>
          <w:highlight w:val="none"/>
          <w:lang w:eastAsia="zh-CN"/>
        </w:rPr>
        <w:t>承包人应对施工现场易发生重大事故的部位、环节进行监控，配备救援器材、设备，并定期组织演练。</w:t>
      </w:r>
    </w:p>
    <w:p w14:paraId="4885BB9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9.5.3</w:t>
      </w:r>
      <w:r>
        <w:rPr>
          <w:rFonts w:hint="eastAsia" w:hAnsi="Times New Roman" w:cs="Times New Roman"/>
          <w:b/>
          <w:bCs/>
          <w:color w:val="auto"/>
          <w:highlight w:val="none"/>
          <w:lang w:val="en-US" w:eastAsia="zh-CN"/>
        </w:rPr>
        <w:t>　</w:t>
      </w:r>
      <w:r>
        <w:rPr>
          <w:rFonts w:cs="宋体"/>
          <w:color w:val="auto"/>
          <w:highlight w:val="none"/>
          <w:lang w:eastAsia="zh-CN"/>
        </w:rPr>
        <w:t>工程开工前，承包人应根据本工程的特点制定施工现场施工质量与安全事故应急预案，并报发包人备案。</w:t>
      </w:r>
    </w:p>
    <w:p w14:paraId="651F5F2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9.5.4</w:t>
      </w:r>
      <w:r>
        <w:rPr>
          <w:rFonts w:hint="eastAsia" w:hAnsi="Times New Roman" w:cs="Times New Roman"/>
          <w:b/>
          <w:bCs/>
          <w:color w:val="auto"/>
          <w:highlight w:val="none"/>
          <w:lang w:val="en-US" w:eastAsia="zh-CN"/>
        </w:rPr>
        <w:t>　</w:t>
      </w:r>
      <w:r>
        <w:rPr>
          <w:rFonts w:cs="宋体"/>
          <w:color w:val="auto"/>
          <w:highlight w:val="none"/>
          <w:lang w:eastAsia="zh-CN"/>
        </w:rPr>
        <w:t>施工过程中发生事故时，发包人、承包人应立即启动应急预案。</w:t>
      </w:r>
      <w:r>
        <w:rPr>
          <w:rFonts w:hAnsi="Times New Roman" w:cs="Times New Roman"/>
          <w:b/>
          <w:bCs/>
          <w:color w:val="auto"/>
          <w:highlight w:val="none"/>
          <w:lang w:eastAsia="zh-CN"/>
        </w:rPr>
        <w:t>9.5.5</w:t>
      </w:r>
      <w:r>
        <w:rPr>
          <w:rFonts w:cs="宋体"/>
          <w:color w:val="auto"/>
          <w:highlight w:val="none"/>
          <w:lang w:eastAsia="zh-CN"/>
        </w:rPr>
        <w:t>事故调查处理由发包人按相关规定履行手续，承包人应配合。</w:t>
      </w:r>
    </w:p>
    <w:p w14:paraId="1053C23F">
      <w:pPr>
        <w:pStyle w:val="4"/>
        <w:kinsoku/>
        <w:spacing w:beforeLines="0" w:afterLines="0"/>
        <w:rPr>
          <w:rFonts w:hint="eastAsia" w:hAnsi="宋体" w:cs="宋体"/>
          <w:bCs/>
          <w:color w:val="auto"/>
          <w:szCs w:val="24"/>
          <w:highlight w:val="none"/>
          <w:lang w:eastAsia="zh-CN"/>
        </w:rPr>
      </w:pPr>
      <w:bookmarkStart w:id="968" w:name="_Toc2980"/>
      <w:bookmarkStart w:id="969" w:name="_Toc1898"/>
      <w:bookmarkStart w:id="970" w:name="_Toc10591"/>
      <w:r>
        <w:rPr>
          <w:rFonts w:hint="eastAsia" w:hAnsi="宋体" w:cs="宋体"/>
          <w:b/>
          <w:bCs/>
          <w:color w:val="auto"/>
          <w:szCs w:val="24"/>
          <w:highlight w:val="none"/>
          <w:lang w:eastAsia="zh-CN"/>
        </w:rPr>
        <w:t>9.6</w:t>
      </w:r>
      <w:r>
        <w:rPr>
          <w:rFonts w:hint="eastAsia" w:cs="宋体"/>
          <w:b/>
          <w:bCs/>
          <w:color w:val="auto"/>
          <w:szCs w:val="24"/>
          <w:highlight w:val="none"/>
          <w:lang w:val="en-US" w:eastAsia="zh-CN"/>
        </w:rPr>
        <w:t>　</w:t>
      </w:r>
      <w:r>
        <w:rPr>
          <w:rFonts w:hint="eastAsia" w:hAnsi="宋体" w:cs="宋体"/>
          <w:b/>
          <w:bCs/>
          <w:color w:val="auto"/>
          <w:szCs w:val="24"/>
          <w:highlight w:val="none"/>
          <w:lang w:eastAsia="zh-CN"/>
        </w:rPr>
        <w:t>水土保持</w:t>
      </w:r>
      <w:bookmarkEnd w:id="968"/>
      <w:bookmarkEnd w:id="969"/>
      <w:bookmarkEnd w:id="970"/>
    </w:p>
    <w:p w14:paraId="1AA0B57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9.6.1</w:t>
      </w:r>
      <w:r>
        <w:rPr>
          <w:rFonts w:hint="eastAsia" w:hAnsi="Times New Roman" w:cs="Times New Roman"/>
          <w:b/>
          <w:bCs/>
          <w:color w:val="auto"/>
          <w:highlight w:val="none"/>
          <w:lang w:val="en-US" w:eastAsia="zh-CN"/>
        </w:rPr>
        <w:t>　</w:t>
      </w:r>
      <w:r>
        <w:rPr>
          <w:rFonts w:cs="宋体"/>
          <w:color w:val="auto"/>
          <w:highlight w:val="none"/>
          <w:lang w:eastAsia="zh-CN"/>
        </w:rPr>
        <w:t>发包人应及时向承包人提供水土保持方案。</w:t>
      </w:r>
    </w:p>
    <w:p w14:paraId="597B305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9.6.2</w:t>
      </w:r>
      <w:r>
        <w:rPr>
          <w:rFonts w:hint="eastAsia" w:hAnsi="Times New Roman" w:cs="Times New Roman"/>
          <w:b/>
          <w:bCs/>
          <w:color w:val="auto"/>
          <w:highlight w:val="none"/>
          <w:lang w:val="en-US" w:eastAsia="zh-CN"/>
        </w:rPr>
        <w:t>　</w:t>
      </w:r>
      <w:r>
        <w:rPr>
          <w:rFonts w:cs="宋体"/>
          <w:color w:val="auto"/>
          <w:highlight w:val="none"/>
          <w:lang w:eastAsia="zh-CN"/>
        </w:rPr>
        <w:t>承包人在施工过程中，应遵守有关水土保持的法律法规和规章，履行合同约定的水土保持义务，并对其违反法律和合同约定义务所造成的水土流失灾害、人身伤害和财产损失负责。</w:t>
      </w:r>
    </w:p>
    <w:p w14:paraId="2E546DF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9.6.3</w:t>
      </w:r>
      <w:r>
        <w:rPr>
          <w:rFonts w:hint="eastAsia" w:hAnsi="Times New Roman" w:cs="Times New Roman"/>
          <w:b/>
          <w:bCs/>
          <w:color w:val="auto"/>
          <w:highlight w:val="none"/>
          <w:lang w:val="en-US" w:eastAsia="zh-CN"/>
        </w:rPr>
        <w:t>　</w:t>
      </w:r>
      <w:r>
        <w:rPr>
          <w:rFonts w:cs="宋体"/>
          <w:color w:val="auto"/>
          <w:highlight w:val="none"/>
          <w:lang w:eastAsia="zh-CN"/>
        </w:rPr>
        <w:t>承包人的水土保持措施计划，应满足技术标准和要求（合同技术条款）约定的要求。</w:t>
      </w:r>
    </w:p>
    <w:p w14:paraId="402819D6">
      <w:pPr>
        <w:pStyle w:val="4"/>
        <w:kinsoku/>
        <w:spacing w:beforeLines="0" w:afterLines="0"/>
        <w:rPr>
          <w:rFonts w:hint="eastAsia" w:hAnsi="宋体" w:cs="宋体"/>
          <w:bCs/>
          <w:color w:val="auto"/>
          <w:szCs w:val="24"/>
          <w:highlight w:val="none"/>
          <w:lang w:eastAsia="zh-CN"/>
        </w:rPr>
      </w:pPr>
      <w:bookmarkStart w:id="971" w:name="_Toc27385"/>
      <w:bookmarkStart w:id="972" w:name="_Toc28211"/>
      <w:bookmarkStart w:id="973" w:name="_Toc28144"/>
      <w:r>
        <w:rPr>
          <w:rFonts w:hint="eastAsia" w:hAnsi="宋体" w:cs="宋体"/>
          <w:b/>
          <w:bCs/>
          <w:color w:val="auto"/>
          <w:szCs w:val="24"/>
          <w:highlight w:val="none"/>
          <w:lang w:eastAsia="zh-CN"/>
        </w:rPr>
        <w:t>9.7</w:t>
      </w:r>
      <w:r>
        <w:rPr>
          <w:rFonts w:hint="eastAsia" w:cs="宋体"/>
          <w:b/>
          <w:bCs/>
          <w:color w:val="auto"/>
          <w:szCs w:val="24"/>
          <w:highlight w:val="none"/>
          <w:lang w:val="en-US" w:eastAsia="zh-CN"/>
        </w:rPr>
        <w:t>　</w:t>
      </w:r>
      <w:r>
        <w:rPr>
          <w:rFonts w:hint="eastAsia" w:hAnsi="宋体" w:cs="宋体"/>
          <w:b/>
          <w:bCs/>
          <w:color w:val="auto"/>
          <w:szCs w:val="24"/>
          <w:highlight w:val="none"/>
          <w:lang w:eastAsia="zh-CN"/>
        </w:rPr>
        <w:t>文明工地</w:t>
      </w:r>
      <w:bookmarkEnd w:id="971"/>
      <w:bookmarkEnd w:id="972"/>
      <w:bookmarkEnd w:id="973"/>
    </w:p>
    <w:p w14:paraId="6FE87D8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9.7.1</w:t>
      </w:r>
      <w:r>
        <w:rPr>
          <w:rFonts w:hint="eastAsia" w:hAnsi="Times New Roman" w:cs="Times New Roman"/>
          <w:b/>
          <w:bCs/>
          <w:color w:val="auto"/>
          <w:highlight w:val="none"/>
          <w:lang w:val="en-US" w:eastAsia="zh-CN"/>
        </w:rPr>
        <w:t>　</w:t>
      </w:r>
      <w:r>
        <w:rPr>
          <w:rFonts w:cs="宋体"/>
          <w:color w:val="auto"/>
          <w:highlight w:val="none"/>
          <w:lang w:eastAsia="zh-CN"/>
        </w:rPr>
        <w:t>发包人应按专用合同条款的约定，负责建立创建文明建设工地的组织机构，制定创建文明建设工地的规划和办法。</w:t>
      </w:r>
    </w:p>
    <w:p w14:paraId="3DBD556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9.7.2</w:t>
      </w:r>
      <w:r>
        <w:rPr>
          <w:rFonts w:hint="eastAsia" w:hAnsi="Times New Roman" w:cs="Times New Roman"/>
          <w:b/>
          <w:bCs/>
          <w:color w:val="auto"/>
          <w:highlight w:val="none"/>
          <w:lang w:val="en-US" w:eastAsia="zh-CN"/>
        </w:rPr>
        <w:t>　</w:t>
      </w:r>
      <w:r>
        <w:rPr>
          <w:rFonts w:cs="宋体"/>
          <w:color w:val="auto"/>
          <w:highlight w:val="none"/>
          <w:lang w:eastAsia="zh-CN"/>
        </w:rPr>
        <w:t>承包人应按创建文明建设工地的规划和办法，履行职责，承担相应责任。所需费用应含在已标价工程量清单中。</w:t>
      </w:r>
    </w:p>
    <w:p w14:paraId="6DFB7EA3">
      <w:pPr>
        <w:pStyle w:val="4"/>
        <w:kinsoku/>
        <w:spacing w:beforeLines="0" w:afterLines="0"/>
        <w:rPr>
          <w:rFonts w:hint="eastAsia" w:hAnsi="宋体" w:cs="宋体"/>
          <w:bCs/>
          <w:color w:val="auto"/>
          <w:szCs w:val="24"/>
          <w:highlight w:val="none"/>
          <w:lang w:eastAsia="zh-CN"/>
        </w:rPr>
      </w:pPr>
      <w:bookmarkStart w:id="974" w:name="_Toc14142"/>
      <w:bookmarkStart w:id="975" w:name="_Toc7349"/>
      <w:bookmarkStart w:id="976" w:name="_Toc8455"/>
      <w:r>
        <w:rPr>
          <w:rFonts w:hint="eastAsia" w:hAnsi="宋体" w:cs="宋体"/>
          <w:b/>
          <w:bCs/>
          <w:color w:val="auto"/>
          <w:szCs w:val="24"/>
          <w:highlight w:val="none"/>
          <w:lang w:eastAsia="zh-CN"/>
        </w:rPr>
        <w:t>9.8</w:t>
      </w:r>
      <w:r>
        <w:rPr>
          <w:rFonts w:hint="eastAsia" w:cs="宋体"/>
          <w:b/>
          <w:bCs/>
          <w:color w:val="auto"/>
          <w:szCs w:val="24"/>
          <w:highlight w:val="none"/>
          <w:lang w:val="en-US" w:eastAsia="zh-CN"/>
        </w:rPr>
        <w:t>　</w:t>
      </w:r>
      <w:r>
        <w:rPr>
          <w:rFonts w:hint="eastAsia" w:hAnsi="宋体" w:cs="宋体"/>
          <w:b/>
          <w:bCs/>
          <w:color w:val="auto"/>
          <w:szCs w:val="24"/>
          <w:highlight w:val="none"/>
          <w:lang w:eastAsia="zh-CN"/>
        </w:rPr>
        <w:t>防汛度汛</w:t>
      </w:r>
      <w:bookmarkEnd w:id="974"/>
      <w:bookmarkEnd w:id="975"/>
      <w:bookmarkEnd w:id="976"/>
    </w:p>
    <w:p w14:paraId="7B8160C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9.8.1</w:t>
      </w:r>
      <w:r>
        <w:rPr>
          <w:rFonts w:hint="eastAsia" w:hAnsi="Times New Roman" w:cs="Times New Roman"/>
          <w:b/>
          <w:bCs/>
          <w:color w:val="auto"/>
          <w:highlight w:val="none"/>
          <w:lang w:val="en-US" w:eastAsia="zh-CN"/>
        </w:rPr>
        <w:t>　</w:t>
      </w:r>
      <w:r>
        <w:rPr>
          <w:rFonts w:cs="宋体"/>
          <w:color w:val="auto"/>
          <w:highlight w:val="none"/>
          <w:lang w:eastAsia="zh-CN"/>
        </w:rPr>
        <w:t>发包人负责组织工程参建单位编制本工程的度汛方案和措施。</w:t>
      </w:r>
    </w:p>
    <w:p w14:paraId="2F63E68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9.8.2</w:t>
      </w:r>
      <w:r>
        <w:rPr>
          <w:rFonts w:hint="eastAsia" w:hAnsi="Times New Roman" w:cs="Times New Roman"/>
          <w:b/>
          <w:bCs/>
          <w:color w:val="auto"/>
          <w:highlight w:val="none"/>
          <w:lang w:val="en-US" w:eastAsia="zh-CN"/>
        </w:rPr>
        <w:t>　</w:t>
      </w:r>
      <w:r>
        <w:rPr>
          <w:rFonts w:cs="宋体"/>
          <w:color w:val="auto"/>
          <w:highlight w:val="none"/>
          <w:lang w:eastAsia="zh-CN"/>
        </w:rPr>
        <w:t>承包人应根据发包人编制的本工程度汛方案和措施，制定相应的度汛方案，报发包人批准后实施。</w:t>
      </w:r>
    </w:p>
    <w:p w14:paraId="630B5431">
      <w:pPr>
        <w:pStyle w:val="3"/>
        <w:kinsoku/>
        <w:spacing w:before="0" w:beforeLines="0" w:afterLines="0" w:line="360" w:lineRule="auto"/>
        <w:outlineLvl w:val="1"/>
        <w:rPr>
          <w:rFonts w:hint="eastAsia" w:ascii="宋体" w:cs="宋体"/>
          <w:color w:val="auto"/>
          <w:sz w:val="30"/>
          <w:szCs w:val="30"/>
          <w:highlight w:val="none"/>
        </w:rPr>
      </w:pPr>
      <w:bookmarkStart w:id="977" w:name="_Toc28978"/>
      <w:bookmarkStart w:id="978" w:name="_Toc19504"/>
      <w:bookmarkStart w:id="979" w:name="_Toc30472"/>
      <w:bookmarkStart w:id="980" w:name="_Toc20450"/>
      <w:bookmarkStart w:id="981" w:name="_Toc17354"/>
      <w:bookmarkStart w:id="982" w:name="_Toc27280"/>
      <w:bookmarkStart w:id="983" w:name="_Toc28568"/>
      <w:bookmarkStart w:id="984" w:name="_Toc23350"/>
      <w:bookmarkStart w:id="985" w:name="_Toc5138"/>
      <w:bookmarkStart w:id="986" w:name="_Toc20829"/>
      <w:bookmarkStart w:id="987" w:name="_Toc23347"/>
      <w:bookmarkStart w:id="988" w:name="_Toc5491"/>
      <w:bookmarkStart w:id="989" w:name="_Toc18410"/>
      <w:bookmarkStart w:id="990" w:name="_Toc4954"/>
      <w:r>
        <w:rPr>
          <w:rFonts w:hint="eastAsia" w:ascii="宋体" w:cs="宋体"/>
          <w:color w:val="auto"/>
          <w:sz w:val="30"/>
          <w:szCs w:val="30"/>
          <w:highlight w:val="none"/>
        </w:rPr>
        <w:t>10</w:t>
      </w:r>
      <w:r>
        <w:rPr>
          <w:rFonts w:hint="eastAsia" w:cs="宋体"/>
          <w:color w:val="auto"/>
          <w:sz w:val="30"/>
          <w:szCs w:val="30"/>
          <w:highlight w:val="none"/>
          <w:lang w:val="en-US" w:eastAsia="zh-CN"/>
        </w:rPr>
        <w:t>　</w:t>
      </w:r>
      <w:r>
        <w:rPr>
          <w:rFonts w:hint="eastAsia" w:ascii="宋体" w:cs="宋体"/>
          <w:color w:val="auto"/>
          <w:sz w:val="30"/>
          <w:szCs w:val="30"/>
          <w:highlight w:val="none"/>
        </w:rPr>
        <w:t>进度计划</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p>
    <w:p w14:paraId="47AC87A9">
      <w:pPr>
        <w:pStyle w:val="4"/>
        <w:kinsoku/>
        <w:spacing w:beforeLines="0" w:afterLines="0"/>
        <w:rPr>
          <w:rFonts w:hint="eastAsia" w:hAnsi="宋体" w:cs="宋体"/>
          <w:bCs/>
          <w:color w:val="auto"/>
          <w:szCs w:val="24"/>
          <w:highlight w:val="none"/>
          <w:lang w:eastAsia="zh-CN"/>
        </w:rPr>
      </w:pPr>
      <w:bookmarkStart w:id="991" w:name="_Toc2602"/>
      <w:bookmarkStart w:id="992" w:name="_Toc15246"/>
      <w:bookmarkStart w:id="993" w:name="_Toc27306"/>
      <w:r>
        <w:rPr>
          <w:rFonts w:hint="eastAsia" w:hAnsi="宋体" w:cs="宋体"/>
          <w:b/>
          <w:bCs/>
          <w:color w:val="auto"/>
          <w:szCs w:val="24"/>
          <w:highlight w:val="none"/>
          <w:lang w:eastAsia="zh-CN"/>
        </w:rPr>
        <w:t>10.1</w:t>
      </w:r>
      <w:r>
        <w:rPr>
          <w:rFonts w:hint="eastAsia" w:cs="宋体"/>
          <w:b/>
          <w:bCs/>
          <w:color w:val="auto"/>
          <w:szCs w:val="24"/>
          <w:highlight w:val="none"/>
          <w:lang w:val="en-US" w:eastAsia="zh-CN"/>
        </w:rPr>
        <w:t>　</w:t>
      </w:r>
      <w:r>
        <w:rPr>
          <w:rFonts w:hint="eastAsia" w:hAnsi="宋体" w:cs="宋体"/>
          <w:b/>
          <w:bCs/>
          <w:color w:val="auto"/>
          <w:szCs w:val="24"/>
          <w:highlight w:val="none"/>
          <w:lang w:eastAsia="zh-CN"/>
        </w:rPr>
        <w:t>合同进度计划</w:t>
      </w:r>
      <w:bookmarkEnd w:id="991"/>
      <w:bookmarkEnd w:id="992"/>
      <w:bookmarkEnd w:id="993"/>
    </w:p>
    <w:p w14:paraId="759565F0">
      <w:pPr>
        <w:kinsoku/>
        <w:ind w:firstLine="0"/>
        <w:rPr>
          <w:color w:val="auto"/>
          <w:highlight w:val="none"/>
          <w:lang w:eastAsia="zh-CN"/>
        </w:rPr>
      </w:pPr>
      <w:r>
        <w:rPr>
          <w:color w:val="auto"/>
          <w:highlight w:val="none"/>
          <w:lang w:eastAsia="zh-CN"/>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1CC51429">
      <w:pPr>
        <w:pStyle w:val="4"/>
        <w:kinsoku/>
        <w:spacing w:beforeLines="0" w:afterLines="0"/>
        <w:rPr>
          <w:rFonts w:hint="eastAsia" w:hAnsi="宋体" w:cs="宋体"/>
          <w:bCs/>
          <w:color w:val="auto"/>
          <w:szCs w:val="24"/>
          <w:highlight w:val="none"/>
          <w:lang w:eastAsia="zh-CN"/>
        </w:rPr>
      </w:pPr>
      <w:bookmarkStart w:id="994" w:name="_Toc3571"/>
      <w:bookmarkStart w:id="995" w:name="_Toc19044"/>
      <w:bookmarkStart w:id="996" w:name="_Toc3070"/>
      <w:r>
        <w:rPr>
          <w:rFonts w:hint="eastAsia" w:hAnsi="宋体" w:cs="宋体"/>
          <w:b/>
          <w:bCs/>
          <w:color w:val="auto"/>
          <w:szCs w:val="24"/>
          <w:highlight w:val="none"/>
          <w:lang w:eastAsia="zh-CN"/>
        </w:rPr>
        <w:t>10.2</w:t>
      </w:r>
      <w:r>
        <w:rPr>
          <w:rFonts w:hint="eastAsia" w:cs="宋体"/>
          <w:b/>
          <w:bCs/>
          <w:color w:val="auto"/>
          <w:szCs w:val="24"/>
          <w:highlight w:val="none"/>
          <w:lang w:eastAsia="zh-CN"/>
        </w:rPr>
        <w:t>　</w:t>
      </w:r>
      <w:r>
        <w:rPr>
          <w:rFonts w:hint="eastAsia" w:hAnsi="宋体" w:cs="宋体"/>
          <w:b/>
          <w:bCs/>
          <w:color w:val="auto"/>
          <w:szCs w:val="24"/>
          <w:highlight w:val="none"/>
          <w:lang w:eastAsia="zh-CN"/>
        </w:rPr>
        <w:t>合同进度计划的修订</w:t>
      </w:r>
      <w:bookmarkEnd w:id="994"/>
      <w:bookmarkEnd w:id="995"/>
      <w:bookmarkEnd w:id="996"/>
    </w:p>
    <w:p w14:paraId="669C21A9">
      <w:pPr>
        <w:kinsoku/>
        <w:ind w:firstLine="0"/>
        <w:rPr>
          <w:rFonts w:cs="宋体"/>
          <w:color w:val="auto"/>
          <w:highlight w:val="none"/>
          <w:lang w:eastAsia="zh-CN"/>
        </w:rPr>
      </w:pPr>
      <w:r>
        <w:rPr>
          <w:rFonts w:cs="宋体"/>
          <w:color w:val="auto"/>
          <w:highlight w:val="none"/>
          <w:lang w:eastAsia="zh-CN"/>
        </w:rPr>
        <w:t>不论何种原因造成工程的实际进度与第</w:t>
      </w:r>
      <w:r>
        <w:rPr>
          <w:rFonts w:hAnsi="Times New Roman" w:cs="Times New Roman"/>
          <w:color w:val="auto"/>
          <w:highlight w:val="none"/>
          <w:lang w:eastAsia="zh-CN"/>
        </w:rPr>
        <w:t>10.1</w:t>
      </w:r>
      <w:r>
        <w:rPr>
          <w:rFonts w:cs="宋体"/>
          <w:color w:val="auto"/>
          <w:highlight w:val="none"/>
          <w:lang w:eastAsia="zh-CN"/>
        </w:rPr>
        <w:t>款的合同进度计划不符时，承包人均应在</w:t>
      </w:r>
      <w:r>
        <w:rPr>
          <w:rFonts w:hAnsi="Times New Roman" w:cs="Times New Roman"/>
          <w:color w:val="auto"/>
          <w:highlight w:val="none"/>
          <w:lang w:eastAsia="zh-CN"/>
        </w:rPr>
        <w:t>14</w:t>
      </w:r>
      <w:r>
        <w:rPr>
          <w:rFonts w:cs="宋体"/>
          <w:color w:val="auto"/>
          <w:highlight w:val="none"/>
          <w:lang w:eastAsia="zh-CN"/>
        </w:rPr>
        <w:t>天内向监理人提交修订合同进度计划的申请报告，并附有关措施和相关资料，报监理人审批，监理人应在收到申请报告后的</w:t>
      </w:r>
      <w:r>
        <w:rPr>
          <w:rFonts w:hAnsi="Times New Roman" w:cs="Times New Roman"/>
          <w:color w:val="auto"/>
          <w:highlight w:val="none"/>
          <w:lang w:eastAsia="zh-CN"/>
        </w:rPr>
        <w:t>14</w:t>
      </w:r>
      <w:r>
        <w:rPr>
          <w:rFonts w:cs="宋体"/>
          <w:color w:val="auto"/>
          <w:highlight w:val="none"/>
          <w:lang w:eastAsia="zh-CN"/>
        </w:rPr>
        <w:t>天内批复。当监理人认为需要修订合同进度计划时，承包人应按监理人的指示，在</w:t>
      </w:r>
      <w:r>
        <w:rPr>
          <w:rFonts w:hAnsi="Times New Roman" w:cs="Times New Roman"/>
          <w:color w:val="auto"/>
          <w:highlight w:val="none"/>
          <w:lang w:eastAsia="zh-CN"/>
        </w:rPr>
        <w:t>14</w:t>
      </w:r>
      <w:r>
        <w:rPr>
          <w:rFonts w:cs="宋体"/>
          <w:color w:val="auto"/>
          <w:highlight w:val="none"/>
          <w:lang w:eastAsia="zh-CN"/>
        </w:rPr>
        <w:t>天内向监理人提交修订的合同进度计划，并附调整计划的相关资料，提交监理人审批。监理人应在收到进度计划后的</w:t>
      </w:r>
      <w:r>
        <w:rPr>
          <w:rFonts w:hAnsi="Times New Roman" w:cs="Times New Roman"/>
          <w:color w:val="auto"/>
          <w:highlight w:val="none"/>
          <w:lang w:eastAsia="zh-CN"/>
        </w:rPr>
        <w:t>14</w:t>
      </w:r>
      <w:r>
        <w:rPr>
          <w:rFonts w:cs="宋体"/>
          <w:color w:val="auto"/>
          <w:highlight w:val="none"/>
          <w:lang w:eastAsia="zh-CN"/>
        </w:rPr>
        <w:t>天内批复。</w:t>
      </w:r>
    </w:p>
    <w:p w14:paraId="0D4D1B5F">
      <w:pPr>
        <w:kinsoku/>
        <w:spacing w:beforeLines="0" w:afterLines="0"/>
        <w:ind w:firstLine="0" w:firstLineChars="0"/>
        <w:jc w:val="left"/>
        <w:rPr>
          <w:rFonts w:cs="宋体"/>
          <w:color w:val="auto"/>
          <w:highlight w:val="none"/>
          <w:lang w:eastAsia="zh-CN"/>
        </w:rPr>
      </w:pPr>
      <w:r>
        <w:rPr>
          <w:rFonts w:cs="宋体"/>
          <w:color w:val="auto"/>
          <w:highlight w:val="none"/>
          <w:lang w:eastAsia="zh-CN"/>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rFonts w:hAnsi="Times New Roman" w:cs="Times New Roman"/>
          <w:color w:val="auto"/>
          <w:highlight w:val="none"/>
          <w:lang w:eastAsia="zh-CN"/>
        </w:rPr>
        <w:t>11.3</w:t>
      </w:r>
      <w:r>
        <w:rPr>
          <w:rFonts w:cs="宋体"/>
          <w:color w:val="auto"/>
          <w:highlight w:val="none"/>
          <w:lang w:eastAsia="zh-CN"/>
        </w:rPr>
        <w:t>款的约定办理；由于承包人原因造成施工进度延迟，应按第</w:t>
      </w:r>
      <w:r>
        <w:rPr>
          <w:rFonts w:hAnsi="Times New Roman" w:cs="Times New Roman"/>
          <w:color w:val="auto"/>
          <w:highlight w:val="none"/>
          <w:lang w:eastAsia="zh-CN"/>
        </w:rPr>
        <w:t>11.5</w:t>
      </w:r>
      <w:r>
        <w:rPr>
          <w:rFonts w:cs="宋体"/>
          <w:color w:val="auto"/>
          <w:highlight w:val="none"/>
          <w:lang w:eastAsia="zh-CN"/>
        </w:rPr>
        <w:t>款的约定办理。</w:t>
      </w:r>
    </w:p>
    <w:p w14:paraId="640D80F7">
      <w:pPr>
        <w:pStyle w:val="4"/>
        <w:kinsoku/>
        <w:spacing w:beforeLines="0" w:afterLines="0"/>
        <w:rPr>
          <w:rFonts w:hint="eastAsia" w:hAnsi="宋体" w:cs="宋体"/>
          <w:bCs/>
          <w:color w:val="auto"/>
          <w:szCs w:val="24"/>
          <w:highlight w:val="none"/>
          <w:lang w:eastAsia="zh-CN"/>
        </w:rPr>
      </w:pPr>
      <w:bookmarkStart w:id="997" w:name="_Toc29689"/>
      <w:bookmarkStart w:id="998" w:name="_Toc9413"/>
      <w:bookmarkStart w:id="999" w:name="_Toc29703"/>
      <w:r>
        <w:rPr>
          <w:rFonts w:hint="eastAsia" w:hAnsi="宋体" w:cs="宋体"/>
          <w:b/>
          <w:bCs/>
          <w:color w:val="auto"/>
          <w:szCs w:val="24"/>
          <w:highlight w:val="none"/>
          <w:lang w:eastAsia="zh-CN"/>
        </w:rPr>
        <w:t>10.3</w:t>
      </w:r>
      <w:r>
        <w:rPr>
          <w:rFonts w:hint="eastAsia" w:cs="宋体"/>
          <w:b/>
          <w:bCs/>
          <w:color w:val="auto"/>
          <w:szCs w:val="24"/>
          <w:highlight w:val="none"/>
          <w:lang w:eastAsia="zh-CN"/>
        </w:rPr>
        <w:t>　</w:t>
      </w:r>
      <w:r>
        <w:rPr>
          <w:rFonts w:hint="eastAsia" w:hAnsi="宋体" w:cs="宋体"/>
          <w:b/>
          <w:bCs/>
          <w:color w:val="auto"/>
          <w:szCs w:val="24"/>
          <w:highlight w:val="none"/>
          <w:lang w:eastAsia="zh-CN"/>
        </w:rPr>
        <w:t>单位工程进度计划</w:t>
      </w:r>
      <w:bookmarkEnd w:id="997"/>
      <w:bookmarkEnd w:id="998"/>
      <w:bookmarkEnd w:id="999"/>
    </w:p>
    <w:p w14:paraId="369877C9">
      <w:pPr>
        <w:kinsoku/>
        <w:ind w:firstLine="0"/>
        <w:rPr>
          <w:color w:val="auto"/>
          <w:highlight w:val="none"/>
          <w:lang w:eastAsia="zh-CN"/>
        </w:rPr>
      </w:pPr>
      <w:r>
        <w:rPr>
          <w:color w:val="auto"/>
          <w:highlight w:val="none"/>
          <w:lang w:eastAsia="zh-CN"/>
        </w:rPr>
        <w:t>监理人认为有必要时，承包人应按监理人指示的内容和期限，并根据合同进度计划的进度控制要求，编制单位工程进度计划，提交监理人审批。</w:t>
      </w:r>
    </w:p>
    <w:p w14:paraId="4839164A">
      <w:pPr>
        <w:pStyle w:val="4"/>
        <w:kinsoku/>
        <w:spacing w:beforeLines="0" w:afterLines="0"/>
        <w:rPr>
          <w:rFonts w:hint="eastAsia" w:hAnsi="宋体" w:cs="宋体"/>
          <w:bCs/>
          <w:color w:val="auto"/>
          <w:szCs w:val="24"/>
          <w:highlight w:val="none"/>
          <w:lang w:eastAsia="zh-CN"/>
        </w:rPr>
      </w:pPr>
      <w:bookmarkStart w:id="1000" w:name="_Toc4598"/>
      <w:bookmarkStart w:id="1001" w:name="_Toc1306"/>
      <w:bookmarkStart w:id="1002" w:name="_Toc31128"/>
      <w:r>
        <w:rPr>
          <w:rFonts w:hint="eastAsia" w:hAnsi="宋体" w:cs="宋体"/>
          <w:b/>
          <w:bCs/>
          <w:color w:val="auto"/>
          <w:szCs w:val="24"/>
          <w:highlight w:val="none"/>
          <w:lang w:eastAsia="zh-CN"/>
        </w:rPr>
        <w:t>10.4</w:t>
      </w:r>
      <w:r>
        <w:rPr>
          <w:rFonts w:hint="eastAsia" w:cs="宋体"/>
          <w:b/>
          <w:bCs/>
          <w:color w:val="auto"/>
          <w:szCs w:val="24"/>
          <w:highlight w:val="none"/>
          <w:lang w:eastAsia="zh-CN"/>
        </w:rPr>
        <w:t>　</w:t>
      </w:r>
      <w:r>
        <w:rPr>
          <w:rFonts w:hint="eastAsia" w:hAnsi="宋体" w:cs="宋体"/>
          <w:b/>
          <w:bCs/>
          <w:color w:val="auto"/>
          <w:szCs w:val="24"/>
          <w:highlight w:val="none"/>
          <w:lang w:eastAsia="zh-CN"/>
        </w:rPr>
        <w:t>提交资金流估算表</w:t>
      </w:r>
      <w:bookmarkEnd w:id="1000"/>
      <w:bookmarkEnd w:id="1001"/>
      <w:bookmarkEnd w:id="1002"/>
    </w:p>
    <w:p w14:paraId="15975443">
      <w:pPr>
        <w:kinsoku/>
        <w:ind w:firstLine="0"/>
        <w:rPr>
          <w:rFonts w:cs="宋体"/>
          <w:color w:val="auto"/>
          <w:highlight w:val="none"/>
          <w:lang w:eastAsia="zh-CN"/>
        </w:rPr>
      </w:pPr>
      <w:r>
        <w:rPr>
          <w:rFonts w:cs="宋体"/>
          <w:color w:val="auto"/>
          <w:highlight w:val="none"/>
          <w:lang w:eastAsia="zh-CN"/>
        </w:rPr>
        <w:t>承包人应在按第</w:t>
      </w:r>
      <w:r>
        <w:rPr>
          <w:rFonts w:hAnsi="Times New Roman" w:cs="Times New Roman"/>
          <w:color w:val="auto"/>
          <w:highlight w:val="none"/>
          <w:lang w:eastAsia="zh-CN"/>
        </w:rPr>
        <w:t>10.1</w:t>
      </w:r>
      <w:r>
        <w:rPr>
          <w:rFonts w:cs="宋体"/>
          <w:color w:val="auto"/>
          <w:highlight w:val="none"/>
          <w:lang w:eastAsia="zh-CN"/>
        </w:rPr>
        <w:t>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52EC70C6">
      <w:pPr>
        <w:kinsoku/>
        <w:spacing w:before="0" w:beforeLines="0" w:afterLines="0" w:line="360" w:lineRule="auto"/>
        <w:ind w:left="0" w:firstLine="0" w:firstLineChars="0"/>
        <w:jc w:val="center"/>
        <w:rPr>
          <w:rFonts w:cs="宋体"/>
          <w:color w:val="auto"/>
          <w:szCs w:val="24"/>
          <w:highlight w:val="none"/>
          <w:lang w:eastAsia="zh-CN"/>
        </w:rPr>
      </w:pPr>
      <w:r>
        <w:rPr>
          <w:rFonts w:cs="宋体"/>
          <w:b/>
          <w:bCs/>
          <w:color w:val="auto"/>
          <w:szCs w:val="24"/>
          <w:highlight w:val="none"/>
          <w:lang w:eastAsia="zh-CN"/>
        </w:rPr>
        <w:t>资金流估算表（参考格式）</w:t>
      </w:r>
    </w:p>
    <w:p w14:paraId="5BDAF599">
      <w:pPr>
        <w:kinsoku/>
        <w:spacing w:before="0" w:beforeLines="0" w:afterLines="0" w:line="360" w:lineRule="auto"/>
        <w:ind w:left="0" w:firstLine="0" w:firstLineChars="0"/>
        <w:jc w:val="right"/>
        <w:rPr>
          <w:rFonts w:cs="宋体"/>
          <w:color w:val="auto"/>
          <w:szCs w:val="24"/>
          <w:highlight w:val="none"/>
        </w:rPr>
      </w:pPr>
      <w:r>
        <w:rPr>
          <w:rFonts w:cs="宋体"/>
          <w:color w:val="auto"/>
          <w:szCs w:val="24"/>
          <w:highlight w:val="none"/>
        </w:rPr>
        <w:t>金额单位：</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79"/>
        <w:gridCol w:w="604"/>
        <w:gridCol w:w="978"/>
        <w:gridCol w:w="1028"/>
        <w:gridCol w:w="1124"/>
        <w:gridCol w:w="1062"/>
        <w:gridCol w:w="905"/>
        <w:gridCol w:w="783"/>
        <w:gridCol w:w="1067"/>
        <w:gridCol w:w="990"/>
      </w:tblGrid>
      <w:tr w14:paraId="24876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17" w:type="pct"/>
            <w:tcBorders>
              <w:tl2br w:val="nil"/>
              <w:tr2bl w:val="nil"/>
            </w:tcBorders>
            <w:vAlign w:val="center"/>
          </w:tcPr>
          <w:p w14:paraId="463D98B8">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年</w:t>
            </w:r>
          </w:p>
        </w:tc>
        <w:tc>
          <w:tcPr>
            <w:tcW w:w="331" w:type="pct"/>
            <w:tcBorders>
              <w:tl2br w:val="nil"/>
              <w:tr2bl w:val="nil"/>
            </w:tcBorders>
            <w:vAlign w:val="center"/>
          </w:tcPr>
          <w:p w14:paraId="1AAB735D">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月</w:t>
            </w:r>
          </w:p>
        </w:tc>
        <w:tc>
          <w:tcPr>
            <w:tcW w:w="536" w:type="pct"/>
            <w:tcBorders>
              <w:tl2br w:val="nil"/>
              <w:tr2bl w:val="nil"/>
            </w:tcBorders>
            <w:vAlign w:val="center"/>
          </w:tcPr>
          <w:p w14:paraId="5FCF0B44">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工程</w:t>
            </w:r>
          </w:p>
          <w:p w14:paraId="7EE97AB0">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预付款</w:t>
            </w:r>
          </w:p>
        </w:tc>
        <w:tc>
          <w:tcPr>
            <w:tcW w:w="563" w:type="pct"/>
            <w:tcBorders>
              <w:tl2br w:val="nil"/>
              <w:tr2bl w:val="nil"/>
            </w:tcBorders>
            <w:vAlign w:val="center"/>
          </w:tcPr>
          <w:p w14:paraId="45EA6BA2">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完成工作量付款</w:t>
            </w:r>
          </w:p>
        </w:tc>
        <w:tc>
          <w:tcPr>
            <w:tcW w:w="616" w:type="pct"/>
            <w:tcBorders>
              <w:tl2br w:val="nil"/>
              <w:tr2bl w:val="nil"/>
            </w:tcBorders>
            <w:vAlign w:val="center"/>
          </w:tcPr>
          <w:p w14:paraId="1A521B7F">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质量保证金扣留</w:t>
            </w:r>
          </w:p>
        </w:tc>
        <w:tc>
          <w:tcPr>
            <w:tcW w:w="582" w:type="pct"/>
            <w:tcBorders>
              <w:tl2br w:val="nil"/>
              <w:tr2bl w:val="nil"/>
            </w:tcBorders>
            <w:vAlign w:val="center"/>
          </w:tcPr>
          <w:p w14:paraId="6869818F">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材料款</w:t>
            </w:r>
          </w:p>
          <w:p w14:paraId="01DE7D79">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扣除</w:t>
            </w:r>
          </w:p>
        </w:tc>
        <w:tc>
          <w:tcPr>
            <w:tcW w:w="496" w:type="pct"/>
            <w:tcBorders>
              <w:tl2br w:val="nil"/>
              <w:tr2bl w:val="nil"/>
            </w:tcBorders>
            <w:vAlign w:val="center"/>
          </w:tcPr>
          <w:p w14:paraId="44230775">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预付款</w:t>
            </w:r>
          </w:p>
          <w:p w14:paraId="3ADD7506">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扣还</w:t>
            </w:r>
          </w:p>
        </w:tc>
        <w:tc>
          <w:tcPr>
            <w:tcW w:w="429" w:type="pct"/>
            <w:tcBorders>
              <w:tl2br w:val="nil"/>
              <w:tr2bl w:val="nil"/>
            </w:tcBorders>
            <w:vAlign w:val="center"/>
          </w:tcPr>
          <w:p w14:paraId="11550B6C">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其它</w:t>
            </w:r>
          </w:p>
        </w:tc>
        <w:tc>
          <w:tcPr>
            <w:tcW w:w="584" w:type="pct"/>
            <w:tcBorders>
              <w:tl2br w:val="nil"/>
              <w:tr2bl w:val="nil"/>
            </w:tcBorders>
            <w:vAlign w:val="center"/>
          </w:tcPr>
          <w:p w14:paraId="60D833AE">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应收款</w:t>
            </w:r>
          </w:p>
        </w:tc>
        <w:tc>
          <w:tcPr>
            <w:tcW w:w="542" w:type="pct"/>
            <w:tcBorders>
              <w:tl2br w:val="nil"/>
              <w:tr2bl w:val="nil"/>
            </w:tcBorders>
            <w:vAlign w:val="center"/>
          </w:tcPr>
          <w:p w14:paraId="34001109">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累计</w:t>
            </w:r>
          </w:p>
          <w:p w14:paraId="5D060E88">
            <w:pPr>
              <w:pStyle w:val="23"/>
              <w:kinsoku/>
              <w:spacing w:beforeLines="0" w:afterLines="0" w:line="0" w:lineRule="atLeast"/>
              <w:ind w:firstLine="0" w:firstLineChars="0"/>
              <w:jc w:val="center"/>
              <w:rPr>
                <w:color w:val="auto"/>
                <w:sz w:val="21"/>
                <w:szCs w:val="21"/>
                <w:highlight w:val="none"/>
              </w:rPr>
            </w:pPr>
            <w:r>
              <w:rPr>
                <w:color w:val="auto"/>
                <w:sz w:val="21"/>
                <w:szCs w:val="21"/>
                <w:highlight w:val="none"/>
              </w:rPr>
              <w:t>应收款</w:t>
            </w:r>
          </w:p>
        </w:tc>
      </w:tr>
      <w:tr w14:paraId="14CA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17" w:type="pct"/>
            <w:tcBorders>
              <w:tl2br w:val="nil"/>
              <w:tr2bl w:val="nil"/>
            </w:tcBorders>
            <w:vAlign w:val="center"/>
          </w:tcPr>
          <w:p w14:paraId="66308544">
            <w:pPr>
              <w:kinsoku/>
              <w:spacing w:beforeLines="0" w:afterLines="0" w:line="0" w:lineRule="atLeast"/>
              <w:ind w:firstLine="0" w:firstLineChars="0"/>
              <w:jc w:val="center"/>
              <w:rPr>
                <w:color w:val="auto"/>
                <w:sz w:val="21"/>
                <w:szCs w:val="21"/>
                <w:highlight w:val="none"/>
              </w:rPr>
            </w:pPr>
          </w:p>
        </w:tc>
        <w:tc>
          <w:tcPr>
            <w:tcW w:w="331" w:type="pct"/>
            <w:tcBorders>
              <w:tl2br w:val="nil"/>
              <w:tr2bl w:val="nil"/>
            </w:tcBorders>
            <w:vAlign w:val="center"/>
          </w:tcPr>
          <w:p w14:paraId="6A34FDD2">
            <w:pPr>
              <w:kinsoku/>
              <w:spacing w:beforeLines="0" w:afterLines="0" w:line="0" w:lineRule="atLeast"/>
              <w:ind w:firstLine="0" w:firstLineChars="0"/>
              <w:jc w:val="center"/>
              <w:rPr>
                <w:color w:val="auto"/>
                <w:sz w:val="21"/>
                <w:szCs w:val="21"/>
                <w:highlight w:val="none"/>
              </w:rPr>
            </w:pPr>
          </w:p>
        </w:tc>
        <w:tc>
          <w:tcPr>
            <w:tcW w:w="536" w:type="pct"/>
            <w:tcBorders>
              <w:tl2br w:val="nil"/>
              <w:tr2bl w:val="nil"/>
            </w:tcBorders>
            <w:vAlign w:val="center"/>
          </w:tcPr>
          <w:p w14:paraId="3E2A6DD0">
            <w:pPr>
              <w:kinsoku/>
              <w:spacing w:beforeLines="0" w:afterLines="0" w:line="0" w:lineRule="atLeast"/>
              <w:ind w:firstLine="0" w:firstLineChars="0"/>
              <w:jc w:val="center"/>
              <w:rPr>
                <w:color w:val="auto"/>
                <w:sz w:val="21"/>
                <w:szCs w:val="21"/>
                <w:highlight w:val="none"/>
              </w:rPr>
            </w:pPr>
          </w:p>
        </w:tc>
        <w:tc>
          <w:tcPr>
            <w:tcW w:w="563" w:type="pct"/>
            <w:tcBorders>
              <w:tl2br w:val="nil"/>
              <w:tr2bl w:val="nil"/>
            </w:tcBorders>
            <w:vAlign w:val="center"/>
          </w:tcPr>
          <w:p w14:paraId="5491FAE5">
            <w:pPr>
              <w:kinsoku/>
              <w:spacing w:beforeLines="0" w:afterLines="0" w:line="0" w:lineRule="atLeast"/>
              <w:ind w:firstLine="0" w:firstLineChars="0"/>
              <w:jc w:val="center"/>
              <w:rPr>
                <w:color w:val="auto"/>
                <w:sz w:val="21"/>
                <w:szCs w:val="21"/>
                <w:highlight w:val="none"/>
              </w:rPr>
            </w:pPr>
          </w:p>
        </w:tc>
        <w:tc>
          <w:tcPr>
            <w:tcW w:w="616" w:type="pct"/>
            <w:tcBorders>
              <w:tl2br w:val="nil"/>
              <w:tr2bl w:val="nil"/>
            </w:tcBorders>
            <w:vAlign w:val="center"/>
          </w:tcPr>
          <w:p w14:paraId="7280DA5F">
            <w:pPr>
              <w:kinsoku/>
              <w:spacing w:beforeLines="0" w:afterLines="0" w:line="0" w:lineRule="atLeast"/>
              <w:ind w:firstLine="0" w:firstLineChars="0"/>
              <w:jc w:val="center"/>
              <w:rPr>
                <w:color w:val="auto"/>
                <w:sz w:val="21"/>
                <w:szCs w:val="21"/>
                <w:highlight w:val="none"/>
              </w:rPr>
            </w:pPr>
          </w:p>
        </w:tc>
        <w:tc>
          <w:tcPr>
            <w:tcW w:w="582" w:type="pct"/>
            <w:tcBorders>
              <w:tl2br w:val="nil"/>
              <w:tr2bl w:val="nil"/>
            </w:tcBorders>
            <w:vAlign w:val="center"/>
          </w:tcPr>
          <w:p w14:paraId="5DAE0403">
            <w:pPr>
              <w:kinsoku/>
              <w:spacing w:beforeLines="0" w:afterLines="0" w:line="0" w:lineRule="atLeast"/>
              <w:ind w:firstLine="0" w:firstLineChars="0"/>
              <w:jc w:val="center"/>
              <w:rPr>
                <w:color w:val="auto"/>
                <w:sz w:val="21"/>
                <w:szCs w:val="21"/>
                <w:highlight w:val="none"/>
              </w:rPr>
            </w:pPr>
          </w:p>
        </w:tc>
        <w:tc>
          <w:tcPr>
            <w:tcW w:w="496" w:type="pct"/>
            <w:tcBorders>
              <w:tl2br w:val="nil"/>
              <w:tr2bl w:val="nil"/>
            </w:tcBorders>
            <w:vAlign w:val="center"/>
          </w:tcPr>
          <w:p w14:paraId="51FF5256">
            <w:pPr>
              <w:kinsoku/>
              <w:spacing w:beforeLines="0" w:afterLines="0" w:line="0" w:lineRule="atLeast"/>
              <w:ind w:firstLine="0" w:firstLineChars="0"/>
              <w:jc w:val="center"/>
              <w:rPr>
                <w:color w:val="auto"/>
                <w:sz w:val="21"/>
                <w:szCs w:val="21"/>
                <w:highlight w:val="none"/>
              </w:rPr>
            </w:pPr>
          </w:p>
        </w:tc>
        <w:tc>
          <w:tcPr>
            <w:tcW w:w="429" w:type="pct"/>
            <w:tcBorders>
              <w:tl2br w:val="nil"/>
              <w:tr2bl w:val="nil"/>
            </w:tcBorders>
            <w:vAlign w:val="center"/>
          </w:tcPr>
          <w:p w14:paraId="539177AA">
            <w:pPr>
              <w:kinsoku/>
              <w:spacing w:beforeLines="0" w:afterLines="0" w:line="0" w:lineRule="atLeast"/>
              <w:ind w:firstLine="0" w:firstLineChars="0"/>
              <w:jc w:val="center"/>
              <w:rPr>
                <w:color w:val="auto"/>
                <w:sz w:val="21"/>
                <w:szCs w:val="21"/>
                <w:highlight w:val="none"/>
              </w:rPr>
            </w:pPr>
          </w:p>
        </w:tc>
        <w:tc>
          <w:tcPr>
            <w:tcW w:w="584" w:type="pct"/>
            <w:tcBorders>
              <w:tl2br w:val="nil"/>
              <w:tr2bl w:val="nil"/>
            </w:tcBorders>
            <w:vAlign w:val="center"/>
          </w:tcPr>
          <w:p w14:paraId="21FA52D2">
            <w:pPr>
              <w:kinsoku/>
              <w:spacing w:beforeLines="0" w:afterLines="0" w:line="0" w:lineRule="atLeast"/>
              <w:ind w:firstLine="0" w:firstLineChars="0"/>
              <w:jc w:val="center"/>
              <w:rPr>
                <w:color w:val="auto"/>
                <w:sz w:val="21"/>
                <w:szCs w:val="21"/>
                <w:highlight w:val="none"/>
              </w:rPr>
            </w:pPr>
          </w:p>
        </w:tc>
        <w:tc>
          <w:tcPr>
            <w:tcW w:w="542" w:type="pct"/>
            <w:tcBorders>
              <w:tl2br w:val="nil"/>
              <w:tr2bl w:val="nil"/>
            </w:tcBorders>
            <w:vAlign w:val="center"/>
          </w:tcPr>
          <w:p w14:paraId="16472790">
            <w:pPr>
              <w:kinsoku/>
              <w:spacing w:beforeLines="0" w:afterLines="0" w:line="0" w:lineRule="atLeast"/>
              <w:ind w:firstLine="0" w:firstLineChars="0"/>
              <w:jc w:val="center"/>
              <w:rPr>
                <w:color w:val="auto"/>
                <w:sz w:val="21"/>
                <w:szCs w:val="21"/>
                <w:highlight w:val="none"/>
              </w:rPr>
            </w:pPr>
          </w:p>
        </w:tc>
      </w:tr>
      <w:tr w14:paraId="1376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17" w:type="pct"/>
            <w:tcBorders>
              <w:tl2br w:val="nil"/>
              <w:tr2bl w:val="nil"/>
            </w:tcBorders>
            <w:vAlign w:val="center"/>
          </w:tcPr>
          <w:p w14:paraId="4D217846">
            <w:pPr>
              <w:kinsoku/>
              <w:spacing w:beforeLines="0" w:afterLines="0" w:line="0" w:lineRule="atLeast"/>
              <w:ind w:firstLine="0" w:firstLineChars="0"/>
              <w:jc w:val="center"/>
              <w:rPr>
                <w:color w:val="auto"/>
                <w:sz w:val="21"/>
                <w:szCs w:val="21"/>
                <w:highlight w:val="none"/>
              </w:rPr>
            </w:pPr>
          </w:p>
        </w:tc>
        <w:tc>
          <w:tcPr>
            <w:tcW w:w="331" w:type="pct"/>
            <w:tcBorders>
              <w:tl2br w:val="nil"/>
              <w:tr2bl w:val="nil"/>
            </w:tcBorders>
            <w:vAlign w:val="center"/>
          </w:tcPr>
          <w:p w14:paraId="279EC436">
            <w:pPr>
              <w:kinsoku/>
              <w:spacing w:beforeLines="0" w:afterLines="0" w:line="0" w:lineRule="atLeast"/>
              <w:ind w:firstLine="0" w:firstLineChars="0"/>
              <w:jc w:val="center"/>
              <w:rPr>
                <w:color w:val="auto"/>
                <w:sz w:val="21"/>
                <w:szCs w:val="21"/>
                <w:highlight w:val="none"/>
              </w:rPr>
            </w:pPr>
          </w:p>
        </w:tc>
        <w:tc>
          <w:tcPr>
            <w:tcW w:w="536" w:type="pct"/>
            <w:tcBorders>
              <w:tl2br w:val="nil"/>
              <w:tr2bl w:val="nil"/>
            </w:tcBorders>
            <w:vAlign w:val="center"/>
          </w:tcPr>
          <w:p w14:paraId="1F1F8406">
            <w:pPr>
              <w:kinsoku/>
              <w:spacing w:beforeLines="0" w:afterLines="0" w:line="0" w:lineRule="atLeast"/>
              <w:ind w:firstLine="0" w:firstLineChars="0"/>
              <w:jc w:val="center"/>
              <w:rPr>
                <w:color w:val="auto"/>
                <w:sz w:val="21"/>
                <w:szCs w:val="21"/>
                <w:highlight w:val="none"/>
              </w:rPr>
            </w:pPr>
          </w:p>
        </w:tc>
        <w:tc>
          <w:tcPr>
            <w:tcW w:w="563" w:type="pct"/>
            <w:tcBorders>
              <w:tl2br w:val="nil"/>
              <w:tr2bl w:val="nil"/>
            </w:tcBorders>
            <w:vAlign w:val="center"/>
          </w:tcPr>
          <w:p w14:paraId="2CD1B916">
            <w:pPr>
              <w:kinsoku/>
              <w:spacing w:beforeLines="0" w:afterLines="0" w:line="0" w:lineRule="atLeast"/>
              <w:ind w:firstLine="0" w:firstLineChars="0"/>
              <w:jc w:val="center"/>
              <w:rPr>
                <w:color w:val="auto"/>
                <w:sz w:val="21"/>
                <w:szCs w:val="21"/>
                <w:highlight w:val="none"/>
              </w:rPr>
            </w:pPr>
          </w:p>
        </w:tc>
        <w:tc>
          <w:tcPr>
            <w:tcW w:w="616" w:type="pct"/>
            <w:tcBorders>
              <w:tl2br w:val="nil"/>
              <w:tr2bl w:val="nil"/>
            </w:tcBorders>
            <w:vAlign w:val="center"/>
          </w:tcPr>
          <w:p w14:paraId="2AD056AB">
            <w:pPr>
              <w:kinsoku/>
              <w:spacing w:beforeLines="0" w:afterLines="0" w:line="0" w:lineRule="atLeast"/>
              <w:ind w:firstLine="0" w:firstLineChars="0"/>
              <w:jc w:val="center"/>
              <w:rPr>
                <w:color w:val="auto"/>
                <w:sz w:val="21"/>
                <w:szCs w:val="21"/>
                <w:highlight w:val="none"/>
              </w:rPr>
            </w:pPr>
          </w:p>
        </w:tc>
        <w:tc>
          <w:tcPr>
            <w:tcW w:w="582" w:type="pct"/>
            <w:tcBorders>
              <w:tl2br w:val="nil"/>
              <w:tr2bl w:val="nil"/>
            </w:tcBorders>
            <w:vAlign w:val="center"/>
          </w:tcPr>
          <w:p w14:paraId="746086A4">
            <w:pPr>
              <w:kinsoku/>
              <w:spacing w:beforeLines="0" w:afterLines="0" w:line="0" w:lineRule="atLeast"/>
              <w:ind w:firstLine="0" w:firstLineChars="0"/>
              <w:jc w:val="center"/>
              <w:rPr>
                <w:color w:val="auto"/>
                <w:sz w:val="21"/>
                <w:szCs w:val="21"/>
                <w:highlight w:val="none"/>
              </w:rPr>
            </w:pPr>
          </w:p>
        </w:tc>
        <w:tc>
          <w:tcPr>
            <w:tcW w:w="496" w:type="pct"/>
            <w:tcBorders>
              <w:tl2br w:val="nil"/>
              <w:tr2bl w:val="nil"/>
            </w:tcBorders>
            <w:vAlign w:val="center"/>
          </w:tcPr>
          <w:p w14:paraId="053ED2F7">
            <w:pPr>
              <w:kinsoku/>
              <w:spacing w:beforeLines="0" w:afterLines="0" w:line="0" w:lineRule="atLeast"/>
              <w:ind w:firstLine="0" w:firstLineChars="0"/>
              <w:jc w:val="center"/>
              <w:rPr>
                <w:color w:val="auto"/>
                <w:sz w:val="21"/>
                <w:szCs w:val="21"/>
                <w:highlight w:val="none"/>
              </w:rPr>
            </w:pPr>
          </w:p>
        </w:tc>
        <w:tc>
          <w:tcPr>
            <w:tcW w:w="429" w:type="pct"/>
            <w:tcBorders>
              <w:tl2br w:val="nil"/>
              <w:tr2bl w:val="nil"/>
            </w:tcBorders>
            <w:vAlign w:val="center"/>
          </w:tcPr>
          <w:p w14:paraId="133C5C6A">
            <w:pPr>
              <w:kinsoku/>
              <w:spacing w:beforeLines="0" w:afterLines="0" w:line="0" w:lineRule="atLeast"/>
              <w:ind w:firstLine="0" w:firstLineChars="0"/>
              <w:jc w:val="center"/>
              <w:rPr>
                <w:color w:val="auto"/>
                <w:sz w:val="21"/>
                <w:szCs w:val="21"/>
                <w:highlight w:val="none"/>
              </w:rPr>
            </w:pPr>
          </w:p>
        </w:tc>
        <w:tc>
          <w:tcPr>
            <w:tcW w:w="584" w:type="pct"/>
            <w:tcBorders>
              <w:tl2br w:val="nil"/>
              <w:tr2bl w:val="nil"/>
            </w:tcBorders>
            <w:vAlign w:val="center"/>
          </w:tcPr>
          <w:p w14:paraId="021170B9">
            <w:pPr>
              <w:kinsoku/>
              <w:spacing w:beforeLines="0" w:afterLines="0" w:line="0" w:lineRule="atLeast"/>
              <w:ind w:firstLine="0" w:firstLineChars="0"/>
              <w:jc w:val="center"/>
              <w:rPr>
                <w:color w:val="auto"/>
                <w:sz w:val="21"/>
                <w:szCs w:val="21"/>
                <w:highlight w:val="none"/>
              </w:rPr>
            </w:pPr>
          </w:p>
        </w:tc>
        <w:tc>
          <w:tcPr>
            <w:tcW w:w="542" w:type="pct"/>
            <w:tcBorders>
              <w:tl2br w:val="nil"/>
              <w:tr2bl w:val="nil"/>
            </w:tcBorders>
            <w:vAlign w:val="center"/>
          </w:tcPr>
          <w:p w14:paraId="5FC768B8">
            <w:pPr>
              <w:kinsoku/>
              <w:spacing w:beforeLines="0" w:afterLines="0" w:line="0" w:lineRule="atLeast"/>
              <w:ind w:firstLine="0" w:firstLineChars="0"/>
              <w:jc w:val="center"/>
              <w:rPr>
                <w:color w:val="auto"/>
                <w:sz w:val="21"/>
                <w:szCs w:val="21"/>
                <w:highlight w:val="none"/>
              </w:rPr>
            </w:pPr>
          </w:p>
        </w:tc>
      </w:tr>
      <w:tr w14:paraId="1D2AF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17" w:type="pct"/>
            <w:tcBorders>
              <w:tl2br w:val="nil"/>
              <w:tr2bl w:val="nil"/>
            </w:tcBorders>
            <w:vAlign w:val="center"/>
          </w:tcPr>
          <w:p w14:paraId="538231D7">
            <w:pPr>
              <w:kinsoku/>
              <w:spacing w:beforeLines="0" w:afterLines="0" w:line="0" w:lineRule="atLeast"/>
              <w:ind w:firstLine="0" w:firstLineChars="0"/>
              <w:jc w:val="center"/>
              <w:rPr>
                <w:color w:val="auto"/>
                <w:sz w:val="21"/>
                <w:szCs w:val="21"/>
                <w:highlight w:val="none"/>
              </w:rPr>
            </w:pPr>
          </w:p>
        </w:tc>
        <w:tc>
          <w:tcPr>
            <w:tcW w:w="331" w:type="pct"/>
            <w:tcBorders>
              <w:tl2br w:val="nil"/>
              <w:tr2bl w:val="nil"/>
            </w:tcBorders>
            <w:vAlign w:val="center"/>
          </w:tcPr>
          <w:p w14:paraId="4DB7614C">
            <w:pPr>
              <w:kinsoku/>
              <w:spacing w:beforeLines="0" w:afterLines="0" w:line="0" w:lineRule="atLeast"/>
              <w:ind w:firstLine="0" w:firstLineChars="0"/>
              <w:jc w:val="center"/>
              <w:rPr>
                <w:color w:val="auto"/>
                <w:sz w:val="21"/>
                <w:szCs w:val="21"/>
                <w:highlight w:val="none"/>
              </w:rPr>
            </w:pPr>
          </w:p>
        </w:tc>
        <w:tc>
          <w:tcPr>
            <w:tcW w:w="536" w:type="pct"/>
            <w:tcBorders>
              <w:tl2br w:val="nil"/>
              <w:tr2bl w:val="nil"/>
            </w:tcBorders>
            <w:vAlign w:val="center"/>
          </w:tcPr>
          <w:p w14:paraId="5B224BF0">
            <w:pPr>
              <w:kinsoku/>
              <w:spacing w:beforeLines="0" w:afterLines="0" w:line="0" w:lineRule="atLeast"/>
              <w:ind w:firstLine="0" w:firstLineChars="0"/>
              <w:jc w:val="center"/>
              <w:rPr>
                <w:color w:val="auto"/>
                <w:sz w:val="21"/>
                <w:szCs w:val="21"/>
                <w:highlight w:val="none"/>
              </w:rPr>
            </w:pPr>
          </w:p>
        </w:tc>
        <w:tc>
          <w:tcPr>
            <w:tcW w:w="563" w:type="pct"/>
            <w:tcBorders>
              <w:tl2br w:val="nil"/>
              <w:tr2bl w:val="nil"/>
            </w:tcBorders>
            <w:vAlign w:val="center"/>
          </w:tcPr>
          <w:p w14:paraId="2674D960">
            <w:pPr>
              <w:kinsoku/>
              <w:spacing w:beforeLines="0" w:afterLines="0" w:line="0" w:lineRule="atLeast"/>
              <w:ind w:firstLine="0" w:firstLineChars="0"/>
              <w:jc w:val="center"/>
              <w:rPr>
                <w:color w:val="auto"/>
                <w:sz w:val="21"/>
                <w:szCs w:val="21"/>
                <w:highlight w:val="none"/>
              </w:rPr>
            </w:pPr>
          </w:p>
        </w:tc>
        <w:tc>
          <w:tcPr>
            <w:tcW w:w="616" w:type="pct"/>
            <w:tcBorders>
              <w:tl2br w:val="nil"/>
              <w:tr2bl w:val="nil"/>
            </w:tcBorders>
            <w:vAlign w:val="center"/>
          </w:tcPr>
          <w:p w14:paraId="3676635A">
            <w:pPr>
              <w:kinsoku/>
              <w:spacing w:beforeLines="0" w:afterLines="0" w:line="0" w:lineRule="atLeast"/>
              <w:ind w:firstLine="0" w:firstLineChars="0"/>
              <w:jc w:val="center"/>
              <w:rPr>
                <w:color w:val="auto"/>
                <w:sz w:val="21"/>
                <w:szCs w:val="21"/>
                <w:highlight w:val="none"/>
              </w:rPr>
            </w:pPr>
          </w:p>
        </w:tc>
        <w:tc>
          <w:tcPr>
            <w:tcW w:w="582" w:type="pct"/>
            <w:tcBorders>
              <w:tl2br w:val="nil"/>
              <w:tr2bl w:val="nil"/>
            </w:tcBorders>
            <w:vAlign w:val="center"/>
          </w:tcPr>
          <w:p w14:paraId="3B6129C8">
            <w:pPr>
              <w:kinsoku/>
              <w:spacing w:beforeLines="0" w:afterLines="0" w:line="0" w:lineRule="atLeast"/>
              <w:ind w:firstLine="0" w:firstLineChars="0"/>
              <w:jc w:val="center"/>
              <w:rPr>
                <w:color w:val="auto"/>
                <w:sz w:val="21"/>
                <w:szCs w:val="21"/>
                <w:highlight w:val="none"/>
              </w:rPr>
            </w:pPr>
          </w:p>
        </w:tc>
        <w:tc>
          <w:tcPr>
            <w:tcW w:w="496" w:type="pct"/>
            <w:tcBorders>
              <w:tl2br w:val="nil"/>
              <w:tr2bl w:val="nil"/>
            </w:tcBorders>
            <w:vAlign w:val="center"/>
          </w:tcPr>
          <w:p w14:paraId="283C3E88">
            <w:pPr>
              <w:kinsoku/>
              <w:spacing w:beforeLines="0" w:afterLines="0" w:line="0" w:lineRule="atLeast"/>
              <w:ind w:firstLine="0" w:firstLineChars="0"/>
              <w:jc w:val="center"/>
              <w:rPr>
                <w:color w:val="auto"/>
                <w:sz w:val="21"/>
                <w:szCs w:val="21"/>
                <w:highlight w:val="none"/>
              </w:rPr>
            </w:pPr>
          </w:p>
        </w:tc>
        <w:tc>
          <w:tcPr>
            <w:tcW w:w="429" w:type="pct"/>
            <w:tcBorders>
              <w:tl2br w:val="nil"/>
              <w:tr2bl w:val="nil"/>
            </w:tcBorders>
            <w:vAlign w:val="center"/>
          </w:tcPr>
          <w:p w14:paraId="3A1360C7">
            <w:pPr>
              <w:kinsoku/>
              <w:spacing w:beforeLines="0" w:afterLines="0" w:line="0" w:lineRule="atLeast"/>
              <w:ind w:firstLine="0" w:firstLineChars="0"/>
              <w:jc w:val="center"/>
              <w:rPr>
                <w:color w:val="auto"/>
                <w:sz w:val="21"/>
                <w:szCs w:val="21"/>
                <w:highlight w:val="none"/>
              </w:rPr>
            </w:pPr>
          </w:p>
        </w:tc>
        <w:tc>
          <w:tcPr>
            <w:tcW w:w="584" w:type="pct"/>
            <w:tcBorders>
              <w:tl2br w:val="nil"/>
              <w:tr2bl w:val="nil"/>
            </w:tcBorders>
            <w:vAlign w:val="center"/>
          </w:tcPr>
          <w:p w14:paraId="621EE083">
            <w:pPr>
              <w:kinsoku/>
              <w:spacing w:beforeLines="0" w:afterLines="0" w:line="0" w:lineRule="atLeast"/>
              <w:ind w:firstLine="0" w:firstLineChars="0"/>
              <w:jc w:val="center"/>
              <w:rPr>
                <w:color w:val="auto"/>
                <w:sz w:val="21"/>
                <w:szCs w:val="21"/>
                <w:highlight w:val="none"/>
              </w:rPr>
            </w:pPr>
          </w:p>
        </w:tc>
        <w:tc>
          <w:tcPr>
            <w:tcW w:w="542" w:type="pct"/>
            <w:tcBorders>
              <w:tl2br w:val="nil"/>
              <w:tr2bl w:val="nil"/>
            </w:tcBorders>
            <w:vAlign w:val="center"/>
          </w:tcPr>
          <w:p w14:paraId="0549BD42">
            <w:pPr>
              <w:kinsoku/>
              <w:spacing w:beforeLines="0" w:afterLines="0" w:line="0" w:lineRule="atLeast"/>
              <w:ind w:firstLine="0" w:firstLineChars="0"/>
              <w:jc w:val="center"/>
              <w:rPr>
                <w:color w:val="auto"/>
                <w:sz w:val="21"/>
                <w:szCs w:val="21"/>
                <w:highlight w:val="none"/>
              </w:rPr>
            </w:pPr>
          </w:p>
        </w:tc>
      </w:tr>
    </w:tbl>
    <w:p w14:paraId="452241F7">
      <w:pPr>
        <w:kinsoku/>
        <w:spacing w:before="0" w:line="360" w:lineRule="auto"/>
        <w:outlineLvl w:val="9"/>
        <w:rPr>
          <w:rFonts w:hint="eastAsia"/>
          <w:color w:val="auto"/>
          <w:highlight w:val="none"/>
        </w:rPr>
      </w:pPr>
    </w:p>
    <w:p w14:paraId="5A0D2B30">
      <w:pPr>
        <w:pStyle w:val="3"/>
        <w:kinsoku/>
        <w:spacing w:before="0" w:beforeLines="0" w:afterLines="0" w:line="360" w:lineRule="auto"/>
        <w:outlineLvl w:val="1"/>
        <w:rPr>
          <w:rFonts w:hint="eastAsia" w:ascii="宋体" w:cs="宋体"/>
          <w:color w:val="auto"/>
          <w:sz w:val="30"/>
          <w:szCs w:val="30"/>
          <w:highlight w:val="none"/>
        </w:rPr>
      </w:pPr>
      <w:bookmarkStart w:id="1003" w:name="_Toc2588"/>
      <w:bookmarkStart w:id="1004" w:name="_Toc29120"/>
      <w:bookmarkStart w:id="1005" w:name="_Toc3662"/>
      <w:bookmarkStart w:id="1006" w:name="_Toc13970"/>
      <w:bookmarkStart w:id="1007" w:name="_Toc18134"/>
      <w:bookmarkStart w:id="1008" w:name="_Toc19618"/>
      <w:bookmarkStart w:id="1009" w:name="_Toc8240"/>
      <w:bookmarkStart w:id="1010" w:name="_Toc18993"/>
      <w:bookmarkStart w:id="1011" w:name="_Toc1462"/>
      <w:bookmarkStart w:id="1012" w:name="_Toc5074"/>
      <w:bookmarkStart w:id="1013" w:name="_Toc2970"/>
      <w:bookmarkStart w:id="1014" w:name="_Toc327"/>
      <w:bookmarkStart w:id="1015" w:name="_Toc5826"/>
      <w:bookmarkStart w:id="1016" w:name="_Toc20677"/>
      <w:r>
        <w:rPr>
          <w:rFonts w:hint="eastAsia" w:ascii="宋体" w:cs="宋体"/>
          <w:color w:val="auto"/>
          <w:sz w:val="30"/>
          <w:szCs w:val="30"/>
          <w:highlight w:val="none"/>
        </w:rPr>
        <w:t>11</w:t>
      </w:r>
      <w:r>
        <w:rPr>
          <w:rFonts w:hint="eastAsia" w:cs="宋体"/>
          <w:color w:val="auto"/>
          <w:sz w:val="30"/>
          <w:szCs w:val="30"/>
          <w:highlight w:val="none"/>
          <w:lang w:eastAsia="zh-CN"/>
        </w:rPr>
        <w:t>　</w:t>
      </w:r>
      <w:r>
        <w:rPr>
          <w:rFonts w:hint="eastAsia" w:ascii="宋体" w:cs="宋体"/>
          <w:color w:val="auto"/>
          <w:sz w:val="30"/>
          <w:szCs w:val="30"/>
          <w:highlight w:val="none"/>
        </w:rPr>
        <w:t>开工和完工</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 w14:paraId="46D6001D">
      <w:pPr>
        <w:pStyle w:val="4"/>
        <w:kinsoku/>
        <w:spacing w:beforeLines="0" w:afterLines="0"/>
        <w:rPr>
          <w:rFonts w:hint="eastAsia" w:hAnsi="宋体" w:cs="宋体"/>
          <w:bCs/>
          <w:color w:val="auto"/>
          <w:szCs w:val="24"/>
          <w:highlight w:val="none"/>
          <w:lang w:eastAsia="zh-CN"/>
        </w:rPr>
      </w:pPr>
      <w:bookmarkStart w:id="1017" w:name="_Toc2420"/>
      <w:bookmarkStart w:id="1018" w:name="_Toc2098"/>
      <w:bookmarkStart w:id="1019" w:name="_Toc21455"/>
      <w:r>
        <w:rPr>
          <w:rFonts w:hint="eastAsia" w:hAnsi="宋体" w:cs="宋体"/>
          <w:b/>
          <w:bCs/>
          <w:color w:val="auto"/>
          <w:szCs w:val="24"/>
          <w:highlight w:val="none"/>
          <w:lang w:eastAsia="zh-CN"/>
        </w:rPr>
        <w:t>11.1</w:t>
      </w:r>
      <w:r>
        <w:rPr>
          <w:rFonts w:hint="eastAsia" w:cs="宋体"/>
          <w:b/>
          <w:bCs/>
          <w:color w:val="auto"/>
          <w:szCs w:val="24"/>
          <w:highlight w:val="none"/>
          <w:lang w:eastAsia="zh-CN"/>
        </w:rPr>
        <w:t>　</w:t>
      </w:r>
      <w:r>
        <w:rPr>
          <w:rFonts w:hint="eastAsia" w:hAnsi="宋体" w:cs="宋体"/>
          <w:b/>
          <w:bCs/>
          <w:color w:val="auto"/>
          <w:szCs w:val="24"/>
          <w:highlight w:val="none"/>
          <w:lang w:eastAsia="zh-CN"/>
        </w:rPr>
        <w:t>开工</w:t>
      </w:r>
      <w:bookmarkEnd w:id="1017"/>
      <w:bookmarkEnd w:id="1018"/>
      <w:bookmarkEnd w:id="1019"/>
    </w:p>
    <w:p w14:paraId="20D2506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11.1.1</w:t>
      </w:r>
      <w:r>
        <w:rPr>
          <w:rFonts w:hint="eastAsia" w:hAnsi="Times New Roman" w:cs="Times New Roman"/>
          <w:b/>
          <w:bCs/>
          <w:color w:val="auto"/>
          <w:highlight w:val="none"/>
          <w:lang w:eastAsia="zh-CN"/>
        </w:rPr>
        <w:t>　</w:t>
      </w:r>
      <w:r>
        <w:rPr>
          <w:rFonts w:cs="宋体"/>
          <w:color w:val="auto"/>
          <w:highlight w:val="none"/>
          <w:lang w:eastAsia="zh-CN"/>
        </w:rPr>
        <w:t>监理人应在开工日期</w:t>
      </w:r>
      <w:r>
        <w:rPr>
          <w:rFonts w:hAnsi="Times New Roman" w:cs="Times New Roman"/>
          <w:color w:val="auto"/>
          <w:highlight w:val="none"/>
          <w:lang w:eastAsia="zh-CN"/>
        </w:rPr>
        <w:t>7</w:t>
      </w:r>
      <w:r>
        <w:rPr>
          <w:rFonts w:cs="宋体"/>
          <w:color w:val="auto"/>
          <w:highlight w:val="none"/>
          <w:lang w:eastAsia="zh-CN"/>
        </w:rPr>
        <w:t>天前向承包人发出开工通知。监理人在发出开工通知前应获得发包人同意。工期自监理人发出的开工通知中载明的开工日期起计算。承包人应在开工日期后尽快施工。</w:t>
      </w:r>
    </w:p>
    <w:p w14:paraId="0B7B9BA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11.1.2</w:t>
      </w:r>
      <w:r>
        <w:rPr>
          <w:rFonts w:hint="eastAsia" w:hAnsi="Times New Roman" w:cs="Times New Roman"/>
          <w:b/>
          <w:bCs/>
          <w:color w:val="auto"/>
          <w:highlight w:val="none"/>
          <w:lang w:eastAsia="zh-CN"/>
        </w:rPr>
        <w:t>　</w:t>
      </w:r>
      <w:r>
        <w:rPr>
          <w:rFonts w:cs="宋体"/>
          <w:color w:val="auto"/>
          <w:highlight w:val="none"/>
          <w:lang w:eastAsia="zh-CN"/>
        </w:rPr>
        <w:t>承包人应按第</w:t>
      </w:r>
      <w:r>
        <w:rPr>
          <w:rFonts w:hAnsi="Times New Roman" w:cs="Times New Roman"/>
          <w:color w:val="auto"/>
          <w:highlight w:val="none"/>
          <w:lang w:eastAsia="zh-CN"/>
        </w:rPr>
        <w:t>10.1</w:t>
      </w:r>
      <w:r>
        <w:rPr>
          <w:rFonts w:cs="宋体"/>
          <w:color w:val="auto"/>
          <w:highlight w:val="none"/>
          <w:lang w:eastAsia="zh-CN"/>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03B5487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11.1.3</w:t>
      </w:r>
      <w:r>
        <w:rPr>
          <w:rFonts w:hint="eastAsia" w:hAnsi="Times New Roman" w:cs="Times New Roman"/>
          <w:b/>
          <w:bCs/>
          <w:color w:val="auto"/>
          <w:highlight w:val="none"/>
          <w:lang w:eastAsia="zh-CN"/>
        </w:rPr>
        <w:t>　</w:t>
      </w:r>
      <w:r>
        <w:rPr>
          <w:rFonts w:cs="宋体"/>
          <w:color w:val="auto"/>
          <w:highlight w:val="none"/>
          <w:lang w:eastAsia="zh-CN"/>
        </w:rPr>
        <w:t>若发包人未能按合同约定向承包人提供开工的必要条件，承包人有权要求延长工期。监理人应在收到承包人的书面要求后，按第</w:t>
      </w:r>
      <w:r>
        <w:rPr>
          <w:rFonts w:hAnsi="Times New Roman" w:cs="Times New Roman"/>
          <w:color w:val="auto"/>
          <w:highlight w:val="none"/>
          <w:lang w:eastAsia="zh-CN"/>
        </w:rPr>
        <w:t>3.5</w:t>
      </w:r>
      <w:r>
        <w:rPr>
          <w:rFonts w:cs="宋体"/>
          <w:color w:val="auto"/>
          <w:highlight w:val="none"/>
          <w:lang w:eastAsia="zh-CN"/>
        </w:rPr>
        <w:t>款的约定，与合同双方商定或确定增加的费用和延长的工期。</w:t>
      </w:r>
    </w:p>
    <w:p w14:paraId="0E00AC7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11.1.4</w:t>
      </w:r>
      <w:r>
        <w:rPr>
          <w:rFonts w:hint="eastAsia" w:hAnsi="Times New Roman" w:cs="Times New Roman"/>
          <w:b/>
          <w:bCs/>
          <w:color w:val="auto"/>
          <w:highlight w:val="none"/>
          <w:lang w:eastAsia="zh-CN"/>
        </w:rPr>
        <w:t>　</w:t>
      </w:r>
      <w:r>
        <w:rPr>
          <w:rFonts w:cs="宋体"/>
          <w:color w:val="auto"/>
          <w:highlight w:val="none"/>
          <w:lang w:eastAsia="zh-CN"/>
        </w:rPr>
        <w:t>承包人在接到开工通知后</w:t>
      </w:r>
      <w:r>
        <w:rPr>
          <w:rFonts w:hAnsi="Times New Roman" w:cs="Times New Roman"/>
          <w:color w:val="auto"/>
          <w:highlight w:val="none"/>
          <w:lang w:eastAsia="zh-CN"/>
        </w:rPr>
        <w:t>14</w:t>
      </w:r>
      <w:r>
        <w:rPr>
          <w:rFonts w:cs="宋体"/>
          <w:color w:val="auto"/>
          <w:highlight w:val="none"/>
          <w:lang w:eastAsia="zh-CN"/>
        </w:rPr>
        <w:t>天内未按进度计划要求及时进场组织施工，监理人可通知承包人在接到通知后</w:t>
      </w:r>
      <w:r>
        <w:rPr>
          <w:rFonts w:hAnsi="Times New Roman" w:cs="Times New Roman"/>
          <w:color w:val="auto"/>
          <w:highlight w:val="none"/>
          <w:lang w:eastAsia="zh-CN"/>
        </w:rPr>
        <w:t>7</w:t>
      </w:r>
      <w:r>
        <w:rPr>
          <w:rFonts w:cs="宋体"/>
          <w:color w:val="auto"/>
          <w:highlight w:val="none"/>
          <w:lang w:eastAsia="zh-CN"/>
        </w:rPr>
        <w:t>天内提交一份说明其进场延误的书面报告，报送监理人。书面报告应说明不能及时进场的原因和补救措施，由此增加的费用和工期延误责任由承包人承担。</w:t>
      </w:r>
    </w:p>
    <w:p w14:paraId="26CE3FEB">
      <w:pPr>
        <w:pStyle w:val="4"/>
        <w:kinsoku/>
        <w:spacing w:beforeLines="0" w:afterLines="0"/>
        <w:rPr>
          <w:rFonts w:hint="eastAsia" w:hAnsi="宋体" w:cs="宋体"/>
          <w:bCs/>
          <w:color w:val="auto"/>
          <w:szCs w:val="24"/>
          <w:highlight w:val="none"/>
          <w:lang w:eastAsia="zh-CN"/>
        </w:rPr>
      </w:pPr>
      <w:bookmarkStart w:id="1020" w:name="_Toc28770"/>
      <w:bookmarkStart w:id="1021" w:name="_Toc13564"/>
      <w:bookmarkStart w:id="1022" w:name="_Toc31544"/>
      <w:r>
        <w:rPr>
          <w:rFonts w:hint="eastAsia" w:hAnsi="宋体" w:cs="宋体"/>
          <w:b/>
          <w:bCs/>
          <w:color w:val="auto"/>
          <w:szCs w:val="24"/>
          <w:highlight w:val="none"/>
          <w:lang w:eastAsia="zh-CN"/>
        </w:rPr>
        <w:t>11.2</w:t>
      </w:r>
      <w:r>
        <w:rPr>
          <w:rFonts w:hint="eastAsia" w:cs="宋体"/>
          <w:b/>
          <w:bCs/>
          <w:color w:val="auto"/>
          <w:szCs w:val="24"/>
          <w:highlight w:val="none"/>
          <w:lang w:eastAsia="zh-CN"/>
        </w:rPr>
        <w:t>　</w:t>
      </w:r>
      <w:r>
        <w:rPr>
          <w:rFonts w:hint="eastAsia" w:hAnsi="宋体" w:cs="宋体"/>
          <w:b/>
          <w:bCs/>
          <w:color w:val="auto"/>
          <w:szCs w:val="24"/>
          <w:highlight w:val="none"/>
          <w:lang w:eastAsia="zh-CN"/>
        </w:rPr>
        <w:t>完工</w:t>
      </w:r>
      <w:bookmarkEnd w:id="1020"/>
      <w:bookmarkEnd w:id="1021"/>
      <w:bookmarkEnd w:id="1022"/>
    </w:p>
    <w:p w14:paraId="4B922309">
      <w:pPr>
        <w:kinsoku/>
        <w:spacing w:beforeLines="0" w:afterLines="0"/>
        <w:ind w:firstLine="0" w:firstLineChars="0"/>
        <w:jc w:val="left"/>
        <w:rPr>
          <w:rFonts w:cs="宋体"/>
          <w:color w:val="auto"/>
          <w:highlight w:val="none"/>
          <w:lang w:eastAsia="zh-CN"/>
        </w:rPr>
      </w:pPr>
      <w:r>
        <w:rPr>
          <w:rFonts w:cs="宋体"/>
          <w:color w:val="auto"/>
          <w:highlight w:val="none"/>
          <w:lang w:eastAsia="zh-CN"/>
        </w:rPr>
        <w:t>承包人应在第</w:t>
      </w:r>
      <w:r>
        <w:rPr>
          <w:color w:val="auto"/>
          <w:highlight w:val="none"/>
        </w:rPr>
        <w:fldChar w:fldCharType="begin"/>
      </w:r>
      <w:r>
        <w:rPr>
          <w:color w:val="auto"/>
          <w:highlight w:val="none"/>
          <w:lang w:eastAsia="zh-CN"/>
        </w:rPr>
        <w:instrText xml:space="preserve">HYPERLINK "1.1.4.3"</w:instrText>
      </w:r>
      <w:r>
        <w:rPr>
          <w:color w:val="auto"/>
          <w:highlight w:val="none"/>
        </w:rPr>
        <w:fldChar w:fldCharType="separate"/>
      </w:r>
      <w:r>
        <w:rPr>
          <w:rFonts w:hAnsi="Times New Roman" w:cs="Times New Roman"/>
          <w:color w:val="auto"/>
          <w:highlight w:val="none"/>
          <w:lang w:eastAsia="zh-CN"/>
        </w:rPr>
        <w:t>1.1.4.3</w:t>
      </w:r>
      <w:r>
        <w:rPr>
          <w:color w:val="auto"/>
          <w:highlight w:val="none"/>
        </w:rPr>
        <w:fldChar w:fldCharType="end"/>
      </w:r>
      <w:r>
        <w:rPr>
          <w:rFonts w:cs="宋体"/>
          <w:color w:val="auto"/>
          <w:highlight w:val="none"/>
          <w:lang w:eastAsia="zh-CN"/>
        </w:rPr>
        <w:t>目约定的期限内完成合同工程。合同工程实际完工日期在合同工程完工证书中明确。</w:t>
      </w:r>
    </w:p>
    <w:p w14:paraId="55C8A257">
      <w:pPr>
        <w:pStyle w:val="4"/>
        <w:kinsoku/>
        <w:spacing w:beforeLines="0" w:afterLines="0"/>
        <w:rPr>
          <w:rFonts w:hint="eastAsia" w:hAnsi="宋体" w:cs="宋体"/>
          <w:bCs/>
          <w:color w:val="auto"/>
          <w:szCs w:val="24"/>
          <w:highlight w:val="none"/>
          <w:lang w:eastAsia="zh-CN"/>
        </w:rPr>
      </w:pPr>
      <w:bookmarkStart w:id="1023" w:name="_Toc29351"/>
      <w:bookmarkStart w:id="1024" w:name="_Toc14425"/>
      <w:bookmarkStart w:id="1025" w:name="_Toc7309"/>
      <w:r>
        <w:rPr>
          <w:rFonts w:hint="eastAsia" w:hAnsi="宋体" w:cs="宋体"/>
          <w:b/>
          <w:bCs/>
          <w:color w:val="auto"/>
          <w:szCs w:val="24"/>
          <w:highlight w:val="none"/>
          <w:lang w:eastAsia="zh-CN"/>
        </w:rPr>
        <w:t>11.3</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发包人的工期延误</w:t>
      </w:r>
      <w:bookmarkEnd w:id="1023"/>
      <w:bookmarkEnd w:id="1024"/>
      <w:bookmarkEnd w:id="1025"/>
    </w:p>
    <w:p w14:paraId="7AA0FC18">
      <w:pPr>
        <w:kinsoku/>
        <w:ind w:firstLine="0"/>
        <w:rPr>
          <w:rFonts w:cs="宋体"/>
          <w:color w:val="auto"/>
          <w:highlight w:val="none"/>
          <w:lang w:eastAsia="zh-CN"/>
        </w:rPr>
      </w:pPr>
      <w:r>
        <w:rPr>
          <w:rFonts w:cs="宋体"/>
          <w:color w:val="auto"/>
          <w:highlight w:val="none"/>
          <w:lang w:eastAsia="zh-CN"/>
        </w:rPr>
        <w:t>在履行合同过程中，由于发包人的下列原因造成工期延误的，承包人有权要求发包人延长工期和（或）增加费用，并支付合理利润。需要修订合同进度计划的，按照第</w:t>
      </w:r>
      <w:r>
        <w:rPr>
          <w:rFonts w:hAnsi="Times New Roman" w:cs="Times New Roman"/>
          <w:color w:val="auto"/>
          <w:highlight w:val="none"/>
          <w:lang w:eastAsia="zh-CN"/>
        </w:rPr>
        <w:t>10.2</w:t>
      </w:r>
      <w:r>
        <w:rPr>
          <w:rFonts w:cs="宋体"/>
          <w:color w:val="auto"/>
          <w:highlight w:val="none"/>
          <w:lang w:eastAsia="zh-CN"/>
        </w:rPr>
        <w:t>款的约定办理。</w:t>
      </w:r>
    </w:p>
    <w:p w14:paraId="0A68D1E7">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）增加合同工作内容。</w:t>
      </w:r>
    </w:p>
    <w:p w14:paraId="53741B4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）改变合同中任何一项工作的质量要求或其他特性。</w:t>
      </w:r>
    </w:p>
    <w:p w14:paraId="79E3364C">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）发包人迟延提供材料、工程设备或变更交货地点的。</w:t>
      </w:r>
    </w:p>
    <w:p w14:paraId="51C74BD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）因发包人原因导致的暂停施工。</w:t>
      </w:r>
    </w:p>
    <w:p w14:paraId="1641602B">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）提供图纸延误。</w:t>
      </w:r>
    </w:p>
    <w:p w14:paraId="649960B5">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）未按合同约定及时支付预付款、进度款。</w:t>
      </w:r>
    </w:p>
    <w:p w14:paraId="702B61BA">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）发包人造成工期延误的其他原因。</w:t>
      </w:r>
    </w:p>
    <w:p w14:paraId="4E8D8C47">
      <w:pPr>
        <w:pStyle w:val="4"/>
        <w:kinsoku/>
        <w:spacing w:beforeLines="0" w:afterLines="0"/>
        <w:rPr>
          <w:rFonts w:hint="eastAsia" w:hAnsi="宋体" w:cs="宋体"/>
          <w:bCs/>
          <w:color w:val="auto"/>
          <w:szCs w:val="24"/>
          <w:highlight w:val="none"/>
          <w:lang w:eastAsia="zh-CN"/>
        </w:rPr>
      </w:pPr>
      <w:bookmarkStart w:id="1026" w:name="_Toc32201"/>
      <w:bookmarkStart w:id="1027" w:name="_Toc3032"/>
      <w:bookmarkStart w:id="1028" w:name="_Toc16961"/>
      <w:r>
        <w:rPr>
          <w:rFonts w:hint="eastAsia" w:hAnsi="宋体" w:cs="宋体"/>
          <w:b/>
          <w:bCs/>
          <w:color w:val="auto"/>
          <w:szCs w:val="24"/>
          <w:highlight w:val="none"/>
          <w:lang w:eastAsia="zh-CN"/>
        </w:rPr>
        <w:t>11.4</w:t>
      </w:r>
      <w:r>
        <w:rPr>
          <w:rFonts w:hint="eastAsia" w:cs="宋体"/>
          <w:b/>
          <w:bCs/>
          <w:color w:val="auto"/>
          <w:szCs w:val="24"/>
          <w:highlight w:val="none"/>
          <w:lang w:eastAsia="zh-CN"/>
        </w:rPr>
        <w:t>　</w:t>
      </w:r>
      <w:r>
        <w:rPr>
          <w:rFonts w:hint="eastAsia" w:hAnsi="宋体" w:cs="宋体"/>
          <w:b/>
          <w:bCs/>
          <w:color w:val="auto"/>
          <w:szCs w:val="24"/>
          <w:highlight w:val="none"/>
          <w:lang w:eastAsia="zh-CN"/>
        </w:rPr>
        <w:t>异常恶劣的气候条件</w:t>
      </w:r>
      <w:bookmarkEnd w:id="1026"/>
      <w:bookmarkEnd w:id="1027"/>
      <w:bookmarkEnd w:id="1028"/>
    </w:p>
    <w:p w14:paraId="1859B34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11.4.1</w:t>
      </w:r>
      <w:r>
        <w:rPr>
          <w:rFonts w:hint="eastAsia" w:hAnsi="Times New Roman" w:cs="Times New Roman"/>
          <w:b/>
          <w:bCs/>
          <w:color w:val="auto"/>
          <w:highlight w:val="none"/>
          <w:lang w:eastAsia="zh-CN"/>
        </w:rPr>
        <w:t>　</w:t>
      </w:r>
      <w:r>
        <w:rPr>
          <w:rFonts w:cs="宋体"/>
          <w:color w:val="auto"/>
          <w:highlight w:val="none"/>
          <w:lang w:eastAsia="zh-CN"/>
        </w:rPr>
        <w:t>当工程所在地发生危及施工安全的异常恶劣气候时，发包人和承包人应按本合同通用合同条款第</w:t>
      </w:r>
      <w:r>
        <w:rPr>
          <w:rFonts w:hAnsi="Times New Roman" w:cs="Times New Roman"/>
          <w:color w:val="auto"/>
          <w:highlight w:val="none"/>
          <w:lang w:eastAsia="zh-CN"/>
        </w:rPr>
        <w:t>12</w:t>
      </w:r>
      <w:r>
        <w:rPr>
          <w:rFonts w:cs="宋体"/>
          <w:color w:val="auto"/>
          <w:highlight w:val="none"/>
          <w:lang w:eastAsia="zh-CN"/>
        </w:rPr>
        <w:t>条的约定，及时采取暂停施工或部分暂停施工措施。异常恶劣气候条件解除后，承包人应及时安排复工。</w:t>
      </w:r>
    </w:p>
    <w:p w14:paraId="05BEACA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11.4.2</w:t>
      </w:r>
      <w:r>
        <w:rPr>
          <w:rFonts w:hint="eastAsia" w:hAnsi="Times New Roman" w:cs="Times New Roman"/>
          <w:b/>
          <w:bCs/>
          <w:color w:val="auto"/>
          <w:highlight w:val="none"/>
          <w:lang w:eastAsia="zh-CN"/>
        </w:rPr>
        <w:t>　</w:t>
      </w:r>
      <w:r>
        <w:rPr>
          <w:rFonts w:cs="宋体"/>
          <w:color w:val="auto"/>
          <w:highlight w:val="none"/>
          <w:lang w:eastAsia="zh-CN"/>
        </w:rPr>
        <w:t>异常恶劣气候条件造成的工期延误和工程损坏，应由发包人与承包人参照本合同通用合同条款第</w:t>
      </w:r>
      <w:r>
        <w:rPr>
          <w:rFonts w:hAnsi="Times New Roman" w:cs="Times New Roman"/>
          <w:color w:val="auto"/>
          <w:highlight w:val="none"/>
          <w:lang w:eastAsia="zh-CN"/>
        </w:rPr>
        <w:t>21.3</w:t>
      </w:r>
      <w:r>
        <w:rPr>
          <w:rFonts w:cs="宋体"/>
          <w:color w:val="auto"/>
          <w:highlight w:val="none"/>
          <w:lang w:eastAsia="zh-CN"/>
        </w:rPr>
        <w:t>款的约定协商处理。</w:t>
      </w:r>
    </w:p>
    <w:p w14:paraId="76FEAC0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11.4.3</w:t>
      </w:r>
      <w:r>
        <w:rPr>
          <w:rFonts w:hint="eastAsia" w:hAnsi="Times New Roman" w:cs="Times New Roman"/>
          <w:b/>
          <w:bCs/>
          <w:color w:val="auto"/>
          <w:highlight w:val="none"/>
          <w:lang w:eastAsia="zh-CN"/>
        </w:rPr>
        <w:t>　</w:t>
      </w:r>
      <w:r>
        <w:rPr>
          <w:rFonts w:cs="宋体"/>
          <w:color w:val="auto"/>
          <w:highlight w:val="none"/>
          <w:lang w:eastAsia="zh-CN"/>
        </w:rPr>
        <w:t>本合同工程界定异常恶劣气候条件的范围在专用合同条款中约定。</w:t>
      </w:r>
    </w:p>
    <w:p w14:paraId="56D77A41">
      <w:pPr>
        <w:pStyle w:val="4"/>
        <w:kinsoku/>
        <w:spacing w:beforeLines="0" w:afterLines="0"/>
        <w:rPr>
          <w:rFonts w:hint="eastAsia" w:hAnsi="宋体" w:cs="宋体"/>
          <w:bCs/>
          <w:color w:val="auto"/>
          <w:szCs w:val="24"/>
          <w:highlight w:val="none"/>
          <w:lang w:eastAsia="zh-CN"/>
        </w:rPr>
      </w:pPr>
      <w:bookmarkStart w:id="1029" w:name="_Toc31600"/>
      <w:bookmarkStart w:id="1030" w:name="_Toc12885"/>
      <w:bookmarkStart w:id="1031" w:name="_Toc24189"/>
      <w:r>
        <w:rPr>
          <w:rFonts w:hint="eastAsia" w:hAnsi="宋体" w:cs="宋体"/>
          <w:b/>
          <w:bCs/>
          <w:color w:val="auto"/>
          <w:szCs w:val="24"/>
          <w:highlight w:val="none"/>
          <w:lang w:eastAsia="zh-CN"/>
        </w:rPr>
        <w:t>11.5</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承包人的工期延误</w:t>
      </w:r>
      <w:bookmarkEnd w:id="1029"/>
      <w:bookmarkEnd w:id="1030"/>
      <w:bookmarkEnd w:id="1031"/>
    </w:p>
    <w:p w14:paraId="56FCECCD">
      <w:pPr>
        <w:kinsoku/>
        <w:ind w:firstLine="0"/>
        <w:rPr>
          <w:color w:val="auto"/>
          <w:highlight w:val="none"/>
          <w:lang w:eastAsia="zh-CN"/>
        </w:rPr>
      </w:pPr>
      <w:r>
        <w:rPr>
          <w:color w:val="auto"/>
          <w:highlight w:val="none"/>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p>
    <w:p w14:paraId="17946E41">
      <w:pPr>
        <w:pStyle w:val="4"/>
        <w:kinsoku/>
        <w:spacing w:beforeLines="0" w:afterLines="0"/>
        <w:rPr>
          <w:rFonts w:hint="eastAsia" w:hAnsi="宋体" w:cs="宋体"/>
          <w:bCs/>
          <w:color w:val="auto"/>
          <w:szCs w:val="24"/>
          <w:highlight w:val="none"/>
          <w:lang w:eastAsia="zh-CN"/>
        </w:rPr>
      </w:pPr>
      <w:bookmarkStart w:id="1032" w:name="_Toc27591"/>
      <w:bookmarkStart w:id="1033" w:name="_Toc20783"/>
      <w:bookmarkStart w:id="1034" w:name="_Toc15070"/>
      <w:r>
        <w:rPr>
          <w:rFonts w:hint="eastAsia" w:hAnsi="宋体" w:cs="宋体"/>
          <w:b/>
          <w:bCs/>
          <w:color w:val="auto"/>
          <w:szCs w:val="24"/>
          <w:highlight w:val="none"/>
          <w:lang w:eastAsia="zh-CN"/>
        </w:rPr>
        <w:t>11.6</w:t>
      </w:r>
      <w:r>
        <w:rPr>
          <w:rFonts w:hint="eastAsia" w:cs="宋体"/>
          <w:b/>
          <w:bCs/>
          <w:color w:val="auto"/>
          <w:szCs w:val="24"/>
          <w:highlight w:val="none"/>
          <w:lang w:eastAsia="zh-CN"/>
        </w:rPr>
        <w:t>　</w:t>
      </w:r>
      <w:r>
        <w:rPr>
          <w:rFonts w:hint="eastAsia" w:hAnsi="宋体" w:cs="宋体"/>
          <w:b/>
          <w:bCs/>
          <w:color w:val="auto"/>
          <w:szCs w:val="24"/>
          <w:highlight w:val="none"/>
          <w:lang w:eastAsia="zh-CN"/>
        </w:rPr>
        <w:t>工期提前</w:t>
      </w:r>
      <w:bookmarkEnd w:id="1032"/>
      <w:bookmarkEnd w:id="1033"/>
      <w:bookmarkEnd w:id="1034"/>
    </w:p>
    <w:p w14:paraId="62A0BA3A">
      <w:pPr>
        <w:kinsoku/>
        <w:ind w:firstLine="0"/>
        <w:rPr>
          <w:color w:val="auto"/>
          <w:highlight w:val="none"/>
          <w:lang w:eastAsia="zh-CN"/>
        </w:rPr>
      </w:pPr>
      <w:r>
        <w:rPr>
          <w:color w:val="auto"/>
          <w:highlight w:val="none"/>
          <w:lang w:eastAsia="zh-CN"/>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3C7E362A">
      <w:pPr>
        <w:kinsoku/>
        <w:ind w:firstLine="0"/>
        <w:rPr>
          <w:color w:val="auto"/>
          <w:highlight w:val="none"/>
          <w:lang w:eastAsia="zh-CN"/>
        </w:rPr>
      </w:pPr>
      <w:r>
        <w:rPr>
          <w:color w:val="auto"/>
          <w:highlight w:val="none"/>
          <w:lang w:eastAsia="zh-CN"/>
        </w:rPr>
        <w:t>发包人要求提前完工的，双方协商一致后应签订提前完工协议，协议内容包括：</w:t>
      </w:r>
    </w:p>
    <w:p w14:paraId="62D4AD9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）提前的时间和修订后的进度计划。</w:t>
      </w:r>
    </w:p>
    <w:p w14:paraId="4652CB35">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）承包人的赶工措施。</w:t>
      </w:r>
    </w:p>
    <w:p w14:paraId="6AF961B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）发包人为赶工提供的条件。</w:t>
      </w:r>
    </w:p>
    <w:p w14:paraId="6478DE57">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）赶工费用（包括利润和奖金）。</w:t>
      </w:r>
    </w:p>
    <w:p w14:paraId="53C4A968">
      <w:pPr>
        <w:pStyle w:val="3"/>
        <w:kinsoku/>
        <w:spacing w:before="0" w:beforeLines="0" w:afterLines="0" w:line="360" w:lineRule="auto"/>
        <w:outlineLvl w:val="1"/>
        <w:rPr>
          <w:rFonts w:hint="eastAsia" w:ascii="宋体" w:cs="宋体"/>
          <w:color w:val="auto"/>
          <w:sz w:val="30"/>
          <w:szCs w:val="30"/>
          <w:highlight w:val="none"/>
        </w:rPr>
      </w:pPr>
      <w:bookmarkStart w:id="1035" w:name="_Toc21593"/>
      <w:bookmarkStart w:id="1036" w:name="_Toc28932"/>
      <w:bookmarkStart w:id="1037" w:name="_Toc3607"/>
      <w:bookmarkStart w:id="1038" w:name="_Toc18500"/>
      <w:bookmarkStart w:id="1039" w:name="_Toc24681"/>
      <w:bookmarkStart w:id="1040" w:name="_Toc18718"/>
      <w:bookmarkStart w:id="1041" w:name="_Toc21202"/>
      <w:bookmarkStart w:id="1042" w:name="_Toc31771"/>
      <w:bookmarkStart w:id="1043" w:name="_Toc5815"/>
      <w:bookmarkStart w:id="1044" w:name="_Toc30046"/>
      <w:bookmarkStart w:id="1045" w:name="_Toc24395"/>
      <w:bookmarkStart w:id="1046" w:name="_Toc5288"/>
      <w:bookmarkStart w:id="1047" w:name="_Toc10897"/>
      <w:bookmarkStart w:id="1048" w:name="_Toc4417"/>
      <w:r>
        <w:rPr>
          <w:rFonts w:hint="eastAsia" w:ascii="宋体" w:cs="宋体"/>
          <w:color w:val="auto"/>
          <w:sz w:val="30"/>
          <w:szCs w:val="30"/>
          <w:highlight w:val="none"/>
        </w:rPr>
        <w:t>12</w:t>
      </w:r>
      <w:r>
        <w:rPr>
          <w:rFonts w:hint="eastAsia" w:cs="宋体"/>
          <w:color w:val="auto"/>
          <w:sz w:val="30"/>
          <w:szCs w:val="30"/>
          <w:highlight w:val="none"/>
          <w:lang w:eastAsia="zh-CN"/>
        </w:rPr>
        <w:t>　</w:t>
      </w:r>
      <w:r>
        <w:rPr>
          <w:rFonts w:hint="eastAsia" w:ascii="宋体" w:cs="宋体"/>
          <w:color w:val="auto"/>
          <w:sz w:val="30"/>
          <w:szCs w:val="30"/>
          <w:highlight w:val="none"/>
        </w:rPr>
        <w:t>暂停施工</w:t>
      </w:r>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p>
    <w:p w14:paraId="4EF5C4E3">
      <w:pPr>
        <w:pStyle w:val="4"/>
        <w:kinsoku/>
        <w:spacing w:beforeLines="0" w:afterLines="0"/>
        <w:rPr>
          <w:rFonts w:hint="eastAsia" w:hAnsi="宋体" w:cs="宋体"/>
          <w:bCs/>
          <w:color w:val="auto"/>
          <w:szCs w:val="24"/>
          <w:highlight w:val="none"/>
          <w:lang w:eastAsia="zh-CN"/>
        </w:rPr>
      </w:pPr>
      <w:bookmarkStart w:id="1049" w:name="_Toc10056"/>
      <w:bookmarkStart w:id="1050" w:name="_Toc9535"/>
      <w:bookmarkStart w:id="1051" w:name="_Toc690"/>
      <w:r>
        <w:rPr>
          <w:rFonts w:hint="eastAsia" w:hAnsi="宋体" w:cs="宋体"/>
          <w:b/>
          <w:bCs/>
          <w:color w:val="auto"/>
          <w:szCs w:val="24"/>
          <w:highlight w:val="none"/>
          <w:lang w:eastAsia="zh-CN"/>
        </w:rPr>
        <w:t>12.1</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承包人暂停施工的责任</w:t>
      </w:r>
      <w:bookmarkEnd w:id="1049"/>
      <w:bookmarkEnd w:id="1050"/>
      <w:bookmarkEnd w:id="1051"/>
    </w:p>
    <w:p w14:paraId="5623D1C9">
      <w:pPr>
        <w:kinsoku/>
        <w:ind w:firstLine="0"/>
        <w:rPr>
          <w:color w:val="auto"/>
          <w:highlight w:val="none"/>
          <w:lang w:eastAsia="zh-CN"/>
        </w:rPr>
      </w:pPr>
      <w:r>
        <w:rPr>
          <w:color w:val="auto"/>
          <w:highlight w:val="none"/>
          <w:lang w:eastAsia="zh-CN"/>
        </w:rPr>
        <w:t>因下列暂停施工增加的费用和（或）工期延误由承包人承担：</w:t>
      </w:r>
    </w:p>
    <w:p w14:paraId="1BF77A8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）承包人违约引起的暂停施工。</w:t>
      </w:r>
    </w:p>
    <w:p w14:paraId="583CD091">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）由于承包人原因为工程合理施工和安全保障所必需的暂停施工。</w:t>
      </w:r>
    </w:p>
    <w:p w14:paraId="64D303E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）承包人擅自暂停施工。</w:t>
      </w:r>
    </w:p>
    <w:p w14:paraId="724862A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）承包人其他原因引起的暂停施工。</w:t>
      </w:r>
    </w:p>
    <w:p w14:paraId="35EF3CF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）专用合同条款约定由承包人承担的其他暂停施工。</w:t>
      </w:r>
    </w:p>
    <w:p w14:paraId="376E19E6">
      <w:pPr>
        <w:pStyle w:val="4"/>
        <w:kinsoku/>
        <w:spacing w:beforeLines="0" w:afterLines="0"/>
        <w:rPr>
          <w:rFonts w:hint="eastAsia" w:hAnsi="宋体" w:cs="宋体"/>
          <w:bCs/>
          <w:color w:val="auto"/>
          <w:szCs w:val="24"/>
          <w:highlight w:val="none"/>
          <w:lang w:eastAsia="zh-CN"/>
        </w:rPr>
      </w:pPr>
      <w:bookmarkStart w:id="1052" w:name="_Toc12459"/>
      <w:bookmarkStart w:id="1053" w:name="_Toc6502"/>
      <w:bookmarkStart w:id="1054" w:name="_Toc23692"/>
      <w:r>
        <w:rPr>
          <w:rFonts w:hint="eastAsia" w:hAnsi="宋体" w:cs="宋体"/>
          <w:b/>
          <w:bCs/>
          <w:color w:val="auto"/>
          <w:szCs w:val="24"/>
          <w:highlight w:val="none"/>
          <w:lang w:eastAsia="zh-CN"/>
        </w:rPr>
        <w:t>12.2</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发包人暂停施工的责任</w:t>
      </w:r>
      <w:bookmarkEnd w:id="1052"/>
      <w:bookmarkEnd w:id="1053"/>
      <w:bookmarkEnd w:id="1054"/>
    </w:p>
    <w:p w14:paraId="376EDCE3">
      <w:pPr>
        <w:kinsoku/>
        <w:ind w:firstLine="0"/>
        <w:rPr>
          <w:color w:val="auto"/>
          <w:highlight w:val="none"/>
          <w:lang w:eastAsia="zh-CN"/>
        </w:rPr>
      </w:pPr>
      <w:r>
        <w:rPr>
          <w:color w:val="auto"/>
          <w:highlight w:val="none"/>
          <w:lang w:eastAsia="zh-CN"/>
        </w:rPr>
        <w:t>由于发包人原因引起的暂停施工造成工期延误的，承包人有权要求发包人延长工</w:t>
      </w:r>
    </w:p>
    <w:p w14:paraId="7D9AC55A">
      <w:pPr>
        <w:kinsoku/>
        <w:ind w:firstLine="0"/>
        <w:rPr>
          <w:color w:val="auto"/>
          <w:highlight w:val="none"/>
          <w:lang w:eastAsia="zh-CN"/>
        </w:rPr>
      </w:pPr>
      <w:r>
        <w:rPr>
          <w:color w:val="auto"/>
          <w:highlight w:val="none"/>
          <w:lang w:eastAsia="zh-CN"/>
        </w:rPr>
        <w:t>期和（或）增加费用，并支付合理利润。</w:t>
      </w:r>
    </w:p>
    <w:p w14:paraId="58D95802">
      <w:pPr>
        <w:kinsoku/>
        <w:ind w:firstLine="0"/>
        <w:rPr>
          <w:color w:val="auto"/>
          <w:highlight w:val="none"/>
          <w:lang w:eastAsia="zh-CN"/>
        </w:rPr>
      </w:pPr>
      <w:r>
        <w:rPr>
          <w:color w:val="auto"/>
          <w:highlight w:val="none"/>
          <w:lang w:eastAsia="zh-CN"/>
        </w:rPr>
        <w:t>属于下列任何一种情况引起的暂停施工，均为发包人的责任：</w:t>
      </w:r>
    </w:p>
    <w:p w14:paraId="056B8282">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）由于发包人违约引起的暂停施工。</w:t>
      </w:r>
    </w:p>
    <w:p w14:paraId="637547D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）由于不可抗力的自然或社会因素引起的暂停施工。</w:t>
      </w:r>
    </w:p>
    <w:p w14:paraId="13085B45">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）专用合同条款中约定的其它由于发包人原因引起的暂停施工。</w:t>
      </w:r>
    </w:p>
    <w:p w14:paraId="53D42829">
      <w:pPr>
        <w:pStyle w:val="4"/>
        <w:kinsoku/>
        <w:spacing w:beforeLines="0" w:afterLines="0"/>
        <w:rPr>
          <w:rFonts w:hint="eastAsia" w:hAnsi="宋体" w:cs="宋体"/>
          <w:bCs/>
          <w:color w:val="auto"/>
          <w:szCs w:val="24"/>
          <w:highlight w:val="none"/>
          <w:lang w:eastAsia="zh-CN"/>
        </w:rPr>
      </w:pPr>
      <w:bookmarkStart w:id="1055" w:name="_Toc26204"/>
      <w:bookmarkStart w:id="1056" w:name="_Toc24702"/>
      <w:bookmarkStart w:id="1057" w:name="_Toc21897"/>
      <w:r>
        <w:rPr>
          <w:rFonts w:hint="eastAsia" w:hAnsi="宋体" w:cs="宋体"/>
          <w:b/>
          <w:bCs/>
          <w:color w:val="auto"/>
          <w:szCs w:val="24"/>
          <w:highlight w:val="none"/>
          <w:lang w:eastAsia="zh-CN"/>
        </w:rPr>
        <w:t>12.3</w:t>
      </w:r>
      <w:r>
        <w:rPr>
          <w:rFonts w:hint="eastAsia" w:cs="宋体"/>
          <w:b/>
          <w:bCs/>
          <w:color w:val="auto"/>
          <w:szCs w:val="24"/>
          <w:highlight w:val="none"/>
          <w:lang w:eastAsia="zh-CN"/>
        </w:rPr>
        <w:t>　</w:t>
      </w:r>
      <w:r>
        <w:rPr>
          <w:rFonts w:hint="eastAsia" w:hAnsi="宋体" w:cs="宋体"/>
          <w:b/>
          <w:bCs/>
          <w:color w:val="auto"/>
          <w:szCs w:val="24"/>
          <w:highlight w:val="none"/>
          <w:lang w:eastAsia="zh-CN"/>
        </w:rPr>
        <w:t>监理人暂停施工指示</w:t>
      </w:r>
      <w:bookmarkEnd w:id="1055"/>
      <w:bookmarkEnd w:id="1056"/>
      <w:bookmarkEnd w:id="1057"/>
    </w:p>
    <w:p w14:paraId="53FE981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12.3.1</w:t>
      </w:r>
      <w:r>
        <w:rPr>
          <w:rFonts w:hint="eastAsia" w:hAnsi="Times New Roman" w:cs="Times New Roman"/>
          <w:b/>
          <w:bCs/>
          <w:color w:val="auto"/>
          <w:highlight w:val="none"/>
          <w:lang w:eastAsia="zh-CN"/>
        </w:rPr>
        <w:t>　</w:t>
      </w:r>
      <w:r>
        <w:rPr>
          <w:rFonts w:cs="宋体"/>
          <w:color w:val="auto"/>
          <w:highlight w:val="none"/>
          <w:lang w:eastAsia="zh-CN"/>
        </w:rPr>
        <w:t>监理人认为有必要时，可向承包人作出暂停施工的指示，承包人应按监理人指示暂停施工。不论由于何种原因引起的暂停施工，暂停施工期间承包人应负责妥善保护工程并提供安全保障。</w:t>
      </w:r>
    </w:p>
    <w:p w14:paraId="6F3F1D5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12.3.2</w:t>
      </w:r>
      <w:r>
        <w:rPr>
          <w:rFonts w:hint="eastAsia" w:hAnsi="Times New Roman" w:cs="Times New Roman"/>
          <w:b/>
          <w:bCs/>
          <w:color w:val="auto"/>
          <w:highlight w:val="none"/>
          <w:lang w:eastAsia="zh-CN"/>
        </w:rPr>
        <w:t>　</w:t>
      </w:r>
      <w:r>
        <w:rPr>
          <w:rFonts w:cs="宋体"/>
          <w:color w:val="auto"/>
          <w:highlight w:val="none"/>
          <w:lang w:eastAsia="zh-CN"/>
        </w:rPr>
        <w:t>由于发包人的原因发生暂停施工的紧急情况，且监理人未及时下达暂停施工指示的，承包人可先暂停施工，并及时向监理人提出暂停施工的书面请求。监理人应在接到书面请求后的</w:t>
      </w:r>
      <w:r>
        <w:rPr>
          <w:rFonts w:hAnsi="Times New Roman" w:cs="Times New Roman"/>
          <w:color w:val="auto"/>
          <w:highlight w:val="none"/>
          <w:lang w:eastAsia="zh-CN"/>
        </w:rPr>
        <w:t>24</w:t>
      </w:r>
      <w:r>
        <w:rPr>
          <w:rFonts w:cs="宋体"/>
          <w:color w:val="auto"/>
          <w:highlight w:val="none"/>
          <w:lang w:eastAsia="zh-CN"/>
        </w:rPr>
        <w:t>小时内予以答复，逾期未答复的，视为同意承包人的暂停施工请求。</w:t>
      </w:r>
    </w:p>
    <w:p w14:paraId="4D397543">
      <w:pPr>
        <w:pStyle w:val="4"/>
        <w:kinsoku/>
        <w:spacing w:beforeLines="0" w:afterLines="0"/>
        <w:rPr>
          <w:rFonts w:hint="eastAsia" w:hAnsi="宋体" w:cs="宋体"/>
          <w:bCs/>
          <w:color w:val="auto"/>
          <w:szCs w:val="24"/>
          <w:highlight w:val="none"/>
          <w:lang w:eastAsia="zh-CN"/>
        </w:rPr>
      </w:pPr>
      <w:bookmarkStart w:id="1058" w:name="_Toc28103"/>
      <w:bookmarkStart w:id="1059" w:name="_Toc24015"/>
      <w:bookmarkStart w:id="1060" w:name="_Toc30296"/>
      <w:r>
        <w:rPr>
          <w:rFonts w:hint="eastAsia" w:hAnsi="宋体" w:cs="宋体"/>
          <w:b/>
          <w:bCs/>
          <w:color w:val="auto"/>
          <w:szCs w:val="24"/>
          <w:highlight w:val="none"/>
          <w:lang w:eastAsia="zh-CN"/>
        </w:rPr>
        <w:t>12.4</w:t>
      </w:r>
      <w:r>
        <w:rPr>
          <w:rFonts w:hint="eastAsia" w:cs="宋体"/>
          <w:b/>
          <w:bCs/>
          <w:color w:val="auto"/>
          <w:szCs w:val="24"/>
          <w:highlight w:val="none"/>
          <w:lang w:eastAsia="zh-CN"/>
        </w:rPr>
        <w:t>　</w:t>
      </w:r>
      <w:r>
        <w:rPr>
          <w:rFonts w:hint="eastAsia" w:hAnsi="宋体" w:cs="宋体"/>
          <w:b/>
          <w:bCs/>
          <w:color w:val="auto"/>
          <w:szCs w:val="24"/>
          <w:highlight w:val="none"/>
          <w:lang w:eastAsia="zh-CN"/>
        </w:rPr>
        <w:t>暂停施工后的复工</w:t>
      </w:r>
      <w:bookmarkEnd w:id="1058"/>
      <w:bookmarkEnd w:id="1059"/>
      <w:bookmarkEnd w:id="1060"/>
    </w:p>
    <w:p w14:paraId="3F6C454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12.4.1</w:t>
      </w:r>
      <w:r>
        <w:rPr>
          <w:rFonts w:hint="eastAsia" w:hAnsi="Times New Roman" w:cs="Times New Roman"/>
          <w:b/>
          <w:bCs/>
          <w:color w:val="auto"/>
          <w:highlight w:val="none"/>
          <w:lang w:eastAsia="zh-CN"/>
        </w:rPr>
        <w:t>　</w:t>
      </w:r>
      <w:r>
        <w:rPr>
          <w:rFonts w:cs="宋体"/>
          <w:color w:val="auto"/>
          <w:highlight w:val="none"/>
          <w:lang w:eastAsia="zh-CN"/>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7823CDC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12.4.2</w:t>
      </w:r>
      <w:r>
        <w:rPr>
          <w:rFonts w:hint="eastAsia" w:hAnsi="Times New Roman" w:cs="Times New Roman"/>
          <w:b/>
          <w:bCs/>
          <w:color w:val="auto"/>
          <w:highlight w:val="none"/>
          <w:lang w:eastAsia="zh-CN"/>
        </w:rPr>
        <w:t>　</w:t>
      </w:r>
      <w:r>
        <w:rPr>
          <w:rFonts w:cs="宋体"/>
          <w:color w:val="auto"/>
          <w:highlight w:val="none"/>
          <w:lang w:eastAsia="zh-CN"/>
        </w:rPr>
        <w:t>承包人无故拖延和拒绝复工的，由此增加的费用和工期延误由承包人承担；因发包人原因无法按时复工的，承包人有权要求发包人延长工期和（或）增加费用，并支付合理利润。</w:t>
      </w:r>
    </w:p>
    <w:p w14:paraId="08271980">
      <w:pPr>
        <w:pStyle w:val="4"/>
        <w:kinsoku/>
        <w:spacing w:beforeLines="0" w:afterLines="0"/>
        <w:rPr>
          <w:rFonts w:hint="eastAsia" w:hAnsi="宋体" w:cs="宋体"/>
          <w:bCs/>
          <w:color w:val="auto"/>
          <w:szCs w:val="24"/>
          <w:highlight w:val="none"/>
          <w:lang w:eastAsia="zh-CN"/>
        </w:rPr>
      </w:pPr>
      <w:bookmarkStart w:id="1061" w:name="_Toc318"/>
      <w:bookmarkStart w:id="1062" w:name="_Toc29329"/>
      <w:bookmarkStart w:id="1063" w:name="_Toc3368"/>
      <w:r>
        <w:rPr>
          <w:rFonts w:hint="eastAsia" w:hAnsi="宋体" w:cs="宋体"/>
          <w:b/>
          <w:bCs/>
          <w:color w:val="auto"/>
          <w:szCs w:val="24"/>
          <w:highlight w:val="none"/>
          <w:lang w:eastAsia="zh-CN"/>
        </w:rPr>
        <w:t>12.5</w:t>
      </w:r>
      <w:r>
        <w:rPr>
          <w:rFonts w:hint="eastAsia" w:cs="宋体"/>
          <w:b/>
          <w:bCs/>
          <w:color w:val="auto"/>
          <w:szCs w:val="24"/>
          <w:highlight w:val="none"/>
          <w:lang w:eastAsia="zh-CN"/>
        </w:rPr>
        <w:t>　</w:t>
      </w:r>
      <w:r>
        <w:rPr>
          <w:rFonts w:hint="eastAsia" w:hAnsi="宋体" w:cs="宋体"/>
          <w:b/>
          <w:bCs/>
          <w:color w:val="auto"/>
          <w:szCs w:val="24"/>
          <w:highlight w:val="none"/>
          <w:lang w:eastAsia="zh-CN"/>
        </w:rPr>
        <w:t>暂停施工持续56天以上</w:t>
      </w:r>
      <w:bookmarkEnd w:id="1061"/>
      <w:bookmarkEnd w:id="1062"/>
      <w:bookmarkEnd w:id="1063"/>
    </w:p>
    <w:p w14:paraId="4E6239D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12.5.1</w:t>
      </w:r>
      <w:r>
        <w:rPr>
          <w:rFonts w:hint="eastAsia" w:hAnsi="Times New Roman" w:cs="Times New Roman"/>
          <w:b/>
          <w:bCs/>
          <w:color w:val="auto"/>
          <w:highlight w:val="none"/>
          <w:lang w:eastAsia="zh-CN"/>
        </w:rPr>
        <w:t>　</w:t>
      </w:r>
      <w:r>
        <w:rPr>
          <w:rFonts w:cs="宋体"/>
          <w:color w:val="auto"/>
          <w:highlight w:val="none"/>
          <w:lang w:eastAsia="zh-CN"/>
        </w:rPr>
        <w:t>监理人发出暂停施工指示后</w:t>
      </w:r>
      <w:r>
        <w:rPr>
          <w:rFonts w:hAnsi="Times New Roman" w:cs="Times New Roman"/>
          <w:color w:val="auto"/>
          <w:highlight w:val="none"/>
          <w:lang w:eastAsia="zh-CN"/>
        </w:rPr>
        <w:t>56</w:t>
      </w:r>
      <w:r>
        <w:rPr>
          <w:rFonts w:cs="宋体"/>
          <w:color w:val="auto"/>
          <w:highlight w:val="none"/>
          <w:lang w:eastAsia="zh-CN"/>
        </w:rPr>
        <w:t>天内未向承包人发出复工通知，除了该项停工属于第</w:t>
      </w:r>
      <w:r>
        <w:rPr>
          <w:rFonts w:hAnsi="Times New Roman" w:cs="Times New Roman"/>
          <w:color w:val="auto"/>
          <w:highlight w:val="none"/>
          <w:lang w:eastAsia="zh-CN"/>
        </w:rPr>
        <w:t>12.1</w:t>
      </w:r>
      <w:r>
        <w:rPr>
          <w:rFonts w:cs="宋体"/>
          <w:color w:val="auto"/>
          <w:highlight w:val="none"/>
          <w:lang w:eastAsia="zh-CN"/>
        </w:rPr>
        <w:t>款的情况外，承包人可向监理人提交书面通知，要求监理人在收到书面通知后</w:t>
      </w:r>
      <w:r>
        <w:rPr>
          <w:rFonts w:hAnsi="Times New Roman" w:cs="Times New Roman"/>
          <w:color w:val="auto"/>
          <w:highlight w:val="none"/>
          <w:lang w:eastAsia="zh-CN"/>
        </w:rPr>
        <w:t>28</w:t>
      </w:r>
      <w:r>
        <w:rPr>
          <w:rFonts w:cs="宋体"/>
          <w:color w:val="auto"/>
          <w:highlight w:val="none"/>
          <w:lang w:eastAsia="zh-CN"/>
        </w:rPr>
        <w:t>天内准许已暂停施工的工程或其中一部分工程继续施工。如监理人逾期不予批准，则承包人可以通知监理人，将工程受影响的部分视为按第</w:t>
      </w:r>
      <w:r>
        <w:rPr>
          <w:rFonts w:hAnsi="Times New Roman" w:cs="Times New Roman"/>
          <w:color w:val="auto"/>
          <w:highlight w:val="none"/>
          <w:lang w:eastAsia="zh-CN"/>
        </w:rPr>
        <w:t>15.1</w:t>
      </w: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）项的可取消工作。如暂停施工影响到整个工程，可视为发包人违约，应按第</w:t>
      </w:r>
      <w:r>
        <w:rPr>
          <w:rFonts w:hAnsi="Times New Roman" w:cs="Times New Roman"/>
          <w:color w:val="auto"/>
          <w:highlight w:val="none"/>
          <w:lang w:eastAsia="zh-CN"/>
        </w:rPr>
        <w:t>22.2</w:t>
      </w:r>
      <w:r>
        <w:rPr>
          <w:rFonts w:cs="宋体"/>
          <w:color w:val="auto"/>
          <w:highlight w:val="none"/>
          <w:lang w:eastAsia="zh-CN"/>
        </w:rPr>
        <w:t>款的约定办理。</w:t>
      </w:r>
    </w:p>
    <w:p w14:paraId="5216B3B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12.5.2</w:t>
      </w:r>
      <w:r>
        <w:rPr>
          <w:rFonts w:hint="eastAsia" w:hAnsi="Times New Roman" w:cs="Times New Roman"/>
          <w:b/>
          <w:bCs/>
          <w:color w:val="auto"/>
          <w:highlight w:val="none"/>
          <w:lang w:eastAsia="zh-CN"/>
        </w:rPr>
        <w:t>　</w:t>
      </w:r>
      <w:r>
        <w:rPr>
          <w:rFonts w:cs="宋体"/>
          <w:color w:val="auto"/>
          <w:highlight w:val="none"/>
          <w:lang w:eastAsia="zh-CN"/>
        </w:rPr>
        <w:t>由于承包人责任引起的暂停施工，如承包人在收到监理人暂停施工指示后</w:t>
      </w:r>
      <w:r>
        <w:rPr>
          <w:rFonts w:hAnsi="Times New Roman" w:cs="Times New Roman"/>
          <w:color w:val="auto"/>
          <w:highlight w:val="none"/>
          <w:lang w:eastAsia="zh-CN"/>
        </w:rPr>
        <w:t>56</w:t>
      </w:r>
      <w:r>
        <w:rPr>
          <w:rFonts w:cs="宋体"/>
          <w:color w:val="auto"/>
          <w:highlight w:val="none"/>
          <w:lang w:eastAsia="zh-CN"/>
        </w:rPr>
        <w:t>天内不认真采取有效的复工措施，造成工期延误，可视为承包人违约，应按第</w:t>
      </w:r>
      <w:r>
        <w:rPr>
          <w:rFonts w:hAnsi="Times New Roman" w:cs="Times New Roman"/>
          <w:color w:val="auto"/>
          <w:highlight w:val="none"/>
          <w:lang w:eastAsia="zh-CN"/>
        </w:rPr>
        <w:t>22.1</w:t>
      </w:r>
      <w:r>
        <w:rPr>
          <w:rFonts w:cs="宋体"/>
          <w:color w:val="auto"/>
          <w:highlight w:val="none"/>
          <w:lang w:eastAsia="zh-CN"/>
        </w:rPr>
        <w:t>款的约定办理。</w:t>
      </w:r>
    </w:p>
    <w:p w14:paraId="492F3FD9">
      <w:pPr>
        <w:pStyle w:val="3"/>
        <w:kinsoku/>
        <w:spacing w:before="0" w:beforeLines="0" w:afterLines="0" w:line="360" w:lineRule="auto"/>
        <w:outlineLvl w:val="1"/>
        <w:rPr>
          <w:rFonts w:hint="eastAsia" w:ascii="宋体" w:cs="宋体"/>
          <w:color w:val="auto"/>
          <w:sz w:val="30"/>
          <w:szCs w:val="30"/>
          <w:highlight w:val="none"/>
        </w:rPr>
      </w:pPr>
      <w:bookmarkStart w:id="1064" w:name="_Toc28925"/>
      <w:bookmarkStart w:id="1065" w:name="_Toc18255"/>
      <w:bookmarkStart w:id="1066" w:name="_Toc19878"/>
      <w:bookmarkStart w:id="1067" w:name="_Toc30272"/>
      <w:bookmarkStart w:id="1068" w:name="_Toc10224"/>
      <w:bookmarkStart w:id="1069" w:name="_Toc1722"/>
      <w:bookmarkStart w:id="1070" w:name="_Toc272"/>
      <w:bookmarkStart w:id="1071" w:name="_Toc25600"/>
      <w:bookmarkStart w:id="1072" w:name="_Toc17562"/>
      <w:bookmarkStart w:id="1073" w:name="_Toc13567"/>
      <w:bookmarkStart w:id="1074" w:name="_Toc18886"/>
      <w:bookmarkStart w:id="1075" w:name="_Toc7297"/>
      <w:bookmarkStart w:id="1076" w:name="_Toc15298"/>
      <w:bookmarkStart w:id="1077" w:name="_Toc18978"/>
      <w:r>
        <w:rPr>
          <w:rFonts w:hint="eastAsia" w:ascii="宋体" w:cs="宋体"/>
          <w:color w:val="auto"/>
          <w:sz w:val="30"/>
          <w:szCs w:val="30"/>
          <w:highlight w:val="none"/>
        </w:rPr>
        <w:t>13</w:t>
      </w:r>
      <w:r>
        <w:rPr>
          <w:rFonts w:hint="eastAsia" w:cs="宋体"/>
          <w:color w:val="auto"/>
          <w:sz w:val="30"/>
          <w:szCs w:val="30"/>
          <w:highlight w:val="none"/>
          <w:lang w:eastAsia="zh-CN"/>
        </w:rPr>
        <w:t>　</w:t>
      </w:r>
      <w:r>
        <w:rPr>
          <w:rFonts w:hint="eastAsia" w:ascii="宋体" w:cs="宋体"/>
          <w:color w:val="auto"/>
          <w:sz w:val="30"/>
          <w:szCs w:val="30"/>
          <w:highlight w:val="none"/>
        </w:rPr>
        <w:t>工程质量</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72FA72BC">
      <w:pPr>
        <w:pStyle w:val="4"/>
        <w:kinsoku/>
        <w:spacing w:beforeLines="0" w:afterLines="0"/>
        <w:rPr>
          <w:rFonts w:hint="eastAsia" w:hAnsi="宋体" w:cs="宋体"/>
          <w:bCs/>
          <w:color w:val="auto"/>
          <w:szCs w:val="24"/>
          <w:highlight w:val="none"/>
          <w:lang w:eastAsia="zh-CN"/>
        </w:rPr>
      </w:pPr>
      <w:bookmarkStart w:id="1078" w:name="_Toc17928"/>
      <w:bookmarkStart w:id="1079" w:name="_Toc22742"/>
      <w:bookmarkStart w:id="1080" w:name="_Toc3910"/>
      <w:r>
        <w:rPr>
          <w:rFonts w:hint="eastAsia" w:hAnsi="宋体" w:cs="宋体"/>
          <w:b/>
          <w:bCs/>
          <w:color w:val="auto"/>
          <w:szCs w:val="24"/>
          <w:highlight w:val="none"/>
          <w:lang w:eastAsia="zh-CN"/>
        </w:rPr>
        <w:t>13.1</w:t>
      </w:r>
      <w:r>
        <w:rPr>
          <w:rFonts w:hint="eastAsia" w:cs="宋体"/>
          <w:b/>
          <w:bCs/>
          <w:color w:val="auto"/>
          <w:szCs w:val="24"/>
          <w:highlight w:val="none"/>
          <w:lang w:eastAsia="zh-CN"/>
        </w:rPr>
        <w:t>　</w:t>
      </w:r>
      <w:r>
        <w:rPr>
          <w:rFonts w:hint="eastAsia" w:hAnsi="宋体" w:cs="宋体"/>
          <w:b/>
          <w:bCs/>
          <w:color w:val="auto"/>
          <w:szCs w:val="24"/>
          <w:highlight w:val="none"/>
          <w:lang w:eastAsia="zh-CN"/>
        </w:rPr>
        <w:t>工程质量要求</w:t>
      </w:r>
      <w:bookmarkEnd w:id="1078"/>
      <w:bookmarkEnd w:id="1079"/>
      <w:bookmarkEnd w:id="1080"/>
    </w:p>
    <w:p w14:paraId="60F6631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13.1.1</w:t>
      </w:r>
      <w:r>
        <w:rPr>
          <w:rFonts w:hint="eastAsia" w:hAnsi="Times New Roman" w:cs="Times New Roman"/>
          <w:b/>
          <w:bCs/>
          <w:color w:val="auto"/>
          <w:highlight w:val="none"/>
          <w:lang w:eastAsia="zh-CN"/>
        </w:rPr>
        <w:t>　</w:t>
      </w:r>
      <w:r>
        <w:rPr>
          <w:rFonts w:cs="宋体"/>
          <w:color w:val="auto"/>
          <w:highlight w:val="none"/>
          <w:lang w:eastAsia="zh-CN"/>
        </w:rPr>
        <w:t>工程质量验收按合同约定验收标准执行。</w:t>
      </w:r>
    </w:p>
    <w:p w14:paraId="5C95126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13.1.2</w:t>
      </w:r>
      <w:r>
        <w:rPr>
          <w:rFonts w:hint="eastAsia" w:hAnsi="Times New Roman" w:cs="Times New Roman"/>
          <w:b/>
          <w:bCs/>
          <w:color w:val="auto"/>
          <w:highlight w:val="none"/>
          <w:lang w:eastAsia="zh-CN"/>
        </w:rPr>
        <w:t>　</w:t>
      </w:r>
      <w:r>
        <w:rPr>
          <w:rFonts w:cs="宋体"/>
          <w:color w:val="auto"/>
          <w:highlight w:val="none"/>
          <w:lang w:eastAsia="zh-CN"/>
        </w:rPr>
        <w:t>因承包人原因造成工程质量达不到合同约定验收标准的，监理人有权要求承包人返工直至符合合同要求为止，由此造成的费用增加和（或）工期延误由承包人承担。</w:t>
      </w:r>
    </w:p>
    <w:p w14:paraId="1B88108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13.1.3</w:t>
      </w:r>
      <w:r>
        <w:rPr>
          <w:rFonts w:hint="eastAsia" w:hAnsi="Times New Roman" w:cs="Times New Roman"/>
          <w:b/>
          <w:bCs/>
          <w:color w:val="auto"/>
          <w:highlight w:val="none"/>
          <w:lang w:eastAsia="zh-CN"/>
        </w:rPr>
        <w:t>　</w:t>
      </w:r>
      <w:r>
        <w:rPr>
          <w:rFonts w:cs="宋体"/>
          <w:color w:val="auto"/>
          <w:highlight w:val="none"/>
          <w:lang w:eastAsia="zh-CN"/>
        </w:rPr>
        <w:t>因发包人原因造成工程质量达不到合同约定验收标准的，发包人应承担由于承包人返工造成的费用增加和（或）工期延误，并支付承包人合理利润。</w:t>
      </w:r>
    </w:p>
    <w:p w14:paraId="490B74BF">
      <w:pPr>
        <w:pStyle w:val="4"/>
        <w:kinsoku/>
        <w:spacing w:beforeLines="0" w:afterLines="0"/>
        <w:rPr>
          <w:rFonts w:hint="eastAsia" w:hAnsi="宋体" w:cs="宋体"/>
          <w:bCs/>
          <w:color w:val="auto"/>
          <w:szCs w:val="24"/>
          <w:highlight w:val="none"/>
          <w:lang w:eastAsia="zh-CN"/>
        </w:rPr>
      </w:pPr>
      <w:bookmarkStart w:id="1081" w:name="_Toc23905"/>
      <w:bookmarkStart w:id="1082" w:name="_Toc1919"/>
      <w:bookmarkStart w:id="1083" w:name="_Toc28847"/>
      <w:r>
        <w:rPr>
          <w:rFonts w:hint="eastAsia" w:hAnsi="宋体" w:cs="宋体"/>
          <w:b/>
          <w:bCs/>
          <w:color w:val="auto"/>
          <w:szCs w:val="24"/>
          <w:highlight w:val="none"/>
          <w:lang w:eastAsia="zh-CN"/>
        </w:rPr>
        <w:t>13.2</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承包人的质量管理</w:t>
      </w:r>
      <w:bookmarkEnd w:id="1081"/>
      <w:bookmarkEnd w:id="1082"/>
      <w:bookmarkEnd w:id="1083"/>
    </w:p>
    <w:p w14:paraId="1BD7388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13.2.1</w:t>
      </w:r>
      <w:r>
        <w:rPr>
          <w:rFonts w:hint="eastAsia" w:hAnsi="Times New Roman" w:cs="Times New Roman"/>
          <w:b/>
          <w:bCs/>
          <w:color w:val="auto"/>
          <w:highlight w:val="none"/>
          <w:lang w:eastAsia="zh-CN"/>
        </w:rPr>
        <w:t>　</w:t>
      </w:r>
      <w:r>
        <w:rPr>
          <w:rFonts w:cs="宋体"/>
          <w:color w:val="auto"/>
          <w:highlight w:val="none"/>
          <w:lang w:eastAsia="zh-CN"/>
        </w:rPr>
        <w:t>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49AE92B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13.2.2</w:t>
      </w:r>
      <w:r>
        <w:rPr>
          <w:rFonts w:hint="eastAsia" w:hAnsi="Times New Roman" w:cs="Times New Roman"/>
          <w:b/>
          <w:bCs/>
          <w:color w:val="auto"/>
          <w:highlight w:val="none"/>
          <w:lang w:eastAsia="zh-CN"/>
        </w:rPr>
        <w:t>　</w:t>
      </w:r>
      <w:r>
        <w:rPr>
          <w:rFonts w:cs="宋体"/>
          <w:color w:val="auto"/>
          <w:highlight w:val="none"/>
          <w:lang w:eastAsia="zh-CN"/>
        </w:rPr>
        <w:t>承包人应加强对施工人员的质量教育和技术培训，定期考核施工人员的劳动技能，严格执行规范和操作规程。</w:t>
      </w:r>
    </w:p>
    <w:p w14:paraId="2A8C6B4E">
      <w:pPr>
        <w:pStyle w:val="4"/>
        <w:kinsoku/>
        <w:spacing w:beforeLines="0" w:afterLines="0"/>
        <w:rPr>
          <w:rFonts w:hint="eastAsia" w:hAnsi="宋体" w:cs="宋体"/>
          <w:bCs/>
          <w:color w:val="auto"/>
          <w:szCs w:val="24"/>
          <w:highlight w:val="none"/>
          <w:lang w:eastAsia="zh-CN"/>
        </w:rPr>
      </w:pPr>
      <w:bookmarkStart w:id="1084" w:name="_Toc14208"/>
      <w:bookmarkStart w:id="1085" w:name="_Toc15591"/>
      <w:bookmarkStart w:id="1086" w:name="_Toc31398"/>
      <w:r>
        <w:rPr>
          <w:rFonts w:hint="eastAsia" w:hAnsi="宋体" w:cs="宋体"/>
          <w:b/>
          <w:bCs/>
          <w:color w:val="auto"/>
          <w:szCs w:val="24"/>
          <w:highlight w:val="none"/>
          <w:lang w:eastAsia="zh-CN"/>
        </w:rPr>
        <w:t>13.3</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承包人的质量检查</w:t>
      </w:r>
      <w:bookmarkEnd w:id="1084"/>
      <w:bookmarkEnd w:id="1085"/>
      <w:bookmarkEnd w:id="1086"/>
    </w:p>
    <w:p w14:paraId="18C3A7F1">
      <w:pPr>
        <w:kinsoku/>
        <w:ind w:firstLine="0"/>
        <w:rPr>
          <w:color w:val="auto"/>
          <w:highlight w:val="none"/>
          <w:lang w:eastAsia="zh-CN"/>
        </w:rPr>
      </w:pPr>
      <w:r>
        <w:rPr>
          <w:color w:val="auto"/>
          <w:highlight w:val="none"/>
          <w:lang w:eastAsia="zh-CN"/>
        </w:rPr>
        <w:t>承包人应按合同约定对材料、工程设备以及工程的所有部位及其施工工艺进行全过程的质量检查和检验，并作详细记录，编制工程质量报表，报送监理人审查。</w:t>
      </w:r>
    </w:p>
    <w:p w14:paraId="495D27E3">
      <w:pPr>
        <w:pStyle w:val="4"/>
        <w:kinsoku/>
        <w:spacing w:beforeLines="0" w:afterLines="0"/>
        <w:rPr>
          <w:rFonts w:hint="eastAsia" w:hAnsi="宋体" w:cs="宋体"/>
          <w:bCs/>
          <w:color w:val="auto"/>
          <w:szCs w:val="24"/>
          <w:highlight w:val="none"/>
          <w:lang w:eastAsia="zh-CN"/>
        </w:rPr>
      </w:pPr>
      <w:bookmarkStart w:id="1087" w:name="_Toc26940"/>
      <w:bookmarkStart w:id="1088" w:name="_Toc15120"/>
      <w:bookmarkStart w:id="1089" w:name="_Toc850"/>
      <w:r>
        <w:rPr>
          <w:rFonts w:hint="eastAsia" w:hAnsi="宋体" w:cs="宋体"/>
          <w:b/>
          <w:bCs/>
          <w:color w:val="auto"/>
          <w:szCs w:val="24"/>
          <w:highlight w:val="none"/>
          <w:lang w:eastAsia="zh-CN"/>
        </w:rPr>
        <w:t>13.4</w:t>
      </w:r>
      <w:r>
        <w:rPr>
          <w:rFonts w:hint="eastAsia" w:cs="宋体"/>
          <w:b/>
          <w:bCs/>
          <w:color w:val="auto"/>
          <w:szCs w:val="24"/>
          <w:highlight w:val="none"/>
          <w:lang w:eastAsia="zh-CN"/>
        </w:rPr>
        <w:t>　</w:t>
      </w:r>
      <w:r>
        <w:rPr>
          <w:rFonts w:hint="eastAsia" w:hAnsi="宋体" w:cs="宋体"/>
          <w:b/>
          <w:bCs/>
          <w:color w:val="auto"/>
          <w:szCs w:val="24"/>
          <w:highlight w:val="none"/>
          <w:lang w:eastAsia="zh-CN"/>
        </w:rPr>
        <w:t>监理人的质量检查</w:t>
      </w:r>
      <w:bookmarkEnd w:id="1087"/>
      <w:bookmarkEnd w:id="1088"/>
      <w:bookmarkEnd w:id="1089"/>
    </w:p>
    <w:p w14:paraId="00DA4CB2">
      <w:pPr>
        <w:kinsoku/>
        <w:ind w:firstLine="0"/>
        <w:rPr>
          <w:color w:val="auto"/>
          <w:highlight w:val="none"/>
          <w:lang w:eastAsia="zh-CN"/>
        </w:rPr>
      </w:pPr>
      <w:r>
        <w:rPr>
          <w:color w:val="auto"/>
          <w:highlight w:val="none"/>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47C83742">
      <w:pPr>
        <w:pStyle w:val="4"/>
        <w:kinsoku/>
        <w:spacing w:beforeLines="0" w:afterLines="0"/>
        <w:rPr>
          <w:rFonts w:hint="eastAsia" w:hAnsi="宋体" w:cs="宋体"/>
          <w:bCs/>
          <w:color w:val="auto"/>
          <w:szCs w:val="24"/>
          <w:highlight w:val="none"/>
          <w:lang w:eastAsia="zh-CN"/>
        </w:rPr>
      </w:pPr>
      <w:bookmarkStart w:id="1090" w:name="_Toc14664"/>
      <w:bookmarkStart w:id="1091" w:name="_Toc24326"/>
      <w:bookmarkStart w:id="1092" w:name="_Toc31112"/>
      <w:r>
        <w:rPr>
          <w:rFonts w:hint="eastAsia" w:hAnsi="宋体" w:cs="宋体"/>
          <w:b/>
          <w:bCs/>
          <w:color w:val="auto"/>
          <w:szCs w:val="24"/>
          <w:highlight w:val="none"/>
          <w:lang w:eastAsia="zh-CN"/>
        </w:rPr>
        <w:t>13.5</w:t>
      </w:r>
      <w:r>
        <w:rPr>
          <w:rFonts w:hint="eastAsia" w:cs="宋体"/>
          <w:b/>
          <w:bCs/>
          <w:color w:val="auto"/>
          <w:szCs w:val="24"/>
          <w:highlight w:val="none"/>
          <w:lang w:eastAsia="zh-CN"/>
        </w:rPr>
        <w:t>　</w:t>
      </w:r>
      <w:r>
        <w:rPr>
          <w:rFonts w:hint="eastAsia" w:hAnsi="宋体" w:cs="宋体"/>
          <w:b/>
          <w:bCs/>
          <w:color w:val="auto"/>
          <w:szCs w:val="24"/>
          <w:highlight w:val="none"/>
          <w:lang w:eastAsia="zh-CN"/>
        </w:rPr>
        <w:t>工程隐蔽部位覆盖前的检查</w:t>
      </w:r>
      <w:bookmarkEnd w:id="1090"/>
      <w:bookmarkEnd w:id="1091"/>
      <w:bookmarkEnd w:id="1092"/>
    </w:p>
    <w:p w14:paraId="16C6C29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13.5.1</w:t>
      </w:r>
      <w:r>
        <w:rPr>
          <w:rFonts w:hint="eastAsia" w:hAnsi="Times New Roman" w:cs="Times New Roman"/>
          <w:b/>
          <w:bCs/>
          <w:color w:val="auto"/>
          <w:highlight w:val="none"/>
          <w:lang w:eastAsia="zh-CN"/>
        </w:rPr>
        <w:t>　</w:t>
      </w:r>
      <w:r>
        <w:rPr>
          <w:rFonts w:cs="宋体"/>
          <w:color w:val="auto"/>
          <w:highlight w:val="none"/>
          <w:lang w:eastAsia="zh-CN"/>
        </w:rPr>
        <w:t>通知监理人检查</w:t>
      </w:r>
    </w:p>
    <w:p w14:paraId="119AE2E0">
      <w:pPr>
        <w:kinsoku/>
        <w:ind w:firstLine="0"/>
        <w:rPr>
          <w:color w:val="auto"/>
          <w:highlight w:val="none"/>
          <w:lang w:eastAsia="zh-CN"/>
        </w:rPr>
      </w:pPr>
      <w:r>
        <w:rPr>
          <w:color w:val="auto"/>
          <w:highlight w:val="none"/>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6F6CA72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13.5.2</w:t>
      </w:r>
      <w:r>
        <w:rPr>
          <w:rFonts w:hint="eastAsia" w:hAnsi="Times New Roman" w:cs="Times New Roman"/>
          <w:b/>
          <w:bCs/>
          <w:color w:val="auto"/>
          <w:highlight w:val="none"/>
          <w:lang w:eastAsia="zh-CN"/>
        </w:rPr>
        <w:t>　</w:t>
      </w:r>
      <w:r>
        <w:rPr>
          <w:rFonts w:cs="宋体"/>
          <w:color w:val="auto"/>
          <w:highlight w:val="none"/>
          <w:lang w:eastAsia="zh-CN"/>
        </w:rPr>
        <w:t>监理人未到场检查</w:t>
      </w:r>
    </w:p>
    <w:p w14:paraId="7F6596A2">
      <w:pPr>
        <w:kinsoku/>
        <w:ind w:firstLine="0"/>
        <w:rPr>
          <w:rFonts w:cs="宋体"/>
          <w:color w:val="auto"/>
          <w:highlight w:val="none"/>
          <w:lang w:eastAsia="zh-CN"/>
        </w:rPr>
      </w:pPr>
      <w:r>
        <w:rPr>
          <w:rFonts w:cs="宋体"/>
          <w:color w:val="auto"/>
          <w:highlight w:val="none"/>
          <w:lang w:eastAsia="zh-CN"/>
        </w:rPr>
        <w:t>监理人未按第</w:t>
      </w:r>
      <w:r>
        <w:rPr>
          <w:rFonts w:hAnsi="Times New Roman" w:cs="Times New Roman"/>
          <w:color w:val="auto"/>
          <w:highlight w:val="none"/>
          <w:lang w:eastAsia="zh-CN"/>
        </w:rPr>
        <w:t>13.5.l</w:t>
      </w:r>
      <w:r>
        <w:rPr>
          <w:rFonts w:cs="宋体"/>
          <w:color w:val="auto"/>
          <w:highlight w:val="none"/>
          <w:lang w:eastAsia="zh-CN"/>
        </w:rPr>
        <w:t>项约定的时间进行检查的，除监理人另有指示外，承包人可自行完成覆盖工作，并作相应记录报送监理人，监理人应签字确认。监理人事后对检查记录有疑问的，可按第</w:t>
      </w:r>
      <w:r>
        <w:rPr>
          <w:rFonts w:hAnsi="Times New Roman" w:cs="Times New Roman"/>
          <w:color w:val="auto"/>
          <w:highlight w:val="none"/>
          <w:lang w:eastAsia="zh-CN"/>
        </w:rPr>
        <w:t>13.5.3</w:t>
      </w:r>
      <w:r>
        <w:rPr>
          <w:rFonts w:cs="宋体"/>
          <w:color w:val="auto"/>
          <w:highlight w:val="none"/>
          <w:lang w:eastAsia="zh-CN"/>
        </w:rPr>
        <w:t>项的约定重新检查。</w:t>
      </w:r>
    </w:p>
    <w:p w14:paraId="0F657B6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13.5.3</w:t>
      </w:r>
      <w:r>
        <w:rPr>
          <w:rFonts w:hint="eastAsia" w:hAnsi="Times New Roman" w:cs="Times New Roman"/>
          <w:b/>
          <w:bCs/>
          <w:color w:val="auto"/>
          <w:highlight w:val="none"/>
          <w:lang w:eastAsia="zh-CN"/>
        </w:rPr>
        <w:t>　</w:t>
      </w:r>
      <w:r>
        <w:rPr>
          <w:rFonts w:cs="宋体"/>
          <w:color w:val="auto"/>
          <w:highlight w:val="none"/>
          <w:lang w:eastAsia="zh-CN"/>
        </w:rPr>
        <w:t>监理人重新检查</w:t>
      </w:r>
    </w:p>
    <w:p w14:paraId="6068F0AB">
      <w:pPr>
        <w:kinsoku/>
        <w:ind w:firstLine="0"/>
        <w:rPr>
          <w:rFonts w:cs="宋体"/>
          <w:color w:val="auto"/>
          <w:highlight w:val="none"/>
          <w:lang w:eastAsia="zh-CN"/>
        </w:rPr>
      </w:pPr>
      <w:r>
        <w:rPr>
          <w:rFonts w:cs="宋体"/>
          <w:color w:val="auto"/>
          <w:highlight w:val="none"/>
          <w:lang w:eastAsia="zh-CN"/>
        </w:rPr>
        <w:t>承包人按第</w:t>
      </w:r>
      <w:r>
        <w:rPr>
          <w:rFonts w:hAnsi="Times New Roman" w:cs="Times New Roman"/>
          <w:color w:val="auto"/>
          <w:highlight w:val="none"/>
          <w:lang w:eastAsia="zh-CN"/>
        </w:rPr>
        <w:t>13.5.1</w:t>
      </w:r>
      <w:r>
        <w:rPr>
          <w:rFonts w:cs="宋体"/>
          <w:color w:val="auto"/>
          <w:highlight w:val="none"/>
          <w:lang w:eastAsia="zh-CN"/>
        </w:rPr>
        <w:t>项或第</w:t>
      </w:r>
      <w:r>
        <w:rPr>
          <w:rFonts w:hAnsi="Times New Roman" w:cs="Times New Roman"/>
          <w:color w:val="auto"/>
          <w:highlight w:val="none"/>
          <w:lang w:eastAsia="zh-CN"/>
        </w:rPr>
        <w:t>13.5.2</w:t>
      </w:r>
      <w:r>
        <w:rPr>
          <w:rFonts w:cs="宋体"/>
          <w:color w:val="auto"/>
          <w:highlight w:val="none"/>
          <w:lang w:eastAsia="zh-CN"/>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225CA92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13.5.4</w:t>
      </w:r>
      <w:r>
        <w:rPr>
          <w:rFonts w:hint="eastAsia" w:hAnsi="Times New Roman" w:cs="Times New Roman"/>
          <w:b/>
          <w:bCs/>
          <w:color w:val="auto"/>
          <w:highlight w:val="none"/>
          <w:lang w:eastAsia="zh-CN"/>
        </w:rPr>
        <w:t>　</w:t>
      </w:r>
      <w:r>
        <w:rPr>
          <w:rFonts w:cs="宋体"/>
          <w:color w:val="auto"/>
          <w:highlight w:val="none"/>
          <w:lang w:eastAsia="zh-CN"/>
        </w:rPr>
        <w:t>承包人私自覆盖</w:t>
      </w:r>
    </w:p>
    <w:p w14:paraId="1225903F">
      <w:pPr>
        <w:kinsoku/>
        <w:ind w:firstLine="0"/>
        <w:rPr>
          <w:color w:val="auto"/>
          <w:highlight w:val="none"/>
          <w:lang w:eastAsia="zh-CN"/>
        </w:rPr>
      </w:pPr>
      <w:r>
        <w:rPr>
          <w:color w:val="auto"/>
          <w:highlight w:val="none"/>
          <w:lang w:eastAsia="zh-CN"/>
        </w:rPr>
        <w:t>承包人未通知监理人到场检查，私自将工程隐蔽部位覆盖的，监理人有权指示承包人钻孔探测或揭开检查，由此增加的费用和（或）工期延误由承包人承担。</w:t>
      </w:r>
    </w:p>
    <w:p w14:paraId="28B409F3">
      <w:pPr>
        <w:pStyle w:val="4"/>
        <w:kinsoku/>
        <w:spacing w:beforeLines="0" w:afterLines="0"/>
        <w:rPr>
          <w:rFonts w:hint="eastAsia" w:hAnsi="宋体" w:cs="宋体"/>
          <w:bCs/>
          <w:color w:val="auto"/>
          <w:szCs w:val="24"/>
          <w:highlight w:val="none"/>
          <w:lang w:eastAsia="zh-CN"/>
        </w:rPr>
      </w:pPr>
      <w:bookmarkStart w:id="1093" w:name="_Toc6769"/>
      <w:bookmarkStart w:id="1094" w:name="_Toc23025"/>
      <w:bookmarkStart w:id="1095" w:name="_Toc31205"/>
      <w:r>
        <w:rPr>
          <w:rFonts w:hint="eastAsia" w:hAnsi="宋体" w:cs="宋体"/>
          <w:b/>
          <w:bCs/>
          <w:color w:val="auto"/>
          <w:szCs w:val="24"/>
          <w:highlight w:val="none"/>
          <w:lang w:eastAsia="zh-CN"/>
        </w:rPr>
        <w:t>13.6</w:t>
      </w:r>
      <w:r>
        <w:rPr>
          <w:rFonts w:hint="eastAsia" w:cs="宋体"/>
          <w:b/>
          <w:bCs/>
          <w:color w:val="auto"/>
          <w:szCs w:val="24"/>
          <w:highlight w:val="none"/>
          <w:lang w:eastAsia="zh-CN"/>
        </w:rPr>
        <w:t>　</w:t>
      </w:r>
      <w:r>
        <w:rPr>
          <w:rFonts w:hint="eastAsia" w:hAnsi="宋体" w:cs="宋体"/>
          <w:b/>
          <w:bCs/>
          <w:color w:val="auto"/>
          <w:szCs w:val="24"/>
          <w:highlight w:val="none"/>
          <w:lang w:eastAsia="zh-CN"/>
        </w:rPr>
        <w:t>清除不合格工程</w:t>
      </w:r>
      <w:bookmarkEnd w:id="1093"/>
      <w:bookmarkEnd w:id="1094"/>
      <w:bookmarkEnd w:id="1095"/>
    </w:p>
    <w:p w14:paraId="4EC6486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13.6.1</w:t>
      </w:r>
      <w:r>
        <w:rPr>
          <w:rFonts w:hint="eastAsia" w:hAnsi="Times New Roman" w:cs="Times New Roman"/>
          <w:b/>
          <w:bCs/>
          <w:color w:val="auto"/>
          <w:highlight w:val="none"/>
          <w:lang w:eastAsia="zh-CN"/>
        </w:rPr>
        <w:t>　</w:t>
      </w:r>
      <w:r>
        <w:rPr>
          <w:rFonts w:cs="宋体"/>
          <w:color w:val="auto"/>
          <w:highlight w:val="none"/>
          <w:lang w:eastAsia="zh-CN"/>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0810555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13.6.2</w:t>
      </w:r>
      <w:r>
        <w:rPr>
          <w:rFonts w:hint="eastAsia" w:hAnsi="Times New Roman" w:cs="Times New Roman"/>
          <w:b/>
          <w:bCs/>
          <w:color w:val="auto"/>
          <w:highlight w:val="none"/>
          <w:lang w:eastAsia="zh-CN"/>
        </w:rPr>
        <w:t>　</w:t>
      </w:r>
      <w:r>
        <w:rPr>
          <w:rFonts w:cs="宋体"/>
          <w:color w:val="auto"/>
          <w:highlight w:val="none"/>
          <w:lang w:eastAsia="zh-CN"/>
        </w:rPr>
        <w:t>由于发包人提供的材料或工程设备不合格造成的工程不合格，需要承包人采取措施补救的，发包人应承担由此增加的费用和（或）工期延误，并支付承包人合理利润。</w:t>
      </w:r>
    </w:p>
    <w:p w14:paraId="6A041915">
      <w:pPr>
        <w:pStyle w:val="4"/>
        <w:kinsoku/>
        <w:spacing w:beforeLines="0" w:afterLines="0"/>
        <w:rPr>
          <w:rFonts w:hint="eastAsia" w:hAnsi="宋体" w:cs="宋体"/>
          <w:bCs/>
          <w:color w:val="auto"/>
          <w:szCs w:val="24"/>
          <w:highlight w:val="none"/>
          <w:lang w:eastAsia="zh-CN"/>
        </w:rPr>
      </w:pPr>
      <w:bookmarkStart w:id="1096" w:name="_Toc19784"/>
      <w:bookmarkStart w:id="1097" w:name="_Toc7411"/>
      <w:bookmarkStart w:id="1098" w:name="_Toc22779"/>
      <w:r>
        <w:rPr>
          <w:rFonts w:hint="eastAsia" w:hAnsi="宋体" w:cs="宋体"/>
          <w:b/>
          <w:bCs/>
          <w:color w:val="auto"/>
          <w:szCs w:val="24"/>
          <w:highlight w:val="none"/>
          <w:lang w:eastAsia="zh-CN"/>
        </w:rPr>
        <w:t>13.7</w:t>
      </w:r>
      <w:r>
        <w:rPr>
          <w:rFonts w:hint="eastAsia" w:cs="宋体"/>
          <w:b/>
          <w:bCs/>
          <w:color w:val="auto"/>
          <w:szCs w:val="24"/>
          <w:highlight w:val="none"/>
          <w:lang w:eastAsia="zh-CN"/>
        </w:rPr>
        <w:t>　</w:t>
      </w:r>
      <w:r>
        <w:rPr>
          <w:rFonts w:hint="eastAsia" w:hAnsi="宋体" w:cs="宋体"/>
          <w:b/>
          <w:bCs/>
          <w:color w:val="auto"/>
          <w:szCs w:val="24"/>
          <w:highlight w:val="none"/>
          <w:lang w:eastAsia="zh-CN"/>
        </w:rPr>
        <w:t>质量评定</w:t>
      </w:r>
      <w:bookmarkEnd w:id="1096"/>
      <w:bookmarkEnd w:id="1097"/>
      <w:bookmarkEnd w:id="1098"/>
    </w:p>
    <w:p w14:paraId="59DD126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13.7.1</w:t>
      </w:r>
      <w:r>
        <w:rPr>
          <w:rFonts w:hint="eastAsia" w:hAnsi="Times New Roman" w:cs="Times New Roman"/>
          <w:b/>
          <w:bCs/>
          <w:color w:val="auto"/>
          <w:highlight w:val="none"/>
          <w:lang w:eastAsia="zh-CN"/>
        </w:rPr>
        <w:t>　</w:t>
      </w:r>
      <w:r>
        <w:rPr>
          <w:rFonts w:cs="宋体"/>
          <w:color w:val="auto"/>
          <w:highlight w:val="none"/>
          <w:lang w:eastAsia="zh-CN"/>
        </w:rPr>
        <w:t>发包人应组织承包人进行工程项目划分，并确定单位工程、主要分部工</w:t>
      </w:r>
      <w:r>
        <w:rPr>
          <w:rFonts w:hint="eastAsia" w:cs="宋体"/>
          <w:color w:val="auto"/>
          <w:highlight w:val="none"/>
          <w:lang w:eastAsia="zh-CN"/>
        </w:rPr>
        <w:t>程</w:t>
      </w:r>
      <w:r>
        <w:rPr>
          <w:rFonts w:cs="宋体"/>
          <w:color w:val="auto"/>
          <w:highlight w:val="none"/>
          <w:lang w:eastAsia="zh-CN"/>
        </w:rPr>
        <w:t>、重要隐蔽单元工程和关键部位单元工程。</w:t>
      </w:r>
    </w:p>
    <w:p w14:paraId="7E804A8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13.7.2</w:t>
      </w:r>
      <w:r>
        <w:rPr>
          <w:rFonts w:hint="eastAsia" w:hAnsi="Times New Roman" w:cs="Times New Roman"/>
          <w:b/>
          <w:bCs/>
          <w:color w:val="auto"/>
          <w:highlight w:val="none"/>
          <w:lang w:eastAsia="zh-CN"/>
        </w:rPr>
        <w:t>　</w:t>
      </w:r>
      <w:r>
        <w:rPr>
          <w:rFonts w:cs="宋体"/>
          <w:color w:val="auto"/>
          <w:highlight w:val="none"/>
          <w:lang w:eastAsia="zh-CN"/>
        </w:rPr>
        <w:t>工程实施过程中，单位工程、主要分部工程、重要隐蔽单元工程和关键部位单元工程的项目划分需要调整时，承包人应报发包人确认。</w:t>
      </w:r>
    </w:p>
    <w:p w14:paraId="065399A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13.7.3</w:t>
      </w:r>
      <w:r>
        <w:rPr>
          <w:rFonts w:hint="eastAsia" w:hAnsi="Times New Roman" w:cs="Times New Roman"/>
          <w:b/>
          <w:bCs/>
          <w:color w:val="auto"/>
          <w:highlight w:val="none"/>
          <w:lang w:eastAsia="zh-CN"/>
        </w:rPr>
        <w:t>　</w:t>
      </w:r>
      <w:r>
        <w:rPr>
          <w:rFonts w:cs="宋体"/>
          <w:color w:val="auto"/>
          <w:highlight w:val="none"/>
          <w:lang w:eastAsia="zh-CN"/>
        </w:rPr>
        <w:t>承包人应在单元（工序）工程质量自评合格后，报监理人核定质量等级并签证认可。</w:t>
      </w:r>
    </w:p>
    <w:p w14:paraId="6AC9219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13.7.4</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433044E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13.7.5</w:t>
      </w:r>
      <w:r>
        <w:rPr>
          <w:rFonts w:hint="eastAsia" w:hAnsi="Times New Roman" w:cs="Times New Roman"/>
          <w:b/>
          <w:bCs/>
          <w:color w:val="auto"/>
          <w:highlight w:val="none"/>
          <w:lang w:eastAsia="zh-CN"/>
        </w:rPr>
        <w:t>　</w:t>
      </w:r>
      <w:r>
        <w:rPr>
          <w:rFonts w:cs="宋体"/>
          <w:color w:val="auto"/>
          <w:highlight w:val="none"/>
          <w:lang w:eastAsia="zh-CN"/>
        </w:rPr>
        <w:t>承包人应在分部工程质量自评合格后，报监理人复核和发包人认定。发包人负责按有关规定完成分部工程质量结论报工程质量监督机构核备（核定）手续。</w:t>
      </w:r>
    </w:p>
    <w:p w14:paraId="1A97CD3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13.7.6</w:t>
      </w:r>
      <w:r>
        <w:rPr>
          <w:rFonts w:hint="eastAsia" w:hAnsi="Times New Roman" w:cs="Times New Roman"/>
          <w:b/>
          <w:bCs/>
          <w:color w:val="auto"/>
          <w:highlight w:val="none"/>
          <w:lang w:eastAsia="zh-CN"/>
        </w:rPr>
        <w:t>　</w:t>
      </w:r>
      <w:r>
        <w:rPr>
          <w:rFonts w:cs="宋体"/>
          <w:color w:val="auto"/>
          <w:highlight w:val="none"/>
          <w:lang w:eastAsia="zh-CN"/>
        </w:rPr>
        <w:t>承包人应在单位工程质量自评合格后，报监理人复核和发包人认定。发包人负责按有关规定完成单位工程质量结论报工程质量监督机构核定手续。</w:t>
      </w:r>
    </w:p>
    <w:p w14:paraId="3FA118B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13.7.7</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除专用合同条款另有约定外，工程质量等级分为合格和优良，应分别达到约定的标准。</w:t>
      </w:r>
    </w:p>
    <w:p w14:paraId="4ED569B8">
      <w:pPr>
        <w:pStyle w:val="4"/>
        <w:kinsoku/>
        <w:spacing w:beforeLines="0" w:afterLines="0"/>
        <w:rPr>
          <w:rFonts w:hint="eastAsia" w:hAnsi="宋体" w:cs="宋体"/>
          <w:bCs/>
          <w:color w:val="auto"/>
          <w:szCs w:val="24"/>
          <w:highlight w:val="none"/>
          <w:lang w:eastAsia="zh-CN"/>
        </w:rPr>
      </w:pPr>
      <w:bookmarkStart w:id="1099" w:name="_Toc15997"/>
      <w:bookmarkStart w:id="1100" w:name="_Toc13534"/>
      <w:bookmarkStart w:id="1101" w:name="_Toc21375"/>
      <w:r>
        <w:rPr>
          <w:rFonts w:hint="eastAsia" w:hAnsi="宋体" w:cs="宋体"/>
          <w:b/>
          <w:bCs/>
          <w:color w:val="auto"/>
          <w:szCs w:val="24"/>
          <w:highlight w:val="none"/>
          <w:lang w:eastAsia="zh-CN"/>
        </w:rPr>
        <w:t>13.8</w:t>
      </w:r>
      <w:r>
        <w:rPr>
          <w:rFonts w:hint="eastAsia" w:cs="宋体"/>
          <w:b/>
          <w:bCs/>
          <w:color w:val="auto"/>
          <w:szCs w:val="24"/>
          <w:highlight w:val="none"/>
          <w:lang w:eastAsia="zh-CN"/>
        </w:rPr>
        <w:t>　</w:t>
      </w:r>
      <w:r>
        <w:rPr>
          <w:rFonts w:hint="eastAsia" w:hAnsi="宋体" w:cs="宋体"/>
          <w:b/>
          <w:bCs/>
          <w:color w:val="auto"/>
          <w:szCs w:val="24"/>
          <w:highlight w:val="none"/>
          <w:lang w:eastAsia="zh-CN"/>
        </w:rPr>
        <w:t>质量事故处理</w:t>
      </w:r>
      <w:bookmarkEnd w:id="1099"/>
      <w:bookmarkEnd w:id="1100"/>
      <w:bookmarkEnd w:id="1101"/>
    </w:p>
    <w:p w14:paraId="00B980B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13.8.1</w:t>
      </w:r>
      <w:r>
        <w:rPr>
          <w:rFonts w:hint="eastAsia" w:hAnsi="Times New Roman" w:cs="Times New Roman"/>
          <w:b/>
          <w:bCs/>
          <w:color w:val="auto"/>
          <w:highlight w:val="none"/>
          <w:lang w:eastAsia="zh-CN"/>
        </w:rPr>
        <w:t>　</w:t>
      </w:r>
      <w:r>
        <w:rPr>
          <w:rFonts w:cs="宋体"/>
          <w:color w:val="auto"/>
          <w:highlight w:val="none"/>
          <w:lang w:eastAsia="zh-CN"/>
        </w:rPr>
        <w:t>发生质量事故时，承包人应及时向发包人和监理人报告。</w:t>
      </w:r>
    </w:p>
    <w:p w14:paraId="41B71D0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13.8.2</w:t>
      </w:r>
      <w:r>
        <w:rPr>
          <w:rFonts w:hint="eastAsia" w:hAnsi="Times New Roman" w:cs="Times New Roman"/>
          <w:b/>
          <w:bCs/>
          <w:color w:val="auto"/>
          <w:highlight w:val="none"/>
          <w:lang w:eastAsia="zh-CN"/>
        </w:rPr>
        <w:t>　</w:t>
      </w:r>
      <w:r>
        <w:rPr>
          <w:rFonts w:cs="宋体"/>
          <w:color w:val="auto"/>
          <w:highlight w:val="none"/>
          <w:lang w:eastAsia="zh-CN"/>
        </w:rPr>
        <w:t>质量事故调查处理由发包人按相关规定履行手续，承包人应配合。</w:t>
      </w:r>
    </w:p>
    <w:p w14:paraId="7774E6F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13.8.3</w:t>
      </w:r>
      <w:r>
        <w:rPr>
          <w:rFonts w:hint="eastAsia" w:hAnsi="Times New Roman" w:cs="Times New Roman"/>
          <w:b/>
          <w:bCs/>
          <w:color w:val="auto"/>
          <w:highlight w:val="none"/>
          <w:lang w:eastAsia="zh-CN"/>
        </w:rPr>
        <w:t>　</w:t>
      </w:r>
      <w:r>
        <w:rPr>
          <w:rFonts w:cs="宋体"/>
          <w:color w:val="auto"/>
          <w:highlight w:val="none"/>
          <w:lang w:eastAsia="zh-CN"/>
        </w:rPr>
        <w:t>在施工过程中，因特殊原因使得工程个别部位或局部发生达不到技术标准和设计要求（但不影响使用），且未能及时进行处理的工程质量缺陷问题（质量评定</w:t>
      </w:r>
      <w:r>
        <w:rPr>
          <w:rFonts w:hint="eastAsia" w:cs="宋体"/>
          <w:color w:val="auto"/>
          <w:highlight w:val="none"/>
          <w:lang w:eastAsia="zh-CN"/>
        </w:rPr>
        <w:t>认定</w:t>
      </w:r>
      <w:r>
        <w:rPr>
          <w:rFonts w:cs="宋体"/>
          <w:color w:val="auto"/>
          <w:highlight w:val="none"/>
          <w:lang w:eastAsia="zh-CN"/>
        </w:rPr>
        <w:t>为合格），应以工程质量缺陷备案形式进行记录备案。质量缺陷备案表由监理人组织填写，内容应真实、准确、完整。各工程参建单位代表应在质量缺陷备案表上签字，若有不同意见应明确记载。质量缺陷备案表应及时报工程质量监督机构备案。</w:t>
      </w:r>
    </w:p>
    <w:p w14:paraId="65DBACD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13.8.4</w:t>
      </w:r>
      <w:r>
        <w:rPr>
          <w:rFonts w:hint="eastAsia" w:hAnsi="Times New Roman" w:cs="Times New Roman"/>
          <w:b/>
          <w:bCs/>
          <w:color w:val="auto"/>
          <w:highlight w:val="none"/>
          <w:lang w:eastAsia="zh-CN"/>
        </w:rPr>
        <w:t>　</w:t>
      </w:r>
      <w:r>
        <w:rPr>
          <w:rFonts w:cs="宋体"/>
          <w:color w:val="auto"/>
          <w:highlight w:val="none"/>
          <w:lang w:eastAsia="zh-CN"/>
        </w:rPr>
        <w:t>工程竣工验收时，发包人负责向竣工验收委员会汇报并提交历次质量缺陷备案资料。</w:t>
      </w:r>
    </w:p>
    <w:p w14:paraId="53E3BF97">
      <w:pPr>
        <w:pStyle w:val="3"/>
        <w:kinsoku/>
        <w:spacing w:before="0" w:beforeLines="0" w:afterLines="0" w:line="360" w:lineRule="auto"/>
        <w:outlineLvl w:val="1"/>
        <w:rPr>
          <w:rFonts w:hint="eastAsia" w:ascii="宋体" w:cs="宋体"/>
          <w:color w:val="auto"/>
          <w:sz w:val="30"/>
          <w:szCs w:val="30"/>
          <w:highlight w:val="none"/>
        </w:rPr>
      </w:pPr>
      <w:bookmarkStart w:id="1102" w:name="_Toc14365"/>
      <w:bookmarkStart w:id="1103" w:name="_Toc5387"/>
      <w:bookmarkStart w:id="1104" w:name="_Toc1622"/>
      <w:bookmarkStart w:id="1105" w:name="_Toc22207"/>
      <w:bookmarkStart w:id="1106" w:name="_Toc29953"/>
      <w:bookmarkStart w:id="1107" w:name="_Toc21066"/>
      <w:bookmarkStart w:id="1108" w:name="_Toc1621"/>
      <w:bookmarkStart w:id="1109" w:name="_Toc11099"/>
      <w:bookmarkStart w:id="1110" w:name="_Toc1119"/>
      <w:bookmarkStart w:id="1111" w:name="_Toc1739"/>
      <w:bookmarkStart w:id="1112" w:name="_Toc6733"/>
      <w:bookmarkStart w:id="1113" w:name="_Toc25351"/>
      <w:bookmarkStart w:id="1114" w:name="_Toc4098"/>
      <w:bookmarkStart w:id="1115" w:name="_Toc17939"/>
      <w:r>
        <w:rPr>
          <w:rFonts w:hint="eastAsia" w:ascii="宋体" w:cs="宋体"/>
          <w:color w:val="auto"/>
          <w:sz w:val="30"/>
          <w:szCs w:val="30"/>
          <w:highlight w:val="none"/>
        </w:rPr>
        <w:t>14</w:t>
      </w:r>
      <w:r>
        <w:rPr>
          <w:rFonts w:hint="eastAsia" w:cs="宋体"/>
          <w:color w:val="auto"/>
          <w:sz w:val="30"/>
          <w:szCs w:val="30"/>
          <w:highlight w:val="none"/>
          <w:lang w:eastAsia="zh-CN"/>
        </w:rPr>
        <w:t>　</w:t>
      </w:r>
      <w:r>
        <w:rPr>
          <w:rFonts w:hint="eastAsia" w:ascii="宋体" w:cs="宋体"/>
          <w:color w:val="auto"/>
          <w:sz w:val="30"/>
          <w:szCs w:val="30"/>
          <w:highlight w:val="none"/>
        </w:rPr>
        <w:t>试验和检验</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
    <w:p w14:paraId="5DEACA24">
      <w:pPr>
        <w:pStyle w:val="4"/>
        <w:kinsoku/>
        <w:spacing w:beforeLines="0" w:afterLines="0"/>
        <w:rPr>
          <w:rFonts w:hint="eastAsia" w:hAnsi="宋体" w:cs="宋体"/>
          <w:bCs/>
          <w:color w:val="auto"/>
          <w:szCs w:val="24"/>
          <w:highlight w:val="none"/>
          <w:lang w:eastAsia="zh-CN"/>
        </w:rPr>
      </w:pPr>
      <w:bookmarkStart w:id="1116" w:name="_Toc30805"/>
      <w:bookmarkStart w:id="1117" w:name="_Toc32207"/>
      <w:bookmarkStart w:id="1118" w:name="_Toc12119"/>
      <w:r>
        <w:rPr>
          <w:rFonts w:hint="eastAsia" w:hAnsi="宋体" w:cs="宋体"/>
          <w:b/>
          <w:bCs/>
          <w:color w:val="auto"/>
          <w:szCs w:val="24"/>
          <w:highlight w:val="none"/>
          <w:lang w:eastAsia="zh-CN"/>
        </w:rPr>
        <w:t>14.1</w:t>
      </w:r>
      <w:r>
        <w:rPr>
          <w:rFonts w:hint="eastAsia" w:cs="宋体"/>
          <w:b/>
          <w:bCs/>
          <w:color w:val="auto"/>
          <w:szCs w:val="24"/>
          <w:highlight w:val="none"/>
          <w:lang w:eastAsia="zh-CN"/>
        </w:rPr>
        <w:t>　</w:t>
      </w:r>
      <w:r>
        <w:rPr>
          <w:rFonts w:hint="eastAsia" w:hAnsi="宋体" w:cs="宋体"/>
          <w:b/>
          <w:bCs/>
          <w:color w:val="auto"/>
          <w:szCs w:val="24"/>
          <w:highlight w:val="none"/>
          <w:lang w:eastAsia="zh-CN"/>
        </w:rPr>
        <w:t>材料、工程设备和工程的试验和检验</w:t>
      </w:r>
      <w:bookmarkEnd w:id="1116"/>
      <w:bookmarkEnd w:id="1117"/>
      <w:bookmarkEnd w:id="1118"/>
    </w:p>
    <w:p w14:paraId="067834D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14.1.1</w:t>
      </w:r>
      <w:r>
        <w:rPr>
          <w:rFonts w:hint="eastAsia" w:hAnsi="Times New Roman" w:cs="Times New Roman"/>
          <w:b/>
          <w:bCs/>
          <w:color w:val="auto"/>
          <w:highlight w:val="none"/>
          <w:lang w:eastAsia="zh-CN"/>
        </w:rPr>
        <w:t>　</w:t>
      </w:r>
      <w:r>
        <w:rPr>
          <w:rFonts w:cs="宋体"/>
          <w:color w:val="auto"/>
          <w:highlight w:val="none"/>
          <w:lang w:eastAsia="zh-CN"/>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60CF53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14.1.2</w:t>
      </w:r>
      <w:r>
        <w:rPr>
          <w:rFonts w:hint="eastAsia" w:hAnsi="Times New Roman" w:cs="Times New Roman"/>
          <w:b/>
          <w:bCs/>
          <w:color w:val="auto"/>
          <w:highlight w:val="none"/>
          <w:lang w:eastAsia="zh-CN"/>
        </w:rPr>
        <w:t>　</w:t>
      </w:r>
      <w:r>
        <w:rPr>
          <w:rFonts w:cs="宋体"/>
          <w:color w:val="auto"/>
          <w:highlight w:val="none"/>
          <w:lang w:eastAsia="zh-CN"/>
        </w:rPr>
        <w:t>监理人未按合同约定派员参加试验和检验的，除监理人另有指示外，承包人可自行试验和检验，并应立即将试验和检验结果报送监理人，监理人应签字确认。</w:t>
      </w:r>
    </w:p>
    <w:p w14:paraId="1F63C15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14.1.3</w:t>
      </w:r>
      <w:r>
        <w:rPr>
          <w:rFonts w:hint="eastAsia" w:hAnsi="Times New Roman" w:cs="Times New Roman"/>
          <w:b/>
          <w:bCs/>
          <w:color w:val="auto"/>
          <w:highlight w:val="none"/>
          <w:lang w:eastAsia="zh-CN"/>
        </w:rPr>
        <w:t>　</w:t>
      </w:r>
      <w:r>
        <w:rPr>
          <w:rFonts w:cs="宋体"/>
          <w:color w:val="auto"/>
          <w:highlight w:val="none"/>
          <w:lang w:eastAsia="zh-CN"/>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3A7E9F4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14.1.4</w:t>
      </w:r>
      <w:r>
        <w:rPr>
          <w:rFonts w:hint="eastAsia" w:hAnsi="Times New Roman" w:cs="Times New Roman"/>
          <w:b/>
          <w:bCs/>
          <w:color w:val="auto"/>
          <w:highlight w:val="none"/>
          <w:lang w:eastAsia="zh-CN"/>
        </w:rPr>
        <w:t>　</w:t>
      </w:r>
      <w:r>
        <w:rPr>
          <w:rFonts w:cs="宋体"/>
          <w:color w:val="auto"/>
          <w:highlight w:val="none"/>
          <w:lang w:eastAsia="zh-CN"/>
        </w:rPr>
        <w:t>承包人应按相关规定和标准对水泥、钢材等原材料与中间产品质量进行检验，并报监理人复核。</w:t>
      </w:r>
    </w:p>
    <w:p w14:paraId="6568E67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14.1.5</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33F7108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14.1.6</w:t>
      </w:r>
      <w:r>
        <w:rPr>
          <w:rFonts w:hint="eastAsia" w:hAnsi="Times New Roman" w:cs="Times New Roman"/>
          <w:b/>
          <w:bCs/>
          <w:color w:val="auto"/>
          <w:highlight w:val="none"/>
          <w:lang w:eastAsia="zh-CN"/>
        </w:rPr>
        <w:t>　</w:t>
      </w:r>
      <w:r>
        <w:rPr>
          <w:rFonts w:cs="宋体"/>
          <w:color w:val="auto"/>
          <w:highlight w:val="none"/>
          <w:lang w:eastAsia="zh-CN"/>
        </w:rPr>
        <w:t>对专用合同条款约定的试块、试件及有关材料，监理人实行见证取样。见证取样资料由承包人制备，记录应真实齐全，监理人、承包人等参与见证取样人员均应在相关文件上签字。</w:t>
      </w:r>
    </w:p>
    <w:p w14:paraId="02EE45AE">
      <w:pPr>
        <w:pStyle w:val="4"/>
        <w:kinsoku/>
        <w:spacing w:beforeLines="0" w:afterLines="0"/>
        <w:rPr>
          <w:rFonts w:hint="eastAsia" w:hAnsi="宋体" w:cs="宋体"/>
          <w:bCs/>
          <w:color w:val="auto"/>
          <w:szCs w:val="24"/>
          <w:highlight w:val="none"/>
          <w:lang w:eastAsia="zh-CN"/>
        </w:rPr>
      </w:pPr>
      <w:bookmarkStart w:id="1119" w:name="_Toc11516"/>
      <w:bookmarkStart w:id="1120" w:name="_Toc29916"/>
      <w:bookmarkStart w:id="1121" w:name="_Toc12797"/>
      <w:r>
        <w:rPr>
          <w:rFonts w:hint="eastAsia" w:hAnsi="宋体" w:cs="宋体"/>
          <w:b/>
          <w:bCs/>
          <w:color w:val="auto"/>
          <w:szCs w:val="24"/>
          <w:highlight w:val="none"/>
          <w:lang w:eastAsia="zh-CN"/>
        </w:rPr>
        <w:t>14.2</w:t>
      </w:r>
      <w:r>
        <w:rPr>
          <w:rFonts w:hint="eastAsia" w:cs="宋体"/>
          <w:b/>
          <w:bCs/>
          <w:color w:val="auto"/>
          <w:szCs w:val="24"/>
          <w:highlight w:val="none"/>
          <w:lang w:eastAsia="zh-CN"/>
        </w:rPr>
        <w:t>　</w:t>
      </w:r>
      <w:r>
        <w:rPr>
          <w:rFonts w:hint="eastAsia" w:hAnsi="宋体" w:cs="宋体"/>
          <w:b/>
          <w:bCs/>
          <w:color w:val="auto"/>
          <w:szCs w:val="24"/>
          <w:highlight w:val="none"/>
          <w:lang w:eastAsia="zh-CN"/>
        </w:rPr>
        <w:t>现场材料试验</w:t>
      </w:r>
      <w:bookmarkEnd w:id="1119"/>
      <w:bookmarkEnd w:id="1120"/>
      <w:bookmarkEnd w:id="1121"/>
    </w:p>
    <w:p w14:paraId="14A4454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14.2.1</w:t>
      </w:r>
      <w:r>
        <w:rPr>
          <w:rFonts w:hint="eastAsia" w:hAnsi="Times New Roman" w:cs="Times New Roman"/>
          <w:b/>
          <w:bCs/>
          <w:color w:val="auto"/>
          <w:highlight w:val="none"/>
          <w:lang w:eastAsia="zh-CN"/>
        </w:rPr>
        <w:t>　</w:t>
      </w:r>
      <w:r>
        <w:rPr>
          <w:rFonts w:cs="宋体"/>
          <w:color w:val="auto"/>
          <w:highlight w:val="none"/>
          <w:lang w:eastAsia="zh-CN"/>
        </w:rPr>
        <w:t>承包人根据合同约定或监理人指示进行的现场材料试验，应由承包人提供试验场所、试验人员、试验设备器材以及其他必要的试验条件。</w:t>
      </w:r>
    </w:p>
    <w:p w14:paraId="1E89BF1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14.2.2</w:t>
      </w:r>
      <w:r>
        <w:rPr>
          <w:rFonts w:hint="eastAsia" w:hAnsi="Times New Roman" w:cs="Times New Roman"/>
          <w:b/>
          <w:bCs/>
          <w:color w:val="auto"/>
          <w:highlight w:val="none"/>
          <w:lang w:eastAsia="zh-CN"/>
        </w:rPr>
        <w:t>　</w:t>
      </w:r>
      <w:r>
        <w:rPr>
          <w:rFonts w:cs="宋体"/>
          <w:color w:val="auto"/>
          <w:highlight w:val="none"/>
          <w:lang w:eastAsia="zh-CN"/>
        </w:rPr>
        <w:t>监理人在必要时可以使用承包人的试验场所、试验设备器材以及其他试验</w:t>
      </w:r>
    </w:p>
    <w:p w14:paraId="1BF0BEDB">
      <w:pPr>
        <w:kinsoku/>
        <w:spacing w:beforeLines="0" w:afterLines="0"/>
        <w:ind w:firstLine="0" w:firstLineChars="0"/>
        <w:jc w:val="left"/>
        <w:rPr>
          <w:rFonts w:cs="宋体"/>
          <w:color w:val="auto"/>
          <w:highlight w:val="none"/>
          <w:lang w:eastAsia="zh-CN"/>
        </w:rPr>
      </w:pPr>
      <w:r>
        <w:rPr>
          <w:rFonts w:cs="宋体"/>
          <w:color w:val="auto"/>
          <w:highlight w:val="none"/>
          <w:lang w:eastAsia="zh-CN"/>
        </w:rPr>
        <w:t>条件，进行以工程质量检查为目的的复核性材料试验，承包人应予以协助。</w:t>
      </w:r>
    </w:p>
    <w:p w14:paraId="5FC47A1E">
      <w:pPr>
        <w:pStyle w:val="4"/>
        <w:kinsoku/>
        <w:spacing w:beforeLines="0" w:afterLines="0"/>
        <w:rPr>
          <w:rFonts w:hint="eastAsia" w:hAnsi="宋体" w:cs="宋体"/>
          <w:bCs/>
          <w:color w:val="auto"/>
          <w:szCs w:val="24"/>
          <w:highlight w:val="none"/>
          <w:lang w:eastAsia="zh-CN"/>
        </w:rPr>
      </w:pPr>
      <w:bookmarkStart w:id="1122" w:name="_Toc21496"/>
      <w:bookmarkStart w:id="1123" w:name="_Toc6940"/>
      <w:bookmarkStart w:id="1124" w:name="_Toc2169"/>
      <w:r>
        <w:rPr>
          <w:rFonts w:hint="eastAsia" w:hAnsi="宋体" w:cs="宋体"/>
          <w:b/>
          <w:bCs/>
          <w:color w:val="auto"/>
          <w:szCs w:val="24"/>
          <w:highlight w:val="none"/>
          <w:lang w:eastAsia="zh-CN"/>
        </w:rPr>
        <w:t>14.3</w:t>
      </w:r>
      <w:r>
        <w:rPr>
          <w:rFonts w:hint="eastAsia" w:cs="宋体"/>
          <w:b/>
          <w:bCs/>
          <w:color w:val="auto"/>
          <w:szCs w:val="24"/>
          <w:highlight w:val="none"/>
          <w:lang w:eastAsia="zh-CN"/>
        </w:rPr>
        <w:t>　</w:t>
      </w:r>
      <w:r>
        <w:rPr>
          <w:rFonts w:hint="eastAsia" w:hAnsi="宋体" w:cs="宋体"/>
          <w:b/>
          <w:bCs/>
          <w:color w:val="auto"/>
          <w:szCs w:val="24"/>
          <w:highlight w:val="none"/>
          <w:lang w:eastAsia="zh-CN"/>
        </w:rPr>
        <w:t>现场工艺试验</w:t>
      </w:r>
      <w:bookmarkEnd w:id="1122"/>
      <w:bookmarkEnd w:id="1123"/>
      <w:bookmarkEnd w:id="1124"/>
    </w:p>
    <w:p w14:paraId="6C45F5EA">
      <w:pPr>
        <w:kinsoku/>
        <w:ind w:firstLine="0"/>
        <w:rPr>
          <w:color w:val="auto"/>
          <w:highlight w:val="none"/>
          <w:lang w:eastAsia="zh-CN"/>
        </w:rPr>
      </w:pPr>
      <w:r>
        <w:rPr>
          <w:color w:val="auto"/>
          <w:highlight w:val="none"/>
          <w:lang w:eastAsia="zh-CN"/>
        </w:rPr>
        <w:t>承包人应按合同约定或监理人指示进行现场工艺试验。对大型的现场工艺试验，监理人认为必要时，应由承包人根据监理人提出的工艺试验要求，编制工艺试验措施计划，报送监理人审批。</w:t>
      </w:r>
    </w:p>
    <w:p w14:paraId="5F7F8A42">
      <w:pPr>
        <w:pStyle w:val="3"/>
        <w:kinsoku/>
        <w:spacing w:before="0" w:beforeLines="0" w:afterLines="0" w:line="360" w:lineRule="auto"/>
        <w:outlineLvl w:val="1"/>
        <w:rPr>
          <w:rFonts w:hint="eastAsia" w:ascii="宋体" w:cs="宋体"/>
          <w:color w:val="auto"/>
          <w:sz w:val="30"/>
          <w:szCs w:val="30"/>
          <w:highlight w:val="none"/>
        </w:rPr>
      </w:pPr>
      <w:bookmarkStart w:id="1125" w:name="_Toc4518"/>
      <w:bookmarkStart w:id="1126" w:name="_Toc10090"/>
      <w:bookmarkStart w:id="1127" w:name="_Toc9054"/>
      <w:bookmarkStart w:id="1128" w:name="_Toc19755"/>
      <w:bookmarkStart w:id="1129" w:name="_Toc28976"/>
      <w:bookmarkStart w:id="1130" w:name="_Toc23176"/>
      <w:bookmarkStart w:id="1131" w:name="_Toc902"/>
      <w:bookmarkStart w:id="1132" w:name="_Toc30083"/>
      <w:bookmarkStart w:id="1133" w:name="_Toc3797"/>
      <w:bookmarkStart w:id="1134" w:name="_Toc23541"/>
      <w:bookmarkStart w:id="1135" w:name="_Toc30238"/>
      <w:bookmarkStart w:id="1136" w:name="_Toc7730"/>
      <w:bookmarkStart w:id="1137" w:name="_Toc24262"/>
      <w:bookmarkStart w:id="1138" w:name="_Toc6361"/>
      <w:r>
        <w:rPr>
          <w:rFonts w:hint="eastAsia" w:ascii="宋体" w:cs="宋体"/>
          <w:color w:val="auto"/>
          <w:sz w:val="30"/>
          <w:szCs w:val="30"/>
          <w:highlight w:val="none"/>
        </w:rPr>
        <w:t>15</w:t>
      </w:r>
      <w:r>
        <w:rPr>
          <w:rFonts w:hint="eastAsia" w:cs="宋体"/>
          <w:color w:val="auto"/>
          <w:sz w:val="30"/>
          <w:szCs w:val="30"/>
          <w:highlight w:val="none"/>
          <w:lang w:eastAsia="zh-CN"/>
        </w:rPr>
        <w:t>　</w:t>
      </w:r>
      <w:r>
        <w:rPr>
          <w:rFonts w:hint="eastAsia" w:ascii="宋体" w:cs="宋体"/>
          <w:color w:val="auto"/>
          <w:sz w:val="30"/>
          <w:szCs w:val="30"/>
          <w:highlight w:val="none"/>
        </w:rPr>
        <w:t>变更</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p>
    <w:p w14:paraId="03F33B38">
      <w:pPr>
        <w:pStyle w:val="4"/>
        <w:kinsoku/>
        <w:spacing w:beforeLines="0" w:afterLines="0"/>
        <w:rPr>
          <w:rFonts w:hint="eastAsia" w:hAnsi="宋体" w:cs="宋体"/>
          <w:bCs/>
          <w:color w:val="auto"/>
          <w:szCs w:val="24"/>
          <w:highlight w:val="none"/>
          <w:lang w:eastAsia="zh-CN"/>
        </w:rPr>
      </w:pPr>
      <w:bookmarkStart w:id="1139" w:name="_Toc15765"/>
      <w:bookmarkStart w:id="1140" w:name="_Toc10794"/>
      <w:bookmarkStart w:id="1141" w:name="_Toc18721"/>
      <w:r>
        <w:rPr>
          <w:rFonts w:hint="eastAsia" w:hAnsi="宋体" w:cs="宋体"/>
          <w:b/>
          <w:bCs/>
          <w:color w:val="auto"/>
          <w:szCs w:val="24"/>
          <w:highlight w:val="none"/>
          <w:lang w:eastAsia="zh-CN"/>
        </w:rPr>
        <w:t>15.1</w:t>
      </w:r>
      <w:r>
        <w:rPr>
          <w:rFonts w:hint="eastAsia" w:cs="宋体"/>
          <w:b/>
          <w:bCs/>
          <w:color w:val="auto"/>
          <w:szCs w:val="24"/>
          <w:highlight w:val="none"/>
          <w:lang w:eastAsia="zh-CN"/>
        </w:rPr>
        <w:t>　</w:t>
      </w:r>
      <w:r>
        <w:rPr>
          <w:rFonts w:hint="eastAsia" w:hAnsi="宋体" w:cs="宋体"/>
          <w:b/>
          <w:bCs/>
          <w:color w:val="auto"/>
          <w:szCs w:val="24"/>
          <w:highlight w:val="none"/>
          <w:lang w:eastAsia="zh-CN"/>
        </w:rPr>
        <w:t>变更的范围和内容</w:t>
      </w:r>
      <w:bookmarkEnd w:id="1139"/>
      <w:bookmarkEnd w:id="1140"/>
      <w:bookmarkEnd w:id="1141"/>
    </w:p>
    <w:p w14:paraId="572E22A3">
      <w:pPr>
        <w:kinsoku/>
        <w:ind w:firstLine="0"/>
        <w:rPr>
          <w:color w:val="auto"/>
          <w:highlight w:val="none"/>
          <w:lang w:eastAsia="zh-CN"/>
        </w:rPr>
      </w:pPr>
      <w:r>
        <w:rPr>
          <w:color w:val="auto"/>
          <w:highlight w:val="none"/>
          <w:lang w:eastAsia="zh-CN"/>
        </w:rPr>
        <w:t>在履行合同中发生以下情形之一，应按照本款规定进行变更。</w:t>
      </w:r>
    </w:p>
    <w:p w14:paraId="3052C20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）取消合同中任何一项工作，但被取消的工作不能转由发包人或其它人实施。</w:t>
      </w:r>
    </w:p>
    <w:p w14:paraId="474CA379">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）改变合同中任何一项工作的质量或其它特性。</w:t>
      </w:r>
    </w:p>
    <w:p w14:paraId="0E9CC682">
      <w:pPr>
        <w:kinsoku/>
        <w:ind w:firstLine="0"/>
        <w:rPr>
          <w:color w:val="auto"/>
          <w:highlight w:val="none"/>
          <w:lang w:eastAsia="zh-CN"/>
        </w:rPr>
      </w:pPr>
      <w:r>
        <w:rPr>
          <w:color w:val="auto"/>
          <w:highlight w:val="none"/>
          <w:lang w:eastAsia="zh-CN"/>
        </w:rPr>
        <w:t>（3）改变合同工程的基线、标高、位置或尺寸。</w:t>
      </w:r>
    </w:p>
    <w:p w14:paraId="11CD9554">
      <w:pPr>
        <w:kinsoku/>
        <w:ind w:firstLine="0"/>
        <w:rPr>
          <w:color w:val="auto"/>
          <w:highlight w:val="none"/>
          <w:lang w:eastAsia="zh-CN"/>
        </w:rPr>
      </w:pPr>
      <w:r>
        <w:rPr>
          <w:color w:val="auto"/>
          <w:highlight w:val="none"/>
          <w:lang w:eastAsia="zh-CN"/>
        </w:rPr>
        <w:t>（4）改变合同中任何一项工作的施工时间或改变已批准的施工工艺或顺序。</w:t>
      </w:r>
    </w:p>
    <w:p w14:paraId="3755CD91">
      <w:pPr>
        <w:kinsoku/>
        <w:ind w:firstLine="0"/>
        <w:rPr>
          <w:color w:val="auto"/>
          <w:highlight w:val="none"/>
          <w:lang w:eastAsia="zh-CN"/>
        </w:rPr>
      </w:pPr>
      <w:r>
        <w:rPr>
          <w:color w:val="auto"/>
          <w:highlight w:val="none"/>
          <w:lang w:eastAsia="zh-CN"/>
        </w:rPr>
        <w:t>（5）为完成工程需要追加的额外工作。</w:t>
      </w:r>
    </w:p>
    <w:p w14:paraId="6D8A70AD">
      <w:pPr>
        <w:kinsoku/>
        <w:ind w:firstLine="0"/>
        <w:rPr>
          <w:color w:val="auto"/>
          <w:highlight w:val="none"/>
          <w:lang w:eastAsia="zh-CN"/>
        </w:rPr>
      </w:pPr>
      <w:r>
        <w:rPr>
          <w:color w:val="auto"/>
          <w:highlight w:val="none"/>
          <w:lang w:eastAsia="zh-CN"/>
        </w:rPr>
        <w:t>（6）增加或减少专用合同条款中约定的关键项目工程量超过其工程总量的一定数量百分比。</w:t>
      </w:r>
    </w:p>
    <w:p w14:paraId="7F566F03">
      <w:pPr>
        <w:kinsoku/>
        <w:ind w:firstLine="0"/>
        <w:rPr>
          <w:rFonts w:cs="宋体"/>
          <w:color w:val="auto"/>
          <w:highlight w:val="none"/>
          <w:lang w:eastAsia="zh-CN"/>
        </w:rPr>
      </w:pPr>
      <w:r>
        <w:rPr>
          <w:color w:val="auto"/>
          <w:highlight w:val="none"/>
          <w:lang w:eastAsia="zh-CN"/>
        </w:rPr>
        <w:t>上述第（1）～（5）目的变更内容引起工程施工组织和进度计划发生实质性变动和影响其原定的价格时，才予调</w:t>
      </w:r>
      <w:r>
        <w:rPr>
          <w:rFonts w:cs="宋体"/>
          <w:color w:val="auto"/>
          <w:highlight w:val="none"/>
          <w:lang w:eastAsia="zh-CN"/>
        </w:rPr>
        <w:t>整该项目的单价。第（</w:t>
      </w:r>
      <w:r>
        <w:rPr>
          <w:rFonts w:hAnsi="Times New Roman" w:cs="Times New Roman"/>
          <w:color w:val="auto"/>
          <w:highlight w:val="none"/>
          <w:lang w:eastAsia="zh-CN"/>
        </w:rPr>
        <w:t>6</w:t>
      </w:r>
      <w:r>
        <w:rPr>
          <w:rFonts w:cs="宋体"/>
          <w:color w:val="auto"/>
          <w:highlight w:val="none"/>
          <w:lang w:eastAsia="zh-CN"/>
        </w:rPr>
        <w:t>）目情形下单价调整方式在专用合同条款中约定。</w:t>
      </w:r>
    </w:p>
    <w:p w14:paraId="030A272E">
      <w:pPr>
        <w:pStyle w:val="4"/>
        <w:kinsoku/>
        <w:spacing w:beforeLines="0" w:afterLines="0"/>
        <w:rPr>
          <w:rFonts w:hint="eastAsia" w:hAnsi="宋体" w:cs="宋体"/>
          <w:bCs/>
          <w:color w:val="auto"/>
          <w:szCs w:val="24"/>
          <w:highlight w:val="none"/>
          <w:lang w:eastAsia="zh-CN"/>
        </w:rPr>
      </w:pPr>
      <w:bookmarkStart w:id="1142" w:name="_Toc27821"/>
      <w:bookmarkStart w:id="1143" w:name="_Toc27153"/>
      <w:bookmarkStart w:id="1144" w:name="_Toc7279"/>
      <w:r>
        <w:rPr>
          <w:rFonts w:hint="eastAsia" w:hAnsi="宋体" w:cs="宋体"/>
          <w:b/>
          <w:bCs/>
          <w:color w:val="auto"/>
          <w:szCs w:val="24"/>
          <w:highlight w:val="none"/>
          <w:lang w:eastAsia="zh-CN"/>
        </w:rPr>
        <w:t>15.2</w:t>
      </w:r>
      <w:r>
        <w:rPr>
          <w:rFonts w:hint="eastAsia" w:cs="宋体"/>
          <w:b/>
          <w:bCs/>
          <w:color w:val="auto"/>
          <w:szCs w:val="24"/>
          <w:highlight w:val="none"/>
          <w:lang w:eastAsia="zh-CN"/>
        </w:rPr>
        <w:t>　</w:t>
      </w:r>
      <w:r>
        <w:rPr>
          <w:rFonts w:hint="eastAsia" w:hAnsi="宋体" w:cs="宋体"/>
          <w:b/>
          <w:bCs/>
          <w:color w:val="auto"/>
          <w:szCs w:val="24"/>
          <w:highlight w:val="none"/>
          <w:lang w:eastAsia="zh-CN"/>
        </w:rPr>
        <w:t>变更权</w:t>
      </w:r>
      <w:bookmarkEnd w:id="1142"/>
      <w:bookmarkEnd w:id="1143"/>
      <w:bookmarkEnd w:id="1144"/>
    </w:p>
    <w:p w14:paraId="67FAE3B7">
      <w:pPr>
        <w:kinsoku/>
        <w:ind w:firstLine="0"/>
        <w:rPr>
          <w:rFonts w:cs="宋体"/>
          <w:color w:val="auto"/>
          <w:highlight w:val="none"/>
          <w:lang w:eastAsia="zh-CN"/>
        </w:rPr>
      </w:pPr>
      <w:r>
        <w:rPr>
          <w:rFonts w:cs="宋体"/>
          <w:color w:val="auto"/>
          <w:highlight w:val="none"/>
          <w:lang w:eastAsia="zh-CN"/>
        </w:rPr>
        <w:t>在履行合同过程中，经发包人同意，监理人可按第</w:t>
      </w:r>
      <w:r>
        <w:rPr>
          <w:rFonts w:hAnsi="Times New Roman" w:cs="Times New Roman"/>
          <w:color w:val="auto"/>
          <w:highlight w:val="none"/>
          <w:lang w:eastAsia="zh-CN"/>
        </w:rPr>
        <w:t>15.3</w:t>
      </w:r>
      <w:r>
        <w:rPr>
          <w:rFonts w:cs="宋体"/>
          <w:color w:val="auto"/>
          <w:highlight w:val="none"/>
          <w:lang w:eastAsia="zh-CN"/>
        </w:rPr>
        <w:t>款约定的变更程序向承包人作出变更指示，承包人应遵照执行。没有监理人的变更指示，承包人不得擅自变更。</w:t>
      </w:r>
    </w:p>
    <w:p w14:paraId="4013A257">
      <w:pPr>
        <w:pStyle w:val="4"/>
        <w:kinsoku/>
        <w:spacing w:beforeLines="0" w:afterLines="0"/>
        <w:rPr>
          <w:rFonts w:hint="eastAsia" w:hAnsi="宋体" w:cs="宋体"/>
          <w:bCs/>
          <w:color w:val="auto"/>
          <w:szCs w:val="24"/>
          <w:highlight w:val="none"/>
          <w:lang w:eastAsia="zh-CN"/>
        </w:rPr>
      </w:pPr>
      <w:bookmarkStart w:id="1145" w:name="_Toc27860"/>
      <w:bookmarkStart w:id="1146" w:name="_Toc21622"/>
      <w:bookmarkStart w:id="1147" w:name="_Toc4462"/>
      <w:r>
        <w:rPr>
          <w:rFonts w:hint="eastAsia" w:hAnsi="宋体" w:cs="宋体"/>
          <w:b/>
          <w:bCs/>
          <w:color w:val="auto"/>
          <w:szCs w:val="24"/>
          <w:highlight w:val="none"/>
          <w:lang w:eastAsia="zh-CN"/>
        </w:rPr>
        <w:t>15.3</w:t>
      </w:r>
      <w:r>
        <w:rPr>
          <w:rFonts w:hint="eastAsia" w:cs="宋体"/>
          <w:b/>
          <w:bCs/>
          <w:color w:val="auto"/>
          <w:szCs w:val="24"/>
          <w:highlight w:val="none"/>
          <w:lang w:eastAsia="zh-CN"/>
        </w:rPr>
        <w:t>　</w:t>
      </w:r>
      <w:r>
        <w:rPr>
          <w:rFonts w:hint="eastAsia" w:hAnsi="宋体" w:cs="宋体"/>
          <w:b/>
          <w:bCs/>
          <w:color w:val="auto"/>
          <w:szCs w:val="24"/>
          <w:highlight w:val="none"/>
          <w:lang w:eastAsia="zh-CN"/>
        </w:rPr>
        <w:t>变更程序</w:t>
      </w:r>
      <w:bookmarkEnd w:id="1145"/>
      <w:bookmarkEnd w:id="1146"/>
      <w:bookmarkEnd w:id="1147"/>
    </w:p>
    <w:p w14:paraId="5CAF305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15.3.1</w:t>
      </w:r>
      <w:r>
        <w:rPr>
          <w:rFonts w:hint="eastAsia" w:hAnsi="Times New Roman" w:cs="Times New Roman"/>
          <w:b/>
          <w:bCs/>
          <w:color w:val="auto"/>
          <w:highlight w:val="none"/>
          <w:lang w:eastAsia="zh-CN"/>
        </w:rPr>
        <w:t>　</w:t>
      </w:r>
      <w:r>
        <w:rPr>
          <w:rFonts w:cs="宋体"/>
          <w:color w:val="auto"/>
          <w:highlight w:val="none"/>
          <w:lang w:eastAsia="zh-CN"/>
        </w:rPr>
        <w:t>变更的提出</w:t>
      </w:r>
    </w:p>
    <w:p w14:paraId="2A2E28D2">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）在合同履行过程中，可能发生第</w:t>
      </w:r>
      <w:r>
        <w:rPr>
          <w:rFonts w:hAnsi="Times New Roman" w:cs="Times New Roman"/>
          <w:color w:val="auto"/>
          <w:highlight w:val="none"/>
          <w:lang w:eastAsia="zh-CN"/>
        </w:rPr>
        <w:t>15.1</w:t>
      </w:r>
      <w:r>
        <w:rPr>
          <w:rFonts w:cs="宋体"/>
          <w:color w:val="auto"/>
          <w:highlight w:val="none"/>
          <w:lang w:eastAsia="zh-CN"/>
        </w:rPr>
        <w:t>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w:t>
      </w:r>
      <w:r>
        <w:rPr>
          <w:rFonts w:hAnsi="Times New Roman" w:cs="Times New Roman"/>
          <w:color w:val="auto"/>
          <w:highlight w:val="none"/>
          <w:lang w:eastAsia="zh-CN"/>
        </w:rPr>
        <w:t>15.3.3</w:t>
      </w:r>
      <w:r>
        <w:rPr>
          <w:rFonts w:cs="宋体"/>
          <w:color w:val="auto"/>
          <w:highlight w:val="none"/>
          <w:lang w:eastAsia="zh-CN"/>
        </w:rPr>
        <w:t>项约定发出变更指示。</w:t>
      </w:r>
    </w:p>
    <w:p w14:paraId="0B6A4F0D">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）在合同履行过程中，发生第</w:t>
      </w:r>
      <w:r>
        <w:rPr>
          <w:rFonts w:hAnsi="Times New Roman" w:cs="Times New Roman"/>
          <w:color w:val="auto"/>
          <w:highlight w:val="none"/>
          <w:lang w:eastAsia="zh-CN"/>
        </w:rPr>
        <w:t>15.1</w:t>
      </w:r>
      <w:r>
        <w:rPr>
          <w:rFonts w:cs="宋体"/>
          <w:color w:val="auto"/>
          <w:highlight w:val="none"/>
          <w:lang w:eastAsia="zh-CN"/>
        </w:rPr>
        <w:t>款约定情形的，监理人应按照第</w:t>
      </w:r>
      <w:r>
        <w:rPr>
          <w:rFonts w:hAnsi="Times New Roman" w:cs="Times New Roman"/>
          <w:color w:val="auto"/>
          <w:highlight w:val="none"/>
          <w:lang w:eastAsia="zh-CN"/>
        </w:rPr>
        <w:t>15.3.3</w:t>
      </w:r>
      <w:r>
        <w:rPr>
          <w:rFonts w:cs="宋体"/>
          <w:color w:val="auto"/>
          <w:highlight w:val="none"/>
          <w:lang w:eastAsia="zh-CN"/>
        </w:rPr>
        <w:t>项约定向承包人发出变更指示。</w:t>
      </w:r>
    </w:p>
    <w:p w14:paraId="4953677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）承包人收到监理人按合同约定发出的图纸和文件，经检查认为其中存在第</w:t>
      </w:r>
      <w:r>
        <w:rPr>
          <w:rFonts w:hAnsi="Times New Roman" w:cs="Times New Roman"/>
          <w:color w:val="auto"/>
          <w:highlight w:val="none"/>
          <w:lang w:eastAsia="zh-CN"/>
        </w:rPr>
        <w:t>15.1</w:t>
      </w:r>
      <w:r>
        <w:rPr>
          <w:rFonts w:cs="宋体"/>
          <w:color w:val="auto"/>
          <w:highlight w:val="none"/>
          <w:lang w:eastAsia="zh-CN"/>
        </w:rPr>
        <w:t>款约定情形的，可向监理人提出书面变更建议。变更建议应阐明要求变更的依据，并附必要的图纸和说明。监理人收到承包人书面建议后，应与发包人共同研究，确认存在变更的，应在收到承包人书面建议后的</w:t>
      </w:r>
      <w:r>
        <w:rPr>
          <w:rFonts w:hAnsi="Times New Roman" w:cs="Times New Roman"/>
          <w:color w:val="auto"/>
          <w:highlight w:val="none"/>
          <w:lang w:eastAsia="zh-CN"/>
        </w:rPr>
        <w:t>14</w:t>
      </w:r>
      <w:r>
        <w:rPr>
          <w:rFonts w:cs="宋体"/>
          <w:color w:val="auto"/>
          <w:highlight w:val="none"/>
          <w:lang w:eastAsia="zh-CN"/>
        </w:rPr>
        <w:t>天内作出变更指示。经研究后不同意作为变更的，应由监理人书面答复承包人。</w:t>
      </w:r>
    </w:p>
    <w:p w14:paraId="1563784A">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）若承包人收到监理人的变更意向书后认为难以实施此项变更，应立即通知监理人，说明原因并附详细依据。监理人与承包人和发包人协商后确定撤销、改变或不改变原变更意向书。</w:t>
      </w:r>
    </w:p>
    <w:p w14:paraId="62961EF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15.3.2</w:t>
      </w:r>
      <w:r>
        <w:rPr>
          <w:rFonts w:hint="eastAsia" w:hAnsi="Times New Roman" w:cs="Times New Roman"/>
          <w:b/>
          <w:bCs/>
          <w:color w:val="auto"/>
          <w:highlight w:val="none"/>
          <w:lang w:eastAsia="zh-CN"/>
        </w:rPr>
        <w:t>　</w:t>
      </w:r>
      <w:r>
        <w:rPr>
          <w:rFonts w:cs="宋体"/>
          <w:color w:val="auto"/>
          <w:highlight w:val="none"/>
          <w:lang w:eastAsia="zh-CN"/>
        </w:rPr>
        <w:t>变更估价</w:t>
      </w:r>
    </w:p>
    <w:p w14:paraId="0E0E009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）除专用合同条款对期限另有约定外，承包人应在收到变更指示或变更意向书后的</w:t>
      </w:r>
      <w:r>
        <w:rPr>
          <w:rFonts w:hAnsi="Times New Roman" w:cs="Times New Roman"/>
          <w:color w:val="auto"/>
          <w:highlight w:val="none"/>
          <w:lang w:eastAsia="zh-CN"/>
        </w:rPr>
        <w:t>14</w:t>
      </w:r>
      <w:r>
        <w:rPr>
          <w:rFonts w:cs="宋体"/>
          <w:color w:val="auto"/>
          <w:highlight w:val="none"/>
          <w:lang w:eastAsia="zh-CN"/>
        </w:rPr>
        <w:t>天内，向监理人提交变更报价书，报价内容应根据第</w:t>
      </w:r>
      <w:r>
        <w:rPr>
          <w:rFonts w:hAnsi="Times New Roman" w:cs="Times New Roman"/>
          <w:color w:val="auto"/>
          <w:highlight w:val="none"/>
          <w:lang w:eastAsia="zh-CN"/>
        </w:rPr>
        <w:t>15.4</w:t>
      </w:r>
      <w:r>
        <w:rPr>
          <w:rFonts w:cs="宋体"/>
          <w:color w:val="auto"/>
          <w:highlight w:val="none"/>
          <w:lang w:eastAsia="zh-CN"/>
        </w:rPr>
        <w:t>款约定的估价原则，详细开列变更工作的价格组成及其依据，并附必要的施工方法说明和有关图纸。</w:t>
      </w:r>
    </w:p>
    <w:p w14:paraId="43495380">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）变更工作影响工期的，承包人应提出调整工期的具体细节。监理人认为有必要时，可要求承包人提交要求提前或延长工期的施工进度计划及相应施工措施等详细资料。</w:t>
      </w:r>
    </w:p>
    <w:p w14:paraId="0C565192">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）除专用合同条款对期限另有约定外，监理人收到承包人变更报价书后的</w:t>
      </w:r>
      <w:r>
        <w:rPr>
          <w:rFonts w:hAnsi="Times New Roman" w:cs="Times New Roman"/>
          <w:color w:val="auto"/>
          <w:highlight w:val="none"/>
          <w:lang w:eastAsia="zh-CN"/>
        </w:rPr>
        <w:t>14</w:t>
      </w:r>
      <w:r>
        <w:rPr>
          <w:rFonts w:cs="宋体"/>
          <w:color w:val="auto"/>
          <w:highlight w:val="none"/>
          <w:lang w:eastAsia="zh-CN"/>
        </w:rPr>
        <w:t>天内，根据第</w:t>
      </w:r>
      <w:r>
        <w:rPr>
          <w:rFonts w:hAnsi="Times New Roman" w:cs="Times New Roman"/>
          <w:color w:val="auto"/>
          <w:highlight w:val="none"/>
          <w:lang w:eastAsia="zh-CN"/>
        </w:rPr>
        <w:t>15.4</w:t>
      </w:r>
      <w:r>
        <w:rPr>
          <w:rFonts w:cs="宋体"/>
          <w:color w:val="auto"/>
          <w:highlight w:val="none"/>
          <w:lang w:eastAsia="zh-CN"/>
        </w:rPr>
        <w:t>款约定的估价原则，按照第</w:t>
      </w:r>
      <w:r>
        <w:rPr>
          <w:rFonts w:hAnsi="Times New Roman" w:cs="Times New Roman"/>
          <w:color w:val="auto"/>
          <w:highlight w:val="none"/>
          <w:lang w:eastAsia="zh-CN"/>
        </w:rPr>
        <w:t>3.5</w:t>
      </w:r>
      <w:r>
        <w:rPr>
          <w:rFonts w:cs="宋体"/>
          <w:color w:val="auto"/>
          <w:highlight w:val="none"/>
          <w:lang w:eastAsia="zh-CN"/>
        </w:rPr>
        <w:t>款商定或确定变更价格。</w:t>
      </w:r>
    </w:p>
    <w:p w14:paraId="37EFE0D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15.3.3</w:t>
      </w:r>
      <w:r>
        <w:rPr>
          <w:rFonts w:hint="eastAsia" w:hAnsi="Times New Roman" w:cs="Times New Roman"/>
          <w:b/>
          <w:bCs/>
          <w:color w:val="auto"/>
          <w:highlight w:val="none"/>
          <w:lang w:eastAsia="zh-CN"/>
        </w:rPr>
        <w:t>　</w:t>
      </w:r>
      <w:r>
        <w:rPr>
          <w:rFonts w:cs="宋体"/>
          <w:color w:val="auto"/>
          <w:highlight w:val="none"/>
          <w:lang w:eastAsia="zh-CN"/>
        </w:rPr>
        <w:t>变更指示</w:t>
      </w:r>
    </w:p>
    <w:p w14:paraId="7C41A76E">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）变更指示只能由监理人发出。</w:t>
      </w:r>
    </w:p>
    <w:p w14:paraId="5342CFE9">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）变更指示应说明变更的目的、范围、变更内容以及变更的工程量及其进度和技术要求，并附有关图纸和文件。承包人收到变更指示后，应按变更指示进行变更工作。</w:t>
      </w:r>
    </w:p>
    <w:p w14:paraId="29B0BD5E">
      <w:pPr>
        <w:pStyle w:val="4"/>
        <w:kinsoku/>
        <w:spacing w:beforeLines="0" w:afterLines="0"/>
        <w:rPr>
          <w:rFonts w:hint="eastAsia" w:hAnsi="宋体" w:cs="宋体"/>
          <w:bCs/>
          <w:color w:val="auto"/>
          <w:szCs w:val="24"/>
          <w:highlight w:val="none"/>
          <w:lang w:eastAsia="zh-CN"/>
        </w:rPr>
      </w:pPr>
      <w:bookmarkStart w:id="1148" w:name="_Toc5241"/>
      <w:bookmarkStart w:id="1149" w:name="_Toc3052"/>
      <w:bookmarkStart w:id="1150" w:name="_Toc7337"/>
      <w:r>
        <w:rPr>
          <w:rFonts w:hint="eastAsia" w:hAnsi="宋体" w:cs="宋体"/>
          <w:b/>
          <w:bCs/>
          <w:color w:val="auto"/>
          <w:szCs w:val="24"/>
          <w:highlight w:val="none"/>
          <w:lang w:eastAsia="zh-CN"/>
        </w:rPr>
        <w:t>15.4</w:t>
      </w:r>
      <w:r>
        <w:rPr>
          <w:rFonts w:hint="eastAsia" w:cs="宋体"/>
          <w:b/>
          <w:bCs/>
          <w:color w:val="auto"/>
          <w:szCs w:val="24"/>
          <w:highlight w:val="none"/>
          <w:lang w:eastAsia="zh-CN"/>
        </w:rPr>
        <w:t>　</w:t>
      </w:r>
      <w:r>
        <w:rPr>
          <w:rFonts w:hint="eastAsia" w:hAnsi="宋体" w:cs="宋体"/>
          <w:b/>
          <w:bCs/>
          <w:color w:val="auto"/>
          <w:szCs w:val="24"/>
          <w:highlight w:val="none"/>
          <w:lang w:eastAsia="zh-CN"/>
        </w:rPr>
        <w:t>变更的估价原则</w:t>
      </w:r>
      <w:bookmarkEnd w:id="1148"/>
      <w:bookmarkEnd w:id="1149"/>
      <w:bookmarkEnd w:id="1150"/>
    </w:p>
    <w:p w14:paraId="65E66AB1">
      <w:pPr>
        <w:kinsoku/>
        <w:ind w:firstLine="0"/>
        <w:rPr>
          <w:color w:val="auto"/>
          <w:highlight w:val="none"/>
          <w:lang w:eastAsia="zh-CN"/>
        </w:rPr>
      </w:pPr>
      <w:r>
        <w:rPr>
          <w:color w:val="auto"/>
          <w:highlight w:val="none"/>
          <w:lang w:eastAsia="zh-CN"/>
        </w:rPr>
        <w:t>除专用合同条款另有约定外，因变更引起的价格调整按照本款约定处理。</w:t>
      </w:r>
    </w:p>
    <w:p w14:paraId="5B377A3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15.4.1</w:t>
      </w:r>
      <w:r>
        <w:rPr>
          <w:rFonts w:hint="eastAsia" w:hAnsi="Times New Roman" w:cs="Times New Roman"/>
          <w:b/>
          <w:bCs/>
          <w:color w:val="auto"/>
          <w:highlight w:val="none"/>
          <w:lang w:eastAsia="zh-CN"/>
        </w:rPr>
        <w:t>　</w:t>
      </w:r>
      <w:r>
        <w:rPr>
          <w:rFonts w:cs="宋体"/>
          <w:color w:val="auto"/>
          <w:highlight w:val="none"/>
          <w:lang w:eastAsia="zh-CN"/>
        </w:rPr>
        <w:t>已标价工程量清单中有适用于变更工作的子目的，采用该子目的单价。</w:t>
      </w:r>
    </w:p>
    <w:p w14:paraId="43B1690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15.4.2</w:t>
      </w:r>
      <w:r>
        <w:rPr>
          <w:rFonts w:hint="eastAsia" w:hAnsi="Times New Roman" w:cs="Times New Roman"/>
          <w:b/>
          <w:bCs/>
          <w:color w:val="auto"/>
          <w:highlight w:val="none"/>
          <w:lang w:eastAsia="zh-CN"/>
        </w:rPr>
        <w:t>　</w:t>
      </w:r>
      <w:r>
        <w:rPr>
          <w:rFonts w:cs="宋体"/>
          <w:color w:val="auto"/>
          <w:highlight w:val="none"/>
          <w:lang w:eastAsia="zh-CN"/>
        </w:rPr>
        <w:t>已标价工程量清单中无适用于变更工作的子目，但有类似子目的，可在合理范围内参照类似子目的单价，由监理人按第</w:t>
      </w:r>
      <w:r>
        <w:rPr>
          <w:rFonts w:hAnsi="Times New Roman" w:cs="Times New Roman"/>
          <w:color w:val="auto"/>
          <w:highlight w:val="none"/>
          <w:lang w:eastAsia="zh-CN"/>
        </w:rPr>
        <w:t>3.5</w:t>
      </w:r>
      <w:r>
        <w:rPr>
          <w:rFonts w:cs="宋体"/>
          <w:color w:val="auto"/>
          <w:highlight w:val="none"/>
          <w:lang w:eastAsia="zh-CN"/>
        </w:rPr>
        <w:t>款商定或确定变更工作的单价。</w:t>
      </w:r>
    </w:p>
    <w:p w14:paraId="58D373E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15.4.3</w:t>
      </w:r>
      <w:r>
        <w:rPr>
          <w:rFonts w:hint="eastAsia" w:hAnsi="Times New Roman" w:cs="Times New Roman"/>
          <w:b/>
          <w:bCs/>
          <w:color w:val="auto"/>
          <w:highlight w:val="none"/>
          <w:lang w:eastAsia="zh-CN"/>
        </w:rPr>
        <w:t>　</w:t>
      </w:r>
      <w:r>
        <w:rPr>
          <w:rFonts w:cs="宋体"/>
          <w:color w:val="auto"/>
          <w:highlight w:val="none"/>
          <w:lang w:eastAsia="zh-CN"/>
        </w:rPr>
        <w:t>已标价工程量清单中无适用或类似子目的单价，可按照成本加利润的原则，由监理人按第</w:t>
      </w:r>
      <w:r>
        <w:rPr>
          <w:rFonts w:hAnsi="Times New Roman" w:cs="Times New Roman"/>
          <w:color w:val="auto"/>
          <w:highlight w:val="none"/>
          <w:lang w:eastAsia="zh-CN"/>
        </w:rPr>
        <w:t>3.5</w:t>
      </w:r>
      <w:r>
        <w:rPr>
          <w:rFonts w:cs="宋体"/>
          <w:color w:val="auto"/>
          <w:highlight w:val="none"/>
          <w:lang w:eastAsia="zh-CN"/>
        </w:rPr>
        <w:t>款商定或确定变更工作的单价。</w:t>
      </w:r>
    </w:p>
    <w:p w14:paraId="31623C32">
      <w:pPr>
        <w:pStyle w:val="4"/>
        <w:kinsoku/>
        <w:spacing w:beforeLines="0" w:afterLines="0"/>
        <w:rPr>
          <w:rFonts w:hint="eastAsia" w:hAnsi="宋体" w:cs="宋体"/>
          <w:bCs/>
          <w:color w:val="auto"/>
          <w:szCs w:val="24"/>
          <w:highlight w:val="none"/>
          <w:lang w:eastAsia="zh-CN"/>
        </w:rPr>
      </w:pPr>
      <w:bookmarkStart w:id="1151" w:name="_Toc25286"/>
      <w:bookmarkStart w:id="1152" w:name="_Toc22384"/>
      <w:bookmarkStart w:id="1153" w:name="_Toc29695"/>
      <w:r>
        <w:rPr>
          <w:rFonts w:hint="eastAsia" w:hAnsi="宋体" w:cs="宋体"/>
          <w:b/>
          <w:bCs/>
          <w:color w:val="auto"/>
          <w:szCs w:val="24"/>
          <w:highlight w:val="none"/>
          <w:lang w:eastAsia="zh-CN"/>
        </w:rPr>
        <w:t>15.5</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承包人的合理化建议</w:t>
      </w:r>
      <w:bookmarkEnd w:id="1151"/>
      <w:bookmarkEnd w:id="1152"/>
      <w:bookmarkEnd w:id="1153"/>
    </w:p>
    <w:p w14:paraId="362ADA8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15.5.1</w:t>
      </w:r>
      <w:r>
        <w:rPr>
          <w:rFonts w:hint="eastAsia" w:hAnsi="Times New Roman" w:cs="Times New Roman"/>
          <w:b/>
          <w:bCs/>
          <w:color w:val="auto"/>
          <w:highlight w:val="none"/>
          <w:lang w:eastAsia="zh-CN"/>
        </w:rPr>
        <w:t>　</w:t>
      </w:r>
      <w:r>
        <w:rPr>
          <w:rFonts w:cs="宋体"/>
          <w:color w:val="auto"/>
          <w:highlight w:val="none"/>
          <w:lang w:eastAsia="zh-CN"/>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hAnsi="Times New Roman" w:cs="Times New Roman"/>
          <w:color w:val="auto"/>
          <w:highlight w:val="none"/>
          <w:lang w:eastAsia="zh-CN"/>
        </w:rPr>
        <w:t>15.3.3</w:t>
      </w:r>
      <w:r>
        <w:rPr>
          <w:rFonts w:cs="宋体"/>
          <w:color w:val="auto"/>
          <w:highlight w:val="none"/>
          <w:lang w:eastAsia="zh-CN"/>
        </w:rPr>
        <w:t>项约定向承包人发出变更指示。</w:t>
      </w:r>
    </w:p>
    <w:p w14:paraId="535D943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15.5.2</w:t>
      </w:r>
      <w:r>
        <w:rPr>
          <w:rFonts w:hint="eastAsia" w:hAnsi="Times New Roman" w:cs="Times New Roman"/>
          <w:b/>
          <w:bCs/>
          <w:color w:val="auto"/>
          <w:highlight w:val="none"/>
          <w:lang w:eastAsia="zh-CN"/>
        </w:rPr>
        <w:t>　</w:t>
      </w:r>
      <w:r>
        <w:rPr>
          <w:rFonts w:cs="宋体"/>
          <w:color w:val="auto"/>
          <w:highlight w:val="none"/>
          <w:lang w:eastAsia="zh-CN"/>
        </w:rPr>
        <w:t>承包人提出的合理化建议降低了合同价格、缩短了工期或者提高了工程经济效益的，发包人可按国家有关规定在专用合同条款中约定给予奖励。</w:t>
      </w:r>
    </w:p>
    <w:p w14:paraId="13476755">
      <w:pPr>
        <w:pStyle w:val="4"/>
        <w:kinsoku/>
        <w:spacing w:beforeLines="0" w:afterLines="0"/>
        <w:rPr>
          <w:rFonts w:hint="eastAsia" w:hAnsi="宋体" w:cs="宋体"/>
          <w:bCs/>
          <w:color w:val="auto"/>
          <w:szCs w:val="24"/>
          <w:highlight w:val="none"/>
          <w:lang w:eastAsia="zh-CN"/>
        </w:rPr>
      </w:pPr>
      <w:bookmarkStart w:id="1154" w:name="_Toc755"/>
      <w:bookmarkStart w:id="1155" w:name="_Toc30436"/>
      <w:bookmarkStart w:id="1156" w:name="_Toc12092"/>
      <w:r>
        <w:rPr>
          <w:rFonts w:hint="eastAsia" w:hAnsi="宋体" w:cs="宋体"/>
          <w:b/>
          <w:bCs/>
          <w:color w:val="auto"/>
          <w:szCs w:val="24"/>
          <w:highlight w:val="none"/>
          <w:lang w:eastAsia="zh-CN"/>
        </w:rPr>
        <w:t>15.6</w:t>
      </w:r>
      <w:r>
        <w:rPr>
          <w:rFonts w:hint="eastAsia" w:cs="宋体"/>
          <w:b/>
          <w:bCs/>
          <w:color w:val="auto"/>
          <w:szCs w:val="24"/>
          <w:highlight w:val="none"/>
          <w:lang w:eastAsia="zh-CN"/>
        </w:rPr>
        <w:t>　</w:t>
      </w:r>
      <w:r>
        <w:rPr>
          <w:rFonts w:hint="eastAsia" w:hAnsi="宋体" w:cs="宋体"/>
          <w:b/>
          <w:bCs/>
          <w:color w:val="auto"/>
          <w:szCs w:val="24"/>
          <w:highlight w:val="none"/>
          <w:lang w:eastAsia="zh-CN"/>
        </w:rPr>
        <w:t>预留金</w:t>
      </w:r>
      <w:bookmarkEnd w:id="1154"/>
      <w:bookmarkEnd w:id="1155"/>
      <w:bookmarkEnd w:id="1156"/>
    </w:p>
    <w:p w14:paraId="5BE567B1">
      <w:pPr>
        <w:kinsoku/>
        <w:ind w:firstLine="0"/>
        <w:rPr>
          <w:color w:val="auto"/>
          <w:highlight w:val="none"/>
          <w:lang w:eastAsia="zh-CN"/>
        </w:rPr>
      </w:pPr>
      <w:r>
        <w:rPr>
          <w:color w:val="auto"/>
          <w:highlight w:val="none"/>
          <w:lang w:eastAsia="zh-CN"/>
        </w:rPr>
        <w:t>预留金只能按照监理人的指示使用，并对合同价格进行相应调整。</w:t>
      </w:r>
    </w:p>
    <w:p w14:paraId="22EB44FC">
      <w:pPr>
        <w:pStyle w:val="4"/>
        <w:kinsoku/>
        <w:spacing w:beforeLines="0" w:afterLines="0"/>
        <w:rPr>
          <w:rFonts w:hint="eastAsia" w:hAnsi="宋体" w:cs="宋体"/>
          <w:bCs/>
          <w:color w:val="auto"/>
          <w:szCs w:val="24"/>
          <w:highlight w:val="none"/>
          <w:lang w:eastAsia="zh-CN"/>
        </w:rPr>
      </w:pPr>
      <w:bookmarkStart w:id="1157" w:name="_Toc6279"/>
      <w:bookmarkStart w:id="1158" w:name="_Toc14749"/>
      <w:bookmarkStart w:id="1159" w:name="_Toc7917"/>
      <w:r>
        <w:rPr>
          <w:rFonts w:hint="eastAsia" w:hAnsi="宋体" w:cs="宋体"/>
          <w:b/>
          <w:bCs/>
          <w:color w:val="auto"/>
          <w:szCs w:val="24"/>
          <w:highlight w:val="none"/>
          <w:lang w:eastAsia="zh-CN"/>
        </w:rPr>
        <w:t>15.7</w:t>
      </w:r>
      <w:r>
        <w:rPr>
          <w:rFonts w:hint="eastAsia" w:cs="宋体"/>
          <w:b/>
          <w:bCs/>
          <w:color w:val="auto"/>
          <w:szCs w:val="24"/>
          <w:highlight w:val="none"/>
          <w:lang w:eastAsia="zh-CN"/>
        </w:rPr>
        <w:t>　</w:t>
      </w:r>
      <w:r>
        <w:rPr>
          <w:rFonts w:hint="eastAsia" w:hAnsi="宋体" w:cs="宋体"/>
          <w:b/>
          <w:bCs/>
          <w:color w:val="auto"/>
          <w:szCs w:val="24"/>
          <w:highlight w:val="none"/>
          <w:lang w:eastAsia="zh-CN"/>
        </w:rPr>
        <w:t>计日工</w:t>
      </w:r>
      <w:bookmarkEnd w:id="1157"/>
      <w:bookmarkEnd w:id="1158"/>
      <w:bookmarkEnd w:id="1159"/>
    </w:p>
    <w:p w14:paraId="38A732B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15.7.1</w:t>
      </w:r>
      <w:r>
        <w:rPr>
          <w:rFonts w:hint="eastAsia" w:hAnsi="Times New Roman" w:cs="Times New Roman"/>
          <w:b/>
          <w:bCs/>
          <w:color w:val="auto"/>
          <w:highlight w:val="none"/>
          <w:lang w:eastAsia="zh-CN"/>
        </w:rPr>
        <w:t>　</w:t>
      </w:r>
      <w:r>
        <w:rPr>
          <w:rFonts w:cs="宋体"/>
          <w:color w:val="auto"/>
          <w:highlight w:val="none"/>
          <w:lang w:eastAsia="zh-CN"/>
        </w:rPr>
        <w:t>发包人认为有必要时，由监理人通知承包人以计日工方式实施变更的零星工作。其价款按列入已标价工程量清单中的计日工计价子目及其单价进行计算。</w:t>
      </w:r>
    </w:p>
    <w:p w14:paraId="335B48F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15.7.2</w:t>
      </w:r>
      <w:r>
        <w:rPr>
          <w:rFonts w:hint="eastAsia" w:hAnsi="Times New Roman" w:cs="Times New Roman"/>
          <w:b/>
          <w:bCs/>
          <w:color w:val="auto"/>
          <w:highlight w:val="none"/>
          <w:lang w:eastAsia="zh-CN"/>
        </w:rPr>
        <w:t>　</w:t>
      </w:r>
      <w:r>
        <w:rPr>
          <w:rFonts w:cs="宋体"/>
          <w:color w:val="auto"/>
          <w:highlight w:val="none"/>
          <w:lang w:eastAsia="zh-CN"/>
        </w:rPr>
        <w:t>采用计日工计价的任何一项变更工作，应从预留金中支付，承包人应在该项变更的实施过程中，每天提交以下报表和有关凭证报送监理人审批：</w:t>
      </w:r>
    </w:p>
    <w:p w14:paraId="47FE2739">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）工作名称、内容和数量。</w:t>
      </w:r>
    </w:p>
    <w:p w14:paraId="7CFBBA98">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）投入该工作所有人员的姓名、工种、级别和耗用工时。</w:t>
      </w:r>
    </w:p>
    <w:p w14:paraId="1188BC48">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）投入该工作的材料类别和数量。</w:t>
      </w:r>
    </w:p>
    <w:p w14:paraId="1199EC7F">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）投入该工作的施工设备型号、台数和耗用台时。</w:t>
      </w:r>
    </w:p>
    <w:p w14:paraId="31D8BD0B">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）监理人要求提交的其他资料和凭证。</w:t>
      </w:r>
    </w:p>
    <w:p w14:paraId="76A8B86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15.7.3</w:t>
      </w:r>
      <w:r>
        <w:rPr>
          <w:rFonts w:hint="eastAsia" w:hAnsi="Times New Roman" w:cs="Times New Roman"/>
          <w:b/>
          <w:bCs/>
          <w:color w:val="auto"/>
          <w:highlight w:val="none"/>
          <w:lang w:eastAsia="zh-CN"/>
        </w:rPr>
        <w:t>　</w:t>
      </w:r>
      <w:r>
        <w:rPr>
          <w:rFonts w:cs="宋体"/>
          <w:color w:val="auto"/>
          <w:highlight w:val="none"/>
          <w:lang w:eastAsia="zh-CN"/>
        </w:rPr>
        <w:t>计日工由承包人汇总后，按第</w:t>
      </w:r>
      <w:r>
        <w:rPr>
          <w:rFonts w:hAnsi="Times New Roman" w:cs="Times New Roman"/>
          <w:color w:val="auto"/>
          <w:highlight w:val="none"/>
          <w:lang w:eastAsia="zh-CN"/>
        </w:rPr>
        <w:t>17.3.2</w:t>
      </w:r>
      <w:r>
        <w:rPr>
          <w:rFonts w:cs="宋体"/>
          <w:color w:val="auto"/>
          <w:highlight w:val="none"/>
          <w:lang w:eastAsia="zh-CN"/>
        </w:rPr>
        <w:t>项的约定列入进度付款申请单，由监理人复核并经发包人同意后列入进度付款。</w:t>
      </w:r>
    </w:p>
    <w:p w14:paraId="4D7E814E">
      <w:pPr>
        <w:pStyle w:val="4"/>
        <w:kinsoku/>
        <w:spacing w:beforeLines="0" w:afterLines="0"/>
        <w:rPr>
          <w:rFonts w:hint="eastAsia" w:hAnsi="宋体" w:cs="宋体"/>
          <w:bCs/>
          <w:color w:val="auto"/>
          <w:szCs w:val="24"/>
          <w:highlight w:val="none"/>
          <w:lang w:eastAsia="zh-CN"/>
        </w:rPr>
      </w:pPr>
      <w:bookmarkStart w:id="1160" w:name="_Toc21872"/>
      <w:bookmarkStart w:id="1161" w:name="_Toc21073"/>
      <w:bookmarkStart w:id="1162" w:name="_Toc7397"/>
      <w:r>
        <w:rPr>
          <w:rFonts w:hint="eastAsia" w:hAnsi="宋体" w:cs="宋体"/>
          <w:b/>
          <w:bCs/>
          <w:color w:val="auto"/>
          <w:szCs w:val="24"/>
          <w:highlight w:val="none"/>
          <w:lang w:eastAsia="zh-CN"/>
        </w:rPr>
        <w:t>15.8</w:t>
      </w:r>
      <w:r>
        <w:rPr>
          <w:rFonts w:hint="eastAsia" w:cs="宋体"/>
          <w:b/>
          <w:bCs/>
          <w:color w:val="auto"/>
          <w:szCs w:val="24"/>
          <w:highlight w:val="none"/>
          <w:lang w:eastAsia="zh-CN"/>
        </w:rPr>
        <w:t>　</w:t>
      </w:r>
      <w:r>
        <w:rPr>
          <w:rFonts w:hint="eastAsia" w:hAnsi="宋体" w:cs="宋体"/>
          <w:b/>
          <w:bCs/>
          <w:color w:val="auto"/>
          <w:szCs w:val="24"/>
          <w:highlight w:val="none"/>
          <w:lang w:eastAsia="zh-CN"/>
        </w:rPr>
        <w:t>暂估价</w:t>
      </w:r>
      <w:bookmarkEnd w:id="1160"/>
      <w:bookmarkEnd w:id="1161"/>
      <w:bookmarkEnd w:id="1162"/>
    </w:p>
    <w:p w14:paraId="130F0FC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15.8.1</w:t>
      </w:r>
      <w:r>
        <w:rPr>
          <w:rFonts w:hint="eastAsia" w:hAnsi="Times New Roman" w:cs="Times New Roman"/>
          <w:b/>
          <w:bCs/>
          <w:color w:val="auto"/>
          <w:highlight w:val="none"/>
          <w:lang w:eastAsia="zh-CN"/>
        </w:rPr>
        <w:t>　</w:t>
      </w:r>
      <w:r>
        <w:rPr>
          <w:rFonts w:cs="宋体"/>
          <w:color w:val="auto"/>
          <w:highlight w:val="none"/>
          <w:lang w:eastAsia="zh-CN"/>
        </w:rPr>
        <w:t>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41718B2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15.8.2</w:t>
      </w:r>
      <w:r>
        <w:rPr>
          <w:rFonts w:hint="eastAsia" w:hAnsi="Times New Roman" w:cs="Times New Roman"/>
          <w:b/>
          <w:bCs/>
          <w:color w:val="auto"/>
          <w:highlight w:val="none"/>
          <w:lang w:eastAsia="zh-CN"/>
        </w:rPr>
        <w:t>　</w:t>
      </w:r>
      <w:r>
        <w:rPr>
          <w:rFonts w:cs="宋体"/>
          <w:color w:val="auto"/>
          <w:highlight w:val="none"/>
          <w:lang w:eastAsia="zh-CN"/>
        </w:rPr>
        <w:t>发包人在工程量清单中给定暂估价的材料和工程设备不属于依法必须招标的范围或未达到规定的规模标准的，应由承包人按第</w:t>
      </w:r>
      <w:r>
        <w:rPr>
          <w:rFonts w:hAnsi="Times New Roman" w:cs="Times New Roman"/>
          <w:color w:val="auto"/>
          <w:highlight w:val="none"/>
          <w:lang w:eastAsia="zh-CN"/>
        </w:rPr>
        <w:t>5.1</w:t>
      </w:r>
      <w:r>
        <w:rPr>
          <w:rFonts w:cs="宋体"/>
          <w:color w:val="auto"/>
          <w:highlight w:val="none"/>
          <w:lang w:eastAsia="zh-CN"/>
        </w:rPr>
        <w:t>款的约定提供。经监理人确认的材料、工程设备的价格与工程量清单中所列的暂估价的金额差以及相应的税金等其他费用列入合同价格。</w:t>
      </w:r>
    </w:p>
    <w:p w14:paraId="6A0DD67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15.8.3</w:t>
      </w:r>
      <w:r>
        <w:rPr>
          <w:rFonts w:hint="eastAsia" w:hAnsi="Times New Roman" w:cs="Times New Roman"/>
          <w:b/>
          <w:bCs/>
          <w:color w:val="auto"/>
          <w:highlight w:val="none"/>
          <w:lang w:eastAsia="zh-CN"/>
        </w:rPr>
        <w:t>　</w:t>
      </w:r>
      <w:r>
        <w:rPr>
          <w:rFonts w:cs="宋体"/>
          <w:color w:val="auto"/>
          <w:highlight w:val="none"/>
          <w:lang w:eastAsia="zh-CN"/>
        </w:rPr>
        <w:t>发包人在工程量清单中给定暂估价的专业工程不属于依法必须招标的范围或未达到规定的规模标准的，由监理人按照第</w:t>
      </w:r>
      <w:r>
        <w:rPr>
          <w:rFonts w:hAnsi="Times New Roman" w:cs="Times New Roman"/>
          <w:color w:val="auto"/>
          <w:highlight w:val="none"/>
          <w:lang w:eastAsia="zh-CN"/>
        </w:rPr>
        <w:t>15.4</w:t>
      </w:r>
      <w:r>
        <w:rPr>
          <w:rFonts w:cs="宋体"/>
          <w:color w:val="auto"/>
          <w:highlight w:val="none"/>
          <w:lang w:eastAsia="zh-CN"/>
        </w:rPr>
        <w:t>款进行估价，但专用合同条款另有约定的除外。经估价的专业工程与工程量清单中所列的暂估价的金额差以及相应的税金等其他费用列入合同价格。</w:t>
      </w:r>
    </w:p>
    <w:p w14:paraId="39401DD4">
      <w:pPr>
        <w:pStyle w:val="3"/>
        <w:kinsoku/>
        <w:spacing w:before="0" w:beforeLines="0" w:afterLines="0" w:line="360" w:lineRule="auto"/>
        <w:outlineLvl w:val="1"/>
        <w:rPr>
          <w:rFonts w:hint="eastAsia" w:ascii="宋体" w:cs="宋体"/>
          <w:color w:val="auto"/>
          <w:sz w:val="30"/>
          <w:szCs w:val="30"/>
          <w:highlight w:val="none"/>
        </w:rPr>
      </w:pPr>
      <w:bookmarkStart w:id="1163" w:name="_Toc1185"/>
      <w:bookmarkStart w:id="1164" w:name="_Toc24461"/>
      <w:bookmarkStart w:id="1165" w:name="_Toc29879"/>
      <w:bookmarkStart w:id="1166" w:name="_Toc9760"/>
      <w:bookmarkStart w:id="1167" w:name="_Toc1816"/>
      <w:bookmarkStart w:id="1168" w:name="_Toc21185"/>
      <w:bookmarkStart w:id="1169" w:name="_Toc7905"/>
      <w:bookmarkStart w:id="1170" w:name="_Toc19053"/>
      <w:bookmarkStart w:id="1171" w:name="_Toc18383"/>
      <w:bookmarkStart w:id="1172" w:name="_Toc18318"/>
      <w:bookmarkStart w:id="1173" w:name="_Toc21753"/>
      <w:bookmarkStart w:id="1174" w:name="_Toc18351"/>
      <w:bookmarkStart w:id="1175" w:name="_Toc27751"/>
      <w:bookmarkStart w:id="1176" w:name="_Toc12259"/>
      <w:r>
        <w:rPr>
          <w:rFonts w:hint="eastAsia" w:ascii="宋体" w:cs="宋体"/>
          <w:color w:val="auto"/>
          <w:sz w:val="30"/>
          <w:szCs w:val="30"/>
          <w:highlight w:val="none"/>
        </w:rPr>
        <w:t>16</w:t>
      </w:r>
      <w:r>
        <w:rPr>
          <w:rFonts w:hint="eastAsia" w:cs="宋体"/>
          <w:color w:val="auto"/>
          <w:sz w:val="30"/>
          <w:szCs w:val="30"/>
          <w:highlight w:val="none"/>
          <w:lang w:eastAsia="zh-CN"/>
        </w:rPr>
        <w:t>　</w:t>
      </w:r>
      <w:r>
        <w:rPr>
          <w:rFonts w:hint="eastAsia" w:ascii="宋体" w:cs="宋体"/>
          <w:color w:val="auto"/>
          <w:sz w:val="30"/>
          <w:szCs w:val="30"/>
          <w:highlight w:val="none"/>
        </w:rPr>
        <w:t>价格调整</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p>
    <w:p w14:paraId="264E4974">
      <w:pPr>
        <w:pStyle w:val="4"/>
        <w:kinsoku/>
        <w:spacing w:beforeLines="0" w:afterLines="0"/>
        <w:rPr>
          <w:rFonts w:hint="eastAsia" w:hAnsi="宋体" w:cs="宋体"/>
          <w:bCs/>
          <w:color w:val="auto"/>
          <w:szCs w:val="24"/>
          <w:highlight w:val="none"/>
          <w:lang w:eastAsia="zh-CN"/>
        </w:rPr>
      </w:pPr>
      <w:bookmarkStart w:id="1177" w:name="_Toc30643"/>
      <w:bookmarkStart w:id="1178" w:name="_Toc7396"/>
      <w:bookmarkStart w:id="1179" w:name="_Toc29322"/>
      <w:r>
        <w:rPr>
          <w:rFonts w:hint="eastAsia" w:hAnsi="宋体" w:cs="宋体"/>
          <w:b/>
          <w:bCs/>
          <w:color w:val="auto"/>
          <w:szCs w:val="24"/>
          <w:highlight w:val="none"/>
          <w:lang w:eastAsia="zh-CN"/>
        </w:rPr>
        <w:t>16.1</w:t>
      </w:r>
      <w:r>
        <w:rPr>
          <w:rFonts w:hint="eastAsia" w:cs="宋体"/>
          <w:b/>
          <w:bCs/>
          <w:color w:val="auto"/>
          <w:szCs w:val="24"/>
          <w:highlight w:val="none"/>
          <w:lang w:eastAsia="zh-CN"/>
        </w:rPr>
        <w:t>　</w:t>
      </w:r>
      <w:r>
        <w:rPr>
          <w:rFonts w:hint="eastAsia" w:hAnsi="宋体" w:cs="宋体"/>
          <w:b/>
          <w:bCs/>
          <w:color w:val="auto"/>
          <w:szCs w:val="24"/>
          <w:highlight w:val="none"/>
          <w:lang w:eastAsia="zh-CN"/>
        </w:rPr>
        <w:t>物价波动引起的价格调整</w:t>
      </w:r>
      <w:bookmarkEnd w:id="1177"/>
      <w:bookmarkEnd w:id="1178"/>
      <w:bookmarkEnd w:id="1179"/>
    </w:p>
    <w:p w14:paraId="3F7D357B">
      <w:pPr>
        <w:kinsoku/>
        <w:ind w:firstLine="0"/>
        <w:rPr>
          <w:color w:val="auto"/>
          <w:highlight w:val="none"/>
          <w:lang w:eastAsia="zh-CN"/>
        </w:rPr>
      </w:pPr>
      <w:r>
        <w:rPr>
          <w:color w:val="auto"/>
          <w:highlight w:val="none"/>
          <w:lang w:eastAsia="zh-CN"/>
        </w:rPr>
        <w:t>由于物价波动原因引起合同价格需要调整的，其价格调整方式在专用合同条款中约定。</w:t>
      </w:r>
    </w:p>
    <w:p w14:paraId="271FEC9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16.1.1</w:t>
      </w:r>
      <w:r>
        <w:rPr>
          <w:rFonts w:hint="eastAsia" w:hAnsi="Times New Roman" w:cs="Times New Roman"/>
          <w:b/>
          <w:bCs/>
          <w:color w:val="auto"/>
          <w:highlight w:val="none"/>
          <w:lang w:eastAsia="zh-CN"/>
        </w:rPr>
        <w:t>　</w:t>
      </w:r>
      <w:r>
        <w:rPr>
          <w:rFonts w:cs="宋体"/>
          <w:color w:val="auto"/>
          <w:highlight w:val="none"/>
          <w:lang w:eastAsia="zh-CN"/>
        </w:rPr>
        <w:t>采用价格指数调整价格差额</w:t>
      </w:r>
    </w:p>
    <w:p w14:paraId="0FFDEC99">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"16.1.1.1"</w:instrText>
      </w:r>
      <w:r>
        <w:rPr>
          <w:color w:val="auto"/>
          <w:highlight w:val="none"/>
        </w:rPr>
        <w:fldChar w:fldCharType="separate"/>
      </w:r>
      <w:r>
        <w:rPr>
          <w:rFonts w:hAnsi="Times New Roman" w:cs="Times New Roman"/>
          <w:color w:val="auto"/>
          <w:highlight w:val="none"/>
          <w:lang w:eastAsia="zh-CN"/>
        </w:rPr>
        <w:t>16.1.1.1</w:t>
      </w:r>
      <w:r>
        <w:rPr>
          <w:color w:val="auto"/>
          <w:highlight w:val="none"/>
        </w:rPr>
        <w:fldChar w:fldCharType="end"/>
      </w:r>
      <w:r>
        <w:rPr>
          <w:rFonts w:hint="eastAsia"/>
          <w:color w:val="auto"/>
          <w:highlight w:val="none"/>
          <w:lang w:eastAsia="zh-CN"/>
        </w:rPr>
        <w:t>　</w:t>
      </w:r>
      <w:r>
        <w:rPr>
          <w:rFonts w:cs="宋体"/>
          <w:color w:val="auto"/>
          <w:highlight w:val="none"/>
          <w:lang w:eastAsia="zh-CN"/>
        </w:rPr>
        <w:t>价格调整公式</w:t>
      </w:r>
    </w:p>
    <w:p w14:paraId="63869C1C">
      <w:pPr>
        <w:kinsoku/>
        <w:ind w:firstLine="0"/>
        <w:rPr>
          <w:color w:val="auto"/>
          <w:highlight w:val="none"/>
          <w:lang w:eastAsia="zh-CN"/>
        </w:rPr>
      </w:pPr>
      <w:r>
        <w:rPr>
          <w:color w:val="auto"/>
          <w:highlight w:val="none"/>
          <w:lang w:eastAsia="zh-CN"/>
        </w:rPr>
        <w:t>因人工、材料和设备等价格波动影响合同价格时，根据投标函附录中的价格指数和权重表约定的数据，按以下公式计算差额并调整合同价格。</w:t>
      </w:r>
    </w:p>
    <w:p w14:paraId="5463444A">
      <w:pPr>
        <w:kinsoku/>
        <w:ind w:firstLine="416"/>
        <w:jc w:val="center"/>
        <w:rPr>
          <w:rFonts w:hAnsi="Cambria" w:cs="Cambria"/>
          <w:strike/>
          <w:color w:val="auto"/>
          <w:highlight w:val="none"/>
        </w:rPr>
      </w:pPr>
      <w:r>
        <w:rPr>
          <w:rFonts w:ascii="Cambria" w:hAnsi="Cambria" w:eastAsia="Cambria" w:cs="Cambria"/>
          <w:strike/>
          <w:color w:val="auto"/>
          <w:spacing w:val="-16"/>
          <w:position w:val="7"/>
          <w:szCs w:val="24"/>
          <w:highlight w:val="none"/>
        </w:rPr>
        <w:t>ΔP</w:t>
      </w:r>
      <w:r>
        <w:rPr>
          <w:rFonts w:ascii="Cambria" w:hAnsi="Cambria" w:eastAsia="Cambria" w:cs="Cambria"/>
          <w:strike/>
          <w:color w:val="auto"/>
          <w:spacing w:val="24"/>
          <w:position w:val="7"/>
          <w:szCs w:val="24"/>
          <w:highlight w:val="none"/>
        </w:rPr>
        <w:t xml:space="preserve"> </w:t>
      </w:r>
      <w:r>
        <w:rPr>
          <w:rFonts w:ascii="Cambria" w:hAnsi="Cambria" w:eastAsia="Cambria" w:cs="Cambria"/>
          <w:strike/>
          <w:color w:val="auto"/>
          <w:spacing w:val="-16"/>
          <w:position w:val="7"/>
          <w:szCs w:val="24"/>
          <w:highlight w:val="none"/>
        </w:rPr>
        <w:t>=</w:t>
      </w:r>
      <w:r>
        <w:rPr>
          <w:rFonts w:ascii="Cambria" w:hAnsi="Cambria" w:eastAsia="Cambria" w:cs="Cambria"/>
          <w:strike/>
          <w:color w:val="auto"/>
          <w:spacing w:val="11"/>
          <w:position w:val="7"/>
          <w:szCs w:val="24"/>
          <w:highlight w:val="none"/>
        </w:rPr>
        <w:t xml:space="preserve"> </w:t>
      </w:r>
      <w:r>
        <w:rPr>
          <w:rFonts w:ascii="Cambria" w:hAnsi="Cambria" w:eastAsia="Cambria" w:cs="Cambria"/>
          <w:strike/>
          <w:color w:val="auto"/>
          <w:spacing w:val="-16"/>
          <w:position w:val="7"/>
          <w:szCs w:val="24"/>
          <w:highlight w:val="none"/>
        </w:rPr>
        <w:t>P</w:t>
      </w:r>
      <w:r>
        <w:rPr>
          <w:rFonts w:ascii="Cambria" w:hAnsi="Cambria" w:eastAsia="Cambria" w:cs="Cambria"/>
          <w:strike/>
          <w:color w:val="auto"/>
          <w:spacing w:val="-16"/>
          <w:position w:val="3"/>
          <w:szCs w:val="24"/>
          <w:highlight w:val="none"/>
        </w:rPr>
        <w:t xml:space="preserve">0  </w:t>
      </w:r>
      <w:r>
        <w:rPr>
          <w:rFonts w:ascii="Cambria" w:hAnsi="Cambria" w:eastAsia="Cambria" w:cs="Cambria"/>
          <w:strike/>
          <w:color w:val="auto"/>
          <w:spacing w:val="-16"/>
          <w:position w:val="7"/>
          <w:szCs w:val="24"/>
          <w:highlight w:val="none"/>
        </w:rPr>
        <w:t>lA</w:t>
      </w:r>
      <w:r>
        <w:rPr>
          <w:rFonts w:ascii="Cambria" w:hAnsi="Cambria" w:eastAsia="Cambria" w:cs="Cambria"/>
          <w:strike/>
          <w:color w:val="auto"/>
          <w:spacing w:val="12"/>
          <w:position w:val="7"/>
          <w:szCs w:val="24"/>
          <w:highlight w:val="none"/>
        </w:rPr>
        <w:t xml:space="preserve"> </w:t>
      </w:r>
      <w:r>
        <w:rPr>
          <w:rFonts w:ascii="Cambria" w:hAnsi="Cambria" w:eastAsia="Cambria" w:cs="Cambria"/>
          <w:strike/>
          <w:color w:val="auto"/>
          <w:spacing w:val="6"/>
          <w:position w:val="7"/>
          <w:szCs w:val="24"/>
          <w:highlight w:val="none"/>
        </w:rPr>
        <w:t>+ （B</w:t>
      </w:r>
      <w:r>
        <w:rPr>
          <w:rFonts w:ascii="Cambria" w:hAnsi="Cambria" w:eastAsia="Cambria" w:cs="Cambria"/>
          <w:strike/>
          <w:color w:val="auto"/>
          <w:spacing w:val="6"/>
          <w:position w:val="3"/>
          <w:szCs w:val="24"/>
          <w:highlight w:val="none"/>
        </w:rPr>
        <w:t xml:space="preserve">1  </w:t>
      </w:r>
      <w:r>
        <w:rPr>
          <w:rFonts w:ascii="Cambria" w:hAnsi="Cambria" w:eastAsia="Cambria" w:cs="Cambria"/>
          <w:strike/>
          <w:color w:val="auto"/>
          <w:spacing w:val="6"/>
          <w:position w:val="7"/>
          <w:szCs w:val="24"/>
          <w:highlight w:val="none"/>
        </w:rPr>
        <w:t xml:space="preserve">x </w:t>
      </w:r>
      <w:r>
        <w:rPr>
          <w:strike/>
          <w:color w:val="auto"/>
          <w:szCs w:val="24"/>
          <w:highlight w:val="none"/>
        </w:rPr>
        <w:fldChar w:fldCharType="begin"/>
      </w:r>
      <w:r>
        <w:rPr>
          <w:strike/>
          <w:color w:val="auto"/>
          <w:szCs w:val="24"/>
          <w:highlight w:val="none"/>
        </w:rPr>
        <w:instrText xml:space="preserve">EQ \* jc3 \* hps19 \o\al(\s\up 8(</w:instrText>
      </w:r>
      <w:r>
        <w:rPr>
          <w:rFonts w:ascii="Cambria" w:hAnsi="Cambria" w:eastAsia="Cambria" w:cs="Cambria"/>
          <w:strike/>
          <w:color w:val="auto"/>
          <w:w w:val="93"/>
          <w:position w:val="7"/>
          <w:szCs w:val="24"/>
          <w:highlight w:val="none"/>
        </w:rPr>
        <w:instrText xml:space="preserve">Ft</w:instrText>
      </w:r>
      <w:r>
        <w:rPr>
          <w:strike/>
          <w:color w:val="auto"/>
          <w:szCs w:val="24"/>
          <w:highlight w:val="none"/>
        </w:rPr>
        <w:instrText xml:space="preserve">),</w:instrText>
      </w:r>
      <w:r>
        <w:rPr>
          <w:rFonts w:ascii="Cambria" w:hAnsi="Cambria" w:eastAsia="Cambria" w:cs="Cambria"/>
          <w:strike/>
          <w:color w:val="auto"/>
          <w:w w:val="82"/>
          <w:position w:val="-10"/>
          <w:szCs w:val="24"/>
          <w:highlight w:val="none"/>
        </w:rPr>
        <w:instrText xml:space="preserve">F0</w:instrText>
      </w:r>
      <w:r>
        <w:rPr>
          <w:strike/>
          <w:color w:val="auto"/>
          <w:szCs w:val="24"/>
          <w:highlight w:val="none"/>
        </w:rPr>
        <w:instrText xml:space="preserve">)</w:instrText>
      </w:r>
      <w:r>
        <w:rPr>
          <w:strike/>
          <w:color w:val="auto"/>
          <w:szCs w:val="24"/>
          <w:highlight w:val="none"/>
        </w:rPr>
        <w:fldChar w:fldCharType="end"/>
      </w:r>
      <w:r>
        <w:rPr>
          <w:strike/>
          <w:color w:val="auto"/>
          <w:szCs w:val="24"/>
          <w:highlight w:val="none"/>
        </w:rPr>
        <w:fldChar w:fldCharType="begin"/>
      </w:r>
      <w:r>
        <w:rPr>
          <w:strike/>
          <w:color w:val="auto"/>
          <w:szCs w:val="24"/>
          <w:highlight w:val="none"/>
        </w:rPr>
        <w:instrText xml:space="preserve">EQ \* jc3 \* hps19 \o\al(\s\up 6(</w:instrText>
      </w:r>
      <w:r>
        <w:rPr>
          <w:rFonts w:ascii="Cambria" w:hAnsi="Cambria" w:eastAsia="Cambria" w:cs="Cambria"/>
          <w:strike/>
          <w:color w:val="auto"/>
          <w:w w:val="83"/>
          <w:position w:val="7"/>
          <w:szCs w:val="24"/>
          <w:highlight w:val="none"/>
        </w:rPr>
        <w:instrText xml:space="preserve">1</w:instrText>
      </w:r>
      <w:r>
        <w:rPr>
          <w:strike/>
          <w:color w:val="auto"/>
          <w:szCs w:val="24"/>
          <w:highlight w:val="none"/>
        </w:rPr>
        <w:instrText xml:space="preserve">),</w:instrText>
      </w:r>
      <w:r>
        <w:rPr>
          <w:rFonts w:ascii="Cambria" w:hAnsi="Cambria" w:eastAsia="Cambria" w:cs="Cambria"/>
          <w:strike/>
          <w:color w:val="auto"/>
          <w:w w:val="93"/>
          <w:position w:val="-13"/>
          <w:szCs w:val="24"/>
          <w:highlight w:val="none"/>
        </w:rPr>
        <w:instrText xml:space="preserve">1</w:instrText>
      </w:r>
      <w:r>
        <w:rPr>
          <w:strike/>
          <w:color w:val="auto"/>
          <w:szCs w:val="24"/>
          <w:highlight w:val="none"/>
        </w:rPr>
        <w:instrText xml:space="preserve">)</w:instrText>
      </w:r>
      <w:r>
        <w:rPr>
          <w:strike/>
          <w:color w:val="auto"/>
          <w:szCs w:val="24"/>
          <w:highlight w:val="none"/>
        </w:rPr>
        <w:fldChar w:fldCharType="end"/>
      </w:r>
      <w:r>
        <w:rPr>
          <w:rFonts w:ascii="Cambria" w:hAnsi="Cambria" w:eastAsia="Cambria" w:cs="Cambria"/>
          <w:strike/>
          <w:color w:val="auto"/>
          <w:spacing w:val="19"/>
          <w:position w:val="-13"/>
          <w:szCs w:val="24"/>
          <w:highlight w:val="none"/>
        </w:rPr>
        <w:t xml:space="preserve"> </w:t>
      </w:r>
      <w:r>
        <w:rPr>
          <w:rFonts w:ascii="Cambria" w:hAnsi="Cambria" w:eastAsia="Cambria" w:cs="Cambria"/>
          <w:strike/>
          <w:color w:val="auto"/>
          <w:spacing w:val="6"/>
          <w:position w:val="7"/>
          <w:szCs w:val="24"/>
          <w:highlight w:val="none"/>
        </w:rPr>
        <w:t>+B</w:t>
      </w:r>
      <w:r>
        <w:rPr>
          <w:rFonts w:ascii="Cambria" w:hAnsi="Cambria" w:eastAsia="Cambria" w:cs="Cambria"/>
          <w:strike/>
          <w:color w:val="auto"/>
          <w:spacing w:val="6"/>
          <w:position w:val="3"/>
          <w:szCs w:val="24"/>
          <w:highlight w:val="none"/>
        </w:rPr>
        <w:t>2</w:t>
      </w:r>
      <w:r>
        <w:rPr>
          <w:rFonts w:ascii="Cambria" w:hAnsi="Cambria" w:eastAsia="Cambria" w:cs="Cambria"/>
          <w:strike/>
          <w:color w:val="auto"/>
          <w:position w:val="3"/>
          <w:szCs w:val="24"/>
          <w:highlight w:val="none"/>
        </w:rPr>
        <w:t xml:space="preserve">  </w:t>
      </w:r>
      <w:r>
        <w:rPr>
          <w:rFonts w:ascii="Cambria" w:hAnsi="Cambria" w:eastAsia="Cambria" w:cs="Cambria"/>
          <w:strike/>
          <w:color w:val="auto"/>
          <w:spacing w:val="6"/>
          <w:position w:val="7"/>
          <w:szCs w:val="24"/>
          <w:highlight w:val="none"/>
        </w:rPr>
        <w:t xml:space="preserve">x </w:t>
      </w:r>
      <w:r>
        <w:rPr>
          <w:strike/>
          <w:color w:val="auto"/>
          <w:szCs w:val="24"/>
          <w:highlight w:val="none"/>
        </w:rPr>
        <w:fldChar w:fldCharType="begin"/>
      </w:r>
      <w:r>
        <w:rPr>
          <w:strike/>
          <w:color w:val="auto"/>
          <w:szCs w:val="24"/>
          <w:highlight w:val="none"/>
        </w:rPr>
        <w:instrText xml:space="preserve">EQ \* jc3 \* hps19 \o\al(\s\up 8(</w:instrText>
      </w:r>
      <w:r>
        <w:rPr>
          <w:rFonts w:ascii="Cambria" w:hAnsi="Cambria" w:eastAsia="Cambria" w:cs="Cambria"/>
          <w:strike/>
          <w:color w:val="auto"/>
          <w:w w:val="93"/>
          <w:position w:val="7"/>
          <w:szCs w:val="24"/>
          <w:highlight w:val="none"/>
        </w:rPr>
        <w:instrText xml:space="preserve">Ft</w:instrText>
      </w:r>
      <w:r>
        <w:rPr>
          <w:strike/>
          <w:color w:val="auto"/>
          <w:szCs w:val="24"/>
          <w:highlight w:val="none"/>
        </w:rPr>
        <w:instrText xml:space="preserve">),</w:instrText>
      </w:r>
      <w:r>
        <w:rPr>
          <w:rFonts w:ascii="Cambria" w:hAnsi="Cambria" w:eastAsia="Cambria" w:cs="Cambria"/>
          <w:strike/>
          <w:color w:val="auto"/>
          <w:w w:val="82"/>
          <w:position w:val="-10"/>
          <w:szCs w:val="24"/>
          <w:highlight w:val="none"/>
        </w:rPr>
        <w:instrText xml:space="preserve">F0</w:instrText>
      </w:r>
      <w:r>
        <w:rPr>
          <w:strike/>
          <w:color w:val="auto"/>
          <w:szCs w:val="24"/>
          <w:highlight w:val="none"/>
        </w:rPr>
        <w:instrText xml:space="preserve">)</w:instrText>
      </w:r>
      <w:r>
        <w:rPr>
          <w:strike/>
          <w:color w:val="auto"/>
          <w:szCs w:val="24"/>
          <w:highlight w:val="none"/>
        </w:rPr>
        <w:fldChar w:fldCharType="end"/>
      </w:r>
      <w:r>
        <w:rPr>
          <w:strike/>
          <w:color w:val="auto"/>
          <w:szCs w:val="24"/>
          <w:highlight w:val="none"/>
        </w:rPr>
        <w:fldChar w:fldCharType="begin"/>
      </w:r>
      <w:r>
        <w:rPr>
          <w:strike/>
          <w:color w:val="auto"/>
          <w:szCs w:val="24"/>
          <w:highlight w:val="none"/>
        </w:rPr>
        <w:instrText xml:space="preserve">EQ \* jc3 \* hps19 \o\al(\s\up 6(</w:instrText>
      </w:r>
      <w:r>
        <w:rPr>
          <w:rFonts w:ascii="Cambria" w:hAnsi="Cambria" w:eastAsia="Cambria" w:cs="Cambria"/>
          <w:strike/>
          <w:color w:val="auto"/>
          <w:w w:val="83"/>
          <w:position w:val="7"/>
          <w:szCs w:val="24"/>
          <w:highlight w:val="none"/>
        </w:rPr>
        <w:instrText xml:space="preserve">2</w:instrText>
      </w:r>
      <w:r>
        <w:rPr>
          <w:strike/>
          <w:color w:val="auto"/>
          <w:szCs w:val="24"/>
          <w:highlight w:val="none"/>
        </w:rPr>
        <w:instrText xml:space="preserve">),</w:instrText>
      </w:r>
      <w:r>
        <w:rPr>
          <w:rFonts w:ascii="Cambria" w:hAnsi="Cambria" w:eastAsia="Cambria" w:cs="Cambria"/>
          <w:strike/>
          <w:color w:val="auto"/>
          <w:w w:val="93"/>
          <w:position w:val="-13"/>
          <w:szCs w:val="24"/>
          <w:highlight w:val="none"/>
        </w:rPr>
        <w:instrText xml:space="preserve">2</w:instrText>
      </w:r>
      <w:r>
        <w:rPr>
          <w:strike/>
          <w:color w:val="auto"/>
          <w:szCs w:val="24"/>
          <w:highlight w:val="none"/>
        </w:rPr>
        <w:instrText xml:space="preserve">)</w:instrText>
      </w:r>
      <w:r>
        <w:rPr>
          <w:strike/>
          <w:color w:val="auto"/>
          <w:szCs w:val="24"/>
          <w:highlight w:val="none"/>
        </w:rPr>
        <w:fldChar w:fldCharType="end"/>
      </w:r>
      <w:r>
        <w:rPr>
          <w:rFonts w:ascii="Cambria" w:hAnsi="Cambria" w:eastAsia="Cambria" w:cs="Cambria"/>
          <w:strike/>
          <w:color w:val="auto"/>
          <w:spacing w:val="20"/>
          <w:position w:val="-13"/>
          <w:szCs w:val="24"/>
          <w:highlight w:val="none"/>
        </w:rPr>
        <w:t xml:space="preserve"> </w:t>
      </w:r>
      <w:r>
        <w:rPr>
          <w:rFonts w:ascii="Cambria" w:hAnsi="Cambria" w:eastAsia="Cambria" w:cs="Cambria"/>
          <w:strike/>
          <w:color w:val="auto"/>
          <w:spacing w:val="6"/>
          <w:position w:val="7"/>
          <w:szCs w:val="24"/>
          <w:highlight w:val="none"/>
        </w:rPr>
        <w:t>+B</w:t>
      </w:r>
      <w:r>
        <w:rPr>
          <w:rFonts w:ascii="Cambria" w:hAnsi="Cambria" w:eastAsia="Cambria" w:cs="Cambria"/>
          <w:strike/>
          <w:color w:val="auto"/>
          <w:spacing w:val="6"/>
          <w:position w:val="3"/>
          <w:szCs w:val="24"/>
          <w:highlight w:val="none"/>
        </w:rPr>
        <w:t>3</w:t>
      </w:r>
      <w:r>
        <w:rPr>
          <w:rFonts w:ascii="Cambria" w:hAnsi="Cambria" w:eastAsia="Cambria" w:cs="Cambria"/>
          <w:strike/>
          <w:color w:val="auto"/>
          <w:position w:val="3"/>
          <w:szCs w:val="24"/>
          <w:highlight w:val="none"/>
        </w:rPr>
        <w:t xml:space="preserve">  </w:t>
      </w:r>
      <w:r>
        <w:rPr>
          <w:rFonts w:ascii="Cambria" w:hAnsi="Cambria" w:eastAsia="Cambria" w:cs="Cambria"/>
          <w:strike/>
          <w:color w:val="auto"/>
          <w:spacing w:val="6"/>
          <w:position w:val="7"/>
          <w:szCs w:val="24"/>
          <w:highlight w:val="none"/>
        </w:rPr>
        <w:t xml:space="preserve">x </w:t>
      </w:r>
      <w:r>
        <w:rPr>
          <w:strike/>
          <w:color w:val="auto"/>
          <w:szCs w:val="24"/>
          <w:highlight w:val="none"/>
        </w:rPr>
        <w:fldChar w:fldCharType="begin"/>
      </w:r>
      <w:r>
        <w:rPr>
          <w:strike/>
          <w:color w:val="auto"/>
          <w:szCs w:val="24"/>
          <w:highlight w:val="none"/>
        </w:rPr>
        <w:instrText xml:space="preserve">EQ \* jc3 \* hps19 \o\al(\s\up 8(</w:instrText>
      </w:r>
      <w:r>
        <w:rPr>
          <w:rFonts w:ascii="Cambria" w:hAnsi="Cambria" w:eastAsia="Cambria" w:cs="Cambria"/>
          <w:strike/>
          <w:color w:val="auto"/>
          <w:w w:val="93"/>
          <w:position w:val="7"/>
          <w:szCs w:val="24"/>
          <w:highlight w:val="none"/>
        </w:rPr>
        <w:instrText xml:space="preserve">Ft</w:instrText>
      </w:r>
      <w:r>
        <w:rPr>
          <w:strike/>
          <w:color w:val="auto"/>
          <w:szCs w:val="24"/>
          <w:highlight w:val="none"/>
        </w:rPr>
        <w:instrText xml:space="preserve">),</w:instrText>
      </w:r>
      <w:r>
        <w:rPr>
          <w:rFonts w:ascii="Cambria" w:hAnsi="Cambria" w:eastAsia="Cambria" w:cs="Cambria"/>
          <w:strike/>
          <w:color w:val="auto"/>
          <w:w w:val="82"/>
          <w:position w:val="-10"/>
          <w:szCs w:val="24"/>
          <w:highlight w:val="none"/>
        </w:rPr>
        <w:instrText xml:space="preserve">F0</w:instrText>
      </w:r>
      <w:r>
        <w:rPr>
          <w:strike/>
          <w:color w:val="auto"/>
          <w:szCs w:val="24"/>
          <w:highlight w:val="none"/>
        </w:rPr>
        <w:instrText xml:space="preserve">)</w:instrText>
      </w:r>
      <w:r>
        <w:rPr>
          <w:strike/>
          <w:color w:val="auto"/>
          <w:szCs w:val="24"/>
          <w:highlight w:val="none"/>
        </w:rPr>
        <w:fldChar w:fldCharType="end"/>
      </w:r>
      <w:r>
        <w:rPr>
          <w:strike/>
          <w:color w:val="auto"/>
          <w:szCs w:val="24"/>
          <w:highlight w:val="none"/>
        </w:rPr>
        <w:fldChar w:fldCharType="begin"/>
      </w:r>
      <w:r>
        <w:rPr>
          <w:strike/>
          <w:color w:val="auto"/>
          <w:szCs w:val="24"/>
          <w:highlight w:val="none"/>
        </w:rPr>
        <w:instrText xml:space="preserve">EQ \* jc3 \* hps19 \o\al(\s\up 6(</w:instrText>
      </w:r>
      <w:r>
        <w:rPr>
          <w:rFonts w:ascii="Cambria" w:hAnsi="Cambria" w:eastAsia="Cambria" w:cs="Cambria"/>
          <w:strike/>
          <w:color w:val="auto"/>
          <w:w w:val="83"/>
          <w:position w:val="7"/>
          <w:szCs w:val="24"/>
          <w:highlight w:val="none"/>
        </w:rPr>
        <w:instrText xml:space="preserve">3</w:instrText>
      </w:r>
      <w:r>
        <w:rPr>
          <w:strike/>
          <w:color w:val="auto"/>
          <w:szCs w:val="24"/>
          <w:highlight w:val="none"/>
        </w:rPr>
        <w:instrText xml:space="preserve">),</w:instrText>
      </w:r>
      <w:r>
        <w:rPr>
          <w:rFonts w:ascii="Cambria" w:hAnsi="Cambria" w:eastAsia="Cambria" w:cs="Cambria"/>
          <w:strike/>
          <w:color w:val="auto"/>
          <w:w w:val="93"/>
          <w:position w:val="-13"/>
          <w:szCs w:val="24"/>
          <w:highlight w:val="none"/>
        </w:rPr>
        <w:instrText xml:space="preserve">3</w:instrText>
      </w:r>
      <w:r>
        <w:rPr>
          <w:strike/>
          <w:color w:val="auto"/>
          <w:szCs w:val="24"/>
          <w:highlight w:val="none"/>
        </w:rPr>
        <w:instrText xml:space="preserve">)</w:instrText>
      </w:r>
      <w:r>
        <w:rPr>
          <w:strike/>
          <w:color w:val="auto"/>
          <w:szCs w:val="24"/>
          <w:highlight w:val="none"/>
        </w:rPr>
        <w:fldChar w:fldCharType="end"/>
      </w:r>
      <w:r>
        <w:rPr>
          <w:rFonts w:ascii="Cambria" w:hAnsi="Cambria" w:eastAsia="Cambria" w:cs="Cambria"/>
          <w:strike/>
          <w:color w:val="auto"/>
          <w:spacing w:val="20"/>
          <w:position w:val="-13"/>
          <w:szCs w:val="24"/>
          <w:highlight w:val="none"/>
        </w:rPr>
        <w:t xml:space="preserve"> </w:t>
      </w:r>
      <w:r>
        <w:rPr>
          <w:rFonts w:ascii="Cambria" w:hAnsi="Cambria" w:eastAsia="Cambria" w:cs="Cambria"/>
          <w:strike/>
          <w:color w:val="auto"/>
          <w:spacing w:val="6"/>
          <w:position w:val="7"/>
          <w:szCs w:val="24"/>
          <w:highlight w:val="none"/>
        </w:rPr>
        <w:t>+</w:t>
      </w:r>
      <w:r>
        <w:rPr>
          <w:rFonts w:ascii="Cambria" w:hAnsi="Cambria" w:eastAsia="Cambria" w:cs="Cambria"/>
          <w:strike/>
          <w:color w:val="auto"/>
          <w:spacing w:val="5"/>
          <w:position w:val="7"/>
          <w:szCs w:val="24"/>
          <w:highlight w:val="none"/>
        </w:rPr>
        <w:t xml:space="preserve"> … +</w:t>
      </w:r>
      <w:r>
        <w:rPr>
          <w:rFonts w:ascii="Cambria" w:hAnsi="Cambria" w:eastAsia="Cambria" w:cs="Cambria"/>
          <w:strike/>
          <w:color w:val="auto"/>
          <w:position w:val="7"/>
          <w:szCs w:val="24"/>
          <w:highlight w:val="none"/>
        </w:rPr>
        <w:t>B</w:t>
      </w:r>
      <w:r>
        <w:rPr>
          <w:rFonts w:ascii="Cambria" w:hAnsi="Cambria" w:eastAsia="Cambria" w:cs="Cambria"/>
          <w:strike/>
          <w:color w:val="auto"/>
          <w:position w:val="3"/>
          <w:szCs w:val="24"/>
          <w:highlight w:val="none"/>
        </w:rPr>
        <w:t>n</w:t>
      </w:r>
      <w:r>
        <w:rPr>
          <w:rFonts w:ascii="Cambria" w:hAnsi="Cambria" w:eastAsia="Cambria" w:cs="Cambria"/>
          <w:strike/>
          <w:color w:val="auto"/>
          <w:spacing w:val="5"/>
          <w:position w:val="3"/>
          <w:szCs w:val="24"/>
          <w:highlight w:val="none"/>
        </w:rPr>
        <w:t xml:space="preserve">  </w:t>
      </w:r>
      <w:r>
        <w:rPr>
          <w:rFonts w:ascii="Cambria" w:hAnsi="Cambria" w:eastAsia="Cambria" w:cs="Cambria"/>
          <w:strike/>
          <w:color w:val="auto"/>
          <w:position w:val="7"/>
          <w:szCs w:val="24"/>
          <w:highlight w:val="none"/>
        </w:rPr>
        <w:t>x</w:t>
      </w:r>
      <w:r>
        <w:rPr>
          <w:rFonts w:ascii="Cambria" w:hAnsi="Cambria" w:eastAsia="Cambria" w:cs="Cambria"/>
          <w:strike/>
          <w:color w:val="auto"/>
          <w:spacing w:val="5"/>
          <w:position w:val="7"/>
          <w:szCs w:val="24"/>
          <w:highlight w:val="none"/>
        </w:rPr>
        <w:t xml:space="preserve"> </w:t>
      </w:r>
      <w:r>
        <w:rPr>
          <w:strike/>
          <w:color w:val="auto"/>
          <w:szCs w:val="24"/>
          <w:highlight w:val="none"/>
        </w:rPr>
        <w:fldChar w:fldCharType="begin"/>
      </w:r>
      <w:r>
        <w:rPr>
          <w:strike/>
          <w:color w:val="auto"/>
          <w:szCs w:val="24"/>
          <w:highlight w:val="none"/>
        </w:rPr>
        <w:instrText xml:space="preserve">EQ \* jc3 \* hps19 \o\al(\s\up 8(</w:instrText>
      </w:r>
      <w:r>
        <w:rPr>
          <w:rFonts w:ascii="Cambria" w:hAnsi="Cambria" w:eastAsia="Cambria" w:cs="Cambria"/>
          <w:strike/>
          <w:color w:val="auto"/>
          <w:w w:val="97"/>
          <w:position w:val="7"/>
          <w:szCs w:val="24"/>
          <w:highlight w:val="none"/>
        </w:rPr>
        <w:instrText xml:space="preserve">Ftn</w:instrText>
      </w:r>
      <w:r>
        <w:rPr>
          <w:strike/>
          <w:color w:val="auto"/>
          <w:szCs w:val="24"/>
          <w:highlight w:val="none"/>
        </w:rPr>
        <w:instrText xml:space="preserve">),</w:instrText>
      </w:r>
      <w:r>
        <w:rPr>
          <w:rFonts w:ascii="Cambria" w:hAnsi="Cambria" w:eastAsia="Cambria" w:cs="Cambria"/>
          <w:strike/>
          <w:color w:val="auto"/>
          <w:w w:val="89"/>
          <w:position w:val="-10"/>
          <w:szCs w:val="24"/>
          <w:highlight w:val="none"/>
        </w:rPr>
        <w:instrText xml:space="preserve">F0n</w:instrText>
      </w:r>
      <w:r>
        <w:rPr>
          <w:strike/>
          <w:color w:val="auto"/>
          <w:szCs w:val="24"/>
          <w:highlight w:val="none"/>
        </w:rPr>
        <w:instrText xml:space="preserve">)</w:instrText>
      </w:r>
      <w:r>
        <w:rPr>
          <w:strike/>
          <w:color w:val="auto"/>
          <w:szCs w:val="24"/>
          <w:highlight w:val="none"/>
        </w:rPr>
        <w:fldChar w:fldCharType="end"/>
      </w:r>
      <w:r>
        <w:rPr>
          <w:rFonts w:ascii="Cambria" w:hAnsi="Cambria" w:eastAsia="Cambria" w:cs="Cambria"/>
          <w:strike/>
          <w:color w:val="auto"/>
          <w:spacing w:val="5"/>
          <w:position w:val="7"/>
          <w:szCs w:val="24"/>
          <w:highlight w:val="none"/>
        </w:rPr>
        <w:t>） - 1]</w:t>
      </w:r>
    </w:p>
    <w:p w14:paraId="351C1BB5">
      <w:pPr>
        <w:kinsoku/>
        <w:spacing w:beforeLines="0" w:afterLines="0"/>
        <w:ind w:firstLine="0" w:firstLineChars="0"/>
        <w:jc w:val="center"/>
        <w:rPr>
          <w:rFonts w:hAnsi="Cambria" w:cs="Cambria"/>
          <w:color w:val="auto"/>
          <w:highlight w:val="none"/>
          <w:lang w:eastAsia="zh-CN"/>
        </w:rPr>
      </w:pPr>
      <w:r>
        <w:rPr>
          <w:rFonts w:hAnsi="Cambria" w:cs="Cambria"/>
          <w:color w:val="auto"/>
          <w:highlight w:val="none"/>
        </w:rPr>
        <w:t>ΔP=P0lA+</w:t>
      </w:r>
      <w:r>
        <w:rPr>
          <w:rFonts w:hint="eastAsia" w:cs="宋体"/>
          <w:color w:val="auto"/>
          <w:highlight w:val="none"/>
        </w:rPr>
        <w:t>（</w:t>
      </w:r>
      <w:r>
        <w:rPr>
          <w:rFonts w:hAnsi="Cambria" w:cs="Cambria"/>
          <w:color w:val="auto"/>
          <w:highlight w:val="none"/>
        </w:rPr>
        <w:t>B1x</w:t>
      </w:r>
      <w:r>
        <w:rPr>
          <w:color w:val="auto"/>
          <w:highlight w:val="none"/>
        </w:rPr>
        <w:fldChar w:fldCharType="begin"/>
      </w:r>
      <w:r>
        <w:rPr>
          <w:color w:val="auto"/>
          <w:highlight w:val="none"/>
        </w:rPr>
        <w:instrText xml:space="preserve">EQ \* jc3 \* hps19 \o\al(\s\up 8(),)</w:instrText>
      </w:r>
      <w:r>
        <w:rPr>
          <w:color w:val="auto"/>
          <w:highlight w:val="none"/>
        </w:rPr>
        <w:fldChar w:fldCharType="end"/>
      </w:r>
      <w:r>
        <w:rPr>
          <w:color w:val="auto"/>
          <w:highlight w:val="none"/>
        </w:rPr>
        <w:fldChar w:fldCharType="begin"/>
      </w:r>
      <w:r>
        <w:rPr>
          <w:color w:val="auto"/>
          <w:highlight w:val="none"/>
        </w:rPr>
        <w:instrText xml:space="preserve">EQ \* jc3 \* hps19 \o\al(\s\up 6(),)</w:instrText>
      </w:r>
      <w:r>
        <w:rPr>
          <w:color w:val="auto"/>
          <w:highlight w:val="none"/>
        </w:rPr>
        <w:fldChar w:fldCharType="end"/>
      </w:r>
      <w:r>
        <w:rPr>
          <w:rFonts w:hAnsi="Cambria" w:cs="Cambria"/>
          <w:color w:val="auto"/>
          <w:highlight w:val="none"/>
        </w:rPr>
        <w:t>+B2x</w:t>
      </w:r>
      <w:r>
        <w:rPr>
          <w:color w:val="auto"/>
          <w:highlight w:val="none"/>
        </w:rPr>
        <w:fldChar w:fldCharType="begin"/>
      </w:r>
      <w:r>
        <w:rPr>
          <w:color w:val="auto"/>
          <w:highlight w:val="none"/>
        </w:rPr>
        <w:instrText xml:space="preserve">EQ \* jc3 \* hps19 \o\al(\s\up 8(),)</w:instrText>
      </w:r>
      <w:r>
        <w:rPr>
          <w:color w:val="auto"/>
          <w:highlight w:val="none"/>
        </w:rPr>
        <w:fldChar w:fldCharType="end"/>
      </w:r>
      <w:r>
        <w:rPr>
          <w:color w:val="auto"/>
          <w:highlight w:val="none"/>
        </w:rPr>
        <w:fldChar w:fldCharType="begin"/>
      </w:r>
      <w:r>
        <w:rPr>
          <w:color w:val="auto"/>
          <w:highlight w:val="none"/>
        </w:rPr>
        <w:instrText xml:space="preserve">EQ \* jc3 \* hps19 \o\al(\s\up 6(),)</w:instrText>
      </w:r>
      <w:r>
        <w:rPr>
          <w:color w:val="auto"/>
          <w:highlight w:val="none"/>
        </w:rPr>
        <w:fldChar w:fldCharType="end"/>
      </w:r>
      <w:r>
        <w:rPr>
          <w:rFonts w:hAnsi="Cambria" w:cs="Cambria"/>
          <w:color w:val="auto"/>
          <w:highlight w:val="none"/>
        </w:rPr>
        <w:t>+B3x</w:t>
      </w:r>
      <w:r>
        <w:rPr>
          <w:color w:val="auto"/>
          <w:highlight w:val="none"/>
        </w:rPr>
        <w:fldChar w:fldCharType="begin"/>
      </w:r>
      <w:r>
        <w:rPr>
          <w:color w:val="auto"/>
          <w:highlight w:val="none"/>
        </w:rPr>
        <w:instrText xml:space="preserve">EQ \* jc3 \* hps19 \o\al(\s\up 8(),)</w:instrText>
      </w:r>
      <w:r>
        <w:rPr>
          <w:color w:val="auto"/>
          <w:highlight w:val="none"/>
        </w:rPr>
        <w:fldChar w:fldCharType="end"/>
      </w:r>
      <w:r>
        <w:rPr>
          <w:color w:val="auto"/>
          <w:highlight w:val="none"/>
        </w:rPr>
        <w:fldChar w:fldCharType="begin"/>
      </w:r>
      <w:r>
        <w:rPr>
          <w:color w:val="auto"/>
          <w:highlight w:val="none"/>
        </w:rPr>
        <w:instrText xml:space="preserve">EQ \* jc3 \* hps19 \o\al(\s\up 6(),)</w:instrText>
      </w:r>
      <w:r>
        <w:rPr>
          <w:color w:val="auto"/>
          <w:highlight w:val="none"/>
        </w:rPr>
        <w:fldChar w:fldCharType="end"/>
      </w:r>
      <w:r>
        <w:rPr>
          <w:rFonts w:hAnsi="Cambria" w:cs="Cambria"/>
          <w:color w:val="auto"/>
          <w:highlight w:val="none"/>
        </w:rPr>
        <w:t>+…</w:t>
      </w:r>
      <w:r>
        <w:rPr>
          <w:rFonts w:hAnsi="Cambria" w:cs="Cambria"/>
          <w:color w:val="auto"/>
          <w:highlight w:val="none"/>
          <w:lang w:eastAsia="zh-CN"/>
        </w:rPr>
        <w:t>+Bnx</w:t>
      </w:r>
      <w:r>
        <w:rPr>
          <w:color w:val="auto"/>
          <w:highlight w:val="none"/>
        </w:rPr>
        <w:fldChar w:fldCharType="begin"/>
      </w:r>
      <w:r>
        <w:rPr>
          <w:color w:val="auto"/>
          <w:highlight w:val="none"/>
        </w:rPr>
        <w:instrText xml:space="preserve">EQ \* jc3 \* hps19 \o\al(\s\up 8(),)</w:instrText>
      </w:r>
      <w:r>
        <w:rPr>
          <w:color w:val="auto"/>
          <w:highlight w:val="none"/>
        </w:rPr>
        <w:fldChar w:fldCharType="end"/>
      </w:r>
      <w:r>
        <w:rPr>
          <w:rFonts w:hint="eastAsia" w:cs="宋体"/>
          <w:color w:val="auto"/>
          <w:highlight w:val="none"/>
          <w:lang w:eastAsia="zh-CN"/>
        </w:rPr>
        <w:t>）</w:t>
      </w:r>
      <w:r>
        <w:rPr>
          <w:rFonts w:hAnsi="Cambria" w:cs="Cambria"/>
          <w:color w:val="auto"/>
          <w:highlight w:val="none"/>
          <w:lang w:eastAsia="zh-CN"/>
        </w:rPr>
        <w:t>-1]</w:t>
      </w:r>
    </w:p>
    <w:p w14:paraId="6255BF0D">
      <w:pPr>
        <w:kinsoku/>
        <w:ind w:firstLine="0"/>
        <w:rPr>
          <w:rFonts w:cs="宋体"/>
          <w:color w:val="auto"/>
          <w:highlight w:val="none"/>
          <w:lang w:eastAsia="zh-CN"/>
        </w:rPr>
      </w:pPr>
      <w:r>
        <w:rPr>
          <w:rFonts w:cs="宋体"/>
          <w:color w:val="auto"/>
          <w:highlight w:val="none"/>
          <w:lang w:eastAsia="zh-CN"/>
        </w:rPr>
        <w:t>式中：</w:t>
      </w:r>
      <w:r>
        <w:rPr>
          <w:rFonts w:hAnsi="Cambria" w:cs="Cambria"/>
          <w:color w:val="auto"/>
          <w:highlight w:val="none"/>
        </w:rPr>
        <w:t>Δ</w:t>
      </w:r>
      <w:r>
        <w:rPr>
          <w:rFonts w:hAnsi="Cambria" w:cs="Cambria"/>
          <w:color w:val="auto"/>
          <w:highlight w:val="none"/>
          <w:lang w:eastAsia="zh-CN"/>
        </w:rPr>
        <w:t>P</w:t>
      </w:r>
      <w:r>
        <w:rPr>
          <w:rFonts w:cs="宋体"/>
          <w:color w:val="auto"/>
          <w:highlight w:val="none"/>
          <w:lang w:eastAsia="zh-CN"/>
        </w:rPr>
        <w:t>——需调整的价格差额；</w:t>
      </w:r>
    </w:p>
    <w:p w14:paraId="7D6E1E4F">
      <w:pPr>
        <w:kinsoku/>
        <w:ind w:firstLine="0"/>
        <w:rPr>
          <w:rFonts w:cs="宋体"/>
          <w:color w:val="auto"/>
          <w:highlight w:val="none"/>
          <w:lang w:eastAsia="zh-CN"/>
        </w:rPr>
      </w:pPr>
      <w:r>
        <w:rPr>
          <w:rFonts w:hAnsi="Times New Roman" w:cs="Times New Roman"/>
          <w:color w:val="auto"/>
          <w:highlight w:val="none"/>
          <w:lang w:eastAsia="zh-CN"/>
        </w:rPr>
        <w:t>PO</w:t>
      </w:r>
      <w:r>
        <w:rPr>
          <w:rFonts w:cs="宋体"/>
          <w:color w:val="auto"/>
          <w:highlight w:val="none"/>
          <w:lang w:eastAsia="zh-CN"/>
        </w:rPr>
        <w:t>——本章第</w:t>
      </w:r>
      <w:r>
        <w:rPr>
          <w:rFonts w:hAnsi="Times New Roman" w:cs="Times New Roman"/>
          <w:color w:val="auto"/>
          <w:highlight w:val="none"/>
          <w:lang w:eastAsia="zh-CN"/>
        </w:rPr>
        <w:t>17.3.3</w:t>
      </w:r>
      <w:r>
        <w:rPr>
          <w:rFonts w:cs="宋体"/>
          <w:color w:val="auto"/>
          <w:highlight w:val="none"/>
          <w:lang w:eastAsia="zh-CN"/>
        </w:rPr>
        <w:t>项、第</w:t>
      </w:r>
      <w:r>
        <w:rPr>
          <w:rFonts w:hAnsi="Times New Roman" w:cs="Times New Roman"/>
          <w:color w:val="auto"/>
          <w:highlight w:val="none"/>
          <w:lang w:eastAsia="zh-CN"/>
        </w:rPr>
        <w:t>17.5.2</w:t>
      </w:r>
      <w:r>
        <w:rPr>
          <w:rFonts w:cs="宋体"/>
          <w:color w:val="auto"/>
          <w:highlight w:val="none"/>
          <w:lang w:eastAsia="zh-CN"/>
        </w:rPr>
        <w:t>项和第</w:t>
      </w:r>
      <w:r>
        <w:rPr>
          <w:rFonts w:hAnsi="Times New Roman" w:cs="Times New Roman"/>
          <w:color w:val="auto"/>
          <w:highlight w:val="none"/>
          <w:lang w:eastAsia="zh-CN"/>
        </w:rPr>
        <w:t>17.6.2</w:t>
      </w:r>
      <w:r>
        <w:rPr>
          <w:rFonts w:cs="宋体"/>
          <w:color w:val="auto"/>
          <w:highlight w:val="none"/>
          <w:lang w:eastAsia="zh-CN"/>
        </w:rPr>
        <w:t>项约定的付款证书中承包人应得到的已完成工程量的金额。此项金额应不包括价格调整、不计质量保证金的扣留和支付、预付款的支付和扣回，本章第</w:t>
      </w:r>
      <w:r>
        <w:rPr>
          <w:rFonts w:hAnsi="Times New Roman" w:cs="Times New Roman"/>
          <w:color w:val="auto"/>
          <w:highlight w:val="none"/>
          <w:lang w:eastAsia="zh-CN"/>
        </w:rPr>
        <w:t>15</w:t>
      </w:r>
      <w:r>
        <w:rPr>
          <w:rFonts w:cs="宋体"/>
          <w:color w:val="auto"/>
          <w:highlight w:val="none"/>
          <w:lang w:eastAsia="zh-CN"/>
        </w:rPr>
        <w:t>条约定的变更及其他金额已按现行价格计价的，也不计在内；</w:t>
      </w:r>
    </w:p>
    <w:p w14:paraId="52CAD4CC">
      <w:pPr>
        <w:kinsoku/>
        <w:ind w:firstLine="0"/>
        <w:rPr>
          <w:rFonts w:cs="宋体"/>
          <w:color w:val="auto"/>
          <w:highlight w:val="none"/>
          <w:lang w:eastAsia="zh-CN"/>
        </w:rPr>
      </w:pPr>
      <w:r>
        <w:rPr>
          <w:rFonts w:hAnsi="Times New Roman" w:cs="Times New Roman"/>
          <w:color w:val="auto"/>
          <w:highlight w:val="none"/>
          <w:lang w:eastAsia="zh-CN"/>
        </w:rPr>
        <w:t>A</w:t>
      </w:r>
      <w:r>
        <w:rPr>
          <w:rFonts w:cs="宋体"/>
          <w:color w:val="auto"/>
          <w:highlight w:val="none"/>
          <w:lang w:eastAsia="zh-CN"/>
        </w:rPr>
        <w:t>——定值权重（即不调部分的权重）；</w:t>
      </w:r>
    </w:p>
    <w:p w14:paraId="39F3FDA1">
      <w:pPr>
        <w:kinsoku/>
        <w:ind w:firstLine="0"/>
        <w:jc w:val="left"/>
        <w:rPr>
          <w:rFonts w:cs="宋体"/>
          <w:color w:val="auto"/>
          <w:highlight w:val="none"/>
          <w:lang w:eastAsia="zh-CN"/>
        </w:rPr>
      </w:pPr>
      <w:r>
        <w:rPr>
          <w:rFonts w:hAnsi="Times New Roman" w:cs="Times New Roman"/>
          <w:color w:val="auto"/>
          <w:highlight w:val="none"/>
          <w:lang w:eastAsia="zh-CN"/>
        </w:rPr>
        <w:t>B1</w:t>
      </w:r>
      <w:r>
        <w:rPr>
          <w:rFonts w:cs="宋体"/>
          <w:color w:val="auto"/>
          <w:highlight w:val="none"/>
          <w:lang w:eastAsia="zh-CN"/>
        </w:rPr>
        <w:t>，</w:t>
      </w:r>
      <w:r>
        <w:rPr>
          <w:rFonts w:hAnsi="Times New Roman" w:cs="Times New Roman"/>
          <w:color w:val="auto"/>
          <w:highlight w:val="none"/>
          <w:lang w:eastAsia="zh-CN"/>
        </w:rPr>
        <w:t>B2</w:t>
      </w:r>
      <w:r>
        <w:rPr>
          <w:rFonts w:cs="宋体"/>
          <w:color w:val="auto"/>
          <w:highlight w:val="none"/>
          <w:lang w:eastAsia="zh-CN"/>
        </w:rPr>
        <w:t>，</w:t>
      </w:r>
      <w:r>
        <w:rPr>
          <w:rFonts w:hAnsi="Times New Roman" w:cs="Times New Roman"/>
          <w:color w:val="auto"/>
          <w:highlight w:val="none"/>
          <w:lang w:eastAsia="zh-CN"/>
        </w:rPr>
        <w:t>B3</w:t>
      </w:r>
      <w:r>
        <w:rPr>
          <w:rFonts w:cs="宋体"/>
          <w:color w:val="auto"/>
          <w:highlight w:val="none"/>
          <w:lang w:eastAsia="zh-CN"/>
        </w:rPr>
        <w:t>，</w:t>
      </w:r>
      <w:r>
        <w:rPr>
          <w:rFonts w:ascii="Times New Roman" w:hAnsi="Times New Roman" w:cs="Times New Roman"/>
          <w:color w:val="auto"/>
          <w:highlight w:val="none"/>
          <w:lang w:eastAsia="zh-CN"/>
        </w:rPr>
        <w:t>ⅆ</w:t>
      </w:r>
      <w:r>
        <w:rPr>
          <w:rFonts w:cs="宋体"/>
          <w:color w:val="auto"/>
          <w:highlight w:val="none"/>
          <w:lang w:eastAsia="zh-CN"/>
        </w:rPr>
        <w:t>,</w:t>
      </w:r>
      <w:r>
        <w:rPr>
          <w:rFonts w:hAnsi="Times New Roman" w:cs="Times New Roman"/>
          <w:color w:val="auto"/>
          <w:highlight w:val="none"/>
          <w:lang w:eastAsia="zh-CN"/>
        </w:rPr>
        <w:t>Bn</w:t>
      </w:r>
      <w:r>
        <w:rPr>
          <w:rFonts w:cs="宋体"/>
          <w:color w:val="auto"/>
          <w:highlight w:val="none"/>
          <w:lang w:eastAsia="zh-CN"/>
        </w:rPr>
        <w:t>——各可调因子的变值权重（即可调部分的权重），</w:t>
      </w:r>
    </w:p>
    <w:p w14:paraId="2E91ACD3">
      <w:pPr>
        <w:kinsoku/>
        <w:ind w:firstLine="0"/>
        <w:rPr>
          <w:color w:val="auto"/>
          <w:highlight w:val="none"/>
          <w:lang w:eastAsia="zh-CN"/>
        </w:rPr>
      </w:pPr>
      <w:r>
        <w:rPr>
          <w:color w:val="auto"/>
          <w:highlight w:val="none"/>
          <w:lang w:eastAsia="zh-CN"/>
        </w:rPr>
        <w:t>为各可调因子在投标函投标总报价中所占的比例；</w:t>
      </w:r>
    </w:p>
    <w:p w14:paraId="2BFF3C1F">
      <w:pPr>
        <w:kinsoku/>
        <w:ind w:firstLine="0"/>
        <w:rPr>
          <w:rFonts w:cs="宋体"/>
          <w:color w:val="auto"/>
          <w:highlight w:val="none"/>
          <w:lang w:eastAsia="zh-CN"/>
        </w:rPr>
      </w:pPr>
      <w:r>
        <w:rPr>
          <w:rFonts w:hAnsi="Times New Roman" w:cs="Times New Roman"/>
          <w:color w:val="auto"/>
          <w:highlight w:val="none"/>
          <w:lang w:eastAsia="zh-CN"/>
        </w:rPr>
        <w:t>Ft1</w:t>
      </w:r>
      <w:r>
        <w:rPr>
          <w:rFonts w:cs="宋体"/>
          <w:color w:val="auto"/>
          <w:highlight w:val="none"/>
          <w:lang w:eastAsia="zh-CN"/>
        </w:rPr>
        <w:t>，</w:t>
      </w:r>
      <w:r>
        <w:rPr>
          <w:rFonts w:hAnsi="Times New Roman" w:cs="Times New Roman"/>
          <w:color w:val="auto"/>
          <w:highlight w:val="none"/>
          <w:lang w:eastAsia="zh-CN"/>
        </w:rPr>
        <w:t>Ft2</w:t>
      </w:r>
      <w:r>
        <w:rPr>
          <w:rFonts w:cs="宋体"/>
          <w:color w:val="auto"/>
          <w:highlight w:val="none"/>
          <w:lang w:eastAsia="zh-CN"/>
        </w:rPr>
        <w:t>，</w:t>
      </w:r>
      <w:r>
        <w:rPr>
          <w:rFonts w:hAnsi="Times New Roman" w:cs="Times New Roman"/>
          <w:color w:val="auto"/>
          <w:highlight w:val="none"/>
          <w:lang w:eastAsia="zh-CN"/>
        </w:rPr>
        <w:t>Ft3</w:t>
      </w:r>
      <w:r>
        <w:rPr>
          <w:rFonts w:cs="宋体"/>
          <w:color w:val="auto"/>
          <w:highlight w:val="none"/>
          <w:lang w:eastAsia="zh-CN"/>
        </w:rPr>
        <w:t>，</w:t>
      </w:r>
      <w:r>
        <w:rPr>
          <w:rFonts w:ascii="Times New Roman" w:hAnsi="Times New Roman" w:cs="Times New Roman"/>
          <w:color w:val="auto"/>
          <w:highlight w:val="none"/>
          <w:lang w:eastAsia="zh-CN"/>
        </w:rPr>
        <w:t>ⅆ</w:t>
      </w:r>
      <w:r>
        <w:rPr>
          <w:rFonts w:cs="宋体"/>
          <w:color w:val="auto"/>
          <w:highlight w:val="none"/>
          <w:lang w:eastAsia="zh-CN"/>
        </w:rPr>
        <w:t>,</w:t>
      </w:r>
      <w:r>
        <w:rPr>
          <w:rFonts w:hAnsi="Times New Roman" w:cs="Times New Roman"/>
          <w:color w:val="auto"/>
          <w:highlight w:val="none"/>
          <w:lang w:eastAsia="zh-CN"/>
        </w:rPr>
        <w:t>Ftn</w:t>
      </w:r>
      <w:r>
        <w:rPr>
          <w:rFonts w:cs="宋体"/>
          <w:color w:val="auto"/>
          <w:highlight w:val="none"/>
          <w:lang w:eastAsia="zh-CN"/>
        </w:rPr>
        <w:t>——各可调因子的现行价格指数，指本章第</w:t>
      </w:r>
      <w:r>
        <w:rPr>
          <w:rFonts w:hAnsi="Times New Roman" w:cs="Times New Roman"/>
          <w:color w:val="auto"/>
          <w:highlight w:val="none"/>
          <w:lang w:eastAsia="zh-CN"/>
        </w:rPr>
        <w:t>17.3.3</w:t>
      </w:r>
      <w:r>
        <w:rPr>
          <w:rFonts w:cs="宋体"/>
          <w:color w:val="auto"/>
          <w:highlight w:val="none"/>
          <w:lang w:eastAsia="zh-CN"/>
        </w:rPr>
        <w:t>项、第</w:t>
      </w:r>
      <w:r>
        <w:rPr>
          <w:rFonts w:hAnsi="Times New Roman" w:cs="Times New Roman"/>
          <w:color w:val="auto"/>
          <w:highlight w:val="none"/>
          <w:lang w:eastAsia="zh-CN"/>
        </w:rPr>
        <w:t>17.5.2</w:t>
      </w:r>
      <w:r>
        <w:rPr>
          <w:rFonts w:cs="宋体"/>
          <w:color w:val="auto"/>
          <w:highlight w:val="none"/>
          <w:lang w:eastAsia="zh-CN"/>
        </w:rPr>
        <w:t>项和第</w:t>
      </w:r>
      <w:r>
        <w:rPr>
          <w:rFonts w:hAnsi="Times New Roman" w:cs="Times New Roman"/>
          <w:color w:val="auto"/>
          <w:highlight w:val="none"/>
          <w:lang w:eastAsia="zh-CN"/>
        </w:rPr>
        <w:t>17.6.2</w:t>
      </w:r>
      <w:r>
        <w:rPr>
          <w:rFonts w:cs="宋体"/>
          <w:color w:val="auto"/>
          <w:highlight w:val="none"/>
          <w:lang w:eastAsia="zh-CN"/>
        </w:rPr>
        <w:t>项约定的付款证书相关周期最后一天的前</w:t>
      </w:r>
      <w:r>
        <w:rPr>
          <w:rFonts w:hAnsi="Times New Roman" w:cs="Times New Roman"/>
          <w:color w:val="auto"/>
          <w:highlight w:val="none"/>
          <w:lang w:eastAsia="zh-CN"/>
        </w:rPr>
        <w:t>42</w:t>
      </w:r>
      <w:r>
        <w:rPr>
          <w:rFonts w:cs="宋体"/>
          <w:color w:val="auto"/>
          <w:highlight w:val="none"/>
          <w:lang w:eastAsia="zh-CN"/>
        </w:rPr>
        <w:t>天的各可调因子的价格指数；</w:t>
      </w:r>
    </w:p>
    <w:p w14:paraId="44D6F129">
      <w:pPr>
        <w:kinsoku/>
        <w:ind w:firstLine="0"/>
        <w:rPr>
          <w:color w:val="auto"/>
          <w:highlight w:val="none"/>
          <w:lang w:eastAsia="zh-CN"/>
        </w:rPr>
      </w:pPr>
      <w:r>
        <w:rPr>
          <w:rFonts w:hAnsi="Times New Roman" w:cs="Times New Roman"/>
          <w:color w:val="auto"/>
          <w:highlight w:val="none"/>
          <w:lang w:eastAsia="zh-CN"/>
        </w:rPr>
        <w:t>F01</w:t>
      </w:r>
      <w:r>
        <w:rPr>
          <w:rFonts w:cs="宋体"/>
          <w:color w:val="auto"/>
          <w:highlight w:val="none"/>
          <w:lang w:eastAsia="zh-CN"/>
        </w:rPr>
        <w:t>，</w:t>
      </w:r>
      <w:r>
        <w:rPr>
          <w:rFonts w:hAnsi="Times New Roman" w:cs="Times New Roman"/>
          <w:color w:val="auto"/>
          <w:highlight w:val="none"/>
          <w:lang w:eastAsia="zh-CN"/>
        </w:rPr>
        <w:t>F02</w:t>
      </w:r>
      <w:r>
        <w:rPr>
          <w:rFonts w:cs="宋体"/>
          <w:color w:val="auto"/>
          <w:highlight w:val="none"/>
          <w:lang w:eastAsia="zh-CN"/>
        </w:rPr>
        <w:t>，</w:t>
      </w:r>
      <w:r>
        <w:rPr>
          <w:rFonts w:hAnsi="Times New Roman" w:cs="Times New Roman"/>
          <w:color w:val="auto"/>
          <w:highlight w:val="none"/>
          <w:lang w:eastAsia="zh-CN"/>
        </w:rPr>
        <w:t>F03</w:t>
      </w:r>
      <w:r>
        <w:rPr>
          <w:rFonts w:cs="宋体"/>
          <w:color w:val="auto"/>
          <w:highlight w:val="none"/>
          <w:lang w:eastAsia="zh-CN"/>
        </w:rPr>
        <w:t>，</w:t>
      </w:r>
      <w:r>
        <w:rPr>
          <w:rFonts w:ascii="Times New Roman" w:hAnsi="Times New Roman" w:cs="Times New Roman"/>
          <w:color w:val="auto"/>
          <w:highlight w:val="none"/>
          <w:lang w:eastAsia="zh-CN"/>
        </w:rPr>
        <w:t>ⅆ</w:t>
      </w:r>
      <w:r>
        <w:rPr>
          <w:rFonts w:cs="宋体"/>
          <w:color w:val="auto"/>
          <w:highlight w:val="none"/>
          <w:lang w:eastAsia="zh-CN"/>
        </w:rPr>
        <w:t>,</w:t>
      </w:r>
      <w:r>
        <w:rPr>
          <w:rFonts w:hAnsi="Times New Roman" w:cs="Times New Roman"/>
          <w:color w:val="auto"/>
          <w:highlight w:val="none"/>
          <w:lang w:eastAsia="zh-CN"/>
        </w:rPr>
        <w:t>F0n</w:t>
      </w:r>
      <w:r>
        <w:rPr>
          <w:rFonts w:cs="宋体"/>
          <w:color w:val="auto"/>
          <w:highlight w:val="none"/>
          <w:lang w:eastAsia="zh-CN"/>
        </w:rPr>
        <w:t>——各可调因子的基本价格指数，指基准日期的各</w:t>
      </w:r>
      <w:r>
        <w:rPr>
          <w:color w:val="auto"/>
          <w:highlight w:val="none"/>
          <w:lang w:eastAsia="zh-CN"/>
        </w:rPr>
        <w:t>可调因子的价格指数。</w:t>
      </w:r>
    </w:p>
    <w:p w14:paraId="437BAB33">
      <w:pPr>
        <w:kinsoku/>
        <w:ind w:firstLine="0"/>
        <w:rPr>
          <w:color w:val="auto"/>
          <w:highlight w:val="none"/>
          <w:lang w:eastAsia="zh-CN"/>
        </w:rPr>
      </w:pPr>
      <w:r>
        <w:rPr>
          <w:color w:val="auto"/>
          <w:highlight w:val="none"/>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5F248A5">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"16.1.1.2"</w:instrText>
      </w:r>
      <w:r>
        <w:rPr>
          <w:color w:val="auto"/>
          <w:highlight w:val="none"/>
        </w:rPr>
        <w:fldChar w:fldCharType="separate"/>
      </w:r>
      <w:r>
        <w:rPr>
          <w:rFonts w:hAnsi="Times New Roman" w:cs="Times New Roman"/>
          <w:color w:val="auto"/>
          <w:highlight w:val="none"/>
          <w:lang w:eastAsia="zh-CN"/>
        </w:rPr>
        <w:t>16.1.1.2</w:t>
      </w:r>
      <w:r>
        <w:rPr>
          <w:color w:val="auto"/>
          <w:highlight w:val="none"/>
        </w:rPr>
        <w:fldChar w:fldCharType="end"/>
      </w:r>
      <w:r>
        <w:rPr>
          <w:rFonts w:hint="eastAsia"/>
          <w:color w:val="auto"/>
          <w:highlight w:val="none"/>
          <w:lang w:eastAsia="zh-CN"/>
        </w:rPr>
        <w:t>　</w:t>
      </w:r>
      <w:r>
        <w:rPr>
          <w:rFonts w:cs="宋体"/>
          <w:color w:val="auto"/>
          <w:highlight w:val="none"/>
          <w:lang w:eastAsia="zh-CN"/>
        </w:rPr>
        <w:t>暂时确定调整差额</w:t>
      </w:r>
    </w:p>
    <w:p w14:paraId="3B678256">
      <w:pPr>
        <w:kinsoku/>
        <w:ind w:firstLine="0"/>
        <w:rPr>
          <w:color w:val="auto"/>
          <w:highlight w:val="none"/>
          <w:lang w:eastAsia="zh-CN"/>
        </w:rPr>
      </w:pPr>
      <w:r>
        <w:rPr>
          <w:color w:val="auto"/>
          <w:highlight w:val="none"/>
          <w:lang w:eastAsia="zh-CN"/>
        </w:rPr>
        <w:t>在计算调整差额时得不到现行价格指数的，可暂用上一次价格指数计算，并在以后的付款中再按实际价格指数进行调整。</w:t>
      </w:r>
    </w:p>
    <w:p w14:paraId="4D7F09C5">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"16.1.1.3"</w:instrText>
      </w:r>
      <w:r>
        <w:rPr>
          <w:color w:val="auto"/>
          <w:highlight w:val="none"/>
        </w:rPr>
        <w:fldChar w:fldCharType="separate"/>
      </w:r>
      <w:r>
        <w:rPr>
          <w:rFonts w:hAnsi="Times New Roman" w:cs="Times New Roman"/>
          <w:color w:val="auto"/>
          <w:highlight w:val="none"/>
          <w:lang w:eastAsia="zh-CN"/>
        </w:rPr>
        <w:t>16.1.1.3</w:t>
      </w:r>
      <w:r>
        <w:rPr>
          <w:color w:val="auto"/>
          <w:highlight w:val="none"/>
        </w:rPr>
        <w:fldChar w:fldCharType="end"/>
      </w:r>
      <w:r>
        <w:rPr>
          <w:rFonts w:hint="eastAsia"/>
          <w:color w:val="auto"/>
          <w:highlight w:val="none"/>
          <w:lang w:eastAsia="zh-CN"/>
        </w:rPr>
        <w:t>　</w:t>
      </w:r>
      <w:r>
        <w:rPr>
          <w:rFonts w:cs="宋体"/>
          <w:color w:val="auto"/>
          <w:highlight w:val="none"/>
          <w:lang w:eastAsia="zh-CN"/>
        </w:rPr>
        <w:t>权重的调整</w:t>
      </w:r>
    </w:p>
    <w:p w14:paraId="66E952DF">
      <w:pPr>
        <w:kinsoku/>
        <w:ind w:firstLine="0"/>
        <w:rPr>
          <w:rFonts w:cs="宋体"/>
          <w:color w:val="auto"/>
          <w:highlight w:val="none"/>
          <w:lang w:eastAsia="zh-CN"/>
        </w:rPr>
      </w:pPr>
      <w:r>
        <w:rPr>
          <w:rFonts w:cs="宋体"/>
          <w:color w:val="auto"/>
          <w:highlight w:val="none"/>
          <w:lang w:eastAsia="zh-CN"/>
        </w:rPr>
        <w:t>按第</w:t>
      </w:r>
      <w:r>
        <w:rPr>
          <w:rFonts w:hAnsi="Times New Roman" w:cs="Times New Roman"/>
          <w:color w:val="auto"/>
          <w:highlight w:val="none"/>
          <w:lang w:eastAsia="zh-CN"/>
        </w:rPr>
        <w:t>15.1</w:t>
      </w:r>
      <w:r>
        <w:rPr>
          <w:rFonts w:cs="宋体"/>
          <w:color w:val="auto"/>
          <w:highlight w:val="none"/>
          <w:lang w:eastAsia="zh-CN"/>
        </w:rPr>
        <w:t>款约定的变更导致原定合同中的权重不合理时，由监理人与承包人和发包人协商后进行调整。</w:t>
      </w:r>
    </w:p>
    <w:p w14:paraId="56142AAE">
      <w:pPr>
        <w:kinsoku/>
        <w:spacing w:beforeLines="0" w:afterLines="0"/>
        <w:ind w:firstLine="0" w:firstLineChars="0"/>
        <w:jc w:val="left"/>
        <w:rPr>
          <w:rFonts w:cs="宋体"/>
          <w:color w:val="auto"/>
          <w:highlight w:val="none"/>
          <w:lang w:eastAsia="zh-CN"/>
        </w:rPr>
      </w:pPr>
      <w:r>
        <w:rPr>
          <w:color w:val="auto"/>
          <w:highlight w:val="none"/>
        </w:rPr>
        <w:fldChar w:fldCharType="begin"/>
      </w:r>
      <w:r>
        <w:rPr>
          <w:color w:val="auto"/>
          <w:highlight w:val="none"/>
          <w:lang w:eastAsia="zh-CN"/>
        </w:rPr>
        <w:instrText xml:space="preserve">HYPERLINK "16.1.1.4"</w:instrText>
      </w:r>
      <w:r>
        <w:rPr>
          <w:color w:val="auto"/>
          <w:highlight w:val="none"/>
        </w:rPr>
        <w:fldChar w:fldCharType="separate"/>
      </w:r>
      <w:r>
        <w:rPr>
          <w:rFonts w:hAnsi="Times New Roman" w:cs="Times New Roman"/>
          <w:color w:val="auto"/>
          <w:highlight w:val="none"/>
          <w:lang w:eastAsia="zh-CN"/>
        </w:rPr>
        <w:t>16.1.1.4</w:t>
      </w:r>
      <w:r>
        <w:rPr>
          <w:color w:val="auto"/>
          <w:highlight w:val="none"/>
        </w:rPr>
        <w:fldChar w:fldCharType="end"/>
      </w:r>
      <w:r>
        <w:rPr>
          <w:rFonts w:hint="eastAsia"/>
          <w:color w:val="auto"/>
          <w:highlight w:val="none"/>
          <w:lang w:eastAsia="zh-CN"/>
        </w:rPr>
        <w:t>　</w:t>
      </w:r>
      <w:r>
        <w:rPr>
          <w:rFonts w:cs="宋体"/>
          <w:color w:val="auto"/>
          <w:highlight w:val="none"/>
          <w:lang w:eastAsia="zh-CN"/>
        </w:rPr>
        <w:t>承包人工期延误后的价格调整</w:t>
      </w:r>
    </w:p>
    <w:p w14:paraId="5DE3ED6B">
      <w:pPr>
        <w:kinsoku/>
        <w:ind w:firstLine="0"/>
        <w:rPr>
          <w:rFonts w:cs="宋体"/>
          <w:color w:val="auto"/>
          <w:highlight w:val="none"/>
          <w:lang w:eastAsia="zh-CN"/>
        </w:rPr>
      </w:pPr>
      <w:r>
        <w:rPr>
          <w:rFonts w:cs="宋体"/>
          <w:color w:val="auto"/>
          <w:highlight w:val="none"/>
          <w:lang w:eastAsia="zh-CN"/>
        </w:rPr>
        <w:t>由于承包人原因未在约定的工期内完工的，则对原约定完工日期后继续施工的工程，在使用第</w:t>
      </w:r>
      <w:r>
        <w:rPr>
          <w:color w:val="auto"/>
          <w:highlight w:val="none"/>
        </w:rPr>
        <w:fldChar w:fldCharType="begin"/>
      </w:r>
      <w:r>
        <w:rPr>
          <w:color w:val="auto"/>
          <w:highlight w:val="none"/>
          <w:lang w:eastAsia="zh-CN"/>
        </w:rPr>
        <w:instrText xml:space="preserve">HYPERLINK "16.1.1.1"</w:instrText>
      </w:r>
      <w:r>
        <w:rPr>
          <w:color w:val="auto"/>
          <w:highlight w:val="none"/>
        </w:rPr>
        <w:fldChar w:fldCharType="separate"/>
      </w:r>
      <w:r>
        <w:rPr>
          <w:rFonts w:hAnsi="Times New Roman" w:cs="Times New Roman"/>
          <w:color w:val="auto"/>
          <w:highlight w:val="none"/>
          <w:lang w:eastAsia="zh-CN"/>
        </w:rPr>
        <w:t>16.1.1.1</w:t>
      </w:r>
      <w:r>
        <w:rPr>
          <w:color w:val="auto"/>
          <w:highlight w:val="none"/>
        </w:rPr>
        <w:fldChar w:fldCharType="end"/>
      </w:r>
      <w:r>
        <w:rPr>
          <w:rFonts w:cs="宋体"/>
          <w:color w:val="auto"/>
          <w:highlight w:val="none"/>
          <w:lang w:eastAsia="zh-CN"/>
        </w:rPr>
        <w:t>目价格调整公式时，应采用原约定完工日期与实际完工日期的两个价格指数中较低的一个作为现行价格指数。</w:t>
      </w:r>
    </w:p>
    <w:p w14:paraId="7250023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16.1.2</w:t>
      </w:r>
      <w:r>
        <w:rPr>
          <w:rFonts w:hint="eastAsia" w:hAnsi="Times New Roman" w:cs="Times New Roman"/>
          <w:b/>
          <w:bCs/>
          <w:color w:val="auto"/>
          <w:highlight w:val="none"/>
          <w:lang w:eastAsia="zh-CN"/>
        </w:rPr>
        <w:t>　</w:t>
      </w:r>
      <w:r>
        <w:rPr>
          <w:rFonts w:cs="宋体"/>
          <w:color w:val="auto"/>
          <w:highlight w:val="none"/>
          <w:lang w:eastAsia="zh-CN"/>
        </w:rPr>
        <w:t>采用造价信息调整价格差额</w:t>
      </w:r>
    </w:p>
    <w:p w14:paraId="241B8E08">
      <w:pPr>
        <w:kinsoku/>
        <w:ind w:firstLine="0"/>
        <w:rPr>
          <w:color w:val="auto"/>
          <w:highlight w:val="none"/>
          <w:lang w:eastAsia="zh-CN"/>
        </w:rPr>
      </w:pPr>
      <w:r>
        <w:rPr>
          <w:color w:val="auto"/>
          <w:highlight w:val="none"/>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p>
    <w:p w14:paraId="03B0F398">
      <w:pPr>
        <w:pStyle w:val="4"/>
        <w:kinsoku/>
        <w:spacing w:beforeLines="0" w:afterLines="0"/>
        <w:rPr>
          <w:rFonts w:hint="eastAsia" w:hAnsi="宋体" w:cs="宋体"/>
          <w:bCs/>
          <w:color w:val="auto"/>
          <w:szCs w:val="24"/>
          <w:highlight w:val="none"/>
          <w:lang w:eastAsia="zh-CN"/>
        </w:rPr>
      </w:pPr>
      <w:bookmarkStart w:id="1180" w:name="_Toc29662"/>
      <w:bookmarkStart w:id="1181" w:name="_Toc6441"/>
      <w:bookmarkStart w:id="1182" w:name="_Toc25584"/>
      <w:r>
        <w:rPr>
          <w:rFonts w:hint="eastAsia" w:hAnsi="宋体" w:cs="宋体"/>
          <w:b/>
          <w:bCs/>
          <w:color w:val="auto"/>
          <w:szCs w:val="24"/>
          <w:highlight w:val="none"/>
          <w:lang w:eastAsia="zh-CN"/>
        </w:rPr>
        <w:t>16.2</w:t>
      </w:r>
      <w:r>
        <w:rPr>
          <w:rFonts w:hint="eastAsia" w:cs="宋体"/>
          <w:b/>
          <w:bCs/>
          <w:color w:val="auto"/>
          <w:szCs w:val="24"/>
          <w:highlight w:val="none"/>
          <w:lang w:eastAsia="zh-CN"/>
        </w:rPr>
        <w:t>　</w:t>
      </w:r>
      <w:r>
        <w:rPr>
          <w:rFonts w:hint="eastAsia" w:hAnsi="宋体" w:cs="宋体"/>
          <w:b/>
          <w:bCs/>
          <w:color w:val="auto"/>
          <w:szCs w:val="24"/>
          <w:highlight w:val="none"/>
          <w:lang w:eastAsia="zh-CN"/>
        </w:rPr>
        <w:t>法律、法规、规章变化引起的价格调整</w:t>
      </w:r>
      <w:bookmarkEnd w:id="1180"/>
      <w:bookmarkEnd w:id="1181"/>
      <w:bookmarkEnd w:id="1182"/>
    </w:p>
    <w:p w14:paraId="30734918">
      <w:pPr>
        <w:kinsoku/>
        <w:ind w:firstLine="0"/>
        <w:rPr>
          <w:rFonts w:cs="宋体"/>
          <w:color w:val="auto"/>
          <w:highlight w:val="none"/>
          <w:lang w:eastAsia="zh-CN"/>
        </w:rPr>
      </w:pPr>
      <w:r>
        <w:rPr>
          <w:rFonts w:cs="宋体"/>
          <w:color w:val="auto"/>
          <w:highlight w:val="none"/>
          <w:lang w:eastAsia="zh-CN"/>
        </w:rPr>
        <w:t>在基准日后，因法律、法规、规章变化导致承包人在合同履行中所需要的工程费用发生除第</w:t>
      </w:r>
      <w:r>
        <w:rPr>
          <w:rFonts w:hAnsi="Times New Roman" w:cs="Times New Roman"/>
          <w:color w:val="auto"/>
          <w:highlight w:val="none"/>
          <w:lang w:eastAsia="zh-CN"/>
        </w:rPr>
        <w:t>16.1</w:t>
      </w:r>
      <w:r>
        <w:rPr>
          <w:rFonts w:cs="宋体"/>
          <w:color w:val="auto"/>
          <w:highlight w:val="none"/>
          <w:lang w:eastAsia="zh-CN"/>
        </w:rPr>
        <w:t>款约定以外的增减时，监理人应根据法律、法规、规章，国家或省、自治区、直辖市有关部门的规定，按第</w:t>
      </w:r>
      <w:r>
        <w:rPr>
          <w:rFonts w:hAnsi="Times New Roman" w:cs="Times New Roman"/>
          <w:color w:val="auto"/>
          <w:highlight w:val="none"/>
          <w:lang w:eastAsia="zh-CN"/>
        </w:rPr>
        <w:t>3.5</w:t>
      </w:r>
      <w:r>
        <w:rPr>
          <w:rFonts w:cs="宋体"/>
          <w:color w:val="auto"/>
          <w:highlight w:val="none"/>
          <w:lang w:eastAsia="zh-CN"/>
        </w:rPr>
        <w:t>款商定或确定需调整的合同价款。</w:t>
      </w:r>
    </w:p>
    <w:p w14:paraId="58B6DD0B">
      <w:pPr>
        <w:pStyle w:val="3"/>
        <w:kinsoku/>
        <w:spacing w:before="0" w:beforeLines="0" w:afterLines="0" w:line="360" w:lineRule="auto"/>
        <w:outlineLvl w:val="1"/>
        <w:rPr>
          <w:rFonts w:hint="eastAsia" w:ascii="宋体" w:cs="宋体"/>
          <w:color w:val="auto"/>
          <w:sz w:val="30"/>
          <w:szCs w:val="30"/>
          <w:highlight w:val="none"/>
        </w:rPr>
      </w:pPr>
      <w:bookmarkStart w:id="1183" w:name="_Toc1798"/>
      <w:bookmarkStart w:id="1184" w:name="_Toc14679"/>
      <w:bookmarkStart w:id="1185" w:name="_Toc2996"/>
      <w:bookmarkStart w:id="1186" w:name="_Toc17673"/>
      <w:bookmarkStart w:id="1187" w:name="_Toc16732"/>
      <w:bookmarkStart w:id="1188" w:name="_Toc1953"/>
      <w:bookmarkStart w:id="1189" w:name="_Toc7015"/>
      <w:bookmarkStart w:id="1190" w:name="_Toc2682"/>
      <w:bookmarkStart w:id="1191" w:name="_Toc15340"/>
      <w:bookmarkStart w:id="1192" w:name="_Toc28830"/>
      <w:bookmarkStart w:id="1193" w:name="_Toc11026"/>
      <w:bookmarkStart w:id="1194" w:name="_Toc4371"/>
      <w:bookmarkStart w:id="1195" w:name="_Toc12773"/>
      <w:bookmarkStart w:id="1196" w:name="_Toc31455"/>
      <w:r>
        <w:rPr>
          <w:rFonts w:hint="eastAsia" w:ascii="宋体" w:cs="宋体"/>
          <w:color w:val="auto"/>
          <w:sz w:val="30"/>
          <w:szCs w:val="30"/>
          <w:highlight w:val="none"/>
        </w:rPr>
        <w:t>17</w:t>
      </w:r>
      <w:r>
        <w:rPr>
          <w:rFonts w:hint="eastAsia" w:cs="宋体"/>
          <w:color w:val="auto"/>
          <w:sz w:val="30"/>
          <w:szCs w:val="30"/>
          <w:highlight w:val="none"/>
          <w:lang w:eastAsia="zh-CN"/>
        </w:rPr>
        <w:t>　</w:t>
      </w:r>
      <w:r>
        <w:rPr>
          <w:rFonts w:hint="eastAsia" w:ascii="宋体" w:cs="宋体"/>
          <w:color w:val="auto"/>
          <w:sz w:val="30"/>
          <w:szCs w:val="30"/>
          <w:highlight w:val="none"/>
        </w:rPr>
        <w:t>计量与支付</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p>
    <w:p w14:paraId="401AE689">
      <w:pPr>
        <w:pStyle w:val="4"/>
        <w:kinsoku/>
        <w:spacing w:beforeLines="0" w:afterLines="0"/>
        <w:rPr>
          <w:rFonts w:hint="eastAsia" w:hAnsi="宋体" w:cs="宋体"/>
          <w:bCs/>
          <w:color w:val="auto"/>
          <w:szCs w:val="24"/>
          <w:highlight w:val="none"/>
          <w:lang w:eastAsia="zh-CN"/>
        </w:rPr>
      </w:pPr>
      <w:bookmarkStart w:id="1197" w:name="_Toc8472"/>
      <w:bookmarkStart w:id="1198" w:name="_Toc15151"/>
      <w:bookmarkStart w:id="1199" w:name="_Toc1279"/>
      <w:r>
        <w:rPr>
          <w:rFonts w:hint="eastAsia" w:hAnsi="宋体" w:cs="宋体"/>
          <w:b/>
          <w:bCs/>
          <w:color w:val="auto"/>
          <w:szCs w:val="24"/>
          <w:highlight w:val="none"/>
          <w:lang w:eastAsia="zh-CN"/>
        </w:rPr>
        <w:t>17.1</w:t>
      </w:r>
      <w:r>
        <w:rPr>
          <w:rFonts w:hint="eastAsia" w:cs="宋体"/>
          <w:b/>
          <w:bCs/>
          <w:color w:val="auto"/>
          <w:szCs w:val="24"/>
          <w:highlight w:val="none"/>
          <w:lang w:eastAsia="zh-CN"/>
        </w:rPr>
        <w:t>　</w:t>
      </w:r>
      <w:r>
        <w:rPr>
          <w:rFonts w:hint="eastAsia" w:hAnsi="宋体" w:cs="宋体"/>
          <w:b/>
          <w:bCs/>
          <w:color w:val="auto"/>
          <w:szCs w:val="24"/>
          <w:highlight w:val="none"/>
          <w:lang w:eastAsia="zh-CN"/>
        </w:rPr>
        <w:t>计量</w:t>
      </w:r>
      <w:bookmarkEnd w:id="1197"/>
      <w:bookmarkEnd w:id="1198"/>
      <w:bookmarkEnd w:id="1199"/>
    </w:p>
    <w:p w14:paraId="137EE80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17.1.1</w:t>
      </w:r>
      <w:r>
        <w:rPr>
          <w:rFonts w:hint="eastAsia" w:hAnsi="Times New Roman" w:cs="Times New Roman"/>
          <w:b/>
          <w:bCs/>
          <w:color w:val="auto"/>
          <w:highlight w:val="none"/>
          <w:lang w:eastAsia="zh-CN"/>
        </w:rPr>
        <w:t>　</w:t>
      </w:r>
      <w:r>
        <w:rPr>
          <w:rFonts w:cs="宋体"/>
          <w:color w:val="auto"/>
          <w:highlight w:val="none"/>
          <w:lang w:eastAsia="zh-CN"/>
        </w:rPr>
        <w:t>计量单位</w:t>
      </w:r>
    </w:p>
    <w:p w14:paraId="4D7A3B8C">
      <w:pPr>
        <w:kinsoku/>
        <w:ind w:firstLine="0"/>
        <w:rPr>
          <w:color w:val="auto"/>
          <w:highlight w:val="none"/>
          <w:lang w:eastAsia="zh-CN"/>
        </w:rPr>
      </w:pPr>
      <w:r>
        <w:rPr>
          <w:color w:val="auto"/>
          <w:highlight w:val="none"/>
          <w:lang w:eastAsia="zh-CN"/>
        </w:rPr>
        <w:t>计量采用国家法定的计量单位。</w:t>
      </w:r>
    </w:p>
    <w:p w14:paraId="13D9589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17.1.2</w:t>
      </w:r>
      <w:r>
        <w:rPr>
          <w:rFonts w:hint="eastAsia" w:hAnsi="Times New Roman" w:cs="Times New Roman"/>
          <w:b/>
          <w:bCs/>
          <w:color w:val="auto"/>
          <w:highlight w:val="none"/>
          <w:lang w:eastAsia="zh-CN"/>
        </w:rPr>
        <w:t>　</w:t>
      </w:r>
      <w:r>
        <w:rPr>
          <w:rFonts w:cs="宋体"/>
          <w:color w:val="auto"/>
          <w:highlight w:val="none"/>
          <w:lang w:eastAsia="zh-CN"/>
        </w:rPr>
        <w:t>计量方法</w:t>
      </w:r>
    </w:p>
    <w:p w14:paraId="48360F76">
      <w:pPr>
        <w:kinsoku/>
        <w:ind w:firstLine="0"/>
        <w:rPr>
          <w:color w:val="auto"/>
          <w:highlight w:val="none"/>
          <w:lang w:eastAsia="zh-CN"/>
        </w:rPr>
      </w:pPr>
      <w:r>
        <w:rPr>
          <w:color w:val="auto"/>
          <w:highlight w:val="none"/>
          <w:lang w:eastAsia="zh-CN"/>
        </w:rPr>
        <w:t>结算工程量应按工程量清单中约定的方法计量。</w:t>
      </w:r>
    </w:p>
    <w:p w14:paraId="240D0F4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17.1.3</w:t>
      </w:r>
      <w:r>
        <w:rPr>
          <w:rFonts w:hint="eastAsia" w:hAnsi="Times New Roman" w:cs="Times New Roman"/>
          <w:b/>
          <w:bCs/>
          <w:color w:val="auto"/>
          <w:highlight w:val="none"/>
          <w:lang w:eastAsia="zh-CN"/>
        </w:rPr>
        <w:t>　</w:t>
      </w:r>
      <w:r>
        <w:rPr>
          <w:rFonts w:cs="宋体"/>
          <w:color w:val="auto"/>
          <w:highlight w:val="none"/>
          <w:lang w:eastAsia="zh-CN"/>
        </w:rPr>
        <w:t>计量周期</w:t>
      </w:r>
    </w:p>
    <w:p w14:paraId="6F293D3D">
      <w:pPr>
        <w:kinsoku/>
        <w:ind w:firstLine="0"/>
        <w:rPr>
          <w:color w:val="auto"/>
          <w:highlight w:val="none"/>
          <w:lang w:eastAsia="zh-CN"/>
        </w:rPr>
      </w:pPr>
      <w:r>
        <w:rPr>
          <w:color w:val="auto"/>
          <w:highlight w:val="none"/>
          <w:lang w:eastAsia="zh-CN"/>
        </w:rPr>
        <w:t>除专用合同条款另有约定外，单价子目已完成工程量按月计量，总价子目的计量周期按批准的支付分解报告确定。</w:t>
      </w:r>
    </w:p>
    <w:p w14:paraId="217721D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17.1.4</w:t>
      </w:r>
      <w:r>
        <w:rPr>
          <w:rFonts w:hint="eastAsia" w:hAnsi="Times New Roman" w:cs="Times New Roman"/>
          <w:b/>
          <w:bCs/>
          <w:color w:val="auto"/>
          <w:highlight w:val="none"/>
          <w:lang w:eastAsia="zh-CN"/>
        </w:rPr>
        <w:t>　</w:t>
      </w:r>
      <w:r>
        <w:rPr>
          <w:rFonts w:cs="宋体"/>
          <w:color w:val="auto"/>
          <w:highlight w:val="none"/>
          <w:lang w:eastAsia="zh-CN"/>
        </w:rPr>
        <w:t>单价子目的计量</w:t>
      </w:r>
    </w:p>
    <w:p w14:paraId="6BEF8CE7">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）已标价工程量清单中的单价子目工程量为估算工程量。结算工程量是承包人实际完成的，并按合同约定的计量方法进行计量的工程量。</w:t>
      </w:r>
    </w:p>
    <w:p w14:paraId="7F80B8D9">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）承包人对已完成的工程进行计量，向监理人提交进度付款申请单、已完成工程量报表和有关计量资料。</w:t>
      </w:r>
    </w:p>
    <w:p w14:paraId="4C2B3DF8">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）监理人对承包人提交的工程量报表进行复核，以确定实际完成的工程量。对数量有异议的，可要求承包人按第</w:t>
      </w:r>
      <w:r>
        <w:rPr>
          <w:rFonts w:hAnsi="Times New Roman" w:cs="Times New Roman"/>
          <w:color w:val="auto"/>
          <w:highlight w:val="none"/>
          <w:lang w:eastAsia="zh-CN"/>
        </w:rPr>
        <w:t>8.2</w:t>
      </w:r>
      <w:r>
        <w:rPr>
          <w:rFonts w:cs="宋体"/>
          <w:color w:val="auto"/>
          <w:highlight w:val="none"/>
          <w:lang w:eastAsia="zh-CN"/>
        </w:rPr>
        <w:t>款约定进行共同复核和抽样复测。承包人应协助监理人进行复核并按监理人要求提供补充计量资料。承包人未按监理人要求参加复核，监理人复核或修正的工程量视为承包人实际完成的工程量。</w:t>
      </w:r>
    </w:p>
    <w:p w14:paraId="65BE576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）监理人认为有必要时，可通知承包人共同进行联合测量、计量，承包人应遵照执行。</w:t>
      </w:r>
    </w:p>
    <w:p w14:paraId="475FF27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14:paraId="21583DF7">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）监理人应在收到承包人提交的工程量报表后的</w:t>
      </w:r>
      <w:r>
        <w:rPr>
          <w:rFonts w:hAnsi="Times New Roman" w:cs="Times New Roman"/>
          <w:color w:val="auto"/>
          <w:highlight w:val="none"/>
          <w:lang w:eastAsia="zh-CN"/>
        </w:rPr>
        <w:t>7</w:t>
      </w:r>
      <w:r>
        <w:rPr>
          <w:rFonts w:cs="宋体"/>
          <w:color w:val="auto"/>
          <w:highlight w:val="none"/>
          <w:lang w:eastAsia="zh-CN"/>
        </w:rPr>
        <w:t>天内进行复核，监理人未在约定时间内复核的，承包人提交的工程量报表中的工程量视为承包人实际完成的工程量，据此计算工程价款。</w:t>
      </w:r>
    </w:p>
    <w:p w14:paraId="1F6D58D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17.1.5</w:t>
      </w:r>
      <w:r>
        <w:rPr>
          <w:rFonts w:hint="eastAsia" w:hAnsi="Times New Roman" w:cs="Times New Roman"/>
          <w:b/>
          <w:bCs/>
          <w:color w:val="auto"/>
          <w:highlight w:val="none"/>
          <w:lang w:eastAsia="zh-CN"/>
        </w:rPr>
        <w:t>　</w:t>
      </w:r>
      <w:r>
        <w:rPr>
          <w:rFonts w:cs="宋体"/>
          <w:color w:val="auto"/>
          <w:highlight w:val="none"/>
          <w:lang w:eastAsia="zh-CN"/>
        </w:rPr>
        <w:t>总价子目的计量总价子目的分解和计量按照下述约定进行。</w:t>
      </w:r>
    </w:p>
    <w:p w14:paraId="66C88128">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）总价子目的计量和支付应以总价为基础，不因第</w:t>
      </w:r>
      <w:r>
        <w:rPr>
          <w:rFonts w:hAnsi="Times New Roman" w:cs="Times New Roman"/>
          <w:color w:val="auto"/>
          <w:highlight w:val="none"/>
          <w:lang w:eastAsia="zh-CN"/>
        </w:rPr>
        <w:t>16.1</w:t>
      </w:r>
      <w:r>
        <w:rPr>
          <w:rFonts w:cs="宋体"/>
          <w:color w:val="auto"/>
          <w:highlight w:val="none"/>
          <w:lang w:eastAsia="zh-CN"/>
        </w:rPr>
        <w:t>款中的因素而进行调整。承包人实际完成的工程量，是进行工程目标管理和控制进度支付的依据。</w:t>
      </w:r>
    </w:p>
    <w:p w14:paraId="71E8E552">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）承包人应按工程量清单的要求对总价子目进行分解，并在签订协议书后的</w:t>
      </w:r>
      <w:r>
        <w:rPr>
          <w:rFonts w:hAnsi="Times New Roman" w:cs="Times New Roman"/>
          <w:color w:val="auto"/>
          <w:highlight w:val="none"/>
          <w:lang w:eastAsia="zh-CN"/>
        </w:rPr>
        <w:t>28</w:t>
      </w:r>
      <w:r>
        <w:rPr>
          <w:rFonts w:cs="宋体"/>
          <w:color w:val="auto"/>
          <w:highlight w:val="none"/>
          <w:lang w:eastAsia="zh-CN"/>
        </w:rPr>
        <w:t>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1E1528B2">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）监理人对承包人提交的上述资料进行复核，以确定分阶段实际完成的工程量和工程形象目标。对其有异议的，可要求承包人按第</w:t>
      </w:r>
      <w:r>
        <w:rPr>
          <w:rFonts w:hAnsi="Times New Roman" w:cs="Times New Roman"/>
          <w:color w:val="auto"/>
          <w:highlight w:val="none"/>
          <w:lang w:eastAsia="zh-CN"/>
        </w:rPr>
        <w:t>8.2</w:t>
      </w:r>
      <w:r>
        <w:rPr>
          <w:rFonts w:cs="宋体"/>
          <w:color w:val="auto"/>
          <w:highlight w:val="none"/>
          <w:lang w:eastAsia="zh-CN"/>
        </w:rPr>
        <w:t>款约定进行共同复核和抽样复测。</w:t>
      </w:r>
    </w:p>
    <w:p w14:paraId="252C9212">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）除按照第</w:t>
      </w:r>
      <w:r>
        <w:rPr>
          <w:rFonts w:hAnsi="Times New Roman" w:cs="Times New Roman"/>
          <w:color w:val="auto"/>
          <w:highlight w:val="none"/>
          <w:lang w:eastAsia="zh-CN"/>
        </w:rPr>
        <w:t>15</w:t>
      </w:r>
      <w:r>
        <w:rPr>
          <w:rFonts w:cs="宋体"/>
          <w:color w:val="auto"/>
          <w:highlight w:val="none"/>
          <w:lang w:eastAsia="zh-CN"/>
        </w:rPr>
        <w:t>条约定的变更外，总价子目的工程量是承包人用于结算的最终工程量。</w:t>
      </w:r>
    </w:p>
    <w:p w14:paraId="208C9159">
      <w:pPr>
        <w:pStyle w:val="4"/>
        <w:kinsoku/>
        <w:spacing w:beforeLines="0" w:afterLines="0"/>
        <w:rPr>
          <w:rFonts w:hint="eastAsia" w:hAnsi="宋体" w:cs="宋体"/>
          <w:bCs/>
          <w:color w:val="auto"/>
          <w:szCs w:val="24"/>
          <w:highlight w:val="none"/>
          <w:lang w:eastAsia="zh-CN"/>
        </w:rPr>
      </w:pPr>
      <w:bookmarkStart w:id="1200" w:name="_Toc5075"/>
      <w:bookmarkStart w:id="1201" w:name="_Toc8077"/>
      <w:bookmarkStart w:id="1202" w:name="_Toc25244"/>
      <w:r>
        <w:rPr>
          <w:rFonts w:hint="eastAsia" w:hAnsi="宋体" w:cs="宋体"/>
          <w:b/>
          <w:bCs/>
          <w:color w:val="auto"/>
          <w:szCs w:val="24"/>
          <w:highlight w:val="none"/>
          <w:lang w:eastAsia="zh-CN"/>
        </w:rPr>
        <w:t>17.2</w:t>
      </w:r>
      <w:r>
        <w:rPr>
          <w:rFonts w:hint="eastAsia" w:cs="宋体"/>
          <w:b/>
          <w:bCs/>
          <w:color w:val="auto"/>
          <w:szCs w:val="24"/>
          <w:highlight w:val="none"/>
          <w:lang w:eastAsia="zh-CN"/>
        </w:rPr>
        <w:t>　</w:t>
      </w:r>
      <w:r>
        <w:rPr>
          <w:rFonts w:hint="eastAsia" w:hAnsi="宋体" w:cs="宋体"/>
          <w:b/>
          <w:bCs/>
          <w:color w:val="auto"/>
          <w:szCs w:val="24"/>
          <w:highlight w:val="none"/>
          <w:lang w:eastAsia="zh-CN"/>
        </w:rPr>
        <w:t>预付款</w:t>
      </w:r>
      <w:bookmarkEnd w:id="1200"/>
      <w:bookmarkEnd w:id="1201"/>
      <w:bookmarkEnd w:id="1202"/>
    </w:p>
    <w:p w14:paraId="7931A54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17.2.1</w:t>
      </w:r>
      <w:r>
        <w:rPr>
          <w:rFonts w:hint="eastAsia" w:hAnsi="Times New Roman" w:cs="Times New Roman"/>
          <w:b/>
          <w:bCs/>
          <w:color w:val="auto"/>
          <w:highlight w:val="none"/>
          <w:lang w:eastAsia="zh-CN"/>
        </w:rPr>
        <w:t>　</w:t>
      </w:r>
      <w:r>
        <w:rPr>
          <w:rFonts w:cs="宋体"/>
          <w:color w:val="auto"/>
          <w:highlight w:val="none"/>
          <w:lang w:eastAsia="zh-CN"/>
        </w:rPr>
        <w:t>预付款</w:t>
      </w:r>
    </w:p>
    <w:p w14:paraId="30A6BD65">
      <w:pPr>
        <w:kinsoku/>
        <w:ind w:firstLine="0"/>
        <w:rPr>
          <w:color w:val="auto"/>
          <w:highlight w:val="none"/>
          <w:lang w:eastAsia="zh-CN"/>
        </w:rPr>
      </w:pPr>
      <w:r>
        <w:rPr>
          <w:color w:val="auto"/>
          <w:highlight w:val="none"/>
          <w:lang w:eastAsia="zh-CN"/>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5ABAAD8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17.2.2</w:t>
      </w:r>
      <w:r>
        <w:rPr>
          <w:rFonts w:hint="eastAsia" w:hAnsi="Times New Roman" w:cs="Times New Roman"/>
          <w:b/>
          <w:bCs/>
          <w:color w:val="auto"/>
          <w:highlight w:val="none"/>
          <w:lang w:eastAsia="zh-CN"/>
        </w:rPr>
        <w:t>　</w:t>
      </w:r>
      <w:r>
        <w:rPr>
          <w:rFonts w:cs="宋体"/>
          <w:color w:val="auto"/>
          <w:highlight w:val="none"/>
          <w:lang w:eastAsia="zh-CN"/>
        </w:rPr>
        <w:t>预付款保函（担保）</w:t>
      </w:r>
    </w:p>
    <w:p w14:paraId="262C77A4">
      <w:pPr>
        <w:kinsoku/>
        <w:ind w:firstLine="0"/>
        <w:rPr>
          <w:rFonts w:cs="宋体"/>
          <w:color w:val="auto"/>
          <w:highlight w:val="none"/>
          <w:lang w:eastAsia="zh-CN"/>
        </w:rPr>
      </w:pPr>
      <w:r>
        <w:rPr>
          <w:rFonts w:cs="宋体"/>
          <w:color w:val="auto"/>
          <w:highlight w:val="none"/>
          <w:lang w:eastAsia="zh-CN"/>
        </w:rPr>
        <w:t>承包人无须向发包人提交预付款保函。发包人向承包人支付的预付款，按照本合同第</w:t>
      </w:r>
      <w:r>
        <w:rPr>
          <w:rFonts w:hAnsi="Times New Roman" w:cs="Times New Roman"/>
          <w:color w:val="auto"/>
          <w:highlight w:val="none"/>
          <w:lang w:eastAsia="zh-CN"/>
        </w:rPr>
        <w:t>17.2.1</w:t>
      </w:r>
      <w:r>
        <w:rPr>
          <w:rFonts w:cs="宋体"/>
          <w:color w:val="auto"/>
          <w:highlight w:val="none"/>
          <w:lang w:eastAsia="zh-CN"/>
        </w:rPr>
        <w:t>项规定使用，承包人提交的履约担保对预付款的正常使用承担保证责任。</w:t>
      </w:r>
    </w:p>
    <w:p w14:paraId="0106171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17.2.3</w:t>
      </w:r>
      <w:r>
        <w:rPr>
          <w:rFonts w:hint="eastAsia" w:hAnsi="Times New Roman" w:cs="Times New Roman"/>
          <w:b/>
          <w:bCs/>
          <w:color w:val="auto"/>
          <w:highlight w:val="none"/>
          <w:lang w:eastAsia="zh-CN"/>
        </w:rPr>
        <w:t>　</w:t>
      </w:r>
      <w:r>
        <w:rPr>
          <w:rFonts w:cs="宋体"/>
          <w:color w:val="auto"/>
          <w:highlight w:val="none"/>
          <w:lang w:eastAsia="zh-CN"/>
        </w:rPr>
        <w:t>预付款的扣回与还清</w:t>
      </w:r>
    </w:p>
    <w:p w14:paraId="7240FCA0">
      <w:pPr>
        <w:kinsoku/>
        <w:ind w:firstLine="0"/>
        <w:rPr>
          <w:color w:val="auto"/>
          <w:highlight w:val="none"/>
          <w:lang w:eastAsia="zh-CN"/>
        </w:rPr>
      </w:pPr>
      <w:r>
        <w:rPr>
          <w:color w:val="auto"/>
          <w:highlight w:val="none"/>
          <w:lang w:eastAsia="zh-CN"/>
        </w:rPr>
        <w:t>预付款在进度付款中扣回，扣回与还清办法在专用合同条款中约定。在颁发合同工程完工证书前，由于不可抗力或其它原因解除合同时，预付款尚未扣清的，尚未扣清的预付款余额应作为承包人的到期应付款。</w:t>
      </w:r>
    </w:p>
    <w:p w14:paraId="2967B6AC">
      <w:pPr>
        <w:pStyle w:val="4"/>
        <w:kinsoku/>
        <w:spacing w:beforeLines="0" w:afterLines="0"/>
        <w:rPr>
          <w:rFonts w:hint="eastAsia" w:hAnsi="宋体" w:cs="宋体"/>
          <w:bCs/>
          <w:color w:val="auto"/>
          <w:szCs w:val="24"/>
          <w:highlight w:val="none"/>
          <w:lang w:eastAsia="zh-CN"/>
        </w:rPr>
      </w:pPr>
      <w:bookmarkStart w:id="1203" w:name="_Toc21029"/>
      <w:bookmarkStart w:id="1204" w:name="_Toc5954"/>
      <w:bookmarkStart w:id="1205" w:name="_Toc3096"/>
      <w:r>
        <w:rPr>
          <w:rFonts w:hint="eastAsia" w:hAnsi="宋体" w:cs="宋体"/>
          <w:b/>
          <w:bCs/>
          <w:color w:val="auto"/>
          <w:szCs w:val="24"/>
          <w:highlight w:val="none"/>
          <w:lang w:eastAsia="zh-CN"/>
        </w:rPr>
        <w:t>17.3</w:t>
      </w:r>
      <w:r>
        <w:rPr>
          <w:rFonts w:hint="eastAsia" w:cs="宋体"/>
          <w:b/>
          <w:bCs/>
          <w:color w:val="auto"/>
          <w:szCs w:val="24"/>
          <w:highlight w:val="none"/>
          <w:lang w:eastAsia="zh-CN"/>
        </w:rPr>
        <w:t>　</w:t>
      </w:r>
      <w:r>
        <w:rPr>
          <w:rFonts w:hint="eastAsia" w:hAnsi="宋体" w:cs="宋体"/>
          <w:b/>
          <w:bCs/>
          <w:color w:val="auto"/>
          <w:szCs w:val="24"/>
          <w:highlight w:val="none"/>
          <w:lang w:eastAsia="zh-CN"/>
        </w:rPr>
        <w:t>工程进度付款</w:t>
      </w:r>
      <w:bookmarkEnd w:id="1203"/>
      <w:bookmarkEnd w:id="1204"/>
      <w:bookmarkEnd w:id="1205"/>
    </w:p>
    <w:p w14:paraId="4DC497D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17.3.1</w:t>
      </w:r>
      <w:r>
        <w:rPr>
          <w:rFonts w:hint="eastAsia" w:hAnsi="Times New Roman" w:cs="Times New Roman"/>
          <w:b/>
          <w:bCs/>
          <w:color w:val="auto"/>
          <w:highlight w:val="none"/>
          <w:lang w:eastAsia="zh-CN"/>
        </w:rPr>
        <w:t>　</w:t>
      </w:r>
      <w:r>
        <w:rPr>
          <w:rFonts w:cs="宋体"/>
          <w:color w:val="auto"/>
          <w:highlight w:val="none"/>
          <w:lang w:eastAsia="zh-CN"/>
        </w:rPr>
        <w:t>付款周期</w:t>
      </w:r>
    </w:p>
    <w:p w14:paraId="52786C4C">
      <w:pPr>
        <w:kinsoku/>
        <w:ind w:firstLine="0"/>
        <w:rPr>
          <w:color w:val="auto"/>
          <w:highlight w:val="none"/>
          <w:lang w:eastAsia="zh-CN"/>
        </w:rPr>
      </w:pPr>
      <w:r>
        <w:rPr>
          <w:color w:val="auto"/>
          <w:highlight w:val="none"/>
          <w:lang w:eastAsia="zh-CN"/>
        </w:rPr>
        <w:t>付款周期同计量周期。</w:t>
      </w:r>
    </w:p>
    <w:p w14:paraId="29C4821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17.3.2</w:t>
      </w:r>
      <w:r>
        <w:rPr>
          <w:rFonts w:hint="eastAsia" w:hAnsi="Times New Roman" w:cs="Times New Roman"/>
          <w:b/>
          <w:bCs/>
          <w:color w:val="auto"/>
          <w:highlight w:val="none"/>
          <w:lang w:eastAsia="zh-CN"/>
        </w:rPr>
        <w:t>　</w:t>
      </w:r>
      <w:r>
        <w:rPr>
          <w:rFonts w:cs="宋体"/>
          <w:color w:val="auto"/>
          <w:highlight w:val="none"/>
          <w:lang w:eastAsia="zh-CN"/>
        </w:rPr>
        <w:t>进度付款申请单</w:t>
      </w:r>
    </w:p>
    <w:p w14:paraId="7CDD6CCE">
      <w:pPr>
        <w:kinsoku/>
        <w:ind w:firstLine="0"/>
        <w:rPr>
          <w:color w:val="auto"/>
          <w:highlight w:val="none"/>
          <w:lang w:eastAsia="zh-CN"/>
        </w:rPr>
      </w:pPr>
      <w:r>
        <w:rPr>
          <w:color w:val="auto"/>
          <w:highlight w:val="none"/>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04C127D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）截至本次付款周期末已实施工程的价款。</w:t>
      </w:r>
    </w:p>
    <w:p w14:paraId="4192A57E">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）根据第</w:t>
      </w:r>
      <w:r>
        <w:rPr>
          <w:rFonts w:hAnsi="Times New Roman" w:cs="Times New Roman"/>
          <w:color w:val="auto"/>
          <w:highlight w:val="none"/>
          <w:lang w:eastAsia="zh-CN"/>
        </w:rPr>
        <w:t>15</w:t>
      </w:r>
      <w:r>
        <w:rPr>
          <w:rFonts w:cs="宋体"/>
          <w:color w:val="auto"/>
          <w:highlight w:val="none"/>
          <w:lang w:eastAsia="zh-CN"/>
        </w:rPr>
        <w:t>条应增加和扣减的变更金额。</w:t>
      </w:r>
    </w:p>
    <w:p w14:paraId="209B9A11">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）根据第</w:t>
      </w:r>
      <w:r>
        <w:rPr>
          <w:rFonts w:hAnsi="Times New Roman" w:cs="Times New Roman"/>
          <w:color w:val="auto"/>
          <w:highlight w:val="none"/>
          <w:lang w:eastAsia="zh-CN"/>
        </w:rPr>
        <w:t>23</w:t>
      </w:r>
      <w:r>
        <w:rPr>
          <w:rFonts w:cs="宋体"/>
          <w:color w:val="auto"/>
          <w:highlight w:val="none"/>
          <w:lang w:eastAsia="zh-CN"/>
        </w:rPr>
        <w:t>条应增加和扣减的索赔金额。</w:t>
      </w:r>
    </w:p>
    <w:p w14:paraId="43EA99AF">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）根据第</w:t>
      </w:r>
      <w:r>
        <w:rPr>
          <w:rFonts w:hAnsi="Times New Roman" w:cs="Times New Roman"/>
          <w:color w:val="auto"/>
          <w:highlight w:val="none"/>
          <w:lang w:eastAsia="zh-CN"/>
        </w:rPr>
        <w:t>17.2</w:t>
      </w:r>
      <w:r>
        <w:rPr>
          <w:rFonts w:cs="宋体"/>
          <w:color w:val="auto"/>
          <w:highlight w:val="none"/>
          <w:lang w:eastAsia="zh-CN"/>
        </w:rPr>
        <w:t>款约定应支付的预付款和扣减的返还预付款。</w:t>
      </w:r>
    </w:p>
    <w:p w14:paraId="69F188EF">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）根据合同应增加和扣减的其他金额。</w:t>
      </w:r>
    </w:p>
    <w:p w14:paraId="6D094C1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17.3.3</w:t>
      </w:r>
      <w:r>
        <w:rPr>
          <w:rFonts w:hint="eastAsia" w:hAnsi="Times New Roman" w:cs="Times New Roman"/>
          <w:b/>
          <w:bCs/>
          <w:color w:val="auto"/>
          <w:highlight w:val="none"/>
          <w:lang w:eastAsia="zh-CN"/>
        </w:rPr>
        <w:t>　</w:t>
      </w:r>
      <w:r>
        <w:rPr>
          <w:rFonts w:cs="宋体"/>
          <w:color w:val="auto"/>
          <w:highlight w:val="none"/>
          <w:lang w:eastAsia="zh-CN"/>
        </w:rPr>
        <w:t>进度付款证书和支付时间</w:t>
      </w:r>
    </w:p>
    <w:p w14:paraId="7E65FEF0">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）监理人在收到承包人进度付款申请单以及相应的支持性证明文件后的</w:t>
      </w:r>
      <w:r>
        <w:rPr>
          <w:rFonts w:hAnsi="Times New Roman" w:cs="Times New Roman"/>
          <w:color w:val="auto"/>
          <w:highlight w:val="none"/>
          <w:lang w:eastAsia="zh-CN"/>
        </w:rPr>
        <w:t>14</w:t>
      </w:r>
      <w:r>
        <w:rPr>
          <w:rFonts w:cs="宋体"/>
          <w:color w:val="auto"/>
          <w:highlight w:val="none"/>
          <w:lang w:eastAsia="zh-CN"/>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F17885F">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）发包人应在监理人收到进度付款</w:t>
      </w:r>
      <w:r>
        <w:rPr>
          <w:rFonts w:hint="eastAsia" w:cs="宋体"/>
          <w:color w:val="auto"/>
          <w:highlight w:val="none"/>
          <w:lang w:eastAsia="zh-CN"/>
        </w:rPr>
        <w:t>申请单</w:t>
      </w:r>
      <w:r>
        <w:rPr>
          <w:rFonts w:cs="宋体"/>
          <w:color w:val="auto"/>
          <w:highlight w:val="none"/>
          <w:lang w:eastAsia="zh-CN"/>
        </w:rPr>
        <w:t>后的</w:t>
      </w:r>
      <w:r>
        <w:rPr>
          <w:rFonts w:hAnsi="Times New Roman" w:cs="Times New Roman"/>
          <w:color w:val="auto"/>
          <w:highlight w:val="none"/>
          <w:lang w:eastAsia="zh-CN"/>
        </w:rPr>
        <w:t>28</w:t>
      </w:r>
      <w:r>
        <w:rPr>
          <w:rFonts w:cs="宋体"/>
          <w:color w:val="auto"/>
          <w:highlight w:val="none"/>
          <w:lang w:eastAsia="zh-CN"/>
        </w:rPr>
        <w:t>天内，将进度应付款支付给承包人。发包人不按期支付的，按专用合同条款的约定支付逾期付款违约金。</w:t>
      </w:r>
    </w:p>
    <w:p w14:paraId="1BB2C090">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）监理人出具进度付款证书，不应视为监理人已同意、批准或接受了承包人完成的该部分工作。</w:t>
      </w:r>
    </w:p>
    <w:p w14:paraId="3F05CCF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）进度付款涉及政府投资资金的，按照国库集中支付等国家相关规定和专用合同条款的约定办理。</w:t>
      </w:r>
    </w:p>
    <w:p w14:paraId="68A7A2F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17.3.4</w:t>
      </w:r>
      <w:r>
        <w:rPr>
          <w:rFonts w:hint="eastAsia" w:hAnsi="Times New Roman" w:cs="Times New Roman"/>
          <w:b/>
          <w:bCs/>
          <w:color w:val="auto"/>
          <w:highlight w:val="none"/>
          <w:lang w:eastAsia="zh-CN"/>
        </w:rPr>
        <w:t>　</w:t>
      </w:r>
      <w:r>
        <w:rPr>
          <w:rFonts w:cs="宋体"/>
          <w:color w:val="auto"/>
          <w:highlight w:val="none"/>
          <w:lang w:eastAsia="zh-CN"/>
        </w:rPr>
        <w:t>工程进度付款的修正</w:t>
      </w:r>
    </w:p>
    <w:p w14:paraId="6DF740AD">
      <w:pPr>
        <w:kinsoku/>
        <w:ind w:firstLine="0"/>
        <w:rPr>
          <w:color w:val="auto"/>
          <w:highlight w:val="none"/>
          <w:lang w:eastAsia="zh-CN"/>
        </w:rPr>
      </w:pPr>
      <w:r>
        <w:rPr>
          <w:color w:val="auto"/>
          <w:highlight w:val="none"/>
          <w:lang w:eastAsia="zh-CN"/>
        </w:rPr>
        <w:t>在对以往历次已签发的进度付款证书进行汇总和复核中发现错、漏或重复的，监理人有权予以修正，承包人也有权提出修正申请。经双方复核同意的修正，应在本次进度付款中支付或扣除。</w:t>
      </w:r>
    </w:p>
    <w:p w14:paraId="38619A3B">
      <w:pPr>
        <w:pStyle w:val="4"/>
        <w:kinsoku/>
        <w:spacing w:beforeLines="0" w:afterLines="0"/>
        <w:rPr>
          <w:rFonts w:hint="eastAsia" w:hAnsi="宋体" w:cs="宋体"/>
          <w:bCs/>
          <w:color w:val="auto"/>
          <w:szCs w:val="24"/>
          <w:highlight w:val="none"/>
          <w:lang w:eastAsia="zh-CN"/>
        </w:rPr>
      </w:pPr>
      <w:bookmarkStart w:id="1206" w:name="_Toc21774"/>
      <w:bookmarkStart w:id="1207" w:name="_Toc25845"/>
      <w:bookmarkStart w:id="1208" w:name="_Toc17306"/>
      <w:r>
        <w:rPr>
          <w:rFonts w:hint="eastAsia" w:hAnsi="宋体" w:cs="宋体"/>
          <w:b/>
          <w:bCs/>
          <w:color w:val="auto"/>
          <w:szCs w:val="24"/>
          <w:highlight w:val="none"/>
          <w:lang w:eastAsia="zh-CN"/>
        </w:rPr>
        <w:t>17.4</w:t>
      </w:r>
      <w:r>
        <w:rPr>
          <w:rFonts w:hint="eastAsia" w:cs="宋体"/>
          <w:b/>
          <w:bCs/>
          <w:color w:val="auto"/>
          <w:szCs w:val="24"/>
          <w:highlight w:val="none"/>
          <w:lang w:eastAsia="zh-CN"/>
        </w:rPr>
        <w:t>　</w:t>
      </w:r>
      <w:r>
        <w:rPr>
          <w:rFonts w:hint="eastAsia" w:hAnsi="宋体" w:cs="宋体"/>
          <w:b/>
          <w:bCs/>
          <w:color w:val="auto"/>
          <w:szCs w:val="24"/>
          <w:highlight w:val="none"/>
          <w:lang w:eastAsia="zh-CN"/>
        </w:rPr>
        <w:t>质量保证金</w:t>
      </w:r>
      <w:bookmarkEnd w:id="1206"/>
      <w:bookmarkEnd w:id="1207"/>
      <w:bookmarkEnd w:id="1208"/>
    </w:p>
    <w:p w14:paraId="2BBF771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17.4.1</w:t>
      </w:r>
      <w:r>
        <w:rPr>
          <w:rFonts w:hint="eastAsia" w:hAnsi="Times New Roman" w:cs="Times New Roman"/>
          <w:b/>
          <w:bCs/>
          <w:color w:val="auto"/>
          <w:highlight w:val="none"/>
          <w:lang w:eastAsia="zh-CN"/>
        </w:rPr>
        <w:t>　</w:t>
      </w:r>
      <w:r>
        <w:rPr>
          <w:rFonts w:cs="宋体"/>
          <w:color w:val="auto"/>
          <w:highlight w:val="none"/>
          <w:lang w:eastAsia="zh-CN"/>
        </w:rPr>
        <w:t>质量保证金总额在专用合同条款中约定，在合同工程完工结算时扣留，工程进度付款时不另行扣留。发包人在扣留质量保证金时，应同时将履约担保退还给承包人。承包人可采用等额工程保函（包括银行保函、保险机构保证保险保单和融资担保公司保函）换取质量保证金，办理保函所需的费用由承包人承担。</w:t>
      </w:r>
    </w:p>
    <w:p w14:paraId="2A84072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17.4.2</w:t>
      </w:r>
      <w:r>
        <w:rPr>
          <w:rFonts w:hint="eastAsia" w:hAnsi="Times New Roman" w:cs="Times New Roman"/>
          <w:b/>
          <w:bCs/>
          <w:color w:val="auto"/>
          <w:highlight w:val="none"/>
          <w:lang w:eastAsia="zh-CN"/>
        </w:rPr>
        <w:t>　</w:t>
      </w:r>
      <w:r>
        <w:rPr>
          <w:rFonts w:cs="宋体"/>
          <w:color w:val="auto"/>
          <w:highlight w:val="none"/>
          <w:lang w:eastAsia="zh-CN"/>
        </w:rPr>
        <w:t>在第</w:t>
      </w:r>
      <w:r>
        <w:rPr>
          <w:color w:val="auto"/>
          <w:highlight w:val="none"/>
        </w:rPr>
        <w:fldChar w:fldCharType="begin"/>
      </w:r>
      <w:r>
        <w:rPr>
          <w:color w:val="auto"/>
          <w:highlight w:val="none"/>
          <w:lang w:eastAsia="zh-CN"/>
        </w:rPr>
        <w:instrText xml:space="preserve">HYPERLINK "1.1.4.5"</w:instrText>
      </w:r>
      <w:r>
        <w:rPr>
          <w:color w:val="auto"/>
          <w:highlight w:val="none"/>
        </w:rPr>
        <w:fldChar w:fldCharType="separate"/>
      </w:r>
      <w:r>
        <w:rPr>
          <w:rFonts w:hAnsi="Times New Roman" w:cs="Times New Roman"/>
          <w:color w:val="auto"/>
          <w:highlight w:val="none"/>
          <w:lang w:eastAsia="zh-CN"/>
        </w:rPr>
        <w:t>1.1.4.5</w:t>
      </w:r>
      <w:r>
        <w:rPr>
          <w:color w:val="auto"/>
          <w:highlight w:val="none"/>
        </w:rPr>
        <w:fldChar w:fldCharType="end"/>
      </w:r>
      <w:r>
        <w:rPr>
          <w:rFonts w:cs="宋体"/>
          <w:color w:val="auto"/>
          <w:highlight w:val="none"/>
          <w:lang w:eastAsia="zh-CN"/>
        </w:rPr>
        <w:t>目约定的缺陷责任期（工程质量保修期）满时，发包人将在</w:t>
      </w:r>
      <w:r>
        <w:rPr>
          <w:rFonts w:hAnsi="Times New Roman" w:cs="Times New Roman"/>
          <w:color w:val="auto"/>
          <w:highlight w:val="none"/>
          <w:lang w:eastAsia="zh-CN"/>
        </w:rPr>
        <w:t>30</w:t>
      </w:r>
      <w:r>
        <w:rPr>
          <w:rFonts w:cs="宋体"/>
          <w:color w:val="auto"/>
          <w:highlight w:val="none"/>
          <w:lang w:eastAsia="zh-CN"/>
        </w:rPr>
        <w:t>个工作日内会同承包人按照合同约定的内容核实承包人是否完成保修责任。如无异议，发包人应当在核实后将剩余的质量保证金支付给承包人。</w:t>
      </w:r>
    </w:p>
    <w:p w14:paraId="6901E18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17.4.3</w:t>
      </w:r>
      <w:r>
        <w:rPr>
          <w:rFonts w:hint="eastAsia" w:hAnsi="Times New Roman" w:cs="Times New Roman"/>
          <w:b/>
          <w:bCs/>
          <w:color w:val="auto"/>
          <w:highlight w:val="none"/>
          <w:lang w:eastAsia="zh-CN"/>
        </w:rPr>
        <w:t>　</w:t>
      </w:r>
      <w:r>
        <w:rPr>
          <w:rFonts w:cs="宋体"/>
          <w:color w:val="auto"/>
          <w:highlight w:val="none"/>
          <w:lang w:eastAsia="zh-CN"/>
        </w:rPr>
        <w:t>在第</w:t>
      </w:r>
      <w:r>
        <w:rPr>
          <w:rFonts w:hAnsi="Arial"/>
          <w:color w:val="auto"/>
          <w:highlight w:val="none"/>
        </w:rPr>
        <w:fldChar w:fldCharType="begin"/>
      </w:r>
      <w:r>
        <w:rPr>
          <w:color w:val="auto"/>
          <w:highlight w:val="none"/>
          <w:lang w:eastAsia="zh-CN"/>
        </w:rPr>
        <w:instrText xml:space="preserve"> HYPERLINK "1.1.4.5" </w:instrText>
      </w:r>
      <w:r>
        <w:rPr>
          <w:rFonts w:hAnsi="Arial"/>
          <w:color w:val="auto"/>
          <w:highlight w:val="none"/>
        </w:rPr>
        <w:fldChar w:fldCharType="separate"/>
      </w:r>
      <w:r>
        <w:rPr>
          <w:rFonts w:hAnsi="Times New Roman" w:cs="Times New Roman"/>
          <w:color w:val="auto"/>
          <w:highlight w:val="none"/>
          <w:lang w:eastAsia="zh-CN"/>
        </w:rPr>
        <w:t>1.1.4.5</w:t>
      </w:r>
      <w:r>
        <w:rPr>
          <w:rFonts w:hAnsi="Times New Roman" w:cs="Times New Roman"/>
          <w:color w:val="auto"/>
          <w:highlight w:val="none"/>
        </w:rPr>
        <w:fldChar w:fldCharType="end"/>
      </w:r>
      <w:r>
        <w:rPr>
          <w:rFonts w:cs="宋体"/>
          <w:color w:val="auto"/>
          <w:highlight w:val="none"/>
          <w:lang w:eastAsia="zh-CN"/>
        </w:rPr>
        <w:t>目约定的缺陷责任期满时，承包人没有完成缺陷责任的，发包人有权扣留与未履行责任剩余工作所需金额相应的质量保证金余额，并有权根据第</w:t>
      </w:r>
    </w:p>
    <w:p w14:paraId="11F17163">
      <w:pPr>
        <w:kinsoku/>
        <w:spacing w:beforeLines="0" w:afterLines="0"/>
        <w:ind w:firstLine="0" w:firstLineChars="0"/>
        <w:jc w:val="left"/>
        <w:rPr>
          <w:rFonts w:cs="宋体"/>
          <w:color w:val="auto"/>
          <w:highlight w:val="none"/>
          <w:lang w:eastAsia="zh-CN"/>
        </w:rPr>
      </w:pPr>
      <w:r>
        <w:rPr>
          <w:rFonts w:hAnsi="Times New Roman" w:cs="Times New Roman"/>
          <w:color w:val="auto"/>
          <w:highlight w:val="none"/>
          <w:lang w:eastAsia="zh-CN"/>
        </w:rPr>
        <w:t>19.3</w:t>
      </w:r>
      <w:r>
        <w:rPr>
          <w:rFonts w:cs="宋体"/>
          <w:color w:val="auto"/>
          <w:highlight w:val="none"/>
          <w:lang w:eastAsia="zh-CN"/>
        </w:rPr>
        <w:t>款约定要求延长缺陷责任期，直至完成剩余工作为止。</w:t>
      </w:r>
    </w:p>
    <w:p w14:paraId="595A9CAC">
      <w:pPr>
        <w:pStyle w:val="4"/>
        <w:kinsoku/>
        <w:spacing w:beforeLines="0" w:afterLines="0"/>
        <w:rPr>
          <w:rFonts w:hint="eastAsia" w:hAnsi="宋体" w:cs="宋体"/>
          <w:bCs/>
          <w:color w:val="auto"/>
          <w:szCs w:val="24"/>
          <w:highlight w:val="none"/>
          <w:lang w:eastAsia="zh-CN"/>
        </w:rPr>
      </w:pPr>
      <w:bookmarkStart w:id="1209" w:name="_Toc32288"/>
      <w:bookmarkStart w:id="1210" w:name="_Toc22689"/>
      <w:bookmarkStart w:id="1211" w:name="_Toc31705"/>
      <w:r>
        <w:rPr>
          <w:rFonts w:hint="eastAsia" w:hAnsi="宋体" w:cs="宋体"/>
          <w:b/>
          <w:bCs/>
          <w:color w:val="auto"/>
          <w:szCs w:val="24"/>
          <w:highlight w:val="none"/>
          <w:lang w:eastAsia="zh-CN"/>
        </w:rPr>
        <w:t>17.5</w:t>
      </w:r>
      <w:r>
        <w:rPr>
          <w:rFonts w:hint="eastAsia" w:cs="宋体"/>
          <w:b/>
          <w:bCs/>
          <w:color w:val="auto"/>
          <w:szCs w:val="24"/>
          <w:highlight w:val="none"/>
          <w:lang w:eastAsia="zh-CN"/>
        </w:rPr>
        <w:t>　</w:t>
      </w:r>
      <w:r>
        <w:rPr>
          <w:rFonts w:hint="eastAsia" w:hAnsi="宋体" w:cs="宋体"/>
          <w:b/>
          <w:bCs/>
          <w:color w:val="auto"/>
          <w:szCs w:val="24"/>
          <w:highlight w:val="none"/>
          <w:lang w:eastAsia="zh-CN"/>
        </w:rPr>
        <w:t>完工结算</w:t>
      </w:r>
      <w:bookmarkEnd w:id="1209"/>
      <w:bookmarkEnd w:id="1210"/>
      <w:bookmarkEnd w:id="1211"/>
    </w:p>
    <w:p w14:paraId="3833A30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17.5.1</w:t>
      </w:r>
      <w:r>
        <w:rPr>
          <w:rFonts w:hint="eastAsia" w:hAnsi="Times New Roman" w:cs="Times New Roman"/>
          <w:b/>
          <w:bCs/>
          <w:color w:val="auto"/>
          <w:highlight w:val="none"/>
          <w:lang w:eastAsia="zh-CN"/>
        </w:rPr>
        <w:t>　</w:t>
      </w:r>
      <w:r>
        <w:rPr>
          <w:rFonts w:cs="宋体"/>
          <w:color w:val="auto"/>
          <w:highlight w:val="none"/>
          <w:lang w:eastAsia="zh-CN"/>
        </w:rPr>
        <w:t>完工付款申请单</w:t>
      </w:r>
    </w:p>
    <w:p w14:paraId="25BD36C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）承包人应在合同工程完工证书颁发后</w:t>
      </w:r>
      <w:r>
        <w:rPr>
          <w:rFonts w:hAnsi="Times New Roman" w:cs="Times New Roman"/>
          <w:color w:val="auto"/>
          <w:highlight w:val="none"/>
          <w:lang w:eastAsia="zh-CN"/>
        </w:rPr>
        <w:t>28</w:t>
      </w:r>
      <w:r>
        <w:rPr>
          <w:rFonts w:cs="宋体"/>
          <w:color w:val="auto"/>
          <w:highlight w:val="none"/>
          <w:lang w:eastAsia="zh-CN"/>
        </w:rPr>
        <w:t>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220A0F0F">
      <w:pPr>
        <w:kinsoku/>
        <w:ind w:firstLine="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）监理人对完工付款申请单有异议的，有权要求承包人进行修正和提供补充资料。经监理人和承包人协商后，由承包人向监理人提交修正后的完工付款申请单。</w:t>
      </w:r>
    </w:p>
    <w:p w14:paraId="6555227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17.5.2</w:t>
      </w:r>
      <w:r>
        <w:rPr>
          <w:rFonts w:hint="eastAsia" w:hAnsi="Times New Roman" w:cs="Times New Roman"/>
          <w:b/>
          <w:bCs/>
          <w:color w:val="auto"/>
          <w:highlight w:val="none"/>
          <w:lang w:eastAsia="zh-CN"/>
        </w:rPr>
        <w:t>　</w:t>
      </w:r>
      <w:r>
        <w:rPr>
          <w:rFonts w:cs="宋体"/>
          <w:color w:val="auto"/>
          <w:highlight w:val="none"/>
          <w:lang w:eastAsia="zh-CN"/>
        </w:rPr>
        <w:t>完工付款证书及支付时间</w:t>
      </w:r>
    </w:p>
    <w:p w14:paraId="417A6D0C">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）监理人在收到承包人提交的完工付款申请单后的</w:t>
      </w:r>
      <w:r>
        <w:rPr>
          <w:rFonts w:hAnsi="Times New Roman" w:cs="Times New Roman"/>
          <w:color w:val="auto"/>
          <w:highlight w:val="none"/>
          <w:lang w:eastAsia="zh-CN"/>
        </w:rPr>
        <w:t>14</w:t>
      </w:r>
      <w:r>
        <w:rPr>
          <w:rFonts w:cs="宋体"/>
          <w:color w:val="auto"/>
          <w:highlight w:val="none"/>
          <w:lang w:eastAsia="zh-CN"/>
        </w:rPr>
        <w:t>天内完成核查，提出发包人到期应支付给承包人的价款送发包人审核并抄送承包人。发包人应在收到后</w:t>
      </w:r>
      <w:r>
        <w:rPr>
          <w:rFonts w:hAnsi="Times New Roman" w:cs="Times New Roman"/>
          <w:color w:val="auto"/>
          <w:highlight w:val="none"/>
          <w:lang w:eastAsia="zh-CN"/>
        </w:rPr>
        <w:t>14</w:t>
      </w:r>
      <w:r>
        <w:rPr>
          <w:rFonts w:cs="宋体"/>
          <w:color w:val="auto"/>
          <w:highlight w:val="none"/>
          <w:lang w:eastAsia="zh-CN"/>
        </w:rPr>
        <w:t>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17BBD6B3">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）发包人应在监理人出具完工付款证书后的</w:t>
      </w:r>
      <w:r>
        <w:rPr>
          <w:rFonts w:hAnsi="Times New Roman" w:cs="Times New Roman"/>
          <w:color w:val="auto"/>
          <w:highlight w:val="none"/>
          <w:lang w:eastAsia="zh-CN"/>
        </w:rPr>
        <w:t>14</w:t>
      </w:r>
      <w:r>
        <w:rPr>
          <w:rFonts w:cs="宋体"/>
          <w:color w:val="auto"/>
          <w:highlight w:val="none"/>
          <w:lang w:eastAsia="zh-CN"/>
        </w:rPr>
        <w:t>天内，将应支付款支付给承包人。发包人不按期支付的，按第</w:t>
      </w:r>
      <w:r>
        <w:rPr>
          <w:rFonts w:hAnsi="Times New Roman" w:cs="Times New Roman"/>
          <w:color w:val="auto"/>
          <w:highlight w:val="none"/>
          <w:lang w:eastAsia="zh-CN"/>
        </w:rPr>
        <w:t>17.3.3</w:t>
      </w: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）目的约定，将逾期付款违约金支付给承包人。</w:t>
      </w:r>
    </w:p>
    <w:p w14:paraId="3B43E59B">
      <w:pPr>
        <w:kinsoku/>
        <w:ind w:firstLine="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）承包人对发包人签认的完工付款证书有异议的，发包人可出具完工付款申请单中承包人已同意部分的临时付款证书。存在争议的部分，按第</w:t>
      </w:r>
      <w:r>
        <w:rPr>
          <w:rFonts w:hAnsi="Times New Roman" w:cs="Times New Roman"/>
          <w:color w:val="auto"/>
          <w:highlight w:val="none"/>
          <w:lang w:eastAsia="zh-CN"/>
        </w:rPr>
        <w:t>24</w:t>
      </w:r>
      <w:r>
        <w:rPr>
          <w:rFonts w:cs="宋体"/>
          <w:color w:val="auto"/>
          <w:highlight w:val="none"/>
          <w:lang w:eastAsia="zh-CN"/>
        </w:rPr>
        <w:t>条的约定办理。</w:t>
      </w:r>
    </w:p>
    <w:p w14:paraId="6C96B2B7">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）完工付款涉及政府投资资金的，按第</w:t>
      </w:r>
      <w:r>
        <w:rPr>
          <w:rFonts w:hAnsi="Times New Roman" w:cs="Times New Roman"/>
          <w:color w:val="auto"/>
          <w:highlight w:val="none"/>
          <w:lang w:eastAsia="zh-CN"/>
        </w:rPr>
        <w:t>17.3.3</w:t>
      </w: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）目的约定办理。</w:t>
      </w:r>
    </w:p>
    <w:p w14:paraId="623D5609">
      <w:pPr>
        <w:pStyle w:val="4"/>
        <w:kinsoku/>
        <w:spacing w:beforeLines="0" w:afterLines="0"/>
        <w:rPr>
          <w:rFonts w:hint="eastAsia" w:hAnsi="宋体" w:cs="宋体"/>
          <w:bCs/>
          <w:color w:val="auto"/>
          <w:szCs w:val="24"/>
          <w:highlight w:val="none"/>
          <w:lang w:eastAsia="zh-CN"/>
        </w:rPr>
      </w:pPr>
      <w:bookmarkStart w:id="1212" w:name="_Toc25104"/>
      <w:bookmarkStart w:id="1213" w:name="_Toc30969"/>
      <w:bookmarkStart w:id="1214" w:name="_Toc19619"/>
      <w:r>
        <w:rPr>
          <w:rFonts w:hint="eastAsia" w:hAnsi="宋体" w:cs="宋体"/>
          <w:b/>
          <w:bCs/>
          <w:color w:val="auto"/>
          <w:szCs w:val="24"/>
          <w:highlight w:val="none"/>
          <w:lang w:eastAsia="zh-CN"/>
        </w:rPr>
        <w:t>17.6</w:t>
      </w:r>
      <w:r>
        <w:rPr>
          <w:rFonts w:hint="eastAsia" w:cs="宋体"/>
          <w:b/>
          <w:bCs/>
          <w:color w:val="auto"/>
          <w:szCs w:val="24"/>
          <w:highlight w:val="none"/>
          <w:lang w:eastAsia="zh-CN"/>
        </w:rPr>
        <w:t>　</w:t>
      </w:r>
      <w:r>
        <w:rPr>
          <w:rFonts w:hint="eastAsia" w:hAnsi="宋体" w:cs="宋体"/>
          <w:b/>
          <w:bCs/>
          <w:color w:val="auto"/>
          <w:szCs w:val="24"/>
          <w:highlight w:val="none"/>
          <w:lang w:eastAsia="zh-CN"/>
        </w:rPr>
        <w:t>最终结清</w:t>
      </w:r>
      <w:bookmarkEnd w:id="1212"/>
      <w:bookmarkEnd w:id="1213"/>
      <w:bookmarkEnd w:id="1214"/>
    </w:p>
    <w:p w14:paraId="11482B7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17.6.1</w:t>
      </w:r>
      <w:r>
        <w:rPr>
          <w:rFonts w:hint="eastAsia" w:hAnsi="Times New Roman" w:cs="Times New Roman"/>
          <w:b/>
          <w:bCs/>
          <w:color w:val="auto"/>
          <w:highlight w:val="none"/>
          <w:lang w:eastAsia="zh-CN"/>
        </w:rPr>
        <w:t>　</w:t>
      </w:r>
      <w:r>
        <w:rPr>
          <w:rFonts w:cs="宋体"/>
          <w:color w:val="auto"/>
          <w:highlight w:val="none"/>
          <w:lang w:eastAsia="zh-CN"/>
        </w:rPr>
        <w:t>最终结清申请单</w:t>
      </w:r>
    </w:p>
    <w:p w14:paraId="6F7A62CE">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）工程质量保修责任终止证书签发后，承包人应按监理人批准的格式提交最终结清申请单。提交最终结清申请单的份数在专用合同条款中约定。</w:t>
      </w:r>
    </w:p>
    <w:p w14:paraId="2B3190F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）发包人对最终结清申请单内容有异议的，有权要求承包人进行修正和提供补充资料，由承包人向监理人提交修正后的最终结清申请单。</w:t>
      </w:r>
    </w:p>
    <w:p w14:paraId="3746864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17.6.2</w:t>
      </w:r>
      <w:r>
        <w:rPr>
          <w:rFonts w:hint="eastAsia" w:hAnsi="Times New Roman" w:cs="Times New Roman"/>
          <w:b/>
          <w:bCs/>
          <w:color w:val="auto"/>
          <w:highlight w:val="none"/>
          <w:lang w:eastAsia="zh-CN"/>
        </w:rPr>
        <w:t>　</w:t>
      </w:r>
      <w:r>
        <w:rPr>
          <w:rFonts w:cs="宋体"/>
          <w:color w:val="auto"/>
          <w:highlight w:val="none"/>
          <w:lang w:eastAsia="zh-CN"/>
        </w:rPr>
        <w:t>最终结清证书和支付时间</w:t>
      </w:r>
    </w:p>
    <w:p w14:paraId="6373DE18">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）监理人收到承包人提交的最终结清申请单后的</w:t>
      </w:r>
      <w:r>
        <w:rPr>
          <w:rFonts w:hAnsi="Times New Roman" w:cs="Times New Roman"/>
          <w:color w:val="auto"/>
          <w:highlight w:val="none"/>
          <w:lang w:eastAsia="zh-CN"/>
        </w:rPr>
        <w:t>14</w:t>
      </w:r>
      <w:r>
        <w:rPr>
          <w:rFonts w:cs="宋体"/>
          <w:color w:val="auto"/>
          <w:highlight w:val="none"/>
          <w:lang w:eastAsia="zh-CN"/>
        </w:rPr>
        <w:t>天内，提出发包人应支付给承包人的价款送发包人审核并抄送承包人。发包人应在收到后</w:t>
      </w:r>
      <w:r>
        <w:rPr>
          <w:rFonts w:hAnsi="Times New Roman" w:cs="Times New Roman"/>
          <w:color w:val="auto"/>
          <w:highlight w:val="none"/>
          <w:lang w:eastAsia="zh-CN"/>
        </w:rPr>
        <w:t>14</w:t>
      </w:r>
      <w:r>
        <w:rPr>
          <w:rFonts w:cs="宋体"/>
          <w:color w:val="auto"/>
          <w:highlight w:val="none"/>
          <w:lang w:eastAsia="zh-CN"/>
        </w:rPr>
        <w:t>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53388FCE">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）发包人应在监理人出具最终结清证书后的</w:t>
      </w:r>
      <w:r>
        <w:rPr>
          <w:rFonts w:hAnsi="Times New Roman" w:cs="Times New Roman"/>
          <w:color w:val="auto"/>
          <w:highlight w:val="none"/>
          <w:lang w:eastAsia="zh-CN"/>
        </w:rPr>
        <w:t>14</w:t>
      </w:r>
      <w:r>
        <w:rPr>
          <w:rFonts w:cs="宋体"/>
          <w:color w:val="auto"/>
          <w:highlight w:val="none"/>
          <w:lang w:eastAsia="zh-CN"/>
        </w:rPr>
        <w:t>天内，将应支付款支付给承包人。发包人不按期支付的，按第</w:t>
      </w:r>
      <w:r>
        <w:rPr>
          <w:rFonts w:hAnsi="Times New Roman" w:cs="Times New Roman"/>
          <w:color w:val="auto"/>
          <w:highlight w:val="none"/>
          <w:lang w:eastAsia="zh-CN"/>
        </w:rPr>
        <w:t>17.3.3</w:t>
      </w: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）目的约定，将逾期付款违约金支付给承包人。</w:t>
      </w:r>
    </w:p>
    <w:p w14:paraId="35A86A45">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）承包人对发包人签认的最终结清证书有异议的，按第</w:t>
      </w:r>
      <w:r>
        <w:rPr>
          <w:rFonts w:hAnsi="Times New Roman" w:cs="Times New Roman"/>
          <w:color w:val="auto"/>
          <w:highlight w:val="none"/>
          <w:lang w:eastAsia="zh-CN"/>
        </w:rPr>
        <w:t>24</w:t>
      </w:r>
      <w:r>
        <w:rPr>
          <w:rFonts w:cs="宋体"/>
          <w:color w:val="auto"/>
          <w:highlight w:val="none"/>
          <w:lang w:eastAsia="zh-CN"/>
        </w:rPr>
        <w:t>条的约定办理。</w:t>
      </w:r>
    </w:p>
    <w:p w14:paraId="3D32F21D">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）最终结清付款涉及政府投资资金的，按第</w:t>
      </w:r>
      <w:r>
        <w:rPr>
          <w:rFonts w:hAnsi="Times New Roman" w:cs="Times New Roman"/>
          <w:color w:val="auto"/>
          <w:highlight w:val="none"/>
          <w:lang w:eastAsia="zh-CN"/>
        </w:rPr>
        <w:t>17.3.3</w:t>
      </w: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）目的约定办理。</w:t>
      </w:r>
    </w:p>
    <w:p w14:paraId="57DE11D3">
      <w:pPr>
        <w:pStyle w:val="4"/>
        <w:kinsoku/>
        <w:spacing w:beforeLines="0" w:afterLines="0"/>
        <w:rPr>
          <w:rFonts w:hint="eastAsia" w:hAnsi="宋体" w:cs="宋体"/>
          <w:bCs/>
          <w:color w:val="auto"/>
          <w:szCs w:val="24"/>
          <w:highlight w:val="none"/>
          <w:lang w:eastAsia="zh-CN"/>
        </w:rPr>
      </w:pPr>
      <w:bookmarkStart w:id="1215" w:name="_Toc17701"/>
      <w:bookmarkStart w:id="1216" w:name="_Toc27705"/>
      <w:bookmarkStart w:id="1217" w:name="_Toc26318"/>
      <w:r>
        <w:rPr>
          <w:rFonts w:hint="eastAsia" w:hAnsi="宋体" w:cs="宋体"/>
          <w:b/>
          <w:bCs/>
          <w:color w:val="auto"/>
          <w:szCs w:val="24"/>
          <w:highlight w:val="none"/>
          <w:lang w:eastAsia="zh-CN"/>
        </w:rPr>
        <w:t>17.7</w:t>
      </w:r>
      <w:r>
        <w:rPr>
          <w:rFonts w:hint="eastAsia" w:cs="宋体"/>
          <w:b/>
          <w:bCs/>
          <w:color w:val="auto"/>
          <w:szCs w:val="24"/>
          <w:highlight w:val="none"/>
          <w:lang w:eastAsia="zh-CN"/>
        </w:rPr>
        <w:t>　</w:t>
      </w:r>
      <w:r>
        <w:rPr>
          <w:rFonts w:hint="eastAsia" w:hAnsi="宋体" w:cs="宋体"/>
          <w:b/>
          <w:bCs/>
          <w:color w:val="auto"/>
          <w:szCs w:val="24"/>
          <w:highlight w:val="none"/>
          <w:lang w:eastAsia="zh-CN"/>
        </w:rPr>
        <w:t>竣工财务决算</w:t>
      </w:r>
      <w:bookmarkEnd w:id="1215"/>
      <w:bookmarkEnd w:id="1216"/>
      <w:bookmarkEnd w:id="1217"/>
    </w:p>
    <w:p w14:paraId="040CDE41">
      <w:pPr>
        <w:kinsoku/>
        <w:ind w:firstLine="0"/>
        <w:rPr>
          <w:color w:val="auto"/>
          <w:highlight w:val="none"/>
          <w:lang w:eastAsia="zh-CN"/>
        </w:rPr>
      </w:pPr>
      <w:r>
        <w:rPr>
          <w:color w:val="auto"/>
          <w:highlight w:val="none"/>
          <w:lang w:eastAsia="zh-CN"/>
        </w:rPr>
        <w:t>发包人负责编制本工程项目竣工财务决算，承包人应按专用合同条款的约定提供竣工财务决算编制所需的相关材料。</w:t>
      </w:r>
    </w:p>
    <w:p w14:paraId="74B1F2E7">
      <w:pPr>
        <w:pStyle w:val="4"/>
        <w:kinsoku/>
        <w:spacing w:beforeLines="0" w:afterLines="0"/>
        <w:rPr>
          <w:rFonts w:hint="eastAsia" w:hAnsi="宋体" w:cs="宋体"/>
          <w:bCs/>
          <w:color w:val="auto"/>
          <w:szCs w:val="24"/>
          <w:highlight w:val="none"/>
          <w:lang w:eastAsia="zh-CN"/>
        </w:rPr>
      </w:pPr>
      <w:bookmarkStart w:id="1218" w:name="_Toc6525"/>
      <w:bookmarkStart w:id="1219" w:name="_Toc11750"/>
      <w:bookmarkStart w:id="1220" w:name="_Toc21224"/>
      <w:r>
        <w:rPr>
          <w:rFonts w:hint="eastAsia" w:hAnsi="宋体" w:cs="宋体"/>
          <w:b/>
          <w:bCs/>
          <w:color w:val="auto"/>
          <w:szCs w:val="24"/>
          <w:highlight w:val="none"/>
          <w:lang w:eastAsia="zh-CN"/>
        </w:rPr>
        <w:t>17.8</w:t>
      </w:r>
      <w:r>
        <w:rPr>
          <w:rFonts w:hint="eastAsia" w:cs="宋体"/>
          <w:b/>
          <w:bCs/>
          <w:color w:val="auto"/>
          <w:szCs w:val="24"/>
          <w:highlight w:val="none"/>
          <w:lang w:eastAsia="zh-CN"/>
        </w:rPr>
        <w:t>　</w:t>
      </w:r>
      <w:r>
        <w:rPr>
          <w:rFonts w:hint="eastAsia" w:hAnsi="宋体" w:cs="宋体"/>
          <w:b/>
          <w:bCs/>
          <w:color w:val="auto"/>
          <w:szCs w:val="24"/>
          <w:highlight w:val="none"/>
          <w:lang w:eastAsia="zh-CN"/>
        </w:rPr>
        <w:t>竣工审计</w:t>
      </w:r>
      <w:bookmarkEnd w:id="1218"/>
      <w:bookmarkEnd w:id="1219"/>
      <w:bookmarkEnd w:id="1220"/>
    </w:p>
    <w:p w14:paraId="5CAB0C6C">
      <w:pPr>
        <w:kinsoku/>
        <w:ind w:firstLine="0"/>
        <w:rPr>
          <w:color w:val="auto"/>
          <w:highlight w:val="none"/>
          <w:lang w:eastAsia="zh-CN"/>
        </w:rPr>
      </w:pPr>
      <w:r>
        <w:rPr>
          <w:color w:val="auto"/>
          <w:highlight w:val="none"/>
          <w:lang w:eastAsia="zh-CN"/>
        </w:rPr>
        <w:t>发包人负责完成本工程竣工审计手续，承包人应完成相关配合工作。</w:t>
      </w:r>
    </w:p>
    <w:p w14:paraId="730213A8">
      <w:pPr>
        <w:pStyle w:val="3"/>
        <w:kinsoku/>
        <w:spacing w:before="0" w:beforeLines="0" w:afterLines="0" w:line="360" w:lineRule="auto"/>
        <w:outlineLvl w:val="1"/>
        <w:rPr>
          <w:rFonts w:hint="eastAsia" w:ascii="宋体" w:cs="宋体"/>
          <w:color w:val="auto"/>
          <w:sz w:val="30"/>
          <w:szCs w:val="30"/>
          <w:highlight w:val="none"/>
        </w:rPr>
      </w:pPr>
      <w:bookmarkStart w:id="1221" w:name="_Toc23111"/>
      <w:bookmarkStart w:id="1222" w:name="_Toc28118"/>
      <w:bookmarkStart w:id="1223" w:name="_Toc28488"/>
      <w:bookmarkStart w:id="1224" w:name="_Toc7289"/>
      <w:bookmarkStart w:id="1225" w:name="_Toc17045"/>
      <w:bookmarkStart w:id="1226" w:name="_Toc21466"/>
      <w:bookmarkStart w:id="1227" w:name="_Toc9723"/>
      <w:bookmarkStart w:id="1228" w:name="_Toc32704"/>
      <w:bookmarkStart w:id="1229" w:name="_Toc6541"/>
      <w:bookmarkStart w:id="1230" w:name="_Toc27098"/>
      <w:bookmarkStart w:id="1231" w:name="_Toc27261"/>
      <w:bookmarkStart w:id="1232" w:name="_Toc21575"/>
      <w:bookmarkStart w:id="1233" w:name="_Toc5425"/>
      <w:bookmarkStart w:id="1234" w:name="_Toc5420"/>
      <w:r>
        <w:rPr>
          <w:rFonts w:hint="eastAsia" w:ascii="宋体" w:cs="宋体"/>
          <w:color w:val="auto"/>
          <w:sz w:val="30"/>
          <w:szCs w:val="30"/>
          <w:highlight w:val="none"/>
        </w:rPr>
        <w:t>18</w:t>
      </w:r>
      <w:r>
        <w:rPr>
          <w:rFonts w:hint="eastAsia" w:cs="宋体"/>
          <w:color w:val="auto"/>
          <w:sz w:val="30"/>
          <w:szCs w:val="30"/>
          <w:highlight w:val="none"/>
          <w:lang w:eastAsia="zh-CN"/>
        </w:rPr>
        <w:t>　</w:t>
      </w:r>
      <w:r>
        <w:rPr>
          <w:rFonts w:hint="eastAsia" w:ascii="宋体" w:cs="宋体"/>
          <w:color w:val="auto"/>
          <w:sz w:val="30"/>
          <w:szCs w:val="30"/>
          <w:highlight w:val="none"/>
        </w:rPr>
        <w:t>工程验收</w:t>
      </w:r>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p w14:paraId="46A6E4F8">
      <w:pPr>
        <w:pStyle w:val="4"/>
        <w:kinsoku/>
        <w:spacing w:beforeLines="0" w:afterLines="0"/>
        <w:rPr>
          <w:rFonts w:hint="eastAsia" w:hAnsi="宋体" w:cs="宋体"/>
          <w:bCs/>
          <w:color w:val="auto"/>
          <w:szCs w:val="24"/>
          <w:highlight w:val="none"/>
          <w:lang w:eastAsia="zh-CN"/>
        </w:rPr>
      </w:pPr>
      <w:bookmarkStart w:id="1235" w:name="_Toc30466"/>
      <w:bookmarkStart w:id="1236" w:name="_Toc28797"/>
      <w:bookmarkStart w:id="1237" w:name="_Toc19924"/>
      <w:r>
        <w:rPr>
          <w:rFonts w:hint="eastAsia" w:hAnsi="宋体" w:cs="宋体"/>
          <w:b/>
          <w:bCs/>
          <w:color w:val="auto"/>
          <w:szCs w:val="24"/>
          <w:highlight w:val="none"/>
          <w:lang w:eastAsia="zh-CN"/>
        </w:rPr>
        <w:t>18.1</w:t>
      </w:r>
      <w:r>
        <w:rPr>
          <w:rFonts w:hint="eastAsia" w:cs="宋体"/>
          <w:b/>
          <w:bCs/>
          <w:color w:val="auto"/>
          <w:szCs w:val="24"/>
          <w:highlight w:val="none"/>
          <w:lang w:eastAsia="zh-CN"/>
        </w:rPr>
        <w:t>　</w:t>
      </w:r>
      <w:r>
        <w:rPr>
          <w:rFonts w:hint="eastAsia" w:hAnsi="宋体" w:cs="宋体"/>
          <w:b/>
          <w:bCs/>
          <w:color w:val="auto"/>
          <w:szCs w:val="24"/>
          <w:highlight w:val="none"/>
          <w:lang w:eastAsia="zh-CN"/>
        </w:rPr>
        <w:t>验收工作分类</w:t>
      </w:r>
      <w:bookmarkEnd w:id="1235"/>
      <w:bookmarkEnd w:id="1236"/>
      <w:bookmarkEnd w:id="1237"/>
    </w:p>
    <w:p w14:paraId="6189F3B7">
      <w:pPr>
        <w:kinsoku/>
        <w:ind w:firstLine="0"/>
        <w:rPr>
          <w:color w:val="auto"/>
          <w:highlight w:val="none"/>
          <w:lang w:eastAsia="zh-CN"/>
        </w:rPr>
      </w:pPr>
      <w:r>
        <w:rPr>
          <w:color w:val="auto"/>
          <w:highlight w:val="none"/>
          <w:lang w:eastAsia="zh-CN"/>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051FA231">
      <w:pPr>
        <w:pStyle w:val="4"/>
        <w:kinsoku/>
        <w:spacing w:beforeLines="0" w:afterLines="0"/>
        <w:rPr>
          <w:rFonts w:hint="eastAsia" w:hAnsi="宋体" w:cs="宋体"/>
          <w:bCs/>
          <w:color w:val="auto"/>
          <w:szCs w:val="24"/>
          <w:highlight w:val="none"/>
          <w:lang w:eastAsia="zh-CN"/>
        </w:rPr>
      </w:pPr>
      <w:bookmarkStart w:id="1238" w:name="_Toc22026"/>
      <w:bookmarkStart w:id="1239" w:name="_Toc1765"/>
      <w:bookmarkStart w:id="1240" w:name="_Toc11300"/>
      <w:r>
        <w:rPr>
          <w:rFonts w:hint="eastAsia" w:hAnsi="宋体" w:cs="宋体"/>
          <w:b/>
          <w:bCs/>
          <w:color w:val="auto"/>
          <w:szCs w:val="24"/>
          <w:highlight w:val="none"/>
          <w:lang w:eastAsia="zh-CN"/>
        </w:rPr>
        <w:t>18.2</w:t>
      </w:r>
      <w:r>
        <w:rPr>
          <w:rFonts w:hint="eastAsia" w:cs="宋体"/>
          <w:b/>
          <w:bCs/>
          <w:color w:val="auto"/>
          <w:szCs w:val="24"/>
          <w:highlight w:val="none"/>
          <w:lang w:eastAsia="zh-CN"/>
        </w:rPr>
        <w:t>　</w:t>
      </w:r>
      <w:r>
        <w:rPr>
          <w:rFonts w:hint="eastAsia" w:hAnsi="宋体" w:cs="宋体"/>
          <w:b/>
          <w:bCs/>
          <w:color w:val="auto"/>
          <w:szCs w:val="24"/>
          <w:highlight w:val="none"/>
          <w:lang w:eastAsia="zh-CN"/>
        </w:rPr>
        <w:t>分部工程验收</w:t>
      </w:r>
      <w:bookmarkEnd w:id="1238"/>
      <w:bookmarkEnd w:id="1239"/>
      <w:bookmarkEnd w:id="1240"/>
    </w:p>
    <w:p w14:paraId="61CBC99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18.2.1</w:t>
      </w:r>
      <w:r>
        <w:rPr>
          <w:rFonts w:hint="eastAsia" w:hAnsi="Times New Roman" w:cs="Times New Roman"/>
          <w:b/>
          <w:bCs/>
          <w:color w:val="auto"/>
          <w:highlight w:val="none"/>
          <w:lang w:eastAsia="zh-CN"/>
        </w:rPr>
        <w:t>　</w:t>
      </w:r>
      <w:r>
        <w:rPr>
          <w:rFonts w:cs="宋体"/>
          <w:color w:val="auto"/>
          <w:highlight w:val="none"/>
          <w:lang w:eastAsia="zh-CN"/>
        </w:rPr>
        <w:t>分部工程具备验收条件时，承包人应向发包人提交验收申请报告，发包人应在收到验收申请报告之日起</w:t>
      </w:r>
      <w:r>
        <w:rPr>
          <w:rFonts w:hAnsi="Times New Roman" w:cs="Times New Roman"/>
          <w:color w:val="auto"/>
          <w:highlight w:val="none"/>
          <w:lang w:eastAsia="zh-CN"/>
        </w:rPr>
        <w:t>10</w:t>
      </w:r>
      <w:r>
        <w:rPr>
          <w:rFonts w:cs="宋体"/>
          <w:color w:val="auto"/>
          <w:highlight w:val="none"/>
          <w:lang w:eastAsia="zh-CN"/>
        </w:rPr>
        <w:t>个工作日内决定是否同意进行验收。</w:t>
      </w:r>
    </w:p>
    <w:p w14:paraId="35B88D1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18.2.2</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除专用合同条款另有约定外，监理人主持分部工程验收，承包人应派符合条件的代表参加验收工作组。</w:t>
      </w:r>
    </w:p>
    <w:p w14:paraId="373B833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18.2.3</w:t>
      </w:r>
      <w:r>
        <w:rPr>
          <w:rFonts w:hint="eastAsia" w:hAnsi="Times New Roman" w:cs="Times New Roman"/>
          <w:b/>
          <w:bCs/>
          <w:color w:val="auto"/>
          <w:highlight w:val="none"/>
          <w:lang w:eastAsia="zh-CN"/>
        </w:rPr>
        <w:t>　</w:t>
      </w:r>
      <w:r>
        <w:rPr>
          <w:rFonts w:cs="宋体"/>
          <w:color w:val="auto"/>
          <w:highlight w:val="none"/>
          <w:lang w:eastAsia="zh-CN"/>
        </w:rPr>
        <w:t>分部工程验收通过后，发包人向承包人发送分部工程验收鉴定书。承包人应及时完成分部工程验收鉴定书载明应由承包人处理的遗留问题。</w:t>
      </w:r>
    </w:p>
    <w:p w14:paraId="5C7F2599">
      <w:pPr>
        <w:pStyle w:val="4"/>
        <w:kinsoku/>
        <w:spacing w:beforeLines="0" w:afterLines="0"/>
        <w:rPr>
          <w:rFonts w:hint="eastAsia" w:hAnsi="宋体" w:cs="宋体"/>
          <w:bCs/>
          <w:color w:val="auto"/>
          <w:szCs w:val="24"/>
          <w:highlight w:val="none"/>
          <w:lang w:eastAsia="zh-CN"/>
        </w:rPr>
      </w:pPr>
      <w:bookmarkStart w:id="1241" w:name="_Toc9800"/>
      <w:bookmarkStart w:id="1242" w:name="_Toc28171"/>
      <w:bookmarkStart w:id="1243" w:name="_Toc26917"/>
      <w:r>
        <w:rPr>
          <w:rFonts w:hint="eastAsia" w:hAnsi="宋体" w:cs="宋体"/>
          <w:b/>
          <w:bCs/>
          <w:color w:val="auto"/>
          <w:szCs w:val="24"/>
          <w:highlight w:val="none"/>
          <w:lang w:eastAsia="zh-CN"/>
        </w:rPr>
        <w:t>18.3</w:t>
      </w:r>
      <w:r>
        <w:rPr>
          <w:rFonts w:hint="eastAsia" w:cs="宋体"/>
          <w:b/>
          <w:bCs/>
          <w:color w:val="auto"/>
          <w:szCs w:val="24"/>
          <w:highlight w:val="none"/>
          <w:lang w:eastAsia="zh-CN"/>
        </w:rPr>
        <w:t>　</w:t>
      </w:r>
      <w:r>
        <w:rPr>
          <w:rFonts w:hint="eastAsia" w:hAnsi="宋体" w:cs="宋体"/>
          <w:b/>
          <w:bCs/>
          <w:color w:val="auto"/>
          <w:szCs w:val="24"/>
          <w:highlight w:val="none"/>
          <w:lang w:eastAsia="zh-CN"/>
        </w:rPr>
        <w:t>单位工程验收</w:t>
      </w:r>
      <w:bookmarkEnd w:id="1241"/>
      <w:bookmarkEnd w:id="1242"/>
      <w:bookmarkEnd w:id="1243"/>
    </w:p>
    <w:p w14:paraId="565C9EB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18.3.1</w:t>
      </w:r>
      <w:r>
        <w:rPr>
          <w:rFonts w:hint="eastAsia" w:hAnsi="Times New Roman" w:cs="Times New Roman"/>
          <w:b/>
          <w:bCs/>
          <w:color w:val="auto"/>
          <w:highlight w:val="none"/>
          <w:lang w:eastAsia="zh-CN"/>
        </w:rPr>
        <w:t>　</w:t>
      </w:r>
      <w:r>
        <w:rPr>
          <w:rFonts w:cs="宋体"/>
          <w:color w:val="auto"/>
          <w:highlight w:val="none"/>
          <w:lang w:eastAsia="zh-CN"/>
        </w:rPr>
        <w:t>单位工程具备验收条件时，承包人应向发包人提交验收申请报告，发包人应在收到验收申请报告之日起</w:t>
      </w:r>
      <w:r>
        <w:rPr>
          <w:rFonts w:hAnsi="Times New Roman" w:cs="Times New Roman"/>
          <w:color w:val="auto"/>
          <w:highlight w:val="none"/>
          <w:lang w:eastAsia="zh-CN"/>
        </w:rPr>
        <w:t>10</w:t>
      </w:r>
      <w:r>
        <w:rPr>
          <w:rFonts w:cs="宋体"/>
          <w:color w:val="auto"/>
          <w:highlight w:val="none"/>
          <w:lang w:eastAsia="zh-CN"/>
        </w:rPr>
        <w:t>个工作日内决定是否同意进行验收。</w:t>
      </w:r>
    </w:p>
    <w:p w14:paraId="57F3F16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18.3.2</w:t>
      </w:r>
      <w:r>
        <w:rPr>
          <w:rFonts w:hint="eastAsia" w:hAnsi="Times New Roman" w:cs="Times New Roman"/>
          <w:b/>
          <w:bCs/>
          <w:color w:val="auto"/>
          <w:highlight w:val="none"/>
          <w:lang w:eastAsia="zh-CN"/>
        </w:rPr>
        <w:t>　</w:t>
      </w:r>
      <w:r>
        <w:rPr>
          <w:rFonts w:cs="宋体"/>
          <w:color w:val="auto"/>
          <w:highlight w:val="none"/>
          <w:lang w:eastAsia="zh-CN"/>
        </w:rPr>
        <w:t>发包人主持单位工程验收，承包人应派符合条件的代表参加验收工作组。</w:t>
      </w:r>
    </w:p>
    <w:p w14:paraId="2B58D10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18.3.3</w:t>
      </w:r>
      <w:r>
        <w:rPr>
          <w:rFonts w:hint="eastAsia" w:hAnsi="Times New Roman" w:cs="Times New Roman"/>
          <w:b/>
          <w:bCs/>
          <w:color w:val="auto"/>
          <w:highlight w:val="none"/>
          <w:lang w:eastAsia="zh-CN"/>
        </w:rPr>
        <w:t>　</w:t>
      </w:r>
      <w:r>
        <w:rPr>
          <w:rFonts w:cs="宋体"/>
          <w:color w:val="auto"/>
          <w:highlight w:val="none"/>
          <w:lang w:eastAsia="zh-CN"/>
        </w:rPr>
        <w:t>单位工程验收通过后，发包人向承包人发送单位工程验收鉴定书。承包人应及时完成单位工程验收鉴定书载明应由承包人处理的遗留问题。</w:t>
      </w:r>
    </w:p>
    <w:p w14:paraId="7E5A7DC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18.3.4</w:t>
      </w:r>
      <w:r>
        <w:rPr>
          <w:rFonts w:hint="eastAsia" w:hAnsi="Times New Roman" w:cs="Times New Roman"/>
          <w:b/>
          <w:bCs/>
          <w:color w:val="auto"/>
          <w:highlight w:val="none"/>
          <w:lang w:eastAsia="zh-CN"/>
        </w:rPr>
        <w:t>　</w:t>
      </w:r>
      <w:r>
        <w:rPr>
          <w:rFonts w:cs="宋体"/>
          <w:color w:val="auto"/>
          <w:highlight w:val="none"/>
          <w:lang w:eastAsia="zh-CN"/>
        </w:rPr>
        <w:t>需提前投入使用的单位工程在专用合同条款中明确。</w:t>
      </w:r>
    </w:p>
    <w:p w14:paraId="100347A0">
      <w:pPr>
        <w:pStyle w:val="4"/>
        <w:kinsoku/>
        <w:spacing w:beforeLines="0" w:afterLines="0"/>
        <w:rPr>
          <w:rFonts w:hint="eastAsia" w:hAnsi="宋体" w:cs="宋体"/>
          <w:bCs/>
          <w:color w:val="auto"/>
          <w:szCs w:val="24"/>
          <w:highlight w:val="none"/>
          <w:lang w:eastAsia="zh-CN"/>
        </w:rPr>
      </w:pPr>
      <w:bookmarkStart w:id="1244" w:name="_Toc32651"/>
      <w:bookmarkStart w:id="1245" w:name="_Toc11424"/>
      <w:bookmarkStart w:id="1246" w:name="_Toc2244"/>
      <w:r>
        <w:rPr>
          <w:rFonts w:hint="eastAsia" w:hAnsi="宋体" w:cs="宋体"/>
          <w:b/>
          <w:bCs/>
          <w:color w:val="auto"/>
          <w:szCs w:val="24"/>
          <w:highlight w:val="none"/>
          <w:lang w:eastAsia="zh-CN"/>
        </w:rPr>
        <w:t>18.4</w:t>
      </w:r>
      <w:r>
        <w:rPr>
          <w:rFonts w:hint="eastAsia" w:cs="宋体"/>
          <w:b/>
          <w:bCs/>
          <w:color w:val="auto"/>
          <w:szCs w:val="24"/>
          <w:highlight w:val="none"/>
          <w:lang w:eastAsia="zh-CN"/>
        </w:rPr>
        <w:t>　</w:t>
      </w:r>
      <w:r>
        <w:rPr>
          <w:rFonts w:hint="eastAsia" w:hAnsi="宋体" w:cs="宋体"/>
          <w:b/>
          <w:bCs/>
          <w:color w:val="auto"/>
          <w:szCs w:val="24"/>
          <w:highlight w:val="none"/>
          <w:lang w:eastAsia="zh-CN"/>
        </w:rPr>
        <w:t>合同工程完工验收</w:t>
      </w:r>
      <w:bookmarkEnd w:id="1244"/>
      <w:bookmarkEnd w:id="1245"/>
      <w:bookmarkEnd w:id="1246"/>
    </w:p>
    <w:p w14:paraId="6557828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18.4.1</w:t>
      </w:r>
      <w:r>
        <w:rPr>
          <w:rFonts w:hint="eastAsia" w:hAnsi="Times New Roman" w:cs="Times New Roman"/>
          <w:b/>
          <w:bCs/>
          <w:color w:val="auto"/>
          <w:highlight w:val="none"/>
          <w:lang w:eastAsia="zh-CN"/>
        </w:rPr>
        <w:t>　</w:t>
      </w:r>
      <w:r>
        <w:rPr>
          <w:rFonts w:cs="宋体"/>
          <w:color w:val="auto"/>
          <w:highlight w:val="none"/>
          <w:lang w:eastAsia="zh-CN"/>
        </w:rPr>
        <w:t>合同工程具备验收条件时，承包人应向发包人提交验收申请报告，发包人应在收到验收申请报告之日起</w:t>
      </w:r>
      <w:r>
        <w:rPr>
          <w:rFonts w:hAnsi="Times New Roman" w:cs="Times New Roman"/>
          <w:color w:val="auto"/>
          <w:highlight w:val="none"/>
          <w:lang w:eastAsia="zh-CN"/>
        </w:rPr>
        <w:t>20</w:t>
      </w:r>
      <w:r>
        <w:rPr>
          <w:rFonts w:cs="宋体"/>
          <w:color w:val="auto"/>
          <w:highlight w:val="none"/>
          <w:lang w:eastAsia="zh-CN"/>
        </w:rPr>
        <w:t>个工作日内决定是否同意进行验收。</w:t>
      </w:r>
    </w:p>
    <w:p w14:paraId="3C2F320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18.4.2</w:t>
      </w:r>
      <w:r>
        <w:rPr>
          <w:rFonts w:hint="eastAsia" w:hAnsi="Times New Roman" w:cs="Times New Roman"/>
          <w:b/>
          <w:bCs/>
          <w:color w:val="auto"/>
          <w:highlight w:val="none"/>
          <w:lang w:eastAsia="zh-CN"/>
        </w:rPr>
        <w:t>　</w:t>
      </w:r>
      <w:r>
        <w:rPr>
          <w:rFonts w:cs="宋体"/>
          <w:color w:val="auto"/>
          <w:highlight w:val="none"/>
          <w:lang w:eastAsia="zh-CN"/>
        </w:rPr>
        <w:t>发包人主持合同工程完工验收，承包人应派代表参加验收工作组。</w:t>
      </w:r>
    </w:p>
    <w:p w14:paraId="3B20741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18.4.3</w:t>
      </w:r>
      <w:r>
        <w:rPr>
          <w:rFonts w:hint="eastAsia" w:hAnsi="Times New Roman" w:cs="Times New Roman"/>
          <w:b/>
          <w:bCs/>
          <w:color w:val="auto"/>
          <w:highlight w:val="none"/>
          <w:lang w:eastAsia="zh-CN"/>
        </w:rPr>
        <w:t>　</w:t>
      </w:r>
      <w:r>
        <w:rPr>
          <w:rFonts w:cs="宋体"/>
          <w:color w:val="auto"/>
          <w:highlight w:val="none"/>
          <w:lang w:eastAsia="zh-CN"/>
        </w:rPr>
        <w:t>合同工程完工验收通过后，发包人向承包人发送合同工程完工验收鉴定书。承包人应及时完成合同工程完工验收鉴定书载明应由承包人处理的遗留问题。</w:t>
      </w:r>
    </w:p>
    <w:p w14:paraId="231CF36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18.4.4</w:t>
      </w:r>
      <w:r>
        <w:rPr>
          <w:rFonts w:hint="eastAsia" w:hAnsi="Times New Roman" w:cs="Times New Roman"/>
          <w:b/>
          <w:bCs/>
          <w:color w:val="auto"/>
          <w:highlight w:val="none"/>
          <w:lang w:eastAsia="zh-CN"/>
        </w:rPr>
        <w:t>　</w:t>
      </w:r>
      <w:r>
        <w:rPr>
          <w:rFonts w:cs="宋体"/>
          <w:color w:val="auto"/>
          <w:highlight w:val="none"/>
          <w:lang w:eastAsia="zh-CN"/>
        </w:rPr>
        <w:t>合同工程完工验收通过后，发包人与承包人应在</w:t>
      </w:r>
      <w:r>
        <w:rPr>
          <w:rFonts w:hAnsi="Times New Roman" w:cs="Times New Roman"/>
          <w:color w:val="auto"/>
          <w:highlight w:val="none"/>
          <w:lang w:eastAsia="zh-CN"/>
        </w:rPr>
        <w:t>30</w:t>
      </w:r>
      <w:r>
        <w:rPr>
          <w:rFonts w:cs="宋体"/>
          <w:color w:val="auto"/>
          <w:highlight w:val="none"/>
          <w:lang w:eastAsia="zh-CN"/>
        </w:rPr>
        <w:t>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rFonts w:hAnsi="Times New Roman" w:cs="Times New Roman"/>
          <w:color w:val="auto"/>
          <w:highlight w:val="none"/>
          <w:lang w:eastAsia="zh-CN"/>
        </w:rPr>
        <w:t>30</w:t>
      </w:r>
      <w:r>
        <w:rPr>
          <w:rFonts w:cs="宋体"/>
          <w:color w:val="auto"/>
          <w:highlight w:val="none"/>
          <w:lang w:eastAsia="zh-CN"/>
        </w:rPr>
        <w:t>个工作日内向承包人颁发合同工程完工证书。</w:t>
      </w:r>
    </w:p>
    <w:p w14:paraId="60A7FF9C">
      <w:pPr>
        <w:pStyle w:val="4"/>
        <w:kinsoku/>
        <w:spacing w:beforeLines="0" w:afterLines="0"/>
        <w:rPr>
          <w:rFonts w:hint="eastAsia" w:hAnsi="宋体" w:cs="宋体"/>
          <w:bCs/>
          <w:color w:val="auto"/>
          <w:szCs w:val="24"/>
          <w:highlight w:val="none"/>
          <w:lang w:eastAsia="zh-CN"/>
        </w:rPr>
      </w:pPr>
      <w:bookmarkStart w:id="1247" w:name="_Toc9737"/>
      <w:bookmarkStart w:id="1248" w:name="_Toc944"/>
      <w:bookmarkStart w:id="1249" w:name="_Toc15409"/>
      <w:r>
        <w:rPr>
          <w:rFonts w:hint="eastAsia" w:hAnsi="宋体" w:cs="宋体"/>
          <w:b/>
          <w:bCs/>
          <w:color w:val="auto"/>
          <w:szCs w:val="24"/>
          <w:highlight w:val="none"/>
          <w:lang w:eastAsia="zh-CN"/>
        </w:rPr>
        <w:t>18.5</w:t>
      </w:r>
      <w:r>
        <w:rPr>
          <w:rFonts w:hint="eastAsia" w:cs="宋体"/>
          <w:b/>
          <w:bCs/>
          <w:color w:val="auto"/>
          <w:szCs w:val="24"/>
          <w:highlight w:val="none"/>
          <w:lang w:eastAsia="zh-CN"/>
        </w:rPr>
        <w:t>　</w:t>
      </w:r>
      <w:r>
        <w:rPr>
          <w:rFonts w:hint="eastAsia" w:hAnsi="宋体" w:cs="宋体"/>
          <w:b/>
          <w:bCs/>
          <w:color w:val="auto"/>
          <w:szCs w:val="24"/>
          <w:highlight w:val="none"/>
          <w:lang w:eastAsia="zh-CN"/>
        </w:rPr>
        <w:t>阶段验收</w:t>
      </w:r>
      <w:bookmarkEnd w:id="1247"/>
      <w:bookmarkEnd w:id="1248"/>
      <w:bookmarkEnd w:id="1249"/>
    </w:p>
    <w:p w14:paraId="3C08E49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18.5.1</w:t>
      </w:r>
      <w:r>
        <w:rPr>
          <w:rFonts w:hint="eastAsia" w:hAnsi="Times New Roman" w:cs="Times New Roman"/>
          <w:b/>
          <w:bCs/>
          <w:color w:val="auto"/>
          <w:highlight w:val="none"/>
          <w:lang w:eastAsia="zh-CN"/>
        </w:rPr>
        <w:t>　</w:t>
      </w:r>
      <w:r>
        <w:rPr>
          <w:rFonts w:cs="宋体"/>
          <w:color w:val="auto"/>
          <w:highlight w:val="none"/>
          <w:lang w:eastAsia="zh-CN"/>
        </w:rPr>
        <w:t>工程建设具备阶段验收条件时，发包人负责提出阶段验收申请报告。承包人应派代表参加阶段验收，并作为被验收单位在验收鉴定书上签字。阶段验收的具体类别在专用合同条款中约定。</w:t>
      </w:r>
    </w:p>
    <w:p w14:paraId="6269264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18.5.2</w:t>
      </w:r>
      <w:r>
        <w:rPr>
          <w:rFonts w:hint="eastAsia" w:hAnsi="Times New Roman" w:cs="Times New Roman"/>
          <w:b/>
          <w:bCs/>
          <w:color w:val="auto"/>
          <w:highlight w:val="none"/>
          <w:lang w:eastAsia="zh-CN"/>
        </w:rPr>
        <w:t>　</w:t>
      </w:r>
      <w:r>
        <w:rPr>
          <w:rFonts w:cs="宋体"/>
          <w:color w:val="auto"/>
          <w:highlight w:val="none"/>
          <w:lang w:eastAsia="zh-CN"/>
        </w:rPr>
        <w:t>承包人应及时完成阶段验收鉴定书载明应由承包人处理的遗留问题。</w:t>
      </w:r>
    </w:p>
    <w:p w14:paraId="57CFCD47">
      <w:pPr>
        <w:pStyle w:val="4"/>
        <w:kinsoku/>
        <w:spacing w:beforeLines="0" w:afterLines="0"/>
        <w:rPr>
          <w:rFonts w:hint="eastAsia" w:hAnsi="宋体" w:cs="宋体"/>
          <w:bCs/>
          <w:color w:val="auto"/>
          <w:szCs w:val="24"/>
          <w:highlight w:val="none"/>
          <w:lang w:eastAsia="zh-CN"/>
        </w:rPr>
      </w:pPr>
      <w:bookmarkStart w:id="1250" w:name="_Toc31168"/>
      <w:bookmarkStart w:id="1251" w:name="_Toc6587"/>
      <w:bookmarkStart w:id="1252" w:name="_Toc14699"/>
      <w:r>
        <w:rPr>
          <w:rFonts w:hint="eastAsia" w:hAnsi="宋体" w:cs="宋体"/>
          <w:b/>
          <w:bCs/>
          <w:color w:val="auto"/>
          <w:szCs w:val="24"/>
          <w:highlight w:val="none"/>
          <w:lang w:eastAsia="zh-CN"/>
        </w:rPr>
        <w:t>18.6</w:t>
      </w:r>
      <w:r>
        <w:rPr>
          <w:rFonts w:hint="eastAsia" w:cs="宋体"/>
          <w:b/>
          <w:bCs/>
          <w:color w:val="auto"/>
          <w:szCs w:val="24"/>
          <w:highlight w:val="none"/>
          <w:lang w:eastAsia="zh-CN"/>
        </w:rPr>
        <w:t>　</w:t>
      </w:r>
      <w:r>
        <w:rPr>
          <w:rFonts w:hint="eastAsia" w:hAnsi="宋体" w:cs="宋体"/>
          <w:b/>
          <w:bCs/>
          <w:color w:val="auto"/>
          <w:szCs w:val="24"/>
          <w:highlight w:val="none"/>
          <w:lang w:eastAsia="zh-CN"/>
        </w:rPr>
        <w:t>专项验收</w:t>
      </w:r>
      <w:bookmarkEnd w:id="1250"/>
      <w:bookmarkEnd w:id="1251"/>
      <w:bookmarkEnd w:id="1252"/>
    </w:p>
    <w:p w14:paraId="4C102B7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18.6.1</w:t>
      </w:r>
      <w:r>
        <w:rPr>
          <w:rFonts w:hint="eastAsia" w:hAnsi="Times New Roman" w:cs="Times New Roman"/>
          <w:b/>
          <w:bCs/>
          <w:color w:val="auto"/>
          <w:highlight w:val="none"/>
          <w:lang w:eastAsia="zh-CN"/>
        </w:rPr>
        <w:t>　</w:t>
      </w:r>
      <w:r>
        <w:rPr>
          <w:rFonts w:cs="宋体"/>
          <w:color w:val="auto"/>
          <w:highlight w:val="none"/>
          <w:lang w:eastAsia="zh-CN"/>
        </w:rPr>
        <w:t>发包人负责提出专项验收申请报告。承包人应按专项验收的相关规定参加专项验收。专项验收的具体类别在专用合同条款中约定。</w:t>
      </w:r>
    </w:p>
    <w:p w14:paraId="08AC394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18.6.2</w:t>
      </w:r>
      <w:r>
        <w:rPr>
          <w:rFonts w:hint="eastAsia" w:hAnsi="Times New Roman" w:cs="Times New Roman"/>
          <w:b/>
          <w:bCs/>
          <w:color w:val="auto"/>
          <w:highlight w:val="none"/>
          <w:lang w:eastAsia="zh-CN"/>
        </w:rPr>
        <w:t>　</w:t>
      </w:r>
      <w:r>
        <w:rPr>
          <w:rFonts w:cs="宋体"/>
          <w:color w:val="auto"/>
          <w:highlight w:val="none"/>
          <w:lang w:eastAsia="zh-CN"/>
        </w:rPr>
        <w:t>承包人应及时完成专项验收成果性文件载明应由承包人处理的遗留问题。</w:t>
      </w:r>
    </w:p>
    <w:p w14:paraId="53108310">
      <w:pPr>
        <w:pStyle w:val="4"/>
        <w:kinsoku/>
        <w:spacing w:beforeLines="0" w:afterLines="0"/>
        <w:rPr>
          <w:rFonts w:hint="eastAsia" w:hAnsi="宋体" w:cs="宋体"/>
          <w:bCs/>
          <w:color w:val="auto"/>
          <w:szCs w:val="24"/>
          <w:highlight w:val="none"/>
          <w:lang w:eastAsia="zh-CN"/>
        </w:rPr>
      </w:pPr>
      <w:bookmarkStart w:id="1253" w:name="_Toc20927"/>
      <w:bookmarkStart w:id="1254" w:name="_Toc20244"/>
      <w:bookmarkStart w:id="1255" w:name="_Toc18724"/>
      <w:r>
        <w:rPr>
          <w:rFonts w:hint="eastAsia" w:hAnsi="宋体" w:cs="宋体"/>
          <w:b/>
          <w:bCs/>
          <w:color w:val="auto"/>
          <w:szCs w:val="24"/>
          <w:highlight w:val="none"/>
          <w:lang w:eastAsia="zh-CN"/>
        </w:rPr>
        <w:t>18.7</w:t>
      </w:r>
      <w:r>
        <w:rPr>
          <w:rFonts w:hint="eastAsia" w:cs="宋体"/>
          <w:b/>
          <w:bCs/>
          <w:color w:val="auto"/>
          <w:szCs w:val="24"/>
          <w:highlight w:val="none"/>
          <w:lang w:eastAsia="zh-CN"/>
        </w:rPr>
        <w:t>　</w:t>
      </w:r>
      <w:r>
        <w:rPr>
          <w:rFonts w:hint="eastAsia" w:hAnsi="宋体" w:cs="宋体"/>
          <w:b/>
          <w:bCs/>
          <w:color w:val="auto"/>
          <w:szCs w:val="24"/>
          <w:highlight w:val="none"/>
          <w:lang w:eastAsia="zh-CN"/>
        </w:rPr>
        <w:t>竣工验收</w:t>
      </w:r>
      <w:bookmarkEnd w:id="1253"/>
      <w:bookmarkEnd w:id="1254"/>
      <w:bookmarkEnd w:id="1255"/>
    </w:p>
    <w:p w14:paraId="2DC2C52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18.7.1</w:t>
      </w:r>
      <w:r>
        <w:rPr>
          <w:rFonts w:hint="eastAsia" w:hAnsi="Times New Roman" w:cs="Times New Roman"/>
          <w:b/>
          <w:bCs/>
          <w:color w:val="auto"/>
          <w:highlight w:val="none"/>
          <w:lang w:eastAsia="zh-CN"/>
        </w:rPr>
        <w:t>　</w:t>
      </w:r>
      <w:r>
        <w:rPr>
          <w:rFonts w:cs="宋体"/>
          <w:color w:val="auto"/>
          <w:highlight w:val="none"/>
          <w:lang w:eastAsia="zh-CN"/>
        </w:rPr>
        <w:t>申请竣工验收前，发包人组织竣工验收自查，承包人应派代表参加。</w:t>
      </w:r>
    </w:p>
    <w:p w14:paraId="0053B48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18.7.2</w:t>
      </w:r>
      <w:r>
        <w:rPr>
          <w:rFonts w:hint="eastAsia" w:hAnsi="Times New Roman" w:cs="Times New Roman"/>
          <w:b/>
          <w:bCs/>
          <w:color w:val="auto"/>
          <w:highlight w:val="none"/>
          <w:lang w:eastAsia="zh-CN"/>
        </w:rPr>
        <w:t>　</w:t>
      </w:r>
      <w:r>
        <w:rPr>
          <w:rFonts w:cs="宋体"/>
          <w:color w:val="auto"/>
          <w:highlight w:val="none"/>
          <w:lang w:eastAsia="zh-CN"/>
        </w:rPr>
        <w:t>竣工验收分为竣工技术预验收和竣工验收两个阶段。发包人应通知承包人派代表参加技术预验收和竣工验收。</w:t>
      </w:r>
    </w:p>
    <w:p w14:paraId="0BA738D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18.7.3</w:t>
      </w:r>
      <w:r>
        <w:rPr>
          <w:rFonts w:hint="eastAsia" w:hAnsi="Times New Roman" w:cs="Times New Roman"/>
          <w:b/>
          <w:bCs/>
          <w:color w:val="auto"/>
          <w:highlight w:val="none"/>
          <w:lang w:eastAsia="zh-CN"/>
        </w:rPr>
        <w:t>　</w:t>
      </w:r>
      <w:r>
        <w:rPr>
          <w:rFonts w:cs="宋体"/>
          <w:color w:val="auto"/>
          <w:highlight w:val="none"/>
          <w:lang w:eastAsia="zh-CN"/>
        </w:rPr>
        <w:t>专用合同条款约定工程需要进行技术鉴定的，承包人应提交有关资料并完成配合工作。</w:t>
      </w:r>
    </w:p>
    <w:p w14:paraId="0E2693C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18.7.4</w:t>
      </w:r>
      <w:r>
        <w:rPr>
          <w:rFonts w:hint="eastAsia" w:hAnsi="Times New Roman" w:cs="Times New Roman"/>
          <w:b/>
          <w:bCs/>
          <w:color w:val="auto"/>
          <w:highlight w:val="none"/>
          <w:lang w:eastAsia="zh-CN"/>
        </w:rPr>
        <w:t>　</w:t>
      </w:r>
      <w:r>
        <w:rPr>
          <w:rFonts w:cs="宋体"/>
          <w:color w:val="auto"/>
          <w:highlight w:val="none"/>
          <w:lang w:eastAsia="zh-CN"/>
        </w:rPr>
        <w:t>竣工验收需要进行质量检测的，所需费用由发包人承担，但因承包人原因造成质量不合格的除外。</w:t>
      </w:r>
    </w:p>
    <w:p w14:paraId="679856C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18.7.5</w:t>
      </w:r>
      <w:r>
        <w:rPr>
          <w:rFonts w:hint="eastAsia" w:hAnsi="Times New Roman" w:cs="Times New Roman"/>
          <w:b/>
          <w:bCs/>
          <w:color w:val="auto"/>
          <w:highlight w:val="none"/>
          <w:lang w:eastAsia="zh-CN"/>
        </w:rPr>
        <w:t>　</w:t>
      </w:r>
      <w:r>
        <w:rPr>
          <w:rFonts w:cs="宋体"/>
          <w:color w:val="auto"/>
          <w:highlight w:val="none"/>
          <w:lang w:eastAsia="zh-CN"/>
        </w:rPr>
        <w:t>工程质量保修期满以及竣工验收遗留问题和尾工处理完成并通过验收后，发包人负责将处理情况和验收成果报送竣工验收主持单位，申请领取工程竣工证书，并发送承包人。</w:t>
      </w:r>
    </w:p>
    <w:p w14:paraId="69D0808E">
      <w:pPr>
        <w:pStyle w:val="4"/>
        <w:kinsoku/>
        <w:spacing w:beforeLines="0" w:afterLines="0"/>
        <w:rPr>
          <w:rFonts w:hint="eastAsia" w:hAnsi="宋体" w:cs="宋体"/>
          <w:bCs/>
          <w:color w:val="auto"/>
          <w:szCs w:val="24"/>
          <w:highlight w:val="none"/>
          <w:lang w:eastAsia="zh-CN"/>
        </w:rPr>
      </w:pPr>
      <w:bookmarkStart w:id="1256" w:name="_Toc25833"/>
      <w:bookmarkStart w:id="1257" w:name="_Toc8746"/>
      <w:bookmarkStart w:id="1258" w:name="_Toc5675"/>
      <w:r>
        <w:rPr>
          <w:rFonts w:hint="eastAsia" w:hAnsi="宋体" w:cs="宋体"/>
          <w:b/>
          <w:bCs/>
          <w:color w:val="auto"/>
          <w:szCs w:val="24"/>
          <w:highlight w:val="none"/>
          <w:lang w:eastAsia="zh-CN"/>
        </w:rPr>
        <w:t>18.8</w:t>
      </w:r>
      <w:r>
        <w:rPr>
          <w:rFonts w:hint="eastAsia" w:cs="宋体"/>
          <w:b/>
          <w:bCs/>
          <w:color w:val="auto"/>
          <w:szCs w:val="24"/>
          <w:highlight w:val="none"/>
          <w:lang w:eastAsia="zh-CN"/>
        </w:rPr>
        <w:t>　</w:t>
      </w:r>
      <w:r>
        <w:rPr>
          <w:rFonts w:hint="eastAsia" w:hAnsi="宋体" w:cs="宋体"/>
          <w:b/>
          <w:bCs/>
          <w:color w:val="auto"/>
          <w:szCs w:val="24"/>
          <w:highlight w:val="none"/>
          <w:lang w:eastAsia="zh-CN"/>
        </w:rPr>
        <w:t>施工期运行</w:t>
      </w:r>
      <w:bookmarkEnd w:id="1256"/>
      <w:bookmarkEnd w:id="1257"/>
      <w:bookmarkEnd w:id="1258"/>
    </w:p>
    <w:p w14:paraId="21625C5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18.8.1</w:t>
      </w:r>
      <w:r>
        <w:rPr>
          <w:rFonts w:hint="eastAsia" w:hAnsi="Times New Roman" w:cs="Times New Roman"/>
          <w:b/>
          <w:bCs/>
          <w:color w:val="auto"/>
          <w:highlight w:val="none"/>
          <w:lang w:eastAsia="zh-CN"/>
        </w:rPr>
        <w:t>　</w:t>
      </w:r>
      <w:r>
        <w:rPr>
          <w:rFonts w:cs="宋体"/>
          <w:color w:val="auto"/>
          <w:highlight w:val="none"/>
          <w:lang w:eastAsia="zh-CN"/>
        </w:rPr>
        <w:t>施工期运行是指合同工程尚未全部完工，其中某单位工程或部分工程已完工，需要投入施工期运行的，经发包人按第</w:t>
      </w:r>
      <w:r>
        <w:rPr>
          <w:rFonts w:hAnsi="Times New Roman" w:cs="Times New Roman"/>
          <w:color w:val="auto"/>
          <w:highlight w:val="none"/>
          <w:lang w:eastAsia="zh-CN"/>
        </w:rPr>
        <w:t>18.2</w:t>
      </w:r>
      <w:r>
        <w:rPr>
          <w:rFonts w:cs="宋体"/>
          <w:color w:val="auto"/>
          <w:highlight w:val="none"/>
          <w:lang w:eastAsia="zh-CN"/>
        </w:rPr>
        <w:t>款或第</w:t>
      </w:r>
      <w:r>
        <w:rPr>
          <w:rFonts w:hAnsi="Times New Roman" w:cs="Times New Roman"/>
          <w:color w:val="auto"/>
          <w:highlight w:val="none"/>
          <w:lang w:eastAsia="zh-CN"/>
        </w:rPr>
        <w:t>18.3</w:t>
      </w:r>
      <w:r>
        <w:rPr>
          <w:rFonts w:cs="宋体"/>
          <w:color w:val="auto"/>
          <w:highlight w:val="none"/>
          <w:lang w:eastAsia="zh-CN"/>
        </w:rPr>
        <w:t>款的约定验收合格，证明能确保安全后，才能在施工期投入运行。需要在施工期运行的单位工程或部分工程在专用合同条款中约定。</w:t>
      </w:r>
    </w:p>
    <w:p w14:paraId="4989868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18.8.2</w:t>
      </w:r>
      <w:r>
        <w:rPr>
          <w:rFonts w:hint="eastAsia" w:hAnsi="Times New Roman" w:cs="Times New Roman"/>
          <w:b/>
          <w:bCs/>
          <w:color w:val="auto"/>
          <w:highlight w:val="none"/>
          <w:lang w:eastAsia="zh-CN"/>
        </w:rPr>
        <w:t>　</w:t>
      </w:r>
      <w:r>
        <w:rPr>
          <w:rFonts w:cs="宋体"/>
          <w:color w:val="auto"/>
          <w:highlight w:val="none"/>
          <w:lang w:eastAsia="zh-CN"/>
        </w:rPr>
        <w:t>在施工期运行中发现工程或工程设备损坏或存在缺陷的，由承包人按第</w:t>
      </w:r>
    </w:p>
    <w:p w14:paraId="0DC10E7E">
      <w:pPr>
        <w:kinsoku/>
        <w:spacing w:beforeLines="0" w:afterLines="0"/>
        <w:ind w:firstLine="0" w:firstLineChars="0"/>
        <w:jc w:val="left"/>
        <w:rPr>
          <w:rFonts w:cs="宋体"/>
          <w:color w:val="auto"/>
          <w:highlight w:val="none"/>
          <w:lang w:eastAsia="zh-CN"/>
        </w:rPr>
      </w:pPr>
      <w:r>
        <w:rPr>
          <w:rFonts w:hAnsi="Times New Roman" w:cs="Times New Roman"/>
          <w:color w:val="auto"/>
          <w:highlight w:val="none"/>
          <w:lang w:eastAsia="zh-CN"/>
        </w:rPr>
        <w:t>19.2</w:t>
      </w:r>
      <w:r>
        <w:rPr>
          <w:rFonts w:cs="宋体"/>
          <w:color w:val="auto"/>
          <w:highlight w:val="none"/>
          <w:lang w:eastAsia="zh-CN"/>
        </w:rPr>
        <w:t>款约定进行修复。</w:t>
      </w:r>
    </w:p>
    <w:p w14:paraId="5681EF19">
      <w:pPr>
        <w:pStyle w:val="4"/>
        <w:kinsoku/>
        <w:spacing w:beforeLines="0" w:afterLines="0"/>
        <w:rPr>
          <w:rFonts w:hint="eastAsia" w:hAnsi="宋体" w:cs="宋体"/>
          <w:bCs/>
          <w:color w:val="auto"/>
          <w:szCs w:val="24"/>
          <w:highlight w:val="none"/>
          <w:lang w:eastAsia="zh-CN"/>
        </w:rPr>
      </w:pPr>
      <w:bookmarkStart w:id="1259" w:name="_Toc3130"/>
      <w:bookmarkStart w:id="1260" w:name="_Toc28083"/>
      <w:bookmarkStart w:id="1261" w:name="_Toc10332"/>
      <w:r>
        <w:rPr>
          <w:rFonts w:hint="eastAsia" w:hAnsi="宋体" w:cs="宋体"/>
          <w:b/>
          <w:bCs/>
          <w:color w:val="auto"/>
          <w:szCs w:val="24"/>
          <w:highlight w:val="none"/>
          <w:lang w:eastAsia="zh-CN"/>
        </w:rPr>
        <w:t>18.9</w:t>
      </w:r>
      <w:r>
        <w:rPr>
          <w:rFonts w:hint="eastAsia" w:cs="宋体"/>
          <w:b/>
          <w:bCs/>
          <w:color w:val="auto"/>
          <w:szCs w:val="24"/>
          <w:highlight w:val="none"/>
          <w:lang w:eastAsia="zh-CN"/>
        </w:rPr>
        <w:t>　</w:t>
      </w:r>
      <w:r>
        <w:rPr>
          <w:rFonts w:hint="eastAsia" w:hAnsi="宋体" w:cs="宋体"/>
          <w:b/>
          <w:bCs/>
          <w:color w:val="auto"/>
          <w:szCs w:val="24"/>
          <w:highlight w:val="none"/>
          <w:lang w:eastAsia="zh-CN"/>
        </w:rPr>
        <w:t>试运行</w:t>
      </w:r>
      <w:bookmarkEnd w:id="1259"/>
      <w:bookmarkEnd w:id="1260"/>
      <w:bookmarkEnd w:id="1261"/>
    </w:p>
    <w:p w14:paraId="1CF1C32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18.9.1</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除专用合同条款另有约定外，承包人应按规定进行工程及工程设备试运行，负责提供试运行所需的人员、器材和必要的条件，并承担全部试运行费用。</w:t>
      </w:r>
    </w:p>
    <w:p w14:paraId="640179E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18.9.2</w:t>
      </w:r>
      <w:r>
        <w:rPr>
          <w:rFonts w:hint="eastAsia" w:hAnsi="Times New Roman" w:cs="Times New Roman"/>
          <w:b/>
          <w:bCs/>
          <w:color w:val="auto"/>
          <w:highlight w:val="none"/>
          <w:lang w:eastAsia="zh-CN"/>
        </w:rPr>
        <w:t>　</w:t>
      </w:r>
      <w:r>
        <w:rPr>
          <w:rFonts w:cs="宋体"/>
          <w:color w:val="auto"/>
          <w:highlight w:val="none"/>
          <w:lang w:eastAsia="zh-CN"/>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F4808B9">
      <w:pPr>
        <w:pStyle w:val="4"/>
        <w:kinsoku/>
        <w:spacing w:beforeLines="0" w:afterLines="0"/>
        <w:rPr>
          <w:rFonts w:hint="eastAsia" w:hAnsi="宋体" w:cs="宋体"/>
          <w:bCs/>
          <w:color w:val="auto"/>
          <w:szCs w:val="24"/>
          <w:highlight w:val="none"/>
          <w:lang w:eastAsia="zh-CN"/>
        </w:rPr>
      </w:pPr>
      <w:bookmarkStart w:id="1262" w:name="_Toc31163"/>
      <w:bookmarkStart w:id="1263" w:name="_Toc17757"/>
      <w:bookmarkStart w:id="1264" w:name="_Toc31879"/>
      <w:r>
        <w:rPr>
          <w:rFonts w:hint="eastAsia" w:hAnsi="宋体" w:cs="宋体"/>
          <w:b/>
          <w:bCs/>
          <w:color w:val="auto"/>
          <w:szCs w:val="24"/>
          <w:highlight w:val="none"/>
          <w:lang w:eastAsia="zh-CN"/>
        </w:rPr>
        <w:t>18.10</w:t>
      </w:r>
      <w:r>
        <w:rPr>
          <w:rFonts w:hint="eastAsia" w:cs="宋体"/>
          <w:b/>
          <w:bCs/>
          <w:color w:val="auto"/>
          <w:szCs w:val="24"/>
          <w:highlight w:val="none"/>
          <w:lang w:eastAsia="zh-CN"/>
        </w:rPr>
        <w:t>　</w:t>
      </w:r>
      <w:r>
        <w:rPr>
          <w:rFonts w:hint="eastAsia" w:hAnsi="宋体" w:cs="宋体"/>
          <w:b/>
          <w:bCs/>
          <w:color w:val="auto"/>
          <w:szCs w:val="24"/>
          <w:highlight w:val="none"/>
          <w:lang w:eastAsia="zh-CN"/>
        </w:rPr>
        <w:t>完工清场</w:t>
      </w:r>
      <w:bookmarkEnd w:id="1262"/>
      <w:bookmarkEnd w:id="1263"/>
      <w:bookmarkEnd w:id="1264"/>
    </w:p>
    <w:p w14:paraId="3E571E2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18.10.1</w:t>
      </w:r>
      <w:r>
        <w:rPr>
          <w:rFonts w:hint="eastAsia" w:hAnsi="Times New Roman" w:cs="Times New Roman"/>
          <w:b/>
          <w:bCs/>
          <w:color w:val="auto"/>
          <w:highlight w:val="none"/>
          <w:lang w:eastAsia="zh-CN"/>
        </w:rPr>
        <w:t>　</w:t>
      </w:r>
      <w:r>
        <w:rPr>
          <w:rFonts w:cs="宋体"/>
          <w:color w:val="auto"/>
          <w:highlight w:val="none"/>
          <w:lang w:eastAsia="zh-CN"/>
        </w:rPr>
        <w:t>工程项目完工清场的工作范围和内容在技术标准和要求（合同技术条款）中约定。</w:t>
      </w:r>
    </w:p>
    <w:p w14:paraId="2B8F423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18.10.2</w:t>
      </w:r>
      <w:r>
        <w:rPr>
          <w:rFonts w:hint="eastAsia" w:hAnsi="Times New Roman" w:cs="Times New Roman"/>
          <w:b/>
          <w:bCs/>
          <w:color w:val="auto"/>
          <w:highlight w:val="none"/>
          <w:lang w:eastAsia="zh-CN"/>
        </w:rPr>
        <w:t>　</w:t>
      </w:r>
      <w:r>
        <w:rPr>
          <w:rFonts w:cs="宋体"/>
          <w:color w:val="auto"/>
          <w:highlight w:val="none"/>
          <w:lang w:eastAsia="zh-CN"/>
        </w:rPr>
        <w:t>承包人未按监理人的要求恢复临时占地，或者场地清理未达到合同约定的，发包人有权委托其它人恢复或清理，所发生的金额从拟支付给承包人的款项中扣除。</w:t>
      </w:r>
    </w:p>
    <w:p w14:paraId="6E3C5DE6">
      <w:pPr>
        <w:pStyle w:val="4"/>
        <w:kinsoku/>
        <w:spacing w:beforeLines="0" w:afterLines="0"/>
        <w:rPr>
          <w:rFonts w:hint="eastAsia" w:hAnsi="宋体" w:cs="宋体"/>
          <w:bCs/>
          <w:color w:val="auto"/>
          <w:szCs w:val="24"/>
          <w:highlight w:val="none"/>
          <w:lang w:eastAsia="zh-CN"/>
        </w:rPr>
      </w:pPr>
      <w:bookmarkStart w:id="1265" w:name="_Toc22228"/>
      <w:bookmarkStart w:id="1266" w:name="_Toc29290"/>
      <w:bookmarkStart w:id="1267" w:name="_Toc24013"/>
      <w:r>
        <w:rPr>
          <w:rFonts w:hint="eastAsia" w:hAnsi="宋体" w:cs="宋体"/>
          <w:b/>
          <w:bCs/>
          <w:color w:val="auto"/>
          <w:szCs w:val="24"/>
          <w:highlight w:val="none"/>
          <w:lang w:eastAsia="zh-CN"/>
        </w:rPr>
        <w:t>18.11</w:t>
      </w:r>
      <w:r>
        <w:rPr>
          <w:rFonts w:hint="eastAsia" w:cs="宋体"/>
          <w:b/>
          <w:bCs/>
          <w:color w:val="auto"/>
          <w:szCs w:val="24"/>
          <w:highlight w:val="none"/>
          <w:lang w:eastAsia="zh-CN"/>
        </w:rPr>
        <w:t>　</w:t>
      </w:r>
      <w:r>
        <w:rPr>
          <w:rFonts w:hint="eastAsia" w:hAnsi="宋体" w:cs="宋体"/>
          <w:b/>
          <w:bCs/>
          <w:color w:val="auto"/>
          <w:szCs w:val="24"/>
          <w:highlight w:val="none"/>
          <w:lang w:eastAsia="zh-CN"/>
        </w:rPr>
        <w:t>施工队伍的撤离</w:t>
      </w:r>
      <w:bookmarkEnd w:id="1265"/>
      <w:bookmarkEnd w:id="1266"/>
      <w:bookmarkEnd w:id="1267"/>
    </w:p>
    <w:p w14:paraId="2F4A49AE">
      <w:pPr>
        <w:kinsoku/>
        <w:ind w:firstLine="0"/>
        <w:rPr>
          <w:rFonts w:cs="宋体"/>
          <w:color w:val="auto"/>
          <w:highlight w:val="none"/>
          <w:lang w:eastAsia="zh-CN"/>
        </w:rPr>
      </w:pPr>
      <w:r>
        <w:rPr>
          <w:rFonts w:cs="宋体"/>
          <w:color w:val="auto"/>
          <w:highlight w:val="none"/>
          <w:lang w:eastAsia="zh-CN"/>
        </w:rPr>
        <w:t>合同工程完工证书颁发后的</w:t>
      </w:r>
      <w:r>
        <w:rPr>
          <w:rFonts w:hAnsi="Times New Roman" w:cs="Times New Roman"/>
          <w:color w:val="auto"/>
          <w:highlight w:val="none"/>
          <w:lang w:eastAsia="zh-CN"/>
        </w:rPr>
        <w:t>56</w:t>
      </w:r>
      <w:r>
        <w:rPr>
          <w:rFonts w:cs="宋体"/>
          <w:color w:val="auto"/>
          <w:highlight w:val="none"/>
          <w:lang w:eastAsia="zh-CN"/>
        </w:rPr>
        <w:t>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68A6F007">
      <w:pPr>
        <w:pStyle w:val="3"/>
        <w:kinsoku/>
        <w:spacing w:before="0" w:beforeLines="0" w:afterLines="0" w:line="360" w:lineRule="auto"/>
        <w:outlineLvl w:val="1"/>
        <w:rPr>
          <w:rFonts w:hint="eastAsia" w:ascii="宋体" w:cs="宋体"/>
          <w:color w:val="auto"/>
          <w:sz w:val="30"/>
          <w:szCs w:val="30"/>
          <w:highlight w:val="none"/>
        </w:rPr>
      </w:pPr>
      <w:bookmarkStart w:id="1268" w:name="_Toc5422"/>
      <w:bookmarkStart w:id="1269" w:name="_Toc698"/>
      <w:bookmarkStart w:id="1270" w:name="_Toc2041"/>
      <w:bookmarkStart w:id="1271" w:name="_Toc12419"/>
      <w:bookmarkStart w:id="1272" w:name="_Toc343"/>
      <w:bookmarkStart w:id="1273" w:name="_Toc30706"/>
      <w:bookmarkStart w:id="1274" w:name="_Toc10816"/>
      <w:bookmarkStart w:id="1275" w:name="_Toc14324"/>
      <w:bookmarkStart w:id="1276" w:name="_Toc2949"/>
      <w:bookmarkStart w:id="1277" w:name="_Toc9449"/>
      <w:bookmarkStart w:id="1278" w:name="_Toc27776"/>
      <w:bookmarkStart w:id="1279" w:name="_Toc18328"/>
      <w:bookmarkStart w:id="1280" w:name="_Toc1781"/>
      <w:bookmarkStart w:id="1281" w:name="_Toc1205"/>
      <w:r>
        <w:rPr>
          <w:rFonts w:hint="eastAsia" w:ascii="宋体" w:cs="宋体"/>
          <w:color w:val="auto"/>
          <w:sz w:val="30"/>
          <w:szCs w:val="30"/>
          <w:highlight w:val="none"/>
        </w:rPr>
        <w:t>19</w:t>
      </w:r>
      <w:r>
        <w:rPr>
          <w:rFonts w:hint="eastAsia" w:cs="宋体"/>
          <w:color w:val="auto"/>
          <w:sz w:val="30"/>
          <w:szCs w:val="30"/>
          <w:highlight w:val="none"/>
          <w:lang w:eastAsia="zh-CN"/>
        </w:rPr>
        <w:t>　</w:t>
      </w:r>
      <w:r>
        <w:rPr>
          <w:rFonts w:hint="eastAsia" w:ascii="宋体" w:cs="宋体"/>
          <w:color w:val="auto"/>
          <w:sz w:val="30"/>
          <w:szCs w:val="30"/>
          <w:highlight w:val="none"/>
        </w:rPr>
        <w:t>缺陷责任与保修责任</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p>
    <w:p w14:paraId="38E2D6FB">
      <w:pPr>
        <w:pStyle w:val="4"/>
        <w:kinsoku/>
        <w:spacing w:beforeLines="0" w:afterLines="0"/>
        <w:rPr>
          <w:rFonts w:hint="eastAsia" w:hAnsi="宋体" w:cs="宋体"/>
          <w:bCs/>
          <w:color w:val="auto"/>
          <w:szCs w:val="24"/>
          <w:highlight w:val="none"/>
          <w:lang w:eastAsia="zh-CN"/>
        </w:rPr>
      </w:pPr>
      <w:bookmarkStart w:id="1282" w:name="_Toc2862"/>
      <w:bookmarkStart w:id="1283" w:name="_Toc11412"/>
      <w:bookmarkStart w:id="1284" w:name="_Toc1732"/>
      <w:r>
        <w:rPr>
          <w:rFonts w:hint="eastAsia" w:hAnsi="宋体" w:cs="宋体"/>
          <w:b/>
          <w:bCs/>
          <w:color w:val="auto"/>
          <w:szCs w:val="24"/>
          <w:highlight w:val="none"/>
          <w:lang w:eastAsia="zh-CN"/>
        </w:rPr>
        <w:t>19.1</w:t>
      </w:r>
      <w:r>
        <w:rPr>
          <w:rFonts w:hint="eastAsia" w:cs="宋体"/>
          <w:b/>
          <w:bCs/>
          <w:color w:val="auto"/>
          <w:szCs w:val="24"/>
          <w:highlight w:val="none"/>
          <w:lang w:eastAsia="zh-CN"/>
        </w:rPr>
        <w:t>　</w:t>
      </w:r>
      <w:r>
        <w:rPr>
          <w:rFonts w:hint="eastAsia" w:hAnsi="宋体" w:cs="宋体"/>
          <w:b/>
          <w:bCs/>
          <w:color w:val="auto"/>
          <w:szCs w:val="24"/>
          <w:highlight w:val="none"/>
          <w:lang w:eastAsia="zh-CN"/>
        </w:rPr>
        <w:t>缺陷责任期（工程质量保修期）的起算时间</w:t>
      </w:r>
      <w:bookmarkEnd w:id="1282"/>
      <w:bookmarkEnd w:id="1283"/>
      <w:bookmarkEnd w:id="1284"/>
    </w:p>
    <w:p w14:paraId="7F25FBC2">
      <w:pPr>
        <w:kinsoku/>
        <w:ind w:firstLine="0"/>
        <w:rPr>
          <w:color w:val="auto"/>
          <w:highlight w:val="none"/>
          <w:lang w:eastAsia="zh-CN"/>
        </w:rPr>
      </w:pPr>
      <w:r>
        <w:rPr>
          <w:color w:val="auto"/>
          <w:highlight w:val="none"/>
          <w:lang w:eastAsia="zh-CN"/>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36D5CF02">
      <w:pPr>
        <w:pStyle w:val="4"/>
        <w:kinsoku/>
        <w:spacing w:beforeLines="0" w:afterLines="0"/>
        <w:rPr>
          <w:rFonts w:hint="eastAsia" w:hAnsi="宋体" w:cs="宋体"/>
          <w:bCs/>
          <w:color w:val="auto"/>
          <w:szCs w:val="24"/>
          <w:highlight w:val="none"/>
          <w:lang w:eastAsia="zh-CN"/>
        </w:rPr>
      </w:pPr>
      <w:bookmarkStart w:id="1285" w:name="_Toc9078"/>
      <w:bookmarkStart w:id="1286" w:name="_Toc26558"/>
      <w:bookmarkStart w:id="1287" w:name="_Toc29050"/>
      <w:r>
        <w:rPr>
          <w:rFonts w:hint="eastAsia" w:hAnsi="宋体" w:cs="宋体"/>
          <w:b/>
          <w:bCs/>
          <w:color w:val="auto"/>
          <w:szCs w:val="24"/>
          <w:highlight w:val="none"/>
          <w:lang w:eastAsia="zh-CN"/>
        </w:rPr>
        <w:t>19.2</w:t>
      </w:r>
      <w:r>
        <w:rPr>
          <w:rFonts w:hint="eastAsia" w:cs="宋体"/>
          <w:b/>
          <w:bCs/>
          <w:color w:val="auto"/>
          <w:szCs w:val="24"/>
          <w:highlight w:val="none"/>
          <w:lang w:eastAsia="zh-CN"/>
        </w:rPr>
        <w:t>　</w:t>
      </w:r>
      <w:r>
        <w:rPr>
          <w:rFonts w:hint="eastAsia" w:hAnsi="宋体" w:cs="宋体"/>
          <w:b/>
          <w:bCs/>
          <w:color w:val="auto"/>
          <w:szCs w:val="24"/>
          <w:highlight w:val="none"/>
          <w:lang w:eastAsia="zh-CN"/>
        </w:rPr>
        <w:t>缺陷责任</w:t>
      </w:r>
      <w:bookmarkEnd w:id="1285"/>
      <w:bookmarkEnd w:id="1286"/>
      <w:bookmarkEnd w:id="1287"/>
    </w:p>
    <w:p w14:paraId="142D1EE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19.2.1</w:t>
      </w:r>
      <w:r>
        <w:rPr>
          <w:rFonts w:hint="eastAsia" w:hAnsi="Times New Roman" w:cs="Times New Roman"/>
          <w:b/>
          <w:bCs/>
          <w:color w:val="auto"/>
          <w:highlight w:val="none"/>
          <w:lang w:eastAsia="zh-CN"/>
        </w:rPr>
        <w:t>　</w:t>
      </w:r>
      <w:r>
        <w:rPr>
          <w:rFonts w:cs="宋体"/>
          <w:color w:val="auto"/>
          <w:highlight w:val="none"/>
          <w:lang w:eastAsia="zh-CN"/>
        </w:rPr>
        <w:t>承包人应在缺陷责任期内对已交付使用的工程承担缺陷责任。</w:t>
      </w:r>
    </w:p>
    <w:p w14:paraId="0C790FF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19.2.2</w:t>
      </w:r>
      <w:r>
        <w:rPr>
          <w:rFonts w:hint="eastAsia" w:hAnsi="Times New Roman" w:cs="Times New Roman"/>
          <w:b/>
          <w:bCs/>
          <w:color w:val="auto"/>
          <w:highlight w:val="none"/>
          <w:lang w:eastAsia="zh-CN"/>
        </w:rPr>
        <w:t>　</w:t>
      </w:r>
      <w:r>
        <w:rPr>
          <w:rFonts w:cs="宋体"/>
          <w:color w:val="auto"/>
          <w:highlight w:val="none"/>
          <w:lang w:eastAsia="zh-CN"/>
        </w:rPr>
        <w:t>缺陷责任期内，发包人对已接收使用的工程负责日常维护工作。发包人在使用过程中，发现已接收的工程存在新的缺陷或已修复的缺陷部位或部件又遭损坏的，承包人应负责修复，直至检验合格为止。</w:t>
      </w:r>
    </w:p>
    <w:p w14:paraId="2E1BF06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19.2.3</w:t>
      </w:r>
      <w:r>
        <w:rPr>
          <w:rFonts w:hint="eastAsia" w:hAnsi="Times New Roman" w:cs="Times New Roman"/>
          <w:b/>
          <w:bCs/>
          <w:color w:val="auto"/>
          <w:highlight w:val="none"/>
          <w:lang w:eastAsia="zh-CN"/>
        </w:rPr>
        <w:t>　</w:t>
      </w:r>
      <w:r>
        <w:rPr>
          <w:rFonts w:cs="宋体"/>
          <w:color w:val="auto"/>
          <w:highlight w:val="none"/>
          <w:lang w:eastAsia="zh-CN"/>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3A81AC1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19.2.4</w:t>
      </w:r>
      <w:r>
        <w:rPr>
          <w:rFonts w:hint="eastAsia" w:hAnsi="Times New Roman" w:cs="Times New Roman"/>
          <w:b/>
          <w:bCs/>
          <w:color w:val="auto"/>
          <w:highlight w:val="none"/>
          <w:lang w:eastAsia="zh-CN"/>
        </w:rPr>
        <w:t>　</w:t>
      </w:r>
      <w:r>
        <w:rPr>
          <w:rFonts w:cs="宋体"/>
          <w:color w:val="auto"/>
          <w:highlight w:val="none"/>
          <w:lang w:eastAsia="zh-CN"/>
        </w:rPr>
        <w:t>承包人不能在合理时间内修复缺陷的，发包人可自行修复或委托其他人修复，所需费用和利润的承担，按第</w:t>
      </w:r>
      <w:r>
        <w:rPr>
          <w:rFonts w:hAnsi="Times New Roman" w:cs="Times New Roman"/>
          <w:color w:val="auto"/>
          <w:highlight w:val="none"/>
          <w:lang w:eastAsia="zh-CN"/>
        </w:rPr>
        <w:t>19.2.3</w:t>
      </w:r>
      <w:r>
        <w:rPr>
          <w:rFonts w:cs="宋体"/>
          <w:color w:val="auto"/>
          <w:highlight w:val="none"/>
          <w:lang w:eastAsia="zh-CN"/>
        </w:rPr>
        <w:t>项约定办理。</w:t>
      </w:r>
    </w:p>
    <w:p w14:paraId="38A2497F">
      <w:pPr>
        <w:pStyle w:val="4"/>
        <w:kinsoku/>
        <w:spacing w:beforeLines="0" w:afterLines="0"/>
        <w:rPr>
          <w:rFonts w:hint="eastAsia" w:hAnsi="宋体" w:cs="宋体"/>
          <w:bCs/>
          <w:color w:val="auto"/>
          <w:szCs w:val="24"/>
          <w:highlight w:val="none"/>
          <w:lang w:eastAsia="zh-CN"/>
        </w:rPr>
      </w:pPr>
      <w:bookmarkStart w:id="1288" w:name="_Toc26242"/>
      <w:bookmarkStart w:id="1289" w:name="_Toc19354"/>
      <w:bookmarkStart w:id="1290" w:name="_Toc24883"/>
      <w:r>
        <w:rPr>
          <w:rFonts w:hint="eastAsia" w:hAnsi="宋体" w:cs="宋体"/>
          <w:b/>
          <w:bCs/>
          <w:color w:val="auto"/>
          <w:szCs w:val="24"/>
          <w:highlight w:val="none"/>
          <w:lang w:eastAsia="zh-CN"/>
        </w:rPr>
        <w:t>19.3</w:t>
      </w:r>
      <w:r>
        <w:rPr>
          <w:rFonts w:hint="eastAsia" w:cs="宋体"/>
          <w:b/>
          <w:bCs/>
          <w:color w:val="auto"/>
          <w:szCs w:val="24"/>
          <w:highlight w:val="none"/>
          <w:lang w:eastAsia="zh-CN"/>
        </w:rPr>
        <w:t>　</w:t>
      </w:r>
      <w:r>
        <w:rPr>
          <w:rFonts w:hint="eastAsia" w:hAnsi="宋体" w:cs="宋体"/>
          <w:b/>
          <w:bCs/>
          <w:color w:val="auto"/>
          <w:szCs w:val="24"/>
          <w:highlight w:val="none"/>
          <w:lang w:eastAsia="zh-CN"/>
        </w:rPr>
        <w:t>缺陷责任期的延长</w:t>
      </w:r>
      <w:bookmarkEnd w:id="1288"/>
      <w:bookmarkEnd w:id="1289"/>
      <w:bookmarkEnd w:id="1290"/>
    </w:p>
    <w:p w14:paraId="18230E9F">
      <w:pPr>
        <w:kinsoku/>
        <w:ind w:firstLine="0"/>
        <w:rPr>
          <w:rFonts w:cs="宋体"/>
          <w:color w:val="auto"/>
          <w:highlight w:val="none"/>
          <w:lang w:eastAsia="zh-CN"/>
        </w:rPr>
      </w:pPr>
      <w:r>
        <w:rPr>
          <w:rFonts w:cs="宋体"/>
          <w:color w:val="auto"/>
          <w:highlight w:val="none"/>
          <w:lang w:eastAsia="zh-CN"/>
        </w:rPr>
        <w:t>由于承包人原因造成某项缺陷或损坏使某项工程或工程设备不能按原定目标使用而需要再次检查、检验和修复的，发包人有权要求承包人相应延长缺陷责任期，但缺陷责任期最长不超过</w:t>
      </w:r>
      <w:r>
        <w:rPr>
          <w:rFonts w:hAnsi="Times New Roman" w:cs="Times New Roman"/>
          <w:color w:val="auto"/>
          <w:highlight w:val="none"/>
          <w:lang w:eastAsia="zh-CN"/>
        </w:rPr>
        <w:t>2</w:t>
      </w:r>
      <w:r>
        <w:rPr>
          <w:rFonts w:cs="宋体"/>
          <w:color w:val="auto"/>
          <w:highlight w:val="none"/>
          <w:lang w:eastAsia="zh-CN"/>
        </w:rPr>
        <w:t>年。</w:t>
      </w:r>
    </w:p>
    <w:p w14:paraId="5D363836">
      <w:pPr>
        <w:pStyle w:val="4"/>
        <w:kinsoku/>
        <w:spacing w:beforeLines="0" w:afterLines="0"/>
        <w:rPr>
          <w:rFonts w:hint="eastAsia" w:hAnsi="宋体" w:cs="宋体"/>
          <w:bCs/>
          <w:color w:val="auto"/>
          <w:szCs w:val="24"/>
          <w:highlight w:val="none"/>
          <w:lang w:eastAsia="zh-CN"/>
        </w:rPr>
      </w:pPr>
      <w:bookmarkStart w:id="1291" w:name="_Toc20319"/>
      <w:bookmarkStart w:id="1292" w:name="_Toc23705"/>
      <w:bookmarkStart w:id="1293" w:name="_Toc6839"/>
      <w:r>
        <w:rPr>
          <w:rFonts w:hint="eastAsia" w:hAnsi="宋体" w:cs="宋体"/>
          <w:b/>
          <w:bCs/>
          <w:color w:val="auto"/>
          <w:szCs w:val="24"/>
          <w:highlight w:val="none"/>
          <w:lang w:eastAsia="zh-CN"/>
        </w:rPr>
        <w:t>19.4</w:t>
      </w:r>
      <w:r>
        <w:rPr>
          <w:rFonts w:hint="eastAsia" w:cs="宋体"/>
          <w:b/>
          <w:bCs/>
          <w:color w:val="auto"/>
          <w:szCs w:val="24"/>
          <w:highlight w:val="none"/>
          <w:lang w:eastAsia="zh-CN"/>
        </w:rPr>
        <w:t>　</w:t>
      </w:r>
      <w:r>
        <w:rPr>
          <w:rFonts w:hint="eastAsia" w:hAnsi="宋体" w:cs="宋体"/>
          <w:b/>
          <w:bCs/>
          <w:color w:val="auto"/>
          <w:szCs w:val="24"/>
          <w:highlight w:val="none"/>
          <w:lang w:eastAsia="zh-CN"/>
        </w:rPr>
        <w:t>进一步试验和试运行</w:t>
      </w:r>
      <w:bookmarkEnd w:id="1291"/>
      <w:bookmarkEnd w:id="1292"/>
      <w:bookmarkEnd w:id="1293"/>
    </w:p>
    <w:p w14:paraId="077B64F5">
      <w:pPr>
        <w:kinsoku/>
        <w:ind w:firstLine="0"/>
        <w:rPr>
          <w:color w:val="auto"/>
          <w:highlight w:val="none"/>
          <w:lang w:eastAsia="zh-CN"/>
        </w:rPr>
      </w:pPr>
      <w:r>
        <w:rPr>
          <w:color w:val="auto"/>
          <w:highlight w:val="none"/>
          <w:lang w:eastAsia="zh-CN"/>
        </w:rPr>
        <w:t>任何一项缺陷或损坏修复后，经检查证明其影响了工程或工程设备的使用性能，承包人应重新进行合同约定的试验和试运行，试验和试运行的全部费用应由责任方承担。</w:t>
      </w:r>
    </w:p>
    <w:p w14:paraId="685FB64C">
      <w:pPr>
        <w:pStyle w:val="4"/>
        <w:kinsoku/>
        <w:spacing w:beforeLines="0" w:afterLines="0"/>
        <w:rPr>
          <w:rFonts w:hint="eastAsia" w:hAnsi="宋体" w:cs="宋体"/>
          <w:bCs/>
          <w:color w:val="auto"/>
          <w:szCs w:val="24"/>
          <w:highlight w:val="none"/>
          <w:lang w:eastAsia="zh-CN"/>
        </w:rPr>
      </w:pPr>
      <w:bookmarkStart w:id="1294" w:name="_Toc22191"/>
      <w:bookmarkStart w:id="1295" w:name="_Toc10961"/>
      <w:bookmarkStart w:id="1296" w:name="_Toc13191"/>
      <w:r>
        <w:rPr>
          <w:rFonts w:hint="eastAsia" w:hAnsi="宋体" w:cs="宋体"/>
          <w:b/>
          <w:bCs/>
          <w:color w:val="auto"/>
          <w:szCs w:val="24"/>
          <w:highlight w:val="none"/>
          <w:lang w:eastAsia="zh-CN"/>
        </w:rPr>
        <w:t>19.5</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承包人的进入权</w:t>
      </w:r>
      <w:bookmarkEnd w:id="1294"/>
      <w:bookmarkEnd w:id="1295"/>
      <w:bookmarkEnd w:id="1296"/>
    </w:p>
    <w:p w14:paraId="19BFA2C0">
      <w:pPr>
        <w:kinsoku/>
        <w:ind w:firstLine="0"/>
        <w:rPr>
          <w:color w:val="auto"/>
          <w:highlight w:val="none"/>
          <w:lang w:eastAsia="zh-CN"/>
        </w:rPr>
      </w:pPr>
      <w:r>
        <w:rPr>
          <w:color w:val="auto"/>
          <w:highlight w:val="none"/>
          <w:lang w:eastAsia="zh-CN"/>
        </w:rPr>
        <w:t>缺陷责任期内承包人为缺陷修复工作需要，有权进入工程现场，但应遵守发包人的保安和保密规定。</w:t>
      </w:r>
    </w:p>
    <w:p w14:paraId="4EC09CC7">
      <w:pPr>
        <w:pStyle w:val="4"/>
        <w:kinsoku/>
        <w:spacing w:beforeLines="0" w:afterLines="0"/>
        <w:rPr>
          <w:rFonts w:hint="eastAsia" w:hAnsi="宋体" w:cs="宋体"/>
          <w:bCs/>
          <w:color w:val="auto"/>
          <w:szCs w:val="24"/>
          <w:highlight w:val="none"/>
          <w:lang w:eastAsia="zh-CN"/>
        </w:rPr>
      </w:pPr>
      <w:bookmarkStart w:id="1297" w:name="_Toc19629"/>
      <w:bookmarkStart w:id="1298" w:name="_Toc32006"/>
      <w:bookmarkStart w:id="1299" w:name="_Toc4622"/>
      <w:r>
        <w:rPr>
          <w:rFonts w:hint="eastAsia" w:hAnsi="宋体" w:cs="宋体"/>
          <w:b/>
          <w:bCs/>
          <w:color w:val="auto"/>
          <w:szCs w:val="24"/>
          <w:highlight w:val="none"/>
          <w:lang w:eastAsia="zh-CN"/>
        </w:rPr>
        <w:t>19.6</w:t>
      </w:r>
      <w:r>
        <w:rPr>
          <w:rFonts w:hint="eastAsia" w:cs="宋体"/>
          <w:b/>
          <w:bCs/>
          <w:color w:val="auto"/>
          <w:szCs w:val="24"/>
          <w:highlight w:val="none"/>
          <w:lang w:eastAsia="zh-CN"/>
        </w:rPr>
        <w:t>　</w:t>
      </w:r>
      <w:r>
        <w:rPr>
          <w:rFonts w:hint="eastAsia" w:hAnsi="宋体" w:cs="宋体"/>
          <w:b/>
          <w:bCs/>
          <w:color w:val="auto"/>
          <w:szCs w:val="24"/>
          <w:highlight w:val="none"/>
          <w:lang w:eastAsia="zh-CN"/>
        </w:rPr>
        <w:t>缺陷责任期终止证书（工程质量保修责任终止证书）</w:t>
      </w:r>
      <w:bookmarkEnd w:id="1297"/>
      <w:bookmarkEnd w:id="1298"/>
      <w:bookmarkEnd w:id="1299"/>
    </w:p>
    <w:p w14:paraId="1EB6A8A0">
      <w:pPr>
        <w:kinsoku/>
        <w:ind w:firstLine="0"/>
        <w:rPr>
          <w:rFonts w:cs="宋体"/>
          <w:color w:val="auto"/>
          <w:highlight w:val="none"/>
          <w:lang w:eastAsia="zh-CN"/>
        </w:rPr>
      </w:pPr>
      <w:r>
        <w:rPr>
          <w:rFonts w:cs="宋体"/>
          <w:color w:val="auto"/>
          <w:highlight w:val="none"/>
          <w:lang w:eastAsia="zh-CN"/>
        </w:rPr>
        <w:t>合同工程完工验收或投入使用验收后，发包人与承包人应办理工程交接手续，承包人应向发包人递交工程质量保修书。缺陷责任期（工程质量保修期）满后</w:t>
      </w:r>
      <w:r>
        <w:rPr>
          <w:rFonts w:hAnsi="Times New Roman" w:cs="Times New Roman"/>
          <w:color w:val="auto"/>
          <w:highlight w:val="none"/>
          <w:lang w:eastAsia="zh-CN"/>
        </w:rPr>
        <w:t>30</w:t>
      </w:r>
      <w:r>
        <w:rPr>
          <w:rFonts w:cs="宋体"/>
          <w:color w:val="auto"/>
          <w:highlight w:val="none"/>
          <w:lang w:eastAsia="zh-CN"/>
        </w:rPr>
        <w:t>个工作日内，发包人应向承包人颁发工程质量保修责任终止证书，并退还剩余的质量保证金，但保修责任范围内的质量缺陷未处理完成的应除外。</w:t>
      </w:r>
    </w:p>
    <w:p w14:paraId="636E01CA">
      <w:pPr>
        <w:pStyle w:val="4"/>
        <w:kinsoku/>
        <w:spacing w:beforeLines="0" w:afterLines="0"/>
        <w:rPr>
          <w:rFonts w:hint="eastAsia" w:hAnsi="宋体" w:cs="宋体"/>
          <w:bCs/>
          <w:color w:val="auto"/>
          <w:szCs w:val="24"/>
          <w:highlight w:val="none"/>
          <w:lang w:eastAsia="zh-CN"/>
        </w:rPr>
      </w:pPr>
      <w:bookmarkStart w:id="1300" w:name="_Toc20785"/>
      <w:bookmarkStart w:id="1301" w:name="_Toc4323"/>
      <w:bookmarkStart w:id="1302" w:name="_Toc20600"/>
      <w:r>
        <w:rPr>
          <w:rFonts w:hint="eastAsia" w:hAnsi="宋体" w:cs="宋体"/>
          <w:b/>
          <w:bCs/>
          <w:color w:val="auto"/>
          <w:szCs w:val="24"/>
          <w:highlight w:val="none"/>
          <w:lang w:eastAsia="zh-CN"/>
        </w:rPr>
        <w:t>19.7</w:t>
      </w:r>
      <w:r>
        <w:rPr>
          <w:rFonts w:hint="eastAsia" w:cs="宋体"/>
          <w:b/>
          <w:bCs/>
          <w:color w:val="auto"/>
          <w:szCs w:val="24"/>
          <w:highlight w:val="none"/>
          <w:lang w:eastAsia="zh-CN"/>
        </w:rPr>
        <w:t>　</w:t>
      </w:r>
      <w:r>
        <w:rPr>
          <w:rFonts w:hint="eastAsia" w:hAnsi="宋体" w:cs="宋体"/>
          <w:b/>
          <w:bCs/>
          <w:color w:val="auto"/>
          <w:szCs w:val="24"/>
          <w:highlight w:val="none"/>
          <w:lang w:eastAsia="zh-CN"/>
        </w:rPr>
        <w:t>保修责任</w:t>
      </w:r>
      <w:bookmarkEnd w:id="1300"/>
      <w:bookmarkEnd w:id="1301"/>
      <w:bookmarkEnd w:id="1302"/>
    </w:p>
    <w:p w14:paraId="3A62C3A7">
      <w:pPr>
        <w:kinsoku/>
        <w:ind w:firstLine="0"/>
        <w:rPr>
          <w:color w:val="auto"/>
          <w:highlight w:val="none"/>
          <w:lang w:eastAsia="zh-CN"/>
        </w:rPr>
      </w:pPr>
      <w:r>
        <w:rPr>
          <w:color w:val="auto"/>
          <w:highlight w:val="none"/>
          <w:lang w:eastAsia="zh-CN"/>
        </w:rPr>
        <w:t>合同当事人根据有关法律规定，在专用合同条款中约定工程质量保修范围、期限和责任。保修期自实际完工日期起计算。在全部工程完工验收前，已经发包人提前验收的单位工程，其保修期的起算日期相应提前。</w:t>
      </w:r>
    </w:p>
    <w:p w14:paraId="518E6DE2">
      <w:pPr>
        <w:pStyle w:val="3"/>
        <w:kinsoku/>
        <w:spacing w:before="0" w:beforeLines="0" w:afterLines="0" w:line="360" w:lineRule="auto"/>
        <w:outlineLvl w:val="1"/>
        <w:rPr>
          <w:rFonts w:hint="eastAsia" w:ascii="宋体" w:cs="宋体"/>
          <w:color w:val="auto"/>
          <w:sz w:val="30"/>
          <w:szCs w:val="30"/>
          <w:highlight w:val="none"/>
        </w:rPr>
      </w:pPr>
      <w:bookmarkStart w:id="1303" w:name="_Toc31315"/>
      <w:bookmarkStart w:id="1304" w:name="_Toc13815"/>
      <w:bookmarkStart w:id="1305" w:name="_Toc15211"/>
      <w:bookmarkStart w:id="1306" w:name="_Toc10571"/>
      <w:bookmarkStart w:id="1307" w:name="_Toc26503"/>
      <w:bookmarkStart w:id="1308" w:name="_Toc8304"/>
      <w:bookmarkStart w:id="1309" w:name="_Toc26086"/>
      <w:bookmarkStart w:id="1310" w:name="_Toc26793"/>
      <w:bookmarkStart w:id="1311" w:name="_Toc18022"/>
      <w:bookmarkStart w:id="1312" w:name="_Toc12616"/>
      <w:bookmarkStart w:id="1313" w:name="_Toc23261"/>
      <w:bookmarkStart w:id="1314" w:name="_Toc17990"/>
      <w:bookmarkStart w:id="1315" w:name="_Toc28102"/>
      <w:bookmarkStart w:id="1316" w:name="_Toc26712"/>
      <w:r>
        <w:rPr>
          <w:rFonts w:hint="eastAsia" w:ascii="宋体" w:cs="宋体"/>
          <w:color w:val="auto"/>
          <w:sz w:val="30"/>
          <w:szCs w:val="30"/>
          <w:highlight w:val="none"/>
        </w:rPr>
        <w:t>20</w:t>
      </w:r>
      <w:r>
        <w:rPr>
          <w:rFonts w:hint="eastAsia" w:cs="宋体"/>
          <w:color w:val="auto"/>
          <w:sz w:val="30"/>
          <w:szCs w:val="30"/>
          <w:highlight w:val="none"/>
          <w:lang w:eastAsia="zh-CN"/>
        </w:rPr>
        <w:t>　</w:t>
      </w:r>
      <w:r>
        <w:rPr>
          <w:rFonts w:hint="eastAsia" w:ascii="宋体" w:cs="宋体"/>
          <w:color w:val="auto"/>
          <w:sz w:val="30"/>
          <w:szCs w:val="30"/>
          <w:highlight w:val="none"/>
        </w:rPr>
        <w:t>保险</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p>
    <w:p w14:paraId="4B54F548">
      <w:pPr>
        <w:pStyle w:val="4"/>
        <w:kinsoku/>
        <w:spacing w:beforeLines="0" w:afterLines="0"/>
        <w:rPr>
          <w:rFonts w:hint="eastAsia" w:hAnsi="宋体" w:cs="宋体"/>
          <w:bCs/>
          <w:color w:val="auto"/>
          <w:szCs w:val="24"/>
          <w:highlight w:val="none"/>
          <w:lang w:eastAsia="zh-CN"/>
        </w:rPr>
      </w:pPr>
      <w:bookmarkStart w:id="1317" w:name="_Toc25051"/>
      <w:bookmarkStart w:id="1318" w:name="_Toc1104"/>
      <w:bookmarkStart w:id="1319" w:name="_Toc11115"/>
      <w:r>
        <w:rPr>
          <w:rFonts w:hint="eastAsia" w:hAnsi="宋体" w:cs="宋体"/>
          <w:b/>
          <w:bCs/>
          <w:color w:val="auto"/>
          <w:szCs w:val="24"/>
          <w:highlight w:val="none"/>
          <w:lang w:eastAsia="zh-CN"/>
        </w:rPr>
        <w:t>20.1</w:t>
      </w:r>
      <w:r>
        <w:rPr>
          <w:rFonts w:hint="eastAsia" w:cs="宋体"/>
          <w:b/>
          <w:bCs/>
          <w:color w:val="auto"/>
          <w:szCs w:val="24"/>
          <w:highlight w:val="none"/>
          <w:lang w:eastAsia="zh-CN"/>
        </w:rPr>
        <w:t>　</w:t>
      </w:r>
      <w:r>
        <w:rPr>
          <w:rFonts w:hint="eastAsia" w:hAnsi="宋体" w:cs="宋体"/>
          <w:b/>
          <w:bCs/>
          <w:color w:val="auto"/>
          <w:szCs w:val="24"/>
          <w:highlight w:val="none"/>
          <w:lang w:eastAsia="zh-CN"/>
        </w:rPr>
        <w:t>建筑安装工程保险</w:t>
      </w:r>
      <w:bookmarkEnd w:id="1317"/>
      <w:bookmarkEnd w:id="1318"/>
      <w:bookmarkEnd w:id="1319"/>
    </w:p>
    <w:p w14:paraId="7B11C192">
      <w:pPr>
        <w:kinsoku/>
        <w:ind w:firstLine="0"/>
        <w:rPr>
          <w:color w:val="auto"/>
          <w:highlight w:val="none"/>
          <w:lang w:eastAsia="zh-CN"/>
        </w:rPr>
      </w:pPr>
      <w:r>
        <w:rPr>
          <w:color w:val="auto"/>
          <w:highlight w:val="none"/>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0499C1B9">
      <w:pPr>
        <w:pStyle w:val="4"/>
        <w:kinsoku/>
        <w:spacing w:beforeLines="0" w:afterLines="0"/>
        <w:rPr>
          <w:rFonts w:hint="eastAsia" w:hAnsi="宋体" w:cs="宋体"/>
          <w:bCs/>
          <w:color w:val="auto"/>
          <w:szCs w:val="24"/>
          <w:highlight w:val="none"/>
          <w:lang w:eastAsia="zh-CN"/>
        </w:rPr>
      </w:pPr>
      <w:bookmarkStart w:id="1320" w:name="_Toc7822"/>
      <w:bookmarkStart w:id="1321" w:name="_Toc15556"/>
      <w:bookmarkStart w:id="1322" w:name="_Toc18156"/>
      <w:r>
        <w:rPr>
          <w:rFonts w:hint="eastAsia" w:hAnsi="宋体" w:cs="宋体"/>
          <w:b/>
          <w:bCs/>
          <w:color w:val="auto"/>
          <w:szCs w:val="24"/>
          <w:highlight w:val="none"/>
          <w:lang w:eastAsia="zh-CN"/>
        </w:rPr>
        <w:t>20.2</w:t>
      </w:r>
      <w:r>
        <w:rPr>
          <w:rFonts w:hint="eastAsia" w:cs="宋体"/>
          <w:b/>
          <w:bCs/>
          <w:color w:val="auto"/>
          <w:szCs w:val="24"/>
          <w:highlight w:val="none"/>
          <w:lang w:eastAsia="zh-CN"/>
        </w:rPr>
        <w:t>　</w:t>
      </w:r>
      <w:r>
        <w:rPr>
          <w:rFonts w:hint="eastAsia" w:hAnsi="宋体" w:cs="宋体"/>
          <w:b/>
          <w:bCs/>
          <w:color w:val="auto"/>
          <w:szCs w:val="24"/>
          <w:highlight w:val="none"/>
          <w:lang w:eastAsia="zh-CN"/>
        </w:rPr>
        <w:t>人员工伤事故的保险</w:t>
      </w:r>
      <w:bookmarkEnd w:id="1320"/>
      <w:bookmarkEnd w:id="1321"/>
      <w:bookmarkEnd w:id="1322"/>
    </w:p>
    <w:p w14:paraId="0F1D9AC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20.2.1</w:t>
      </w:r>
      <w:r>
        <w:rPr>
          <w:rFonts w:hint="eastAsia" w:hAnsi="Times New Roman" w:cs="Times New Roman"/>
          <w:b/>
          <w:bCs/>
          <w:color w:val="auto"/>
          <w:highlight w:val="none"/>
          <w:lang w:eastAsia="zh-CN"/>
        </w:rPr>
        <w:t>　</w:t>
      </w:r>
      <w:r>
        <w:rPr>
          <w:rFonts w:cs="宋体"/>
          <w:color w:val="auto"/>
          <w:highlight w:val="none"/>
          <w:lang w:eastAsia="zh-CN"/>
        </w:rPr>
        <w:t>承包人员工伤事故的保险</w:t>
      </w:r>
    </w:p>
    <w:p w14:paraId="1196955E">
      <w:pPr>
        <w:kinsoku/>
        <w:ind w:firstLine="0"/>
        <w:rPr>
          <w:color w:val="auto"/>
          <w:highlight w:val="none"/>
          <w:lang w:eastAsia="zh-CN"/>
        </w:rPr>
      </w:pPr>
      <w:r>
        <w:rPr>
          <w:color w:val="auto"/>
          <w:highlight w:val="none"/>
          <w:lang w:eastAsia="zh-CN"/>
        </w:rPr>
        <w:t>承包人应依照有关法律规定参加工伤保险，为其履行合同所雇佣的全部人员，缴纳工伤保险费，并要求其分包人也进行此项保险。</w:t>
      </w:r>
    </w:p>
    <w:p w14:paraId="576AE41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20.2.2</w:t>
      </w:r>
      <w:r>
        <w:rPr>
          <w:rFonts w:hint="eastAsia" w:hAnsi="Times New Roman" w:cs="Times New Roman"/>
          <w:b/>
          <w:bCs/>
          <w:color w:val="auto"/>
          <w:highlight w:val="none"/>
          <w:lang w:eastAsia="zh-CN"/>
        </w:rPr>
        <w:t>　</w:t>
      </w:r>
      <w:r>
        <w:rPr>
          <w:rFonts w:cs="宋体"/>
          <w:color w:val="auto"/>
          <w:highlight w:val="none"/>
          <w:lang w:eastAsia="zh-CN"/>
        </w:rPr>
        <w:t>发包人员工伤事故的保险</w:t>
      </w:r>
    </w:p>
    <w:p w14:paraId="5FCE5095">
      <w:pPr>
        <w:kinsoku/>
        <w:ind w:firstLine="0"/>
        <w:rPr>
          <w:color w:val="auto"/>
          <w:highlight w:val="none"/>
          <w:lang w:eastAsia="zh-CN"/>
        </w:rPr>
      </w:pPr>
      <w:r>
        <w:rPr>
          <w:color w:val="auto"/>
          <w:highlight w:val="none"/>
          <w:lang w:eastAsia="zh-CN"/>
        </w:rPr>
        <w:t>发包人应依照有关法律规定参加工伤保险，为其现场机构雇佣的全部人员，缴纳工伤保险费，并要求其监理人也进行此项保险。</w:t>
      </w:r>
    </w:p>
    <w:p w14:paraId="0466D988">
      <w:pPr>
        <w:pStyle w:val="4"/>
        <w:kinsoku/>
        <w:spacing w:beforeLines="0" w:afterLines="0"/>
        <w:rPr>
          <w:rFonts w:hint="eastAsia" w:hAnsi="宋体" w:cs="宋体"/>
          <w:bCs/>
          <w:color w:val="auto"/>
          <w:szCs w:val="24"/>
          <w:highlight w:val="none"/>
          <w:lang w:eastAsia="zh-CN"/>
        </w:rPr>
      </w:pPr>
      <w:bookmarkStart w:id="1323" w:name="_Toc7283"/>
      <w:bookmarkStart w:id="1324" w:name="_Toc28466"/>
      <w:bookmarkStart w:id="1325" w:name="_Toc15021"/>
      <w:r>
        <w:rPr>
          <w:rFonts w:hint="eastAsia" w:hAnsi="宋体" w:cs="宋体"/>
          <w:b/>
          <w:bCs/>
          <w:color w:val="auto"/>
          <w:szCs w:val="24"/>
          <w:highlight w:val="none"/>
          <w:lang w:eastAsia="zh-CN"/>
        </w:rPr>
        <w:t>20.3</w:t>
      </w:r>
      <w:r>
        <w:rPr>
          <w:rFonts w:hint="eastAsia" w:cs="宋体"/>
          <w:b/>
          <w:bCs/>
          <w:color w:val="auto"/>
          <w:szCs w:val="24"/>
          <w:highlight w:val="none"/>
          <w:lang w:eastAsia="zh-CN"/>
        </w:rPr>
        <w:t>　</w:t>
      </w:r>
      <w:r>
        <w:rPr>
          <w:rFonts w:hint="eastAsia" w:hAnsi="宋体" w:cs="宋体"/>
          <w:b/>
          <w:bCs/>
          <w:color w:val="auto"/>
          <w:szCs w:val="24"/>
          <w:highlight w:val="none"/>
          <w:lang w:eastAsia="zh-CN"/>
        </w:rPr>
        <w:t>人身意外伤害险</w:t>
      </w:r>
      <w:bookmarkEnd w:id="1323"/>
      <w:bookmarkEnd w:id="1324"/>
      <w:bookmarkEnd w:id="1325"/>
    </w:p>
    <w:p w14:paraId="399D061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20.3.1</w:t>
      </w:r>
      <w:r>
        <w:rPr>
          <w:rFonts w:hint="eastAsia" w:hAnsi="Times New Roman" w:cs="Times New Roman"/>
          <w:b/>
          <w:bCs/>
          <w:color w:val="auto"/>
          <w:highlight w:val="none"/>
          <w:lang w:eastAsia="zh-CN"/>
        </w:rPr>
        <w:t>　</w:t>
      </w:r>
      <w:r>
        <w:rPr>
          <w:rFonts w:cs="宋体"/>
          <w:color w:val="auto"/>
          <w:highlight w:val="none"/>
          <w:lang w:eastAsia="zh-CN"/>
        </w:rPr>
        <w:t>发包人应在整个施工期间为其现场机构雇用的全部人员，投保人身意外伤害险，缴纳保险费，并要求其监理人也进行此项保险。</w:t>
      </w:r>
    </w:p>
    <w:p w14:paraId="0D3763B3">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20.3.2</w:t>
      </w:r>
      <w:r>
        <w:rPr>
          <w:rFonts w:hint="eastAsia" w:hAnsi="Times New Roman" w:cs="Times New Roman"/>
          <w:b/>
          <w:bCs/>
          <w:color w:val="auto"/>
          <w:highlight w:val="none"/>
          <w:lang w:eastAsia="zh-CN"/>
        </w:rPr>
        <w:t>　</w:t>
      </w:r>
      <w:r>
        <w:rPr>
          <w:rFonts w:cs="宋体"/>
          <w:color w:val="auto"/>
          <w:highlight w:val="none"/>
          <w:lang w:eastAsia="zh-CN"/>
        </w:rPr>
        <w:t>承包人应在整个施工期间为其现场机构雇用的全部人员，投保人身意外伤害险，缴纳保险费，并要求其分包人也进行此项保险。</w:t>
      </w:r>
    </w:p>
    <w:p w14:paraId="01E35FD5">
      <w:pPr>
        <w:pStyle w:val="4"/>
        <w:kinsoku/>
        <w:spacing w:beforeLines="0" w:afterLines="0"/>
        <w:rPr>
          <w:rFonts w:hint="eastAsia" w:hAnsi="宋体" w:cs="宋体"/>
          <w:bCs/>
          <w:color w:val="auto"/>
          <w:szCs w:val="24"/>
          <w:highlight w:val="none"/>
          <w:lang w:eastAsia="zh-CN"/>
        </w:rPr>
      </w:pPr>
      <w:bookmarkStart w:id="1326" w:name="_Toc12454"/>
      <w:bookmarkStart w:id="1327" w:name="_Toc2283"/>
      <w:bookmarkStart w:id="1328" w:name="_Toc18734"/>
      <w:r>
        <w:rPr>
          <w:rFonts w:hint="eastAsia" w:hAnsi="宋体" w:cs="宋体"/>
          <w:b/>
          <w:bCs/>
          <w:color w:val="auto"/>
          <w:szCs w:val="24"/>
          <w:highlight w:val="none"/>
          <w:lang w:eastAsia="zh-CN"/>
        </w:rPr>
        <w:t>20.4</w:t>
      </w:r>
      <w:r>
        <w:rPr>
          <w:rFonts w:hint="eastAsia" w:cs="宋体"/>
          <w:b/>
          <w:bCs/>
          <w:color w:val="auto"/>
          <w:szCs w:val="24"/>
          <w:highlight w:val="none"/>
          <w:lang w:eastAsia="zh-CN"/>
        </w:rPr>
        <w:t>　</w:t>
      </w:r>
      <w:r>
        <w:rPr>
          <w:rFonts w:hint="eastAsia" w:hAnsi="宋体" w:cs="宋体"/>
          <w:b/>
          <w:bCs/>
          <w:color w:val="auto"/>
          <w:szCs w:val="24"/>
          <w:highlight w:val="none"/>
          <w:lang w:eastAsia="zh-CN"/>
        </w:rPr>
        <w:t>第三者责任险</w:t>
      </w:r>
      <w:bookmarkEnd w:id="1326"/>
      <w:bookmarkEnd w:id="1327"/>
      <w:bookmarkEnd w:id="1328"/>
    </w:p>
    <w:p w14:paraId="5E40721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20.4.1</w:t>
      </w:r>
      <w:r>
        <w:rPr>
          <w:rFonts w:hint="eastAsia" w:hAnsi="Times New Roman" w:cs="Times New Roman"/>
          <w:b/>
          <w:bCs/>
          <w:color w:val="auto"/>
          <w:highlight w:val="none"/>
          <w:lang w:eastAsia="zh-CN"/>
        </w:rPr>
        <w:t>　</w:t>
      </w:r>
      <w:r>
        <w:rPr>
          <w:rFonts w:cs="宋体"/>
          <w:color w:val="auto"/>
          <w:highlight w:val="none"/>
          <w:lang w:eastAsia="zh-CN"/>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3AA921C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20.4.2</w:t>
      </w:r>
      <w:r>
        <w:rPr>
          <w:rFonts w:hint="eastAsia" w:hAnsi="Times New Roman" w:cs="Times New Roman"/>
          <w:b/>
          <w:bCs/>
          <w:color w:val="auto"/>
          <w:highlight w:val="none"/>
          <w:lang w:eastAsia="zh-CN"/>
        </w:rPr>
        <w:t>　</w:t>
      </w:r>
      <w:r>
        <w:rPr>
          <w:rFonts w:cs="宋体"/>
          <w:color w:val="auto"/>
          <w:highlight w:val="none"/>
          <w:lang w:eastAsia="zh-CN"/>
        </w:rPr>
        <w:t>在缺陷责任期终止证书颁发前，承包人应以承包人和发包人的共同名义，投保第</w:t>
      </w:r>
      <w:r>
        <w:rPr>
          <w:rFonts w:hAnsi="Times New Roman" w:cs="Times New Roman"/>
          <w:color w:val="auto"/>
          <w:highlight w:val="none"/>
          <w:lang w:eastAsia="zh-CN"/>
        </w:rPr>
        <w:t>20.4.1</w:t>
      </w:r>
      <w:r>
        <w:rPr>
          <w:rFonts w:cs="宋体"/>
          <w:color w:val="auto"/>
          <w:highlight w:val="none"/>
          <w:lang w:eastAsia="zh-CN"/>
        </w:rPr>
        <w:t>项约定的第三者责任险，其保险费率、保险金额等有关内容在专用合同条款中约定。</w:t>
      </w:r>
    </w:p>
    <w:p w14:paraId="7F8CB7E9">
      <w:pPr>
        <w:pStyle w:val="4"/>
        <w:kinsoku/>
        <w:spacing w:beforeLines="0" w:afterLines="0"/>
        <w:rPr>
          <w:rFonts w:hint="eastAsia" w:hAnsi="宋体" w:cs="宋体"/>
          <w:bCs/>
          <w:color w:val="auto"/>
          <w:szCs w:val="24"/>
          <w:highlight w:val="none"/>
          <w:lang w:eastAsia="zh-CN"/>
        </w:rPr>
      </w:pPr>
      <w:bookmarkStart w:id="1329" w:name="_Toc27347"/>
      <w:bookmarkStart w:id="1330" w:name="_Toc15204"/>
      <w:bookmarkStart w:id="1331" w:name="_Toc27855"/>
      <w:r>
        <w:rPr>
          <w:rFonts w:hint="eastAsia" w:hAnsi="宋体" w:cs="宋体"/>
          <w:b/>
          <w:bCs/>
          <w:color w:val="auto"/>
          <w:szCs w:val="24"/>
          <w:highlight w:val="none"/>
          <w:lang w:eastAsia="zh-CN"/>
        </w:rPr>
        <w:t>20.5</w:t>
      </w:r>
      <w:r>
        <w:rPr>
          <w:rFonts w:hint="eastAsia" w:cs="宋体"/>
          <w:b/>
          <w:bCs/>
          <w:color w:val="auto"/>
          <w:szCs w:val="24"/>
          <w:highlight w:val="none"/>
          <w:lang w:eastAsia="zh-CN"/>
        </w:rPr>
        <w:t>　</w:t>
      </w:r>
      <w:r>
        <w:rPr>
          <w:rFonts w:hint="eastAsia" w:hAnsi="宋体" w:cs="宋体"/>
          <w:b/>
          <w:bCs/>
          <w:color w:val="auto"/>
          <w:szCs w:val="24"/>
          <w:highlight w:val="none"/>
          <w:lang w:eastAsia="zh-CN"/>
        </w:rPr>
        <w:t>其他保险</w:t>
      </w:r>
      <w:bookmarkEnd w:id="1329"/>
      <w:bookmarkEnd w:id="1330"/>
      <w:bookmarkEnd w:id="1331"/>
    </w:p>
    <w:p w14:paraId="7DD979DF">
      <w:pPr>
        <w:kinsoku/>
        <w:ind w:firstLine="0"/>
        <w:rPr>
          <w:color w:val="auto"/>
          <w:highlight w:val="none"/>
          <w:lang w:eastAsia="zh-CN"/>
        </w:rPr>
      </w:pPr>
      <w:r>
        <w:rPr>
          <w:color w:val="auto"/>
          <w:highlight w:val="none"/>
          <w:lang w:eastAsia="zh-CN"/>
        </w:rPr>
        <w:t>除专用合同条款另有约定外，承包人应为其施工设备、进场的材料和工程设备等办理保险。</w:t>
      </w:r>
    </w:p>
    <w:p w14:paraId="1C81ACE8">
      <w:pPr>
        <w:pStyle w:val="4"/>
        <w:kinsoku/>
        <w:spacing w:beforeLines="0" w:afterLines="0"/>
        <w:rPr>
          <w:rFonts w:hint="eastAsia" w:hAnsi="宋体" w:cs="宋体"/>
          <w:bCs/>
          <w:color w:val="auto"/>
          <w:szCs w:val="24"/>
          <w:highlight w:val="none"/>
          <w:lang w:eastAsia="zh-CN"/>
        </w:rPr>
      </w:pPr>
      <w:bookmarkStart w:id="1332" w:name="_Toc29173"/>
      <w:bookmarkStart w:id="1333" w:name="_Toc11513"/>
      <w:bookmarkStart w:id="1334" w:name="_Toc11479"/>
      <w:r>
        <w:rPr>
          <w:rFonts w:hint="eastAsia" w:hAnsi="宋体" w:cs="宋体"/>
          <w:b/>
          <w:bCs/>
          <w:color w:val="auto"/>
          <w:szCs w:val="24"/>
          <w:highlight w:val="none"/>
          <w:lang w:eastAsia="zh-CN"/>
        </w:rPr>
        <w:t>20.6</w:t>
      </w:r>
      <w:r>
        <w:rPr>
          <w:rFonts w:hint="eastAsia" w:cs="宋体"/>
          <w:b/>
          <w:bCs/>
          <w:color w:val="auto"/>
          <w:szCs w:val="24"/>
          <w:highlight w:val="none"/>
          <w:lang w:eastAsia="zh-CN"/>
        </w:rPr>
        <w:t>　</w:t>
      </w:r>
      <w:r>
        <w:rPr>
          <w:rFonts w:hint="eastAsia" w:hAnsi="宋体" w:cs="宋体"/>
          <w:b/>
          <w:bCs/>
          <w:color w:val="auto"/>
          <w:szCs w:val="24"/>
          <w:highlight w:val="none"/>
          <w:lang w:eastAsia="zh-CN"/>
        </w:rPr>
        <w:t>对各项保险的一般要求</w:t>
      </w:r>
      <w:bookmarkEnd w:id="1332"/>
      <w:bookmarkEnd w:id="1333"/>
      <w:bookmarkEnd w:id="1334"/>
    </w:p>
    <w:p w14:paraId="3F6665C5">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20.6.1</w:t>
      </w:r>
      <w:r>
        <w:rPr>
          <w:rFonts w:hint="eastAsia" w:hAnsi="Times New Roman" w:cs="Times New Roman"/>
          <w:b/>
          <w:bCs/>
          <w:color w:val="auto"/>
          <w:highlight w:val="none"/>
          <w:lang w:eastAsia="zh-CN"/>
        </w:rPr>
        <w:t>　</w:t>
      </w:r>
      <w:r>
        <w:rPr>
          <w:rFonts w:cs="宋体"/>
          <w:color w:val="auto"/>
          <w:highlight w:val="none"/>
          <w:lang w:eastAsia="zh-CN"/>
        </w:rPr>
        <w:t>保险凭证</w:t>
      </w:r>
    </w:p>
    <w:p w14:paraId="031B6B57">
      <w:pPr>
        <w:kinsoku/>
        <w:ind w:firstLine="0"/>
        <w:rPr>
          <w:color w:val="auto"/>
          <w:highlight w:val="none"/>
          <w:lang w:eastAsia="zh-CN"/>
        </w:rPr>
      </w:pPr>
      <w:r>
        <w:rPr>
          <w:color w:val="auto"/>
          <w:highlight w:val="none"/>
          <w:lang w:eastAsia="zh-CN"/>
        </w:rPr>
        <w:t>承包人应在专用合同条款约定的期限内向发包人提交各项保险生效的证据和保险单副本，保险单必须与专用合同条款约定的条件保持一致。</w:t>
      </w:r>
    </w:p>
    <w:p w14:paraId="0964BA2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20.6.2</w:t>
      </w:r>
      <w:r>
        <w:rPr>
          <w:rFonts w:hint="eastAsia" w:hAnsi="Times New Roman" w:cs="Times New Roman"/>
          <w:b/>
          <w:bCs/>
          <w:color w:val="auto"/>
          <w:highlight w:val="none"/>
          <w:lang w:eastAsia="zh-CN"/>
        </w:rPr>
        <w:t>　</w:t>
      </w:r>
      <w:r>
        <w:rPr>
          <w:rFonts w:cs="宋体"/>
          <w:color w:val="auto"/>
          <w:highlight w:val="none"/>
          <w:lang w:eastAsia="zh-CN"/>
        </w:rPr>
        <w:t>保险合同条款的变动</w:t>
      </w:r>
    </w:p>
    <w:p w14:paraId="43B60148">
      <w:pPr>
        <w:kinsoku/>
        <w:ind w:firstLine="0"/>
        <w:rPr>
          <w:color w:val="auto"/>
          <w:highlight w:val="none"/>
          <w:lang w:eastAsia="zh-CN"/>
        </w:rPr>
      </w:pPr>
      <w:r>
        <w:rPr>
          <w:color w:val="auto"/>
          <w:highlight w:val="none"/>
          <w:lang w:eastAsia="zh-CN"/>
        </w:rPr>
        <w:t>承包人需要变动保险合同条款时，应事先征得发包人同意，并通知监理人。保险人作出变动的，承包人应在收到保险人通知后立即通知发包人和监理人。</w:t>
      </w:r>
    </w:p>
    <w:p w14:paraId="2295712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20.6.3</w:t>
      </w:r>
      <w:r>
        <w:rPr>
          <w:rFonts w:hint="eastAsia" w:hAnsi="Times New Roman" w:cs="Times New Roman"/>
          <w:b/>
          <w:bCs/>
          <w:color w:val="auto"/>
          <w:highlight w:val="none"/>
          <w:lang w:eastAsia="zh-CN"/>
        </w:rPr>
        <w:t>　</w:t>
      </w:r>
      <w:r>
        <w:rPr>
          <w:rFonts w:cs="宋体"/>
          <w:color w:val="auto"/>
          <w:highlight w:val="none"/>
          <w:lang w:eastAsia="zh-CN"/>
        </w:rPr>
        <w:t>持续保险</w:t>
      </w:r>
    </w:p>
    <w:p w14:paraId="776785C4">
      <w:pPr>
        <w:kinsoku/>
        <w:ind w:firstLine="0"/>
        <w:rPr>
          <w:color w:val="auto"/>
          <w:highlight w:val="none"/>
          <w:lang w:eastAsia="zh-CN"/>
        </w:rPr>
      </w:pPr>
      <w:r>
        <w:rPr>
          <w:color w:val="auto"/>
          <w:highlight w:val="none"/>
          <w:lang w:eastAsia="zh-CN"/>
        </w:rPr>
        <w:t>承包人应与保险人保持联系，使保险人能够随时了解工程实施中的变动，并确保按保险合同条款要求持续保险。</w:t>
      </w:r>
    </w:p>
    <w:p w14:paraId="5BF66A5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20.6.4</w:t>
      </w:r>
      <w:r>
        <w:rPr>
          <w:rFonts w:hint="eastAsia" w:hAnsi="Times New Roman" w:cs="Times New Roman"/>
          <w:b/>
          <w:bCs/>
          <w:color w:val="auto"/>
          <w:highlight w:val="none"/>
          <w:lang w:eastAsia="zh-CN"/>
        </w:rPr>
        <w:t>　</w:t>
      </w:r>
      <w:r>
        <w:rPr>
          <w:rFonts w:cs="宋体"/>
          <w:color w:val="auto"/>
          <w:highlight w:val="none"/>
          <w:lang w:eastAsia="zh-CN"/>
        </w:rPr>
        <w:t>保险金不足的补偿</w:t>
      </w:r>
    </w:p>
    <w:p w14:paraId="3B2744B6">
      <w:pPr>
        <w:kinsoku/>
        <w:ind w:firstLine="0"/>
        <w:rPr>
          <w:color w:val="auto"/>
          <w:highlight w:val="none"/>
          <w:lang w:eastAsia="zh-CN"/>
        </w:rPr>
      </w:pPr>
      <w:r>
        <w:rPr>
          <w:color w:val="auto"/>
          <w:highlight w:val="none"/>
          <w:lang w:eastAsia="zh-CN"/>
        </w:rPr>
        <w:t>保险金不足以补偿损失时，应由承包人和发包人各自负责补偿的范围和金额在专用合同条款中约定。</w:t>
      </w:r>
    </w:p>
    <w:p w14:paraId="0100B8C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20.6.5</w:t>
      </w:r>
      <w:r>
        <w:rPr>
          <w:rFonts w:hint="eastAsia" w:hAnsi="Times New Roman" w:cs="Times New Roman"/>
          <w:b/>
          <w:bCs/>
          <w:color w:val="auto"/>
          <w:highlight w:val="none"/>
          <w:lang w:eastAsia="zh-CN"/>
        </w:rPr>
        <w:t>　</w:t>
      </w:r>
      <w:r>
        <w:rPr>
          <w:rFonts w:cs="宋体"/>
          <w:color w:val="auto"/>
          <w:highlight w:val="none"/>
          <w:lang w:eastAsia="zh-CN"/>
        </w:rPr>
        <w:t>未按约定投保的补救</w:t>
      </w:r>
    </w:p>
    <w:p w14:paraId="65460A41">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）由于负有投保义务的一方当事人未按合同约定办理保险，或未能使保险持续有效的，另一方当事人可代为办理，所需费用由对方当事人承担。</w:t>
      </w:r>
    </w:p>
    <w:p w14:paraId="46FD5077">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）由于负有投保义务的一方当事人未按合同约定办理某项保险，导致受益人未能得到保险人的赔偿，原应从该项保险得到的保险金应由负有投保义务的一方当事人支付。</w:t>
      </w:r>
    </w:p>
    <w:p w14:paraId="09FC5FC8">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20.6.6</w:t>
      </w:r>
      <w:r>
        <w:rPr>
          <w:rFonts w:hint="eastAsia" w:hAnsi="Times New Roman" w:cs="Times New Roman"/>
          <w:b/>
          <w:bCs/>
          <w:color w:val="auto"/>
          <w:highlight w:val="none"/>
          <w:lang w:eastAsia="zh-CN"/>
        </w:rPr>
        <w:t>　</w:t>
      </w:r>
      <w:r>
        <w:rPr>
          <w:rFonts w:cs="宋体"/>
          <w:color w:val="auto"/>
          <w:highlight w:val="none"/>
          <w:lang w:eastAsia="zh-CN"/>
        </w:rPr>
        <w:t>报告义务</w:t>
      </w:r>
    </w:p>
    <w:p w14:paraId="5ED85185">
      <w:pPr>
        <w:kinsoku/>
        <w:ind w:firstLine="0"/>
        <w:jc w:val="left"/>
        <w:rPr>
          <w:color w:val="auto"/>
          <w:highlight w:val="none"/>
          <w:lang w:eastAsia="zh-CN"/>
        </w:rPr>
      </w:pPr>
      <w:r>
        <w:rPr>
          <w:color w:val="auto"/>
          <w:highlight w:val="none"/>
          <w:lang w:eastAsia="zh-CN"/>
        </w:rPr>
        <w:t>当保险事故发生时，投保人应按照保险单规定的条件和期限及时向保险人报告。</w:t>
      </w:r>
    </w:p>
    <w:p w14:paraId="52009DF4">
      <w:pPr>
        <w:pStyle w:val="4"/>
        <w:kinsoku/>
        <w:spacing w:beforeLines="0" w:afterLines="0"/>
        <w:rPr>
          <w:rFonts w:hint="eastAsia" w:hAnsi="宋体" w:cs="宋体"/>
          <w:bCs/>
          <w:color w:val="auto"/>
          <w:szCs w:val="24"/>
          <w:highlight w:val="none"/>
          <w:lang w:eastAsia="zh-CN"/>
        </w:rPr>
      </w:pPr>
      <w:bookmarkStart w:id="1335" w:name="_Toc22182"/>
      <w:bookmarkStart w:id="1336" w:name="_Toc20804"/>
      <w:bookmarkStart w:id="1337" w:name="_Toc14848"/>
      <w:r>
        <w:rPr>
          <w:rFonts w:hint="eastAsia" w:hAnsi="宋体" w:cs="宋体"/>
          <w:b/>
          <w:bCs/>
          <w:color w:val="auto"/>
          <w:szCs w:val="24"/>
          <w:highlight w:val="none"/>
          <w:lang w:eastAsia="zh-CN"/>
        </w:rPr>
        <w:t>20.7</w:t>
      </w:r>
      <w:r>
        <w:rPr>
          <w:rFonts w:hint="eastAsia" w:cs="宋体"/>
          <w:b/>
          <w:bCs/>
          <w:color w:val="auto"/>
          <w:szCs w:val="24"/>
          <w:highlight w:val="none"/>
          <w:lang w:eastAsia="zh-CN"/>
        </w:rPr>
        <w:t>　</w:t>
      </w:r>
      <w:r>
        <w:rPr>
          <w:rFonts w:hint="eastAsia" w:hAnsi="宋体" w:cs="宋体"/>
          <w:b/>
          <w:bCs/>
          <w:color w:val="auto"/>
          <w:szCs w:val="24"/>
          <w:highlight w:val="none"/>
          <w:lang w:eastAsia="zh-CN"/>
        </w:rPr>
        <w:t>风险责任的转移</w:t>
      </w:r>
      <w:bookmarkEnd w:id="1335"/>
      <w:bookmarkEnd w:id="1336"/>
      <w:bookmarkEnd w:id="1337"/>
    </w:p>
    <w:p w14:paraId="644A029A">
      <w:pPr>
        <w:kinsoku/>
        <w:ind w:firstLine="0"/>
        <w:rPr>
          <w:color w:val="auto"/>
          <w:highlight w:val="none"/>
          <w:lang w:eastAsia="zh-CN"/>
        </w:rPr>
      </w:pPr>
      <w:r>
        <w:rPr>
          <w:color w:val="auto"/>
          <w:highlight w:val="none"/>
          <w:lang w:eastAsia="zh-CN"/>
        </w:rPr>
        <w:t>工程通过合同工程完工验收并移交给发包人后，原由承包人应承担的风险责任，以及保险的责任、权利和义务同时转移给发包人，但承包人在缺陷责任期（工程质量保修期）前造成损失和损坏情形除外。</w:t>
      </w:r>
    </w:p>
    <w:p w14:paraId="6A91131E">
      <w:pPr>
        <w:pStyle w:val="3"/>
        <w:kinsoku/>
        <w:spacing w:before="0" w:beforeLines="0" w:afterLines="0" w:line="360" w:lineRule="auto"/>
        <w:outlineLvl w:val="1"/>
        <w:rPr>
          <w:rFonts w:hint="eastAsia" w:ascii="宋体" w:cs="宋体"/>
          <w:color w:val="auto"/>
          <w:sz w:val="30"/>
          <w:szCs w:val="30"/>
          <w:highlight w:val="none"/>
        </w:rPr>
      </w:pPr>
      <w:bookmarkStart w:id="1338" w:name="_Toc31224"/>
      <w:bookmarkStart w:id="1339" w:name="_Toc15125"/>
      <w:bookmarkStart w:id="1340" w:name="_Toc12728"/>
      <w:bookmarkStart w:id="1341" w:name="_Toc7063"/>
      <w:bookmarkStart w:id="1342" w:name="_Toc24934"/>
      <w:bookmarkStart w:id="1343" w:name="_Toc9991"/>
      <w:bookmarkStart w:id="1344" w:name="_Toc8413"/>
      <w:bookmarkStart w:id="1345" w:name="_Toc3550"/>
      <w:bookmarkStart w:id="1346" w:name="_Toc20461"/>
      <w:bookmarkStart w:id="1347" w:name="_Toc5082"/>
      <w:bookmarkStart w:id="1348" w:name="_Toc3386"/>
      <w:bookmarkStart w:id="1349" w:name="_Toc29401"/>
      <w:bookmarkStart w:id="1350" w:name="_Toc23966"/>
      <w:bookmarkStart w:id="1351" w:name="_Toc30963"/>
      <w:r>
        <w:rPr>
          <w:rFonts w:hint="eastAsia" w:ascii="宋体" w:cs="宋体"/>
          <w:color w:val="auto"/>
          <w:sz w:val="30"/>
          <w:szCs w:val="30"/>
          <w:highlight w:val="none"/>
        </w:rPr>
        <w:t>21</w:t>
      </w:r>
      <w:r>
        <w:rPr>
          <w:rFonts w:hint="eastAsia" w:cs="宋体"/>
          <w:color w:val="auto"/>
          <w:sz w:val="30"/>
          <w:szCs w:val="30"/>
          <w:highlight w:val="none"/>
          <w:lang w:eastAsia="zh-CN"/>
        </w:rPr>
        <w:t>　</w:t>
      </w:r>
      <w:r>
        <w:rPr>
          <w:rFonts w:hint="eastAsia" w:ascii="宋体" w:cs="宋体"/>
          <w:color w:val="auto"/>
          <w:sz w:val="30"/>
          <w:szCs w:val="30"/>
          <w:highlight w:val="none"/>
        </w:rPr>
        <w:t>不可抗力</w:t>
      </w:r>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14:paraId="3479A854">
      <w:pPr>
        <w:pStyle w:val="4"/>
        <w:kinsoku/>
        <w:spacing w:beforeLines="0" w:afterLines="0"/>
        <w:rPr>
          <w:rFonts w:hint="eastAsia" w:hAnsi="宋体" w:cs="宋体"/>
          <w:bCs/>
          <w:color w:val="auto"/>
          <w:szCs w:val="24"/>
          <w:highlight w:val="none"/>
          <w:lang w:eastAsia="zh-CN"/>
        </w:rPr>
      </w:pPr>
      <w:bookmarkStart w:id="1352" w:name="_Toc4060"/>
      <w:bookmarkStart w:id="1353" w:name="_Toc18047"/>
      <w:bookmarkStart w:id="1354" w:name="_Toc14582"/>
      <w:r>
        <w:rPr>
          <w:rFonts w:hint="eastAsia" w:hAnsi="宋体" w:cs="宋体"/>
          <w:b/>
          <w:bCs/>
          <w:color w:val="auto"/>
          <w:szCs w:val="24"/>
          <w:highlight w:val="none"/>
          <w:lang w:eastAsia="zh-CN"/>
        </w:rPr>
        <w:t>21.1</w:t>
      </w:r>
      <w:r>
        <w:rPr>
          <w:rFonts w:hint="eastAsia" w:cs="宋体"/>
          <w:b/>
          <w:bCs/>
          <w:color w:val="auto"/>
          <w:szCs w:val="24"/>
          <w:highlight w:val="none"/>
          <w:lang w:eastAsia="zh-CN"/>
        </w:rPr>
        <w:t>　</w:t>
      </w:r>
      <w:r>
        <w:rPr>
          <w:rFonts w:hint="eastAsia" w:hAnsi="宋体" w:cs="宋体"/>
          <w:b/>
          <w:bCs/>
          <w:color w:val="auto"/>
          <w:szCs w:val="24"/>
          <w:highlight w:val="none"/>
          <w:lang w:eastAsia="zh-CN"/>
        </w:rPr>
        <w:t>不可抗力的确认</w:t>
      </w:r>
      <w:bookmarkEnd w:id="1352"/>
      <w:bookmarkEnd w:id="1353"/>
      <w:bookmarkEnd w:id="1354"/>
    </w:p>
    <w:p w14:paraId="012D612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21.1.1</w:t>
      </w:r>
      <w:r>
        <w:rPr>
          <w:rFonts w:hint="eastAsia" w:hAnsi="Times New Roman" w:cs="Times New Roman"/>
          <w:b/>
          <w:bCs/>
          <w:color w:val="auto"/>
          <w:highlight w:val="none"/>
          <w:lang w:eastAsia="zh-CN"/>
        </w:rPr>
        <w:t>　</w:t>
      </w:r>
      <w:r>
        <w:rPr>
          <w:rFonts w:cs="宋体"/>
          <w:color w:val="auto"/>
          <w:highlight w:val="none"/>
          <w:lang w:eastAsia="zh-CN"/>
        </w:rPr>
        <w:t>不可抗力是指承包人和发包人在订立合同时不可预见，在工程施工过程中不可避免发生并不能克服的自然灾害和社会性突发事件，如地震、海啸、瘟疫、水灾、骚乱、暴动、战争和专用合同条款约定的其他情形。</w:t>
      </w:r>
    </w:p>
    <w:p w14:paraId="0950986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21.1.2</w:t>
      </w:r>
      <w:r>
        <w:rPr>
          <w:rFonts w:hint="eastAsia" w:hAnsi="Times New Roman" w:cs="Times New Roman"/>
          <w:b/>
          <w:bCs/>
          <w:color w:val="auto"/>
          <w:highlight w:val="none"/>
          <w:lang w:eastAsia="zh-CN"/>
        </w:rPr>
        <w:t>　</w:t>
      </w:r>
      <w:r>
        <w:rPr>
          <w:rFonts w:cs="宋体"/>
          <w:color w:val="auto"/>
          <w:highlight w:val="none"/>
          <w:lang w:eastAsia="zh-CN"/>
        </w:rPr>
        <w:t>不可抗力发生后，发包人和承包人应及时认真统计所造成的损失，收集不可抗力造成损失的证据。合同双方对是否属于不可抗力或其损失的意见不一致的，由监理人按第</w:t>
      </w:r>
      <w:r>
        <w:rPr>
          <w:rFonts w:hAnsi="Times New Roman" w:cs="Times New Roman"/>
          <w:color w:val="auto"/>
          <w:highlight w:val="none"/>
          <w:lang w:eastAsia="zh-CN"/>
        </w:rPr>
        <w:t>3.5</w:t>
      </w:r>
      <w:r>
        <w:rPr>
          <w:rFonts w:cs="宋体"/>
          <w:color w:val="auto"/>
          <w:highlight w:val="none"/>
          <w:lang w:eastAsia="zh-CN"/>
        </w:rPr>
        <w:t>款商定或确定。发生争议时，按第</w:t>
      </w:r>
      <w:r>
        <w:rPr>
          <w:rFonts w:hAnsi="Times New Roman" w:cs="Times New Roman"/>
          <w:color w:val="auto"/>
          <w:highlight w:val="none"/>
          <w:lang w:eastAsia="zh-CN"/>
        </w:rPr>
        <w:t>24</w:t>
      </w:r>
      <w:r>
        <w:rPr>
          <w:rFonts w:cs="宋体"/>
          <w:color w:val="auto"/>
          <w:highlight w:val="none"/>
          <w:lang w:eastAsia="zh-CN"/>
        </w:rPr>
        <w:t>条的约定办理。</w:t>
      </w:r>
    </w:p>
    <w:p w14:paraId="24911197">
      <w:pPr>
        <w:pStyle w:val="4"/>
        <w:kinsoku/>
        <w:spacing w:beforeLines="0" w:afterLines="0"/>
        <w:rPr>
          <w:rFonts w:hint="eastAsia" w:hAnsi="宋体" w:cs="宋体"/>
          <w:bCs/>
          <w:color w:val="auto"/>
          <w:szCs w:val="24"/>
          <w:highlight w:val="none"/>
          <w:lang w:eastAsia="zh-CN"/>
        </w:rPr>
      </w:pPr>
      <w:bookmarkStart w:id="1355" w:name="_Toc26634"/>
      <w:bookmarkStart w:id="1356" w:name="_Toc179"/>
      <w:bookmarkStart w:id="1357" w:name="_Toc2863"/>
      <w:r>
        <w:rPr>
          <w:rFonts w:hint="eastAsia" w:hAnsi="宋体" w:cs="宋体"/>
          <w:b/>
          <w:bCs/>
          <w:color w:val="auto"/>
          <w:szCs w:val="24"/>
          <w:highlight w:val="none"/>
          <w:lang w:eastAsia="zh-CN"/>
        </w:rPr>
        <w:t>21.2</w:t>
      </w:r>
      <w:r>
        <w:rPr>
          <w:rFonts w:hint="eastAsia" w:cs="宋体"/>
          <w:b/>
          <w:bCs/>
          <w:color w:val="auto"/>
          <w:szCs w:val="24"/>
          <w:highlight w:val="none"/>
          <w:lang w:eastAsia="zh-CN"/>
        </w:rPr>
        <w:t>　</w:t>
      </w:r>
      <w:r>
        <w:rPr>
          <w:rFonts w:hint="eastAsia" w:hAnsi="宋体" w:cs="宋体"/>
          <w:b/>
          <w:bCs/>
          <w:color w:val="auto"/>
          <w:szCs w:val="24"/>
          <w:highlight w:val="none"/>
          <w:lang w:eastAsia="zh-CN"/>
        </w:rPr>
        <w:t>不可抗力的通知</w:t>
      </w:r>
      <w:bookmarkEnd w:id="1355"/>
      <w:bookmarkEnd w:id="1356"/>
      <w:bookmarkEnd w:id="1357"/>
    </w:p>
    <w:p w14:paraId="7289C8C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21.2.1</w:t>
      </w:r>
      <w:r>
        <w:rPr>
          <w:rFonts w:hint="eastAsia" w:hAnsi="Times New Roman" w:cs="Times New Roman"/>
          <w:b/>
          <w:bCs/>
          <w:color w:val="auto"/>
          <w:highlight w:val="none"/>
          <w:lang w:eastAsia="zh-CN"/>
        </w:rPr>
        <w:t>　</w:t>
      </w:r>
      <w:r>
        <w:rPr>
          <w:rFonts w:cs="宋体"/>
          <w:color w:val="auto"/>
          <w:highlight w:val="none"/>
          <w:lang w:eastAsia="zh-CN"/>
        </w:rPr>
        <w:t>合同一方当事人遇到不可抗力事件，使其履行合同义务受到阻碍时，应立即通知合同另一方当事人和监理人，书面说明不可抗力和受阻碍的详细情况，并提供必要的证明。</w:t>
      </w:r>
    </w:p>
    <w:p w14:paraId="67306E3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21.2.2</w:t>
      </w:r>
      <w:r>
        <w:rPr>
          <w:rFonts w:hint="eastAsia" w:hAnsi="Times New Roman" w:cs="Times New Roman"/>
          <w:b/>
          <w:bCs/>
          <w:color w:val="auto"/>
          <w:highlight w:val="none"/>
          <w:lang w:eastAsia="zh-CN"/>
        </w:rPr>
        <w:t>　</w:t>
      </w:r>
      <w:r>
        <w:rPr>
          <w:rFonts w:cs="宋体"/>
          <w:color w:val="auto"/>
          <w:highlight w:val="none"/>
          <w:lang w:eastAsia="zh-CN"/>
        </w:rPr>
        <w:t>如不可抗力持续发生，合同一方当事人应及时向合同另一方当事人和监理人提交中间报告，说明不可抗力和履行合同受阻的情况，并于不可抗力事件结束后</w:t>
      </w:r>
      <w:r>
        <w:rPr>
          <w:rFonts w:hAnsi="Times New Roman" w:cs="Times New Roman"/>
          <w:color w:val="auto"/>
          <w:highlight w:val="none"/>
          <w:lang w:eastAsia="zh-CN"/>
        </w:rPr>
        <w:t>28</w:t>
      </w:r>
      <w:r>
        <w:rPr>
          <w:rFonts w:cs="宋体"/>
          <w:color w:val="auto"/>
          <w:highlight w:val="none"/>
          <w:lang w:eastAsia="zh-CN"/>
        </w:rPr>
        <w:t>天内提交最终报告及有关资料。</w:t>
      </w:r>
    </w:p>
    <w:p w14:paraId="271D4DE5">
      <w:pPr>
        <w:pStyle w:val="4"/>
        <w:kinsoku/>
        <w:spacing w:beforeLines="0" w:afterLines="0"/>
        <w:rPr>
          <w:rFonts w:hint="eastAsia" w:hAnsi="宋体" w:cs="宋体"/>
          <w:bCs/>
          <w:color w:val="auto"/>
          <w:szCs w:val="24"/>
          <w:highlight w:val="none"/>
          <w:lang w:eastAsia="zh-CN"/>
        </w:rPr>
      </w:pPr>
      <w:bookmarkStart w:id="1358" w:name="_Toc7273"/>
      <w:bookmarkStart w:id="1359" w:name="_Toc27773"/>
      <w:bookmarkStart w:id="1360" w:name="_Toc6199"/>
      <w:r>
        <w:rPr>
          <w:rFonts w:hint="eastAsia" w:hAnsi="宋体" w:cs="宋体"/>
          <w:b/>
          <w:bCs/>
          <w:color w:val="auto"/>
          <w:szCs w:val="24"/>
          <w:highlight w:val="none"/>
          <w:lang w:eastAsia="zh-CN"/>
        </w:rPr>
        <w:t>21.3</w:t>
      </w:r>
      <w:r>
        <w:rPr>
          <w:rFonts w:hint="eastAsia" w:cs="宋体"/>
          <w:b/>
          <w:bCs/>
          <w:color w:val="auto"/>
          <w:szCs w:val="24"/>
          <w:highlight w:val="none"/>
          <w:lang w:eastAsia="zh-CN"/>
        </w:rPr>
        <w:t>　</w:t>
      </w:r>
      <w:r>
        <w:rPr>
          <w:rFonts w:hint="eastAsia" w:hAnsi="宋体" w:cs="宋体"/>
          <w:b/>
          <w:bCs/>
          <w:color w:val="auto"/>
          <w:szCs w:val="24"/>
          <w:highlight w:val="none"/>
          <w:lang w:eastAsia="zh-CN"/>
        </w:rPr>
        <w:t>不可抗力后果及其处理</w:t>
      </w:r>
      <w:bookmarkEnd w:id="1358"/>
      <w:bookmarkEnd w:id="1359"/>
      <w:bookmarkEnd w:id="1360"/>
    </w:p>
    <w:p w14:paraId="1D73B39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21.3.1</w:t>
      </w:r>
      <w:r>
        <w:rPr>
          <w:rFonts w:hint="eastAsia" w:hAnsi="Times New Roman" w:cs="Times New Roman"/>
          <w:b/>
          <w:bCs/>
          <w:color w:val="auto"/>
          <w:highlight w:val="none"/>
          <w:lang w:eastAsia="zh-CN"/>
        </w:rPr>
        <w:t>　</w:t>
      </w:r>
      <w:r>
        <w:rPr>
          <w:rFonts w:cs="宋体"/>
          <w:color w:val="auto"/>
          <w:highlight w:val="none"/>
          <w:lang w:eastAsia="zh-CN"/>
        </w:rPr>
        <w:t>不可抗力造成损害的责任</w:t>
      </w:r>
    </w:p>
    <w:p w14:paraId="3DB36498">
      <w:pPr>
        <w:kinsoku/>
        <w:ind w:firstLine="0"/>
        <w:rPr>
          <w:color w:val="auto"/>
          <w:highlight w:val="none"/>
          <w:lang w:eastAsia="zh-CN"/>
        </w:rPr>
      </w:pPr>
      <w:r>
        <w:rPr>
          <w:color w:val="auto"/>
          <w:highlight w:val="none"/>
          <w:lang w:eastAsia="zh-CN"/>
        </w:rPr>
        <w:t>除专用合同条款另有约定外，不可抗力导致的人员伤亡、财产损失、费用增加和（或）工期延误等后果，由合同双方按以下原则承担：</w:t>
      </w:r>
    </w:p>
    <w:p w14:paraId="671A64CE">
      <w:pPr>
        <w:kinsoku/>
        <w:ind w:firstLine="0"/>
        <w:rPr>
          <w:color w:val="auto"/>
          <w:highlight w:val="none"/>
          <w:lang w:eastAsia="zh-CN"/>
        </w:rPr>
      </w:pPr>
      <w:r>
        <w:rPr>
          <w:color w:val="auto"/>
          <w:highlight w:val="none"/>
          <w:lang w:eastAsia="zh-CN"/>
        </w:rPr>
        <w:t>（1）永久工程，包括已运至施工场地的材料和工程设备的损害，以及因工程损害造成的第三者人员伤亡和财产损失由发包人承担。</w:t>
      </w:r>
    </w:p>
    <w:p w14:paraId="6DA01412">
      <w:pPr>
        <w:kinsoku/>
        <w:ind w:firstLine="0"/>
        <w:rPr>
          <w:color w:val="auto"/>
          <w:highlight w:val="none"/>
          <w:lang w:eastAsia="zh-CN"/>
        </w:rPr>
      </w:pPr>
      <w:r>
        <w:rPr>
          <w:color w:val="auto"/>
          <w:highlight w:val="none"/>
          <w:lang w:eastAsia="zh-CN"/>
        </w:rPr>
        <w:t>（2）承包人设备的损坏由承包人承担。</w:t>
      </w:r>
    </w:p>
    <w:p w14:paraId="2A51443D">
      <w:pPr>
        <w:kinsoku/>
        <w:ind w:firstLine="0"/>
        <w:rPr>
          <w:color w:val="auto"/>
          <w:highlight w:val="none"/>
          <w:lang w:eastAsia="zh-CN"/>
        </w:rPr>
      </w:pPr>
      <w:r>
        <w:rPr>
          <w:color w:val="auto"/>
          <w:highlight w:val="none"/>
          <w:lang w:eastAsia="zh-CN"/>
        </w:rPr>
        <w:t>（3）发包人和承包人各自承担其人员伤亡和其他财产损失及其相关费用。</w:t>
      </w:r>
    </w:p>
    <w:p w14:paraId="3A804710">
      <w:pPr>
        <w:kinsoku/>
        <w:ind w:firstLine="0"/>
        <w:rPr>
          <w:color w:val="auto"/>
          <w:highlight w:val="none"/>
          <w:lang w:eastAsia="zh-CN"/>
        </w:rPr>
      </w:pPr>
      <w:r>
        <w:rPr>
          <w:color w:val="auto"/>
          <w:highlight w:val="none"/>
          <w:lang w:eastAsia="zh-CN"/>
        </w:rPr>
        <w:t>（4）承包人的停工损失由承包人承担，但停工期间应监理人要求照管工程和清理、修复工程的金额由发包人承担。</w:t>
      </w:r>
    </w:p>
    <w:p w14:paraId="03DDFC40">
      <w:pPr>
        <w:kinsoku/>
        <w:ind w:firstLine="0"/>
        <w:rPr>
          <w:rFonts w:cs="宋体"/>
          <w:color w:val="auto"/>
          <w:highlight w:val="none"/>
          <w:lang w:eastAsia="zh-CN"/>
        </w:rPr>
      </w:pPr>
      <w:r>
        <w:rPr>
          <w:color w:val="auto"/>
          <w:highlight w:val="none"/>
          <w:lang w:eastAsia="zh-CN"/>
        </w:rPr>
        <w:t>（5）不能按期完工的，应合理延长工期，承包人不需支付逾期完工违约金。发包人要求赶工的，承包人应采</w:t>
      </w:r>
      <w:r>
        <w:rPr>
          <w:rFonts w:cs="宋体"/>
          <w:color w:val="auto"/>
          <w:highlight w:val="none"/>
          <w:lang w:eastAsia="zh-CN"/>
        </w:rPr>
        <w:t>取赶工措施，赶工费用由发包人承担。</w:t>
      </w:r>
    </w:p>
    <w:p w14:paraId="5956BB5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21.3.2</w:t>
      </w:r>
      <w:r>
        <w:rPr>
          <w:rFonts w:hint="eastAsia" w:hAnsi="Times New Roman" w:cs="Times New Roman"/>
          <w:b/>
          <w:bCs/>
          <w:color w:val="auto"/>
          <w:highlight w:val="none"/>
          <w:lang w:eastAsia="zh-CN"/>
        </w:rPr>
        <w:t>　</w:t>
      </w:r>
      <w:r>
        <w:rPr>
          <w:rFonts w:cs="宋体"/>
          <w:color w:val="auto"/>
          <w:highlight w:val="none"/>
          <w:lang w:eastAsia="zh-CN"/>
        </w:rPr>
        <w:t>延迟履行期间发生的不可抗力合同一方当事人延迟履行，在延迟履行期间发生不可抗力的，不免除其责任。</w:t>
      </w:r>
    </w:p>
    <w:p w14:paraId="34DD03E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21.3.3</w:t>
      </w:r>
      <w:r>
        <w:rPr>
          <w:rFonts w:hint="eastAsia" w:hAnsi="Times New Roman" w:cs="Times New Roman"/>
          <w:b/>
          <w:bCs/>
          <w:color w:val="auto"/>
          <w:highlight w:val="none"/>
          <w:lang w:eastAsia="zh-CN"/>
        </w:rPr>
        <w:t>　</w:t>
      </w:r>
      <w:r>
        <w:rPr>
          <w:rFonts w:cs="宋体"/>
          <w:color w:val="auto"/>
          <w:highlight w:val="none"/>
          <w:lang w:eastAsia="zh-CN"/>
        </w:rPr>
        <w:t>避免和减少不可抗力损失不可抗力发生后，发包人和承包人均应采取措施尽量避免和减少损失的扩大，任何一方没有采取有效措施导致损失扩大的，应对扩大的损失承担责任。</w:t>
      </w:r>
    </w:p>
    <w:p w14:paraId="2DA39CF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21.3.4</w:t>
      </w:r>
      <w:r>
        <w:rPr>
          <w:rFonts w:hint="eastAsia" w:hAnsi="Times New Roman" w:cs="Times New Roman"/>
          <w:b/>
          <w:bCs/>
          <w:color w:val="auto"/>
          <w:highlight w:val="none"/>
          <w:lang w:eastAsia="zh-CN"/>
        </w:rPr>
        <w:t>　</w:t>
      </w:r>
      <w:r>
        <w:rPr>
          <w:rFonts w:cs="宋体"/>
          <w:color w:val="auto"/>
          <w:highlight w:val="none"/>
          <w:lang w:eastAsia="zh-CN"/>
        </w:rPr>
        <w:t>因不可抗力解除合同</w:t>
      </w:r>
    </w:p>
    <w:p w14:paraId="775FAC59">
      <w:pPr>
        <w:kinsoku/>
        <w:ind w:firstLine="0"/>
        <w:rPr>
          <w:rFonts w:cs="宋体"/>
          <w:color w:val="auto"/>
          <w:highlight w:val="none"/>
          <w:lang w:eastAsia="zh-CN"/>
        </w:rPr>
      </w:pPr>
      <w:r>
        <w:rPr>
          <w:rFonts w:cs="宋体"/>
          <w:color w:val="auto"/>
          <w:highlight w:val="none"/>
          <w:lang w:eastAsia="zh-CN"/>
        </w:rPr>
        <w:t>合同一方当事人因不可抗力不能履行合同的，应当及时通知对方解除合同。合同解除后，承包人应按照第</w:t>
      </w:r>
      <w:r>
        <w:rPr>
          <w:rFonts w:hAnsi="Times New Roman" w:cs="Times New Roman"/>
          <w:color w:val="auto"/>
          <w:highlight w:val="none"/>
          <w:lang w:eastAsia="zh-CN"/>
        </w:rPr>
        <w:t>22.2.5</w:t>
      </w:r>
      <w:r>
        <w:rPr>
          <w:rFonts w:cs="宋体"/>
          <w:color w:val="auto"/>
          <w:highlight w:val="none"/>
          <w:lang w:eastAsia="zh-CN"/>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hAnsi="Times New Roman" w:cs="Times New Roman"/>
          <w:color w:val="auto"/>
          <w:highlight w:val="none"/>
          <w:lang w:eastAsia="zh-CN"/>
        </w:rPr>
        <w:t>22.2.4</w:t>
      </w:r>
      <w:r>
        <w:rPr>
          <w:rFonts w:cs="宋体"/>
          <w:color w:val="auto"/>
          <w:highlight w:val="none"/>
          <w:lang w:eastAsia="zh-CN"/>
        </w:rPr>
        <w:t>项约定，由监理人按第</w:t>
      </w:r>
      <w:r>
        <w:rPr>
          <w:rFonts w:hAnsi="Times New Roman" w:cs="Times New Roman"/>
          <w:color w:val="auto"/>
          <w:highlight w:val="none"/>
          <w:lang w:eastAsia="zh-CN"/>
        </w:rPr>
        <w:t>3.5</w:t>
      </w:r>
      <w:r>
        <w:rPr>
          <w:rFonts w:cs="宋体"/>
          <w:color w:val="auto"/>
          <w:highlight w:val="none"/>
          <w:lang w:eastAsia="zh-CN"/>
        </w:rPr>
        <w:t>款商定或确定。</w:t>
      </w:r>
    </w:p>
    <w:p w14:paraId="3B9E2FA2">
      <w:pPr>
        <w:pStyle w:val="3"/>
        <w:kinsoku/>
        <w:spacing w:before="0" w:beforeLines="0" w:afterLines="0" w:line="360" w:lineRule="auto"/>
        <w:outlineLvl w:val="1"/>
        <w:rPr>
          <w:rFonts w:hint="eastAsia" w:ascii="宋体" w:cs="宋体"/>
          <w:color w:val="auto"/>
          <w:sz w:val="30"/>
          <w:szCs w:val="30"/>
          <w:highlight w:val="none"/>
        </w:rPr>
      </w:pPr>
      <w:bookmarkStart w:id="1361" w:name="_Toc27563"/>
      <w:bookmarkStart w:id="1362" w:name="_Toc11465"/>
      <w:bookmarkStart w:id="1363" w:name="_Toc3304"/>
      <w:bookmarkStart w:id="1364" w:name="_Toc842"/>
      <w:bookmarkStart w:id="1365" w:name="_Toc17427"/>
      <w:bookmarkStart w:id="1366" w:name="_Toc31175"/>
      <w:bookmarkStart w:id="1367" w:name="_Toc24869"/>
      <w:bookmarkStart w:id="1368" w:name="_Toc12733"/>
      <w:bookmarkStart w:id="1369" w:name="_Toc17065"/>
      <w:bookmarkStart w:id="1370" w:name="_Toc1948"/>
      <w:bookmarkStart w:id="1371" w:name="_Toc21847"/>
      <w:bookmarkStart w:id="1372" w:name="_Toc31663"/>
      <w:bookmarkStart w:id="1373" w:name="_Toc6797"/>
      <w:bookmarkStart w:id="1374" w:name="_Toc16741"/>
      <w:r>
        <w:rPr>
          <w:rFonts w:hint="eastAsia" w:ascii="宋体" w:cs="宋体"/>
          <w:color w:val="auto"/>
          <w:sz w:val="30"/>
          <w:szCs w:val="30"/>
          <w:highlight w:val="none"/>
        </w:rPr>
        <w:t>22</w:t>
      </w:r>
      <w:r>
        <w:rPr>
          <w:rFonts w:hint="eastAsia" w:cs="宋体"/>
          <w:color w:val="auto"/>
          <w:sz w:val="30"/>
          <w:szCs w:val="30"/>
          <w:highlight w:val="none"/>
          <w:lang w:eastAsia="zh-CN"/>
        </w:rPr>
        <w:t>　</w:t>
      </w:r>
      <w:r>
        <w:rPr>
          <w:rFonts w:hint="eastAsia" w:ascii="宋体" w:cs="宋体"/>
          <w:color w:val="auto"/>
          <w:sz w:val="30"/>
          <w:szCs w:val="30"/>
          <w:highlight w:val="none"/>
        </w:rPr>
        <w:t>违约</w:t>
      </w:r>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p>
    <w:p w14:paraId="19E2E9B5">
      <w:pPr>
        <w:pStyle w:val="4"/>
        <w:kinsoku/>
        <w:spacing w:beforeLines="0" w:afterLines="0"/>
        <w:rPr>
          <w:rFonts w:hint="eastAsia" w:hAnsi="宋体" w:cs="宋体"/>
          <w:bCs/>
          <w:color w:val="auto"/>
          <w:szCs w:val="24"/>
          <w:highlight w:val="none"/>
          <w:lang w:eastAsia="zh-CN"/>
        </w:rPr>
      </w:pPr>
      <w:bookmarkStart w:id="1375" w:name="_Toc7004"/>
      <w:bookmarkStart w:id="1376" w:name="_Toc25908"/>
      <w:bookmarkStart w:id="1377" w:name="_Toc28147"/>
      <w:r>
        <w:rPr>
          <w:rFonts w:hint="eastAsia" w:hAnsi="宋体" w:cs="宋体"/>
          <w:b/>
          <w:bCs/>
          <w:color w:val="auto"/>
          <w:szCs w:val="24"/>
          <w:highlight w:val="none"/>
          <w:lang w:eastAsia="zh-CN"/>
        </w:rPr>
        <w:t>22.1</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承包人违约</w:t>
      </w:r>
      <w:bookmarkEnd w:id="1375"/>
      <w:bookmarkEnd w:id="1376"/>
      <w:bookmarkEnd w:id="1377"/>
    </w:p>
    <w:p w14:paraId="62AF811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22.1.1</w:t>
      </w:r>
      <w:r>
        <w:rPr>
          <w:rFonts w:hint="eastAsia" w:hAnsi="Times New Roman" w:cs="Times New Roman"/>
          <w:b/>
          <w:bCs/>
          <w:color w:val="auto"/>
          <w:highlight w:val="none"/>
          <w:lang w:eastAsia="zh-CN"/>
        </w:rPr>
        <w:t>　</w:t>
      </w:r>
      <w:r>
        <w:rPr>
          <w:rFonts w:cs="宋体"/>
          <w:color w:val="auto"/>
          <w:highlight w:val="none"/>
          <w:lang w:eastAsia="zh-CN"/>
        </w:rPr>
        <w:t>承包人违约的情形</w:t>
      </w:r>
    </w:p>
    <w:p w14:paraId="2CD54BD7">
      <w:pPr>
        <w:kinsoku/>
        <w:ind w:firstLine="0"/>
        <w:rPr>
          <w:color w:val="auto"/>
          <w:highlight w:val="none"/>
          <w:lang w:eastAsia="zh-CN"/>
        </w:rPr>
      </w:pPr>
      <w:r>
        <w:rPr>
          <w:color w:val="auto"/>
          <w:highlight w:val="none"/>
          <w:lang w:eastAsia="zh-CN"/>
        </w:rPr>
        <w:t>在履行合同过程中发生的下列情况属承包人违约：</w:t>
      </w:r>
    </w:p>
    <w:p w14:paraId="4B097F1C">
      <w:pPr>
        <w:kinsoku/>
        <w:ind w:firstLine="0"/>
        <w:rPr>
          <w:color w:val="auto"/>
          <w:highlight w:val="none"/>
          <w:lang w:eastAsia="zh-CN"/>
        </w:rPr>
      </w:pPr>
      <w:r>
        <w:rPr>
          <w:color w:val="auto"/>
          <w:highlight w:val="none"/>
          <w:lang w:eastAsia="zh-CN"/>
        </w:rPr>
        <w:t>（1）承包人违反第1.8款或第4.3款的约定，私自将合同的全部或部分权利转让给其他人，或私自将合同的全部或部分义务转移给其他人。</w:t>
      </w:r>
    </w:p>
    <w:p w14:paraId="5DF68406">
      <w:pPr>
        <w:kinsoku/>
        <w:ind w:firstLine="0"/>
        <w:rPr>
          <w:color w:val="auto"/>
          <w:highlight w:val="none"/>
          <w:lang w:eastAsia="zh-CN"/>
        </w:rPr>
      </w:pPr>
      <w:r>
        <w:rPr>
          <w:color w:val="auto"/>
          <w:highlight w:val="none"/>
          <w:lang w:eastAsia="zh-CN"/>
        </w:rPr>
        <w:t>（2）承包人违反第5.3款或第6.4款的约定，未经监理人批准，私自将已按合同约定进入施工场地的施工设备、临时设施或材料撤离施工场地。</w:t>
      </w:r>
    </w:p>
    <w:p w14:paraId="17EB88E7">
      <w:pPr>
        <w:kinsoku/>
        <w:ind w:firstLine="0"/>
        <w:rPr>
          <w:color w:val="auto"/>
          <w:highlight w:val="none"/>
          <w:lang w:eastAsia="zh-CN"/>
        </w:rPr>
      </w:pPr>
      <w:r>
        <w:rPr>
          <w:color w:val="auto"/>
          <w:highlight w:val="none"/>
          <w:lang w:eastAsia="zh-CN"/>
        </w:rPr>
        <w:t>（3）承包人违反第5.4款的约定使用了不合格材料或工程设备，工程质量达不到标准要求，又拒绝清除不合格工程。</w:t>
      </w:r>
    </w:p>
    <w:p w14:paraId="5B893EC2">
      <w:pPr>
        <w:kinsoku/>
        <w:ind w:firstLine="0"/>
        <w:rPr>
          <w:color w:val="auto"/>
          <w:highlight w:val="none"/>
          <w:lang w:eastAsia="zh-CN"/>
        </w:rPr>
      </w:pPr>
      <w:r>
        <w:rPr>
          <w:color w:val="auto"/>
          <w:highlight w:val="none"/>
          <w:lang w:eastAsia="zh-CN"/>
        </w:rPr>
        <w:t>（4）承包人未能按合同进度计划及时完成合同约定的工作，已造成或预期造成工期延误。</w:t>
      </w:r>
    </w:p>
    <w:p w14:paraId="5573E805">
      <w:pPr>
        <w:kinsoku/>
        <w:ind w:firstLine="0"/>
        <w:rPr>
          <w:color w:val="auto"/>
          <w:highlight w:val="none"/>
          <w:lang w:eastAsia="zh-CN"/>
        </w:rPr>
      </w:pPr>
      <w:r>
        <w:rPr>
          <w:color w:val="auto"/>
          <w:highlight w:val="none"/>
          <w:lang w:eastAsia="zh-CN"/>
        </w:rPr>
        <w:t>（5）承包人在缺陷责任期（工程质量保修期）内，未能对合同工程完工验收鉴定书所列的缺陷清单的内容或缺陷责任期（工程质量保修期）内发生的缺陷进行修复，而又拒绝按监理人指示再进行修补。</w:t>
      </w:r>
    </w:p>
    <w:p w14:paraId="4DF17EB6">
      <w:pPr>
        <w:kinsoku/>
        <w:ind w:firstLine="0"/>
        <w:rPr>
          <w:rFonts w:cs="宋体"/>
          <w:color w:val="auto"/>
          <w:highlight w:val="none"/>
          <w:lang w:eastAsia="zh-CN"/>
        </w:rPr>
      </w:pPr>
      <w:r>
        <w:rPr>
          <w:color w:val="auto"/>
          <w:highlight w:val="none"/>
          <w:lang w:eastAsia="zh-CN"/>
        </w:rPr>
        <w:t>（6）承包</w:t>
      </w:r>
      <w:r>
        <w:rPr>
          <w:rFonts w:cs="宋体"/>
          <w:color w:val="auto"/>
          <w:highlight w:val="none"/>
          <w:lang w:eastAsia="zh-CN"/>
        </w:rPr>
        <w:t>人无法继续履行或明确表示不履行或实质上已停止履行合同。</w:t>
      </w:r>
    </w:p>
    <w:p w14:paraId="5AA25DA4">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）承包人不按合同约定履行义务的其它情况。</w:t>
      </w:r>
    </w:p>
    <w:p w14:paraId="0696D7A7">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22.1.2</w:t>
      </w:r>
      <w:r>
        <w:rPr>
          <w:rFonts w:hint="eastAsia" w:hAnsi="Times New Roman" w:cs="Times New Roman"/>
          <w:b/>
          <w:bCs/>
          <w:color w:val="auto"/>
          <w:highlight w:val="none"/>
          <w:lang w:eastAsia="zh-CN"/>
        </w:rPr>
        <w:t>　</w:t>
      </w:r>
      <w:r>
        <w:rPr>
          <w:rFonts w:cs="宋体"/>
          <w:color w:val="auto"/>
          <w:highlight w:val="none"/>
          <w:lang w:eastAsia="zh-CN"/>
        </w:rPr>
        <w:t>对承包人违约的处理</w:t>
      </w:r>
    </w:p>
    <w:p w14:paraId="51E7E790">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）承包人发生第</w:t>
      </w:r>
      <w:r>
        <w:rPr>
          <w:rFonts w:hAnsi="Times New Roman" w:cs="Times New Roman"/>
          <w:color w:val="auto"/>
          <w:highlight w:val="none"/>
          <w:lang w:eastAsia="zh-CN"/>
        </w:rPr>
        <w:t>22.1.1</w:t>
      </w: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）目约定的违约情况时，发包人可通知承包人立即解除合同，并按有关法律处理。</w:t>
      </w:r>
    </w:p>
    <w:p w14:paraId="7B5E0BFF">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）承包人发生除第</w:t>
      </w:r>
      <w:r>
        <w:rPr>
          <w:rFonts w:hAnsi="Times New Roman" w:cs="Times New Roman"/>
          <w:color w:val="auto"/>
          <w:highlight w:val="none"/>
          <w:lang w:eastAsia="zh-CN"/>
        </w:rPr>
        <w:t>22.1.1</w:t>
      </w: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）目约定以外的其他违约情况时，监理人可向承包人发出整改通知，要求其在指定的期限内改正。承包人应承担其违约所引起的费用增加和（或）工期延误。</w:t>
      </w:r>
    </w:p>
    <w:p w14:paraId="2977E441">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）经检查证明承包人已采取了有效措施纠正违约行为，具备复工条件的，可由监理人签发复工通知复工。</w:t>
      </w:r>
    </w:p>
    <w:p w14:paraId="40B69D1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22.1.3</w:t>
      </w:r>
      <w:r>
        <w:rPr>
          <w:rFonts w:hint="eastAsia" w:hAnsi="Times New Roman" w:cs="Times New Roman"/>
          <w:b/>
          <w:bCs/>
          <w:color w:val="auto"/>
          <w:highlight w:val="none"/>
          <w:lang w:eastAsia="zh-CN"/>
        </w:rPr>
        <w:t>　</w:t>
      </w:r>
      <w:r>
        <w:rPr>
          <w:rFonts w:cs="宋体"/>
          <w:color w:val="auto"/>
          <w:highlight w:val="none"/>
          <w:lang w:eastAsia="zh-CN"/>
        </w:rPr>
        <w:t>承包人违约解除合同</w:t>
      </w:r>
    </w:p>
    <w:p w14:paraId="418A7A70">
      <w:pPr>
        <w:kinsoku/>
        <w:ind w:firstLine="0"/>
        <w:rPr>
          <w:rFonts w:cs="宋体"/>
          <w:color w:val="auto"/>
          <w:highlight w:val="none"/>
          <w:lang w:eastAsia="zh-CN"/>
        </w:rPr>
      </w:pPr>
      <w:r>
        <w:rPr>
          <w:rFonts w:cs="宋体"/>
          <w:color w:val="auto"/>
          <w:highlight w:val="none"/>
          <w:lang w:eastAsia="zh-CN"/>
        </w:rPr>
        <w:t>监理人发出整改通知</w:t>
      </w:r>
      <w:r>
        <w:rPr>
          <w:rFonts w:hAnsi="Times New Roman" w:cs="Times New Roman"/>
          <w:color w:val="auto"/>
          <w:highlight w:val="none"/>
          <w:lang w:eastAsia="zh-CN"/>
        </w:rPr>
        <w:t>28</w:t>
      </w:r>
      <w:r>
        <w:rPr>
          <w:rFonts w:cs="宋体"/>
          <w:color w:val="auto"/>
          <w:highlight w:val="none"/>
          <w:lang w:eastAsia="zh-CN"/>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40787946">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22.1.4</w:t>
      </w:r>
      <w:r>
        <w:rPr>
          <w:rFonts w:hint="eastAsia" w:hAnsi="Times New Roman" w:cs="Times New Roman"/>
          <w:b/>
          <w:bCs/>
          <w:color w:val="auto"/>
          <w:highlight w:val="none"/>
          <w:lang w:eastAsia="zh-CN"/>
        </w:rPr>
        <w:t>　</w:t>
      </w:r>
      <w:r>
        <w:rPr>
          <w:rFonts w:cs="宋体"/>
          <w:color w:val="auto"/>
          <w:highlight w:val="none"/>
          <w:lang w:eastAsia="zh-CN"/>
        </w:rPr>
        <w:t>合同解除后的估价、付款和结清</w:t>
      </w:r>
    </w:p>
    <w:p w14:paraId="7C3D761E">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）合同解除后，监理人按第</w:t>
      </w:r>
      <w:r>
        <w:rPr>
          <w:rFonts w:hAnsi="Times New Roman" w:cs="Times New Roman"/>
          <w:color w:val="auto"/>
          <w:highlight w:val="none"/>
          <w:lang w:eastAsia="zh-CN"/>
        </w:rPr>
        <w:t>3.5</w:t>
      </w:r>
      <w:r>
        <w:rPr>
          <w:rFonts w:cs="宋体"/>
          <w:color w:val="auto"/>
          <w:highlight w:val="none"/>
          <w:lang w:eastAsia="zh-CN"/>
        </w:rPr>
        <w:t>款商定或确定承包人实际完成工作的价值，以及承包人已提供的材料、施工设备、工程设备和临时工程等的价值。</w:t>
      </w:r>
    </w:p>
    <w:p w14:paraId="17EB4E1A">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）合同解除后，发包人应暂停对承包人的一切付款，查清各项付款和已扣款金额，包括承包人应支付的违约金。</w:t>
      </w:r>
    </w:p>
    <w:p w14:paraId="30850DAC">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）合同解除后，发包人应按第</w:t>
      </w:r>
      <w:r>
        <w:rPr>
          <w:rFonts w:hAnsi="Times New Roman" w:cs="Times New Roman"/>
          <w:color w:val="auto"/>
          <w:highlight w:val="none"/>
          <w:lang w:eastAsia="zh-CN"/>
        </w:rPr>
        <w:t>23.4</w:t>
      </w:r>
      <w:r>
        <w:rPr>
          <w:rFonts w:cs="宋体"/>
          <w:color w:val="auto"/>
          <w:highlight w:val="none"/>
          <w:lang w:eastAsia="zh-CN"/>
        </w:rPr>
        <w:t>款的约定向承包人索赔由于解除合同给发包人造成的损失。</w:t>
      </w:r>
    </w:p>
    <w:p w14:paraId="1A8BB3B0">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）合同双方确认上述往来款项后，出具最终结清付款证书，结清全部合同款项。</w:t>
      </w:r>
    </w:p>
    <w:p w14:paraId="21629FA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）发包人和承包人未能就解除合同后的结清达成一致而形成争议的，按第</w:t>
      </w:r>
      <w:r>
        <w:rPr>
          <w:rFonts w:hAnsi="Times New Roman" w:cs="Times New Roman"/>
          <w:color w:val="auto"/>
          <w:highlight w:val="none"/>
          <w:lang w:eastAsia="zh-CN"/>
        </w:rPr>
        <w:t>24</w:t>
      </w:r>
      <w:r>
        <w:rPr>
          <w:rFonts w:cs="宋体"/>
          <w:color w:val="auto"/>
          <w:highlight w:val="none"/>
          <w:lang w:eastAsia="zh-CN"/>
        </w:rPr>
        <w:t>条的约定办理。</w:t>
      </w:r>
    </w:p>
    <w:p w14:paraId="2A4FDC1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22.1.5</w:t>
      </w:r>
      <w:r>
        <w:rPr>
          <w:rFonts w:hint="eastAsia" w:hAnsi="Times New Roman" w:cs="Times New Roman"/>
          <w:b/>
          <w:bCs/>
          <w:color w:val="auto"/>
          <w:highlight w:val="none"/>
          <w:lang w:eastAsia="zh-CN"/>
        </w:rPr>
        <w:t>　</w:t>
      </w:r>
      <w:r>
        <w:rPr>
          <w:rFonts w:cs="宋体"/>
          <w:color w:val="auto"/>
          <w:highlight w:val="none"/>
          <w:lang w:eastAsia="zh-CN"/>
        </w:rPr>
        <w:t>协议利益的转让</w:t>
      </w:r>
    </w:p>
    <w:p w14:paraId="179CE7B1">
      <w:pPr>
        <w:kinsoku/>
        <w:ind w:firstLine="0"/>
        <w:rPr>
          <w:rFonts w:cs="宋体"/>
          <w:color w:val="auto"/>
          <w:highlight w:val="none"/>
          <w:lang w:eastAsia="zh-CN"/>
        </w:rPr>
      </w:pPr>
      <w:r>
        <w:rPr>
          <w:rFonts w:cs="宋体"/>
          <w:color w:val="auto"/>
          <w:highlight w:val="none"/>
          <w:lang w:eastAsia="zh-CN"/>
        </w:rPr>
        <w:t>因承包人违约解除合同的，发包人有权要求承包人将其为实施合同而签订的材料和设备的订货协议或任何服务协议利益转让给发包人，并在解除合同后的</w:t>
      </w:r>
      <w:r>
        <w:rPr>
          <w:rFonts w:hAnsi="Times New Roman" w:cs="Times New Roman"/>
          <w:color w:val="auto"/>
          <w:highlight w:val="none"/>
          <w:lang w:eastAsia="zh-CN"/>
        </w:rPr>
        <w:t>14</w:t>
      </w:r>
      <w:r>
        <w:rPr>
          <w:rFonts w:cs="宋体"/>
          <w:color w:val="auto"/>
          <w:highlight w:val="none"/>
          <w:lang w:eastAsia="zh-CN"/>
        </w:rPr>
        <w:t>天内，依法办理转让手续。</w:t>
      </w:r>
    </w:p>
    <w:p w14:paraId="7DEEE3E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22.1.6</w:t>
      </w:r>
      <w:r>
        <w:rPr>
          <w:rFonts w:hint="eastAsia" w:hAnsi="Times New Roman" w:cs="Times New Roman"/>
          <w:b/>
          <w:bCs/>
          <w:color w:val="auto"/>
          <w:highlight w:val="none"/>
          <w:lang w:eastAsia="zh-CN"/>
        </w:rPr>
        <w:t>　</w:t>
      </w:r>
      <w:r>
        <w:rPr>
          <w:rFonts w:cs="宋体"/>
          <w:color w:val="auto"/>
          <w:highlight w:val="none"/>
          <w:lang w:eastAsia="zh-CN"/>
        </w:rPr>
        <w:t>紧急情况下无能力或不愿进行抢救</w:t>
      </w:r>
    </w:p>
    <w:p w14:paraId="2943A99E">
      <w:pPr>
        <w:kinsoku/>
        <w:ind w:firstLine="0"/>
        <w:rPr>
          <w:color w:val="auto"/>
          <w:highlight w:val="none"/>
          <w:lang w:eastAsia="zh-CN"/>
        </w:rPr>
      </w:pPr>
      <w:r>
        <w:rPr>
          <w:color w:val="auto"/>
          <w:highlight w:val="none"/>
          <w:lang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258EA3DF">
      <w:pPr>
        <w:pStyle w:val="4"/>
        <w:kinsoku/>
        <w:spacing w:beforeLines="0" w:afterLines="0"/>
        <w:rPr>
          <w:rFonts w:hint="eastAsia" w:hAnsi="宋体" w:cs="宋体"/>
          <w:bCs/>
          <w:color w:val="auto"/>
          <w:szCs w:val="24"/>
          <w:highlight w:val="none"/>
          <w:lang w:eastAsia="zh-CN"/>
        </w:rPr>
      </w:pPr>
      <w:bookmarkStart w:id="1378" w:name="_Toc9057"/>
      <w:bookmarkStart w:id="1379" w:name="_Toc19464"/>
      <w:bookmarkStart w:id="1380" w:name="_Toc32091"/>
      <w:r>
        <w:rPr>
          <w:rFonts w:hint="eastAsia" w:hAnsi="宋体" w:cs="宋体"/>
          <w:b/>
          <w:bCs/>
          <w:color w:val="auto"/>
          <w:szCs w:val="24"/>
          <w:highlight w:val="none"/>
          <w:lang w:eastAsia="zh-CN"/>
        </w:rPr>
        <w:t>22.2</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发包人违约</w:t>
      </w:r>
      <w:bookmarkEnd w:id="1378"/>
      <w:bookmarkEnd w:id="1379"/>
      <w:bookmarkEnd w:id="1380"/>
    </w:p>
    <w:p w14:paraId="1F7B259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22.2.1</w:t>
      </w:r>
      <w:r>
        <w:rPr>
          <w:rFonts w:hint="eastAsia" w:hAnsi="Times New Roman" w:cs="Times New Roman"/>
          <w:b/>
          <w:bCs/>
          <w:color w:val="auto"/>
          <w:highlight w:val="none"/>
          <w:lang w:eastAsia="zh-CN"/>
        </w:rPr>
        <w:t>　</w:t>
      </w:r>
      <w:r>
        <w:rPr>
          <w:rFonts w:cs="宋体"/>
          <w:color w:val="auto"/>
          <w:highlight w:val="none"/>
          <w:lang w:eastAsia="zh-CN"/>
        </w:rPr>
        <w:t>发包人违约的情形</w:t>
      </w:r>
    </w:p>
    <w:p w14:paraId="11FA46ED">
      <w:pPr>
        <w:kinsoku/>
        <w:ind w:firstLine="0"/>
        <w:rPr>
          <w:color w:val="auto"/>
          <w:highlight w:val="none"/>
          <w:lang w:eastAsia="zh-CN"/>
        </w:rPr>
      </w:pPr>
      <w:r>
        <w:rPr>
          <w:color w:val="auto"/>
          <w:highlight w:val="none"/>
          <w:lang w:eastAsia="zh-CN"/>
        </w:rPr>
        <w:t>在履行合同过程中发生的下列情形，属发包人违约：</w:t>
      </w:r>
    </w:p>
    <w:p w14:paraId="1E88C417">
      <w:pPr>
        <w:kinsoku/>
        <w:ind w:firstLine="0"/>
        <w:rPr>
          <w:color w:val="auto"/>
          <w:highlight w:val="none"/>
          <w:lang w:eastAsia="zh-CN"/>
        </w:rPr>
      </w:pPr>
      <w:r>
        <w:rPr>
          <w:color w:val="auto"/>
          <w:highlight w:val="none"/>
          <w:lang w:eastAsia="zh-CN"/>
        </w:rPr>
        <w:t>（1）发包人未能按合同约定支付预付款或合同价款，或拖延、拒绝批准付款申请和支付凭证，导致付款延误的。</w:t>
      </w:r>
    </w:p>
    <w:p w14:paraId="3203B37B">
      <w:pPr>
        <w:kinsoku/>
        <w:ind w:firstLine="0"/>
        <w:rPr>
          <w:color w:val="auto"/>
          <w:highlight w:val="none"/>
          <w:lang w:eastAsia="zh-CN"/>
        </w:rPr>
      </w:pPr>
      <w:r>
        <w:rPr>
          <w:color w:val="auto"/>
          <w:highlight w:val="none"/>
          <w:lang w:eastAsia="zh-CN"/>
        </w:rPr>
        <w:t>（2）发包人原因造成停工的。</w:t>
      </w:r>
    </w:p>
    <w:p w14:paraId="47702930">
      <w:pPr>
        <w:kinsoku/>
        <w:ind w:firstLine="0"/>
        <w:rPr>
          <w:color w:val="auto"/>
          <w:highlight w:val="none"/>
          <w:lang w:eastAsia="zh-CN"/>
        </w:rPr>
      </w:pPr>
      <w:r>
        <w:rPr>
          <w:color w:val="auto"/>
          <w:highlight w:val="none"/>
          <w:lang w:eastAsia="zh-CN"/>
        </w:rPr>
        <w:t>（3）监理人无正当理由没有在约定期限内发出复工指示，导致承包人无法复工的。</w:t>
      </w:r>
    </w:p>
    <w:p w14:paraId="1BBA71F4">
      <w:pPr>
        <w:kinsoku/>
        <w:ind w:firstLine="0"/>
        <w:rPr>
          <w:color w:val="auto"/>
          <w:highlight w:val="none"/>
          <w:lang w:eastAsia="zh-CN"/>
        </w:rPr>
      </w:pPr>
      <w:r>
        <w:rPr>
          <w:color w:val="auto"/>
          <w:highlight w:val="none"/>
          <w:lang w:eastAsia="zh-CN"/>
        </w:rPr>
        <w:t>（4）发包人无法继续履行或明确表示不履行或实质上已停止履行合同的。</w:t>
      </w:r>
    </w:p>
    <w:p w14:paraId="662E22F6">
      <w:pPr>
        <w:kinsoku/>
        <w:ind w:firstLine="0"/>
        <w:rPr>
          <w:rFonts w:cs="宋体"/>
          <w:color w:val="auto"/>
          <w:highlight w:val="none"/>
          <w:lang w:eastAsia="zh-CN"/>
        </w:rPr>
      </w:pPr>
      <w:r>
        <w:rPr>
          <w:color w:val="auto"/>
          <w:highlight w:val="none"/>
          <w:lang w:eastAsia="zh-CN"/>
        </w:rPr>
        <w:t>（5）发包人</w:t>
      </w:r>
      <w:r>
        <w:rPr>
          <w:rFonts w:cs="宋体"/>
          <w:color w:val="auto"/>
          <w:highlight w:val="none"/>
          <w:lang w:eastAsia="zh-CN"/>
        </w:rPr>
        <w:t>不履行合同约定其他义务的。</w:t>
      </w:r>
    </w:p>
    <w:p w14:paraId="0A6D0224">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22.2.2</w:t>
      </w:r>
      <w:r>
        <w:rPr>
          <w:rFonts w:hint="eastAsia" w:hAnsi="Times New Roman" w:cs="Times New Roman"/>
          <w:b/>
          <w:bCs/>
          <w:color w:val="auto"/>
          <w:highlight w:val="none"/>
          <w:lang w:eastAsia="zh-CN"/>
        </w:rPr>
        <w:t>　</w:t>
      </w:r>
      <w:r>
        <w:rPr>
          <w:rFonts w:cs="宋体"/>
          <w:color w:val="auto"/>
          <w:highlight w:val="none"/>
          <w:lang w:eastAsia="zh-CN"/>
        </w:rPr>
        <w:t>承包人有权暂停施工</w:t>
      </w:r>
    </w:p>
    <w:p w14:paraId="1E524EEF">
      <w:pPr>
        <w:kinsoku/>
        <w:ind w:firstLine="0"/>
        <w:rPr>
          <w:rFonts w:cs="宋体"/>
          <w:color w:val="auto"/>
          <w:highlight w:val="none"/>
          <w:lang w:eastAsia="zh-CN"/>
        </w:rPr>
      </w:pPr>
      <w:r>
        <w:rPr>
          <w:rFonts w:cs="宋体"/>
          <w:color w:val="auto"/>
          <w:highlight w:val="none"/>
          <w:lang w:eastAsia="zh-CN"/>
        </w:rPr>
        <w:t>发包人发生除第</w:t>
      </w:r>
      <w:r>
        <w:rPr>
          <w:rFonts w:hAnsi="Times New Roman" w:cs="Times New Roman"/>
          <w:color w:val="auto"/>
          <w:highlight w:val="none"/>
          <w:lang w:eastAsia="zh-CN"/>
        </w:rPr>
        <w:t>22.2.1</w:t>
      </w: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）目以外的违约情况时，承包人可向发包人发出通知，要求发包人采取有效措施纠正违约行为。发包人收到承包人通知后的</w:t>
      </w:r>
      <w:r>
        <w:rPr>
          <w:rFonts w:hAnsi="Times New Roman" w:cs="Times New Roman"/>
          <w:color w:val="auto"/>
          <w:highlight w:val="none"/>
          <w:lang w:eastAsia="zh-CN"/>
        </w:rPr>
        <w:t>28</w:t>
      </w:r>
      <w:r>
        <w:rPr>
          <w:rFonts w:cs="宋体"/>
          <w:color w:val="auto"/>
          <w:highlight w:val="none"/>
          <w:lang w:eastAsia="zh-CN"/>
        </w:rPr>
        <w:t>天内仍不履行合同义务，承包人有权暂停施工，并通知监理人，发包人应承担由此增加的费用和（或）工期延误，并支付承包人合理利润。</w:t>
      </w:r>
    </w:p>
    <w:p w14:paraId="762D7A4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22.2.3</w:t>
      </w:r>
      <w:r>
        <w:rPr>
          <w:rFonts w:hint="eastAsia" w:hAnsi="Times New Roman" w:cs="Times New Roman"/>
          <w:b/>
          <w:bCs/>
          <w:color w:val="auto"/>
          <w:highlight w:val="none"/>
          <w:lang w:eastAsia="zh-CN"/>
        </w:rPr>
        <w:t>　</w:t>
      </w:r>
      <w:r>
        <w:rPr>
          <w:rFonts w:cs="宋体"/>
          <w:color w:val="auto"/>
          <w:highlight w:val="none"/>
          <w:lang w:eastAsia="zh-CN"/>
        </w:rPr>
        <w:t>发包人违约解除合同</w:t>
      </w:r>
    </w:p>
    <w:p w14:paraId="7BCB2E28">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）发生第</w:t>
      </w:r>
      <w:r>
        <w:rPr>
          <w:rFonts w:hAnsi="Times New Roman" w:cs="Times New Roman"/>
          <w:color w:val="auto"/>
          <w:highlight w:val="none"/>
          <w:lang w:eastAsia="zh-CN"/>
        </w:rPr>
        <w:t>22.2.1</w:t>
      </w: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）目的违约情况时，承包人可书面通知发包人解除合同。</w:t>
      </w:r>
    </w:p>
    <w:p w14:paraId="3199D9D6">
      <w:pPr>
        <w:kinsoku/>
        <w:ind w:firstLine="0"/>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）承包人按</w:t>
      </w:r>
      <w:r>
        <w:rPr>
          <w:rFonts w:hAnsi="Times New Roman" w:cs="Times New Roman"/>
          <w:color w:val="auto"/>
          <w:highlight w:val="none"/>
          <w:lang w:eastAsia="zh-CN"/>
        </w:rPr>
        <w:t>22.2.2</w:t>
      </w:r>
      <w:r>
        <w:rPr>
          <w:rFonts w:cs="宋体"/>
          <w:color w:val="auto"/>
          <w:highlight w:val="none"/>
          <w:lang w:eastAsia="zh-CN"/>
        </w:rPr>
        <w:t>项暂停施工</w:t>
      </w:r>
      <w:r>
        <w:rPr>
          <w:rFonts w:hAnsi="Times New Roman" w:cs="Times New Roman"/>
          <w:color w:val="auto"/>
          <w:highlight w:val="none"/>
          <w:lang w:eastAsia="zh-CN"/>
        </w:rPr>
        <w:t>28</w:t>
      </w:r>
      <w:r>
        <w:rPr>
          <w:rFonts w:cs="宋体"/>
          <w:color w:val="auto"/>
          <w:highlight w:val="none"/>
          <w:lang w:eastAsia="zh-CN"/>
        </w:rPr>
        <w:t>天后，发包人仍不纠正违约行为的，承包人可向发包人发出解除合同通知。但承包人的这一行动不免除发包人承担的违约责任，也不影响承包人根据合同约定享有的索赔权利。</w:t>
      </w:r>
    </w:p>
    <w:p w14:paraId="1B4E5782">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22.2.4</w:t>
      </w:r>
      <w:r>
        <w:rPr>
          <w:rFonts w:hint="eastAsia" w:hAnsi="Times New Roman" w:cs="Times New Roman"/>
          <w:b/>
          <w:bCs/>
          <w:color w:val="auto"/>
          <w:highlight w:val="none"/>
          <w:lang w:eastAsia="zh-CN"/>
        </w:rPr>
        <w:t>　</w:t>
      </w:r>
      <w:r>
        <w:rPr>
          <w:rFonts w:cs="宋体"/>
          <w:color w:val="auto"/>
          <w:highlight w:val="none"/>
          <w:lang w:eastAsia="zh-CN"/>
        </w:rPr>
        <w:t>解除合同后的付款</w:t>
      </w:r>
    </w:p>
    <w:p w14:paraId="0D9492CF">
      <w:pPr>
        <w:kinsoku/>
        <w:ind w:firstLine="0"/>
        <w:rPr>
          <w:color w:val="auto"/>
          <w:highlight w:val="none"/>
          <w:lang w:eastAsia="zh-CN"/>
        </w:rPr>
      </w:pPr>
      <w:r>
        <w:rPr>
          <w:color w:val="auto"/>
          <w:highlight w:val="none"/>
          <w:lang w:eastAsia="zh-CN"/>
        </w:rPr>
        <w:t>因发包人违约解除合同的，发包人应在解除合同后28天内向承包人支付下列金额，承包人应在此期限内及时向发包人提交要求支付下列金额的有关资料和凭证：</w:t>
      </w:r>
    </w:p>
    <w:p w14:paraId="1080EF38">
      <w:pPr>
        <w:kinsoku/>
        <w:ind w:firstLine="0"/>
        <w:rPr>
          <w:color w:val="auto"/>
          <w:highlight w:val="none"/>
          <w:lang w:eastAsia="zh-CN"/>
        </w:rPr>
      </w:pPr>
      <w:r>
        <w:rPr>
          <w:color w:val="auto"/>
          <w:highlight w:val="none"/>
          <w:lang w:eastAsia="zh-CN"/>
        </w:rPr>
        <w:t>（1）合同解除日以前所完成工作的价款。</w:t>
      </w:r>
    </w:p>
    <w:p w14:paraId="3AAA387C">
      <w:pPr>
        <w:kinsoku/>
        <w:ind w:firstLine="0"/>
        <w:rPr>
          <w:rFonts w:cs="宋体"/>
          <w:color w:val="auto"/>
          <w:highlight w:val="none"/>
          <w:lang w:eastAsia="zh-CN"/>
        </w:rPr>
      </w:pPr>
      <w:r>
        <w:rPr>
          <w:color w:val="auto"/>
          <w:highlight w:val="none"/>
          <w:lang w:eastAsia="zh-CN"/>
        </w:rPr>
        <w:t>（2）承包人为</w:t>
      </w:r>
      <w:r>
        <w:rPr>
          <w:rFonts w:cs="宋体"/>
          <w:color w:val="auto"/>
          <w:highlight w:val="none"/>
          <w:lang w:eastAsia="zh-CN"/>
        </w:rPr>
        <w:t>该工程施工订购并已付款的材料、工程设备和其他物品的金额。</w:t>
      </w:r>
    </w:p>
    <w:p w14:paraId="1AABDE16">
      <w:pPr>
        <w:kinsoku/>
        <w:spacing w:beforeLines="0" w:afterLines="0"/>
        <w:ind w:firstLine="0" w:firstLineChars="0"/>
        <w:jc w:val="left"/>
        <w:rPr>
          <w:rFonts w:cs="宋体"/>
          <w:color w:val="auto"/>
          <w:highlight w:val="none"/>
          <w:lang w:eastAsia="zh-CN"/>
        </w:rPr>
      </w:pPr>
      <w:r>
        <w:rPr>
          <w:rFonts w:cs="宋体"/>
          <w:color w:val="auto"/>
          <w:highlight w:val="none"/>
          <w:lang w:eastAsia="zh-CN"/>
        </w:rPr>
        <w:t>发包人付还后，该材料、工程设备和其他物品归发包人所有。</w:t>
      </w:r>
    </w:p>
    <w:p w14:paraId="5C5671BB">
      <w:pPr>
        <w:kinsoku/>
        <w:ind w:firstLine="0"/>
        <w:rPr>
          <w:color w:val="auto"/>
          <w:highlight w:val="none"/>
          <w:lang w:eastAsia="zh-CN"/>
        </w:rPr>
      </w:pPr>
      <w:r>
        <w:rPr>
          <w:color w:val="auto"/>
          <w:highlight w:val="none"/>
          <w:lang w:eastAsia="zh-CN"/>
        </w:rPr>
        <w:t>（3）承包人为完成工程所发生的，而发包人未支付的金额。</w:t>
      </w:r>
    </w:p>
    <w:p w14:paraId="0B84DE77">
      <w:pPr>
        <w:kinsoku/>
        <w:ind w:firstLine="0"/>
        <w:rPr>
          <w:color w:val="auto"/>
          <w:highlight w:val="none"/>
          <w:lang w:eastAsia="zh-CN"/>
        </w:rPr>
      </w:pPr>
      <w:r>
        <w:rPr>
          <w:color w:val="auto"/>
          <w:highlight w:val="none"/>
          <w:lang w:eastAsia="zh-CN"/>
        </w:rPr>
        <w:t>（4）承包人撤离施工场地以及遣散承包人人员的金额。</w:t>
      </w:r>
    </w:p>
    <w:p w14:paraId="43CABEEE">
      <w:pPr>
        <w:kinsoku/>
        <w:ind w:firstLine="0"/>
        <w:rPr>
          <w:color w:val="auto"/>
          <w:highlight w:val="none"/>
          <w:lang w:eastAsia="zh-CN"/>
        </w:rPr>
      </w:pPr>
      <w:r>
        <w:rPr>
          <w:color w:val="auto"/>
          <w:highlight w:val="none"/>
          <w:lang w:eastAsia="zh-CN"/>
        </w:rPr>
        <w:t>（5）由于解除合同应赔偿的承包人损失。</w:t>
      </w:r>
    </w:p>
    <w:p w14:paraId="277FF8AF">
      <w:pPr>
        <w:kinsoku/>
        <w:ind w:firstLine="0"/>
        <w:rPr>
          <w:color w:val="auto"/>
          <w:highlight w:val="none"/>
          <w:lang w:eastAsia="zh-CN"/>
        </w:rPr>
      </w:pPr>
      <w:r>
        <w:rPr>
          <w:color w:val="auto"/>
          <w:highlight w:val="none"/>
          <w:lang w:eastAsia="zh-CN"/>
        </w:rPr>
        <w:t>（6）按合同约定在合同解除日前应支付给承包人的其他金额。</w:t>
      </w:r>
    </w:p>
    <w:p w14:paraId="4B8F86C9">
      <w:pPr>
        <w:kinsoku/>
        <w:ind w:firstLine="0"/>
        <w:rPr>
          <w:rFonts w:cs="宋体"/>
          <w:color w:val="auto"/>
          <w:highlight w:val="none"/>
          <w:lang w:eastAsia="zh-CN"/>
        </w:rPr>
      </w:pPr>
      <w:r>
        <w:rPr>
          <w:color w:val="auto"/>
          <w:highlight w:val="none"/>
          <w:lang w:eastAsia="zh-CN"/>
        </w:rPr>
        <w:t>发包人应</w:t>
      </w:r>
      <w:r>
        <w:rPr>
          <w:rFonts w:cs="宋体"/>
          <w:color w:val="auto"/>
          <w:highlight w:val="none"/>
          <w:lang w:eastAsia="zh-CN"/>
        </w:rPr>
        <w:t>按本项约定支付上述金额并退还质量保证金和履约担保，但有权要求承包人支付应偿还给发包人的各项金额。</w:t>
      </w:r>
    </w:p>
    <w:p w14:paraId="0A234620">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22.2.5</w:t>
      </w:r>
      <w:r>
        <w:rPr>
          <w:rFonts w:hint="eastAsia" w:hAnsi="Times New Roman" w:cs="Times New Roman"/>
          <w:b/>
          <w:bCs/>
          <w:color w:val="auto"/>
          <w:highlight w:val="none"/>
          <w:lang w:eastAsia="zh-CN"/>
        </w:rPr>
        <w:t>　</w:t>
      </w:r>
      <w:r>
        <w:rPr>
          <w:rFonts w:cs="宋体"/>
          <w:color w:val="auto"/>
          <w:highlight w:val="none"/>
          <w:lang w:eastAsia="zh-CN"/>
        </w:rPr>
        <w:t>解除合同后的承包人撤离</w:t>
      </w:r>
    </w:p>
    <w:p w14:paraId="6D38619F">
      <w:pPr>
        <w:kinsoku/>
        <w:ind w:firstLine="0"/>
        <w:rPr>
          <w:rFonts w:cs="宋体"/>
          <w:color w:val="auto"/>
          <w:highlight w:val="none"/>
          <w:lang w:eastAsia="zh-CN"/>
        </w:rPr>
      </w:pPr>
      <w:r>
        <w:rPr>
          <w:rFonts w:cs="宋体"/>
          <w:color w:val="auto"/>
          <w:highlight w:val="none"/>
          <w:lang w:eastAsia="zh-CN"/>
        </w:rPr>
        <w:t>因发包人违约而解除合同后，承包人应妥善做好已完工工程和已购材料、设备的保护和移交工作，按发包人要求将承包人设备和人员撤出施工场地。承包人撤出施工场地应遵守第</w:t>
      </w:r>
      <w:r>
        <w:rPr>
          <w:rFonts w:hAnsi="Times New Roman" w:cs="Times New Roman"/>
          <w:color w:val="auto"/>
          <w:highlight w:val="none"/>
          <w:lang w:eastAsia="zh-CN"/>
        </w:rPr>
        <w:t>18.7.1</w:t>
      </w:r>
      <w:r>
        <w:rPr>
          <w:rFonts w:cs="宋体"/>
          <w:color w:val="auto"/>
          <w:highlight w:val="none"/>
          <w:lang w:eastAsia="zh-CN"/>
        </w:rPr>
        <w:t>项的约定，发包人应为承包人撤出提供必要条件。</w:t>
      </w:r>
    </w:p>
    <w:p w14:paraId="18C0625D">
      <w:pPr>
        <w:pStyle w:val="4"/>
        <w:kinsoku/>
        <w:spacing w:beforeLines="0" w:afterLines="0"/>
        <w:rPr>
          <w:rFonts w:hint="eastAsia" w:hAnsi="宋体" w:cs="宋体"/>
          <w:bCs/>
          <w:color w:val="auto"/>
          <w:szCs w:val="24"/>
          <w:highlight w:val="none"/>
          <w:lang w:eastAsia="zh-CN"/>
        </w:rPr>
      </w:pPr>
      <w:bookmarkStart w:id="1381" w:name="_Toc17985"/>
      <w:bookmarkStart w:id="1382" w:name="_Toc5591"/>
      <w:bookmarkStart w:id="1383" w:name="_Toc13965"/>
      <w:r>
        <w:rPr>
          <w:rFonts w:hint="eastAsia" w:hAnsi="宋体" w:cs="宋体"/>
          <w:b/>
          <w:bCs/>
          <w:color w:val="auto"/>
          <w:szCs w:val="24"/>
          <w:highlight w:val="none"/>
          <w:lang w:eastAsia="zh-CN"/>
        </w:rPr>
        <w:t>22.3</w:t>
      </w:r>
      <w:r>
        <w:rPr>
          <w:rFonts w:hint="eastAsia" w:cs="宋体"/>
          <w:b/>
          <w:bCs/>
          <w:color w:val="auto"/>
          <w:szCs w:val="24"/>
          <w:highlight w:val="none"/>
          <w:lang w:eastAsia="zh-CN"/>
        </w:rPr>
        <w:t>　</w:t>
      </w:r>
      <w:r>
        <w:rPr>
          <w:rFonts w:hint="eastAsia" w:hAnsi="宋体" w:cs="宋体"/>
          <w:b/>
          <w:bCs/>
          <w:color w:val="auto"/>
          <w:szCs w:val="24"/>
          <w:highlight w:val="none"/>
          <w:lang w:eastAsia="zh-CN"/>
        </w:rPr>
        <w:t>第三人造成的违约</w:t>
      </w:r>
      <w:bookmarkEnd w:id="1381"/>
      <w:bookmarkEnd w:id="1382"/>
      <w:bookmarkEnd w:id="1383"/>
    </w:p>
    <w:p w14:paraId="0B317C5E">
      <w:pPr>
        <w:kinsoku/>
        <w:ind w:firstLine="0"/>
        <w:jc w:val="left"/>
        <w:rPr>
          <w:color w:val="auto"/>
          <w:highlight w:val="none"/>
          <w:lang w:eastAsia="zh-CN"/>
        </w:rPr>
      </w:pPr>
      <w:r>
        <w:rPr>
          <w:color w:val="auto"/>
          <w:highlight w:val="none"/>
          <w:lang w:eastAsia="zh-CN"/>
        </w:rPr>
        <w:t>在履行合同过程中，一方当事人因第三人的原因造成违约的，应当向对方当事人承担违约责任。一方当事人和第三人之间的纠纷，依照法律规定或者按照约定解决。</w:t>
      </w:r>
    </w:p>
    <w:p w14:paraId="1F1E0CAB">
      <w:pPr>
        <w:pStyle w:val="3"/>
        <w:kinsoku/>
        <w:spacing w:before="0" w:beforeLines="0" w:afterLines="0" w:line="360" w:lineRule="auto"/>
        <w:outlineLvl w:val="1"/>
        <w:rPr>
          <w:rFonts w:hint="eastAsia" w:ascii="宋体" w:cs="宋体"/>
          <w:color w:val="auto"/>
          <w:sz w:val="30"/>
          <w:szCs w:val="30"/>
          <w:highlight w:val="none"/>
        </w:rPr>
      </w:pPr>
      <w:bookmarkStart w:id="1384" w:name="_Toc20484"/>
      <w:bookmarkStart w:id="1385" w:name="_Toc5669"/>
      <w:bookmarkStart w:id="1386" w:name="_Toc5684"/>
      <w:bookmarkStart w:id="1387" w:name="_Toc3299"/>
      <w:bookmarkStart w:id="1388" w:name="_Toc13302"/>
      <w:bookmarkStart w:id="1389" w:name="_Toc12460"/>
      <w:bookmarkStart w:id="1390" w:name="_Toc27928"/>
      <w:bookmarkStart w:id="1391" w:name="_Toc25408"/>
      <w:bookmarkStart w:id="1392" w:name="_Toc9664"/>
      <w:bookmarkStart w:id="1393" w:name="_Toc29257"/>
      <w:bookmarkStart w:id="1394" w:name="_Toc5754"/>
      <w:bookmarkStart w:id="1395" w:name="_Toc17459"/>
      <w:bookmarkStart w:id="1396" w:name="_Toc20711"/>
      <w:bookmarkStart w:id="1397" w:name="_Toc28934"/>
      <w:r>
        <w:rPr>
          <w:rFonts w:hint="eastAsia" w:ascii="宋体" w:cs="宋体"/>
          <w:color w:val="auto"/>
          <w:sz w:val="30"/>
          <w:szCs w:val="30"/>
          <w:highlight w:val="none"/>
        </w:rPr>
        <w:t>23</w:t>
      </w:r>
      <w:r>
        <w:rPr>
          <w:rFonts w:hint="eastAsia" w:cs="宋体"/>
          <w:color w:val="auto"/>
          <w:sz w:val="30"/>
          <w:szCs w:val="30"/>
          <w:highlight w:val="none"/>
          <w:lang w:eastAsia="zh-CN"/>
        </w:rPr>
        <w:t>　</w:t>
      </w:r>
      <w:r>
        <w:rPr>
          <w:rFonts w:hint="eastAsia" w:ascii="宋体" w:cs="宋体"/>
          <w:color w:val="auto"/>
          <w:sz w:val="30"/>
          <w:szCs w:val="30"/>
          <w:highlight w:val="none"/>
        </w:rPr>
        <w:t>索赔</w:t>
      </w:r>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p>
    <w:p w14:paraId="3D0A92C5">
      <w:pPr>
        <w:pStyle w:val="4"/>
        <w:kinsoku/>
        <w:spacing w:beforeLines="0" w:afterLines="0"/>
        <w:rPr>
          <w:rFonts w:hint="eastAsia" w:hAnsi="宋体" w:cs="宋体"/>
          <w:bCs/>
          <w:color w:val="auto"/>
          <w:szCs w:val="24"/>
          <w:highlight w:val="none"/>
          <w:lang w:eastAsia="zh-CN"/>
        </w:rPr>
      </w:pPr>
      <w:bookmarkStart w:id="1398" w:name="_Toc25848"/>
      <w:bookmarkStart w:id="1399" w:name="_Toc12804"/>
      <w:bookmarkStart w:id="1400" w:name="_Toc11767"/>
      <w:r>
        <w:rPr>
          <w:rFonts w:hint="eastAsia" w:hAnsi="宋体" w:cs="宋体"/>
          <w:b/>
          <w:bCs/>
          <w:color w:val="auto"/>
          <w:szCs w:val="24"/>
          <w:highlight w:val="none"/>
          <w:lang w:eastAsia="zh-CN"/>
        </w:rPr>
        <w:t>23.1</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承包人索赔的提出</w:t>
      </w:r>
      <w:bookmarkEnd w:id="1398"/>
      <w:bookmarkEnd w:id="1399"/>
      <w:bookmarkEnd w:id="1400"/>
    </w:p>
    <w:p w14:paraId="6D1447FF">
      <w:pPr>
        <w:kinsoku/>
        <w:ind w:firstLine="0"/>
        <w:rPr>
          <w:color w:val="auto"/>
          <w:highlight w:val="none"/>
          <w:lang w:eastAsia="zh-CN"/>
        </w:rPr>
      </w:pPr>
      <w:r>
        <w:rPr>
          <w:color w:val="auto"/>
          <w:highlight w:val="none"/>
          <w:lang w:eastAsia="zh-CN"/>
        </w:rPr>
        <w:t>根据合同约定，承包人认为有权得到追加付款和（或）延长工期的，应按以下程序向发包人提出索赔：</w:t>
      </w:r>
    </w:p>
    <w:p w14:paraId="23C04867">
      <w:pPr>
        <w:kinsoku/>
        <w:ind w:firstLine="0"/>
        <w:rPr>
          <w:color w:val="auto"/>
          <w:highlight w:val="none"/>
          <w:lang w:eastAsia="zh-CN"/>
        </w:rPr>
      </w:pPr>
      <w:r>
        <w:rPr>
          <w:color w:val="auto"/>
          <w:highlight w:val="none"/>
          <w:lang w:eastAsia="zh-CN"/>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6EB6B41">
      <w:pPr>
        <w:kinsoku/>
        <w:ind w:firstLine="0"/>
        <w:rPr>
          <w:color w:val="auto"/>
          <w:highlight w:val="none"/>
          <w:lang w:eastAsia="zh-CN"/>
        </w:rPr>
      </w:pPr>
      <w:r>
        <w:rPr>
          <w:color w:val="auto"/>
          <w:highlight w:val="none"/>
          <w:lang w:eastAsia="zh-CN"/>
        </w:rPr>
        <w:t>（2）承包人应在发出索赔意向通知书后28天内，向监理人正式递交索赔通知书。索赔通知书应详细说明索赔理由以及要求追加的付款金额和（或）延长的工期，并附必要的记录和证明材料。</w:t>
      </w:r>
    </w:p>
    <w:p w14:paraId="514331B1">
      <w:pPr>
        <w:kinsoku/>
        <w:ind w:firstLine="0"/>
        <w:rPr>
          <w:color w:val="auto"/>
          <w:highlight w:val="none"/>
          <w:lang w:eastAsia="zh-CN"/>
        </w:rPr>
      </w:pPr>
      <w:r>
        <w:rPr>
          <w:color w:val="auto"/>
          <w:highlight w:val="none"/>
          <w:lang w:eastAsia="zh-CN"/>
        </w:rPr>
        <w:t>（3）索赔事件具有连续影响的，承包人应按合理时间间隔继续递交延续索赔通知，说明连续影响的实际情况和记录，列出累计的追加付款金额和（或）工期延长天数。</w:t>
      </w:r>
    </w:p>
    <w:p w14:paraId="32EB6F8B">
      <w:pPr>
        <w:kinsoku/>
        <w:ind w:firstLine="0"/>
        <w:rPr>
          <w:rFonts w:cs="宋体"/>
          <w:color w:val="auto"/>
          <w:highlight w:val="none"/>
          <w:lang w:eastAsia="zh-CN"/>
        </w:rPr>
      </w:pPr>
      <w:r>
        <w:rPr>
          <w:color w:val="auto"/>
          <w:highlight w:val="none"/>
          <w:lang w:eastAsia="zh-CN"/>
        </w:rPr>
        <w:t>（4）</w:t>
      </w:r>
      <w:r>
        <w:rPr>
          <w:rFonts w:cs="宋体"/>
          <w:color w:val="auto"/>
          <w:highlight w:val="none"/>
          <w:lang w:eastAsia="zh-CN"/>
        </w:rPr>
        <w:t>在索赔事件影响结束后的</w:t>
      </w:r>
      <w:r>
        <w:rPr>
          <w:rFonts w:hAnsi="Times New Roman" w:cs="Times New Roman"/>
          <w:color w:val="auto"/>
          <w:highlight w:val="none"/>
          <w:lang w:eastAsia="zh-CN"/>
        </w:rPr>
        <w:t>28</w:t>
      </w:r>
      <w:r>
        <w:rPr>
          <w:rFonts w:cs="宋体"/>
          <w:color w:val="auto"/>
          <w:highlight w:val="none"/>
          <w:lang w:eastAsia="zh-CN"/>
        </w:rPr>
        <w:t>天内，承包人应向监理人递交最终索赔通知书，说明最终要求索赔的追加付款金额和延长的工期，并附必要的记录和证明材料。</w:t>
      </w:r>
    </w:p>
    <w:p w14:paraId="2E5E5A52">
      <w:pPr>
        <w:pStyle w:val="4"/>
        <w:kinsoku/>
        <w:spacing w:beforeLines="0" w:afterLines="0"/>
        <w:rPr>
          <w:rFonts w:hint="eastAsia" w:hAnsi="宋体" w:cs="宋体"/>
          <w:bCs/>
          <w:color w:val="auto"/>
          <w:szCs w:val="24"/>
          <w:highlight w:val="none"/>
          <w:lang w:eastAsia="zh-CN"/>
        </w:rPr>
      </w:pPr>
      <w:bookmarkStart w:id="1401" w:name="_Toc16690"/>
      <w:bookmarkStart w:id="1402" w:name="_Toc2453"/>
      <w:bookmarkStart w:id="1403" w:name="_Toc19165"/>
      <w:r>
        <w:rPr>
          <w:rFonts w:hint="eastAsia" w:hAnsi="宋体" w:cs="宋体"/>
          <w:b/>
          <w:bCs/>
          <w:color w:val="auto"/>
          <w:szCs w:val="24"/>
          <w:highlight w:val="none"/>
          <w:lang w:eastAsia="zh-CN"/>
        </w:rPr>
        <w:t>23.2</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承包人索赔处理程序</w:t>
      </w:r>
      <w:bookmarkEnd w:id="1401"/>
      <w:bookmarkEnd w:id="1402"/>
      <w:bookmarkEnd w:id="1403"/>
    </w:p>
    <w:p w14:paraId="2640194F">
      <w:pPr>
        <w:kinsoku/>
        <w:ind w:firstLine="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）监理人收到承包人提交的索赔通知书后，应及时审查索赔通知书的内容、查验承包人的记录和证明材料，必要时监理人可要求承包人提交全部原始记录副本。</w:t>
      </w:r>
    </w:p>
    <w:p w14:paraId="1537151E">
      <w:pPr>
        <w:kinsoku/>
        <w:ind w:firstLine="0"/>
        <w:rPr>
          <w:color w:val="auto"/>
          <w:highlight w:val="none"/>
          <w:lang w:eastAsia="zh-CN"/>
        </w:rPr>
      </w:pPr>
      <w:r>
        <w:rPr>
          <w:color w:val="auto"/>
          <w:highlight w:val="none"/>
          <w:lang w:eastAsia="zh-CN"/>
        </w:rPr>
        <w:t>（2）监理人应按第3.5款商定或确定追加的付款和（或）延长的工期，并在收到上述索赔通知书或有关索赔的进一步证明材料后的42天内，将索赔处理结果答复承包人。</w:t>
      </w:r>
    </w:p>
    <w:p w14:paraId="29202350">
      <w:pPr>
        <w:kinsoku/>
        <w:ind w:firstLine="0"/>
        <w:rPr>
          <w:rFonts w:cs="宋体"/>
          <w:color w:val="auto"/>
          <w:highlight w:val="none"/>
          <w:lang w:eastAsia="zh-CN"/>
        </w:rPr>
      </w:pPr>
      <w:r>
        <w:rPr>
          <w:color w:val="auto"/>
          <w:highlight w:val="none"/>
          <w:lang w:eastAsia="zh-CN"/>
        </w:rPr>
        <w:t>（3）承包人接受索赔处理结果的，发包人应在作出索赔处理结果答复后28天内完成赔付。承包人不接受</w:t>
      </w:r>
      <w:r>
        <w:rPr>
          <w:rFonts w:cs="宋体"/>
          <w:color w:val="auto"/>
          <w:highlight w:val="none"/>
          <w:lang w:eastAsia="zh-CN"/>
        </w:rPr>
        <w:t>索赔处理结果的，按第</w:t>
      </w:r>
      <w:r>
        <w:rPr>
          <w:rFonts w:hAnsi="Times New Roman" w:cs="Times New Roman"/>
          <w:color w:val="auto"/>
          <w:highlight w:val="none"/>
          <w:lang w:eastAsia="zh-CN"/>
        </w:rPr>
        <w:t>24</w:t>
      </w:r>
      <w:r>
        <w:rPr>
          <w:rFonts w:cs="宋体"/>
          <w:color w:val="auto"/>
          <w:highlight w:val="none"/>
          <w:lang w:eastAsia="zh-CN"/>
        </w:rPr>
        <w:t>条的约定办理。</w:t>
      </w:r>
    </w:p>
    <w:p w14:paraId="54B9774E">
      <w:pPr>
        <w:pStyle w:val="4"/>
        <w:kinsoku/>
        <w:spacing w:beforeLines="0" w:afterLines="0"/>
        <w:rPr>
          <w:rFonts w:hint="eastAsia" w:hAnsi="宋体" w:cs="宋体"/>
          <w:bCs/>
          <w:color w:val="auto"/>
          <w:szCs w:val="24"/>
          <w:highlight w:val="none"/>
          <w:lang w:eastAsia="zh-CN"/>
        </w:rPr>
      </w:pPr>
      <w:bookmarkStart w:id="1404" w:name="_Toc24035"/>
      <w:bookmarkStart w:id="1405" w:name="_Toc19892"/>
      <w:bookmarkStart w:id="1406" w:name="_Toc1450"/>
      <w:r>
        <w:rPr>
          <w:rFonts w:hint="eastAsia" w:hAnsi="宋体" w:cs="宋体"/>
          <w:b/>
          <w:bCs/>
          <w:color w:val="auto"/>
          <w:szCs w:val="24"/>
          <w:highlight w:val="none"/>
          <w:lang w:eastAsia="zh-CN"/>
        </w:rPr>
        <w:t>23.3</w:t>
      </w:r>
      <w:r>
        <w:rPr>
          <w:rFonts w:hint="eastAsia" w:cs="宋体"/>
          <w:b/>
          <w:bCs/>
          <w:color w:val="auto"/>
          <w:szCs w:val="24"/>
          <w:highlight w:val="none"/>
          <w:lang w:eastAsia="zh-CN"/>
        </w:rPr>
        <w:t>　</w:t>
      </w:r>
      <w:r>
        <w:rPr>
          <w:rFonts w:hint="eastAsia" w:hAnsi="宋体" w:cs="宋体"/>
          <w:b/>
          <w:bCs/>
          <w:color w:val="auto"/>
          <w:szCs w:val="24"/>
          <w:highlight w:val="none"/>
          <w:lang w:eastAsia="zh-CN"/>
        </w:rPr>
        <w:t>承包人提出索赔的期限</w:t>
      </w:r>
      <w:bookmarkEnd w:id="1404"/>
      <w:bookmarkEnd w:id="1405"/>
      <w:bookmarkEnd w:id="1406"/>
    </w:p>
    <w:p w14:paraId="2BC47E9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23.3.1</w:t>
      </w:r>
      <w:r>
        <w:rPr>
          <w:rFonts w:hint="eastAsia" w:hAnsi="Times New Roman" w:cs="Times New Roman"/>
          <w:b/>
          <w:bCs/>
          <w:color w:val="auto"/>
          <w:highlight w:val="none"/>
          <w:lang w:eastAsia="zh-CN"/>
        </w:rPr>
        <w:t>　</w:t>
      </w:r>
      <w:r>
        <w:rPr>
          <w:rFonts w:cs="宋体"/>
          <w:color w:val="auto"/>
          <w:highlight w:val="none"/>
          <w:lang w:eastAsia="zh-CN"/>
        </w:rPr>
        <w:t>承包人按第</w:t>
      </w:r>
      <w:r>
        <w:rPr>
          <w:rFonts w:hAnsi="Times New Roman" w:cs="Times New Roman"/>
          <w:color w:val="auto"/>
          <w:highlight w:val="none"/>
          <w:lang w:eastAsia="zh-CN"/>
        </w:rPr>
        <w:t>17.5</w:t>
      </w:r>
      <w:r>
        <w:rPr>
          <w:rFonts w:cs="宋体"/>
          <w:color w:val="auto"/>
          <w:highlight w:val="none"/>
          <w:lang w:eastAsia="zh-CN"/>
        </w:rPr>
        <w:t>款的约定接受了完工付款证书后，应被认为已无权再提出在合同工程完工证书颁发前所发生的任何索赔。</w:t>
      </w:r>
    </w:p>
    <w:p w14:paraId="0F08462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23.3.2</w:t>
      </w:r>
      <w:r>
        <w:rPr>
          <w:rFonts w:hint="eastAsia" w:hAnsi="Times New Roman" w:cs="Times New Roman"/>
          <w:b/>
          <w:bCs/>
          <w:color w:val="auto"/>
          <w:highlight w:val="none"/>
          <w:lang w:eastAsia="zh-CN"/>
        </w:rPr>
        <w:t>　</w:t>
      </w:r>
      <w:r>
        <w:rPr>
          <w:rFonts w:cs="宋体"/>
          <w:color w:val="auto"/>
          <w:highlight w:val="none"/>
          <w:lang w:eastAsia="zh-CN"/>
        </w:rPr>
        <w:t>承包人按第</w:t>
      </w:r>
      <w:r>
        <w:rPr>
          <w:rFonts w:hAnsi="Times New Roman" w:cs="Times New Roman"/>
          <w:color w:val="auto"/>
          <w:highlight w:val="none"/>
          <w:lang w:eastAsia="zh-CN"/>
        </w:rPr>
        <w:t>17.6</w:t>
      </w:r>
      <w:r>
        <w:rPr>
          <w:rFonts w:cs="宋体"/>
          <w:color w:val="auto"/>
          <w:highlight w:val="none"/>
          <w:lang w:eastAsia="zh-CN"/>
        </w:rPr>
        <w:t>款的约定提交的最终结清申请单中，只限于提出合同工程完工证书颁发后发生的索赔。提出索赔的期限自接受最终结清证书时终止。</w:t>
      </w:r>
    </w:p>
    <w:p w14:paraId="4A08E455">
      <w:pPr>
        <w:pStyle w:val="4"/>
        <w:kinsoku/>
        <w:spacing w:beforeLines="0" w:afterLines="0"/>
        <w:rPr>
          <w:rFonts w:hint="eastAsia" w:hAnsi="宋体" w:cs="宋体"/>
          <w:bCs/>
          <w:color w:val="auto"/>
          <w:szCs w:val="24"/>
          <w:highlight w:val="none"/>
          <w:lang w:eastAsia="zh-CN"/>
        </w:rPr>
      </w:pPr>
      <w:bookmarkStart w:id="1407" w:name="_Toc32568"/>
      <w:bookmarkStart w:id="1408" w:name="_Toc30386"/>
      <w:bookmarkStart w:id="1409" w:name="_Toc4838"/>
      <w:r>
        <w:rPr>
          <w:rFonts w:hint="eastAsia" w:hAnsi="宋体" w:cs="宋体"/>
          <w:b/>
          <w:bCs/>
          <w:color w:val="auto"/>
          <w:szCs w:val="24"/>
          <w:highlight w:val="none"/>
          <w:lang w:eastAsia="zh-CN"/>
        </w:rPr>
        <w:t>23.4</w:t>
      </w:r>
      <w:r>
        <w:rPr>
          <w:rFonts w:hint="eastAsia" w:cs="宋体"/>
          <w:b/>
          <w:bCs/>
          <w:color w:val="auto"/>
          <w:szCs w:val="24"/>
          <w:highlight w:val="none"/>
          <w:lang w:eastAsia="zh-CN"/>
        </w:rPr>
        <w:t>　</w:t>
      </w:r>
      <w:r>
        <w:rPr>
          <w:rFonts w:hint="eastAsia" w:hAnsi="宋体" w:cs="宋体"/>
          <w:b/>
          <w:bCs/>
          <w:color w:val="auto"/>
          <w:szCs w:val="24"/>
          <w:highlight w:val="none"/>
          <w:lang w:eastAsia="zh-CN"/>
        </w:rPr>
        <w:t>发包人的索赔</w:t>
      </w:r>
      <w:bookmarkEnd w:id="1407"/>
      <w:bookmarkEnd w:id="1408"/>
      <w:bookmarkEnd w:id="1409"/>
    </w:p>
    <w:p w14:paraId="3050DEDB">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23.4.1</w:t>
      </w:r>
      <w:r>
        <w:rPr>
          <w:rFonts w:hint="eastAsia" w:hAnsi="Times New Roman" w:cs="Times New Roman"/>
          <w:b/>
          <w:bCs/>
          <w:color w:val="auto"/>
          <w:highlight w:val="none"/>
          <w:lang w:eastAsia="zh-CN"/>
        </w:rPr>
        <w:t>　</w:t>
      </w:r>
      <w:r>
        <w:rPr>
          <w:rFonts w:cs="宋体"/>
          <w:color w:val="auto"/>
          <w:highlight w:val="none"/>
          <w:lang w:eastAsia="zh-CN"/>
        </w:rPr>
        <w:t>发生索赔事件后，监理人应及时书面通知承包人，详细说明发包人有权得到的索赔金额和（或）延长缺陷责任期的细节和依据。发包人提出索赔的期限和要求与第</w:t>
      </w:r>
      <w:r>
        <w:rPr>
          <w:rFonts w:hAnsi="Times New Roman" w:cs="Times New Roman"/>
          <w:color w:val="auto"/>
          <w:highlight w:val="none"/>
          <w:lang w:eastAsia="zh-CN"/>
        </w:rPr>
        <w:t>23.3</w:t>
      </w:r>
      <w:r>
        <w:rPr>
          <w:rFonts w:cs="宋体"/>
          <w:color w:val="auto"/>
          <w:highlight w:val="none"/>
          <w:lang w:eastAsia="zh-CN"/>
        </w:rPr>
        <w:t>款的约定相同，延长缺陷责任期的通知应在缺陷责任期届满前发出。</w:t>
      </w:r>
    </w:p>
    <w:p w14:paraId="28EAC67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23.4.2</w:t>
      </w:r>
      <w:r>
        <w:rPr>
          <w:rFonts w:hint="eastAsia" w:hAnsi="Times New Roman" w:cs="Times New Roman"/>
          <w:b/>
          <w:bCs/>
          <w:color w:val="auto"/>
          <w:highlight w:val="none"/>
          <w:lang w:eastAsia="zh-CN"/>
        </w:rPr>
        <w:t>　</w:t>
      </w:r>
      <w:r>
        <w:rPr>
          <w:rFonts w:cs="宋体"/>
          <w:color w:val="auto"/>
          <w:highlight w:val="none"/>
          <w:lang w:eastAsia="zh-CN"/>
        </w:rPr>
        <w:t>监理人按第</w:t>
      </w:r>
      <w:r>
        <w:rPr>
          <w:rFonts w:hAnsi="Times New Roman" w:cs="Times New Roman"/>
          <w:color w:val="auto"/>
          <w:highlight w:val="none"/>
          <w:lang w:eastAsia="zh-CN"/>
        </w:rPr>
        <w:t>3.5</w:t>
      </w:r>
      <w:r>
        <w:rPr>
          <w:rFonts w:cs="宋体"/>
          <w:color w:val="auto"/>
          <w:highlight w:val="none"/>
          <w:lang w:eastAsia="zh-CN"/>
        </w:rPr>
        <w:t>款商定或确定发包人从承包人处得到赔付的金额和（或）缺陷责任期的延长期。承包人应付给发包人的金额可从拟支付给承包人的合同价款中扣除，或由承包人以其他方式支付给发包人。</w:t>
      </w:r>
    </w:p>
    <w:p w14:paraId="4B94D55E">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23.4.3</w:t>
      </w:r>
      <w:r>
        <w:rPr>
          <w:rFonts w:hint="eastAsia" w:hAnsi="Times New Roman" w:cs="Times New Roman"/>
          <w:b/>
          <w:bCs/>
          <w:color w:val="auto"/>
          <w:highlight w:val="none"/>
          <w:lang w:eastAsia="zh-CN"/>
        </w:rPr>
        <w:t>　</w:t>
      </w:r>
      <w:r>
        <w:rPr>
          <w:rFonts w:cs="宋体"/>
          <w:color w:val="auto"/>
          <w:highlight w:val="none"/>
          <w:lang w:eastAsia="zh-CN"/>
        </w:rPr>
        <w:t>承包人对监理人按第</w:t>
      </w:r>
      <w:r>
        <w:rPr>
          <w:rFonts w:hAnsi="Times New Roman" w:cs="Times New Roman"/>
          <w:color w:val="auto"/>
          <w:highlight w:val="none"/>
          <w:lang w:eastAsia="zh-CN"/>
        </w:rPr>
        <w:t>23.4.1</w:t>
      </w:r>
      <w:r>
        <w:rPr>
          <w:rFonts w:cs="宋体"/>
          <w:color w:val="auto"/>
          <w:highlight w:val="none"/>
          <w:lang w:eastAsia="zh-CN"/>
        </w:rPr>
        <w:t>项发出的索赔书面通知内容持异议时，应在收到书面通知后的</w:t>
      </w:r>
      <w:r>
        <w:rPr>
          <w:rFonts w:hAnsi="Times New Roman" w:cs="Times New Roman"/>
          <w:color w:val="auto"/>
          <w:highlight w:val="none"/>
          <w:lang w:eastAsia="zh-CN"/>
        </w:rPr>
        <w:t>14</w:t>
      </w:r>
      <w:r>
        <w:rPr>
          <w:rFonts w:cs="宋体"/>
          <w:color w:val="auto"/>
          <w:highlight w:val="none"/>
          <w:lang w:eastAsia="zh-CN"/>
        </w:rPr>
        <w:t>天内，将持有异议的书面报告及其证明材料提交监理人。监理人应在收到承包人书面报告后的</w:t>
      </w:r>
      <w:r>
        <w:rPr>
          <w:rFonts w:hAnsi="Times New Roman" w:cs="Times New Roman"/>
          <w:color w:val="auto"/>
          <w:highlight w:val="none"/>
          <w:lang w:eastAsia="zh-CN"/>
        </w:rPr>
        <w:t>14</w:t>
      </w:r>
      <w:r>
        <w:rPr>
          <w:rFonts w:cs="宋体"/>
          <w:color w:val="auto"/>
          <w:highlight w:val="none"/>
          <w:lang w:eastAsia="zh-CN"/>
        </w:rPr>
        <w:t>天内，将异议的处理意见通知承包人，并按第</w:t>
      </w:r>
      <w:r>
        <w:rPr>
          <w:rFonts w:hAnsi="Times New Roman" w:cs="Times New Roman"/>
          <w:color w:val="auto"/>
          <w:highlight w:val="none"/>
          <w:lang w:eastAsia="zh-CN"/>
        </w:rPr>
        <w:t>23.4.2</w:t>
      </w:r>
      <w:r>
        <w:rPr>
          <w:rFonts w:cs="宋体"/>
          <w:color w:val="auto"/>
          <w:highlight w:val="none"/>
          <w:lang w:eastAsia="zh-CN"/>
        </w:rPr>
        <w:t>项的约定执行赔付。若承包人不接受监理人的索赔处理意见，可按本合同第</w:t>
      </w:r>
      <w:r>
        <w:rPr>
          <w:rFonts w:hAnsi="Times New Roman" w:cs="Times New Roman"/>
          <w:color w:val="auto"/>
          <w:highlight w:val="none"/>
          <w:lang w:eastAsia="zh-CN"/>
        </w:rPr>
        <w:t>24</w:t>
      </w:r>
      <w:r>
        <w:rPr>
          <w:rFonts w:cs="宋体"/>
          <w:color w:val="auto"/>
          <w:highlight w:val="none"/>
          <w:lang w:eastAsia="zh-CN"/>
        </w:rPr>
        <w:t>条的规定办理。</w:t>
      </w:r>
    </w:p>
    <w:p w14:paraId="2FBB2FB0">
      <w:pPr>
        <w:pStyle w:val="3"/>
        <w:kinsoku/>
        <w:spacing w:before="0" w:beforeLines="0" w:afterLines="0" w:line="360" w:lineRule="auto"/>
        <w:outlineLvl w:val="1"/>
        <w:rPr>
          <w:rFonts w:hint="eastAsia" w:ascii="宋体" w:cs="宋体"/>
          <w:color w:val="auto"/>
          <w:sz w:val="30"/>
          <w:szCs w:val="30"/>
          <w:highlight w:val="none"/>
        </w:rPr>
      </w:pPr>
      <w:bookmarkStart w:id="1410" w:name="_Toc25925"/>
      <w:bookmarkStart w:id="1411" w:name="_Toc7068"/>
      <w:bookmarkStart w:id="1412" w:name="_Toc14688"/>
      <w:bookmarkStart w:id="1413" w:name="_Toc21875"/>
      <w:bookmarkStart w:id="1414" w:name="_Toc32698"/>
      <w:bookmarkStart w:id="1415" w:name="_Toc17830"/>
      <w:bookmarkStart w:id="1416" w:name="_Toc24051"/>
      <w:bookmarkStart w:id="1417" w:name="_Toc20994"/>
      <w:bookmarkStart w:id="1418" w:name="_Toc16491"/>
      <w:bookmarkStart w:id="1419" w:name="_Toc14134"/>
      <w:bookmarkStart w:id="1420" w:name="_Toc5635"/>
      <w:bookmarkStart w:id="1421" w:name="_Toc13578"/>
      <w:bookmarkStart w:id="1422" w:name="_Toc31840"/>
      <w:bookmarkStart w:id="1423" w:name="_Toc30909"/>
      <w:r>
        <w:rPr>
          <w:rFonts w:hint="eastAsia" w:ascii="宋体" w:cs="宋体"/>
          <w:color w:val="auto"/>
          <w:sz w:val="30"/>
          <w:szCs w:val="30"/>
          <w:highlight w:val="none"/>
        </w:rPr>
        <w:t>24</w:t>
      </w:r>
      <w:r>
        <w:rPr>
          <w:rFonts w:hint="eastAsia" w:cs="宋体"/>
          <w:color w:val="auto"/>
          <w:sz w:val="30"/>
          <w:szCs w:val="30"/>
          <w:highlight w:val="none"/>
          <w:lang w:eastAsia="zh-CN"/>
        </w:rPr>
        <w:t>　</w:t>
      </w:r>
      <w:r>
        <w:rPr>
          <w:rFonts w:hint="eastAsia" w:ascii="宋体" w:cs="宋体"/>
          <w:color w:val="auto"/>
          <w:sz w:val="30"/>
          <w:szCs w:val="30"/>
          <w:highlight w:val="none"/>
        </w:rPr>
        <w:t>争议的解决</w:t>
      </w:r>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14:paraId="6C0E063C">
      <w:pPr>
        <w:pStyle w:val="4"/>
        <w:kinsoku/>
        <w:spacing w:beforeLines="0" w:afterLines="0"/>
        <w:rPr>
          <w:rFonts w:hint="eastAsia" w:hAnsi="宋体" w:cs="宋体"/>
          <w:bCs/>
          <w:color w:val="auto"/>
          <w:szCs w:val="24"/>
          <w:highlight w:val="none"/>
          <w:lang w:eastAsia="zh-CN"/>
        </w:rPr>
      </w:pPr>
      <w:bookmarkStart w:id="1424" w:name="_Toc839"/>
      <w:bookmarkStart w:id="1425" w:name="_Toc22073"/>
      <w:bookmarkStart w:id="1426" w:name="_Toc9157"/>
      <w:r>
        <w:rPr>
          <w:rFonts w:hint="eastAsia" w:hAnsi="宋体" w:cs="宋体"/>
          <w:b/>
          <w:bCs/>
          <w:color w:val="auto"/>
          <w:szCs w:val="24"/>
          <w:highlight w:val="none"/>
          <w:lang w:eastAsia="zh-CN"/>
        </w:rPr>
        <w:t>24.1</w:t>
      </w:r>
      <w:r>
        <w:rPr>
          <w:rFonts w:hint="eastAsia" w:cs="宋体"/>
          <w:b/>
          <w:bCs/>
          <w:color w:val="auto"/>
          <w:szCs w:val="24"/>
          <w:highlight w:val="none"/>
          <w:lang w:eastAsia="zh-CN"/>
        </w:rPr>
        <w:t>　</w:t>
      </w:r>
      <w:r>
        <w:rPr>
          <w:rFonts w:hint="eastAsia" w:hAnsi="宋体" w:cs="宋体"/>
          <w:b/>
          <w:bCs/>
          <w:color w:val="auto"/>
          <w:szCs w:val="24"/>
          <w:highlight w:val="none"/>
          <w:lang w:eastAsia="zh-CN"/>
        </w:rPr>
        <w:t>争议的解决方式</w:t>
      </w:r>
      <w:bookmarkEnd w:id="1424"/>
      <w:bookmarkEnd w:id="1425"/>
      <w:bookmarkEnd w:id="1426"/>
    </w:p>
    <w:p w14:paraId="69EE8514">
      <w:pPr>
        <w:kinsoku/>
        <w:ind w:firstLine="0"/>
        <w:rPr>
          <w:color w:val="auto"/>
          <w:highlight w:val="none"/>
          <w:lang w:eastAsia="zh-CN"/>
        </w:rPr>
      </w:pPr>
      <w:r>
        <w:rPr>
          <w:color w:val="auto"/>
          <w:highlight w:val="none"/>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09C7654">
      <w:pPr>
        <w:kinsoku/>
        <w:ind w:firstLine="0"/>
        <w:rPr>
          <w:color w:val="auto"/>
          <w:highlight w:val="none"/>
          <w:lang w:eastAsia="zh-CN"/>
        </w:rPr>
      </w:pPr>
      <w:r>
        <w:rPr>
          <w:color w:val="auto"/>
          <w:highlight w:val="none"/>
          <w:lang w:eastAsia="zh-CN"/>
        </w:rPr>
        <w:t>（1）向约定的仲裁委员会申请仲裁。</w:t>
      </w:r>
    </w:p>
    <w:p w14:paraId="3E387C4D">
      <w:pPr>
        <w:kinsoku/>
        <w:ind w:firstLine="0"/>
        <w:rPr>
          <w:rFonts w:cs="宋体"/>
          <w:color w:val="auto"/>
          <w:highlight w:val="none"/>
          <w:lang w:eastAsia="zh-CN"/>
        </w:rPr>
      </w:pPr>
      <w:r>
        <w:rPr>
          <w:color w:val="auto"/>
          <w:highlight w:val="none"/>
          <w:lang w:eastAsia="zh-CN"/>
        </w:rPr>
        <w:t>（2）</w:t>
      </w:r>
      <w:r>
        <w:rPr>
          <w:rFonts w:cs="宋体"/>
          <w:color w:val="auto"/>
          <w:highlight w:val="none"/>
          <w:lang w:eastAsia="zh-CN"/>
        </w:rPr>
        <w:t>向有管辖权的人民法院提起诉讼。</w:t>
      </w:r>
    </w:p>
    <w:p w14:paraId="3D6C1282">
      <w:pPr>
        <w:pStyle w:val="4"/>
        <w:kinsoku/>
        <w:spacing w:beforeLines="0" w:afterLines="0"/>
        <w:rPr>
          <w:rFonts w:hint="eastAsia" w:hAnsi="宋体" w:cs="宋体"/>
          <w:bCs/>
          <w:color w:val="auto"/>
          <w:szCs w:val="24"/>
          <w:highlight w:val="none"/>
          <w:lang w:eastAsia="zh-CN"/>
        </w:rPr>
      </w:pPr>
      <w:bookmarkStart w:id="1427" w:name="_Toc19325"/>
      <w:bookmarkStart w:id="1428" w:name="_Toc27457"/>
      <w:bookmarkStart w:id="1429" w:name="_Toc19989"/>
      <w:r>
        <w:rPr>
          <w:rFonts w:hint="eastAsia" w:hAnsi="宋体" w:cs="宋体"/>
          <w:b/>
          <w:bCs/>
          <w:color w:val="auto"/>
          <w:szCs w:val="24"/>
          <w:highlight w:val="none"/>
          <w:lang w:eastAsia="zh-CN"/>
        </w:rPr>
        <w:t>24.2</w:t>
      </w:r>
      <w:r>
        <w:rPr>
          <w:rFonts w:hint="eastAsia" w:cs="宋体"/>
          <w:b/>
          <w:bCs/>
          <w:color w:val="auto"/>
          <w:szCs w:val="24"/>
          <w:highlight w:val="none"/>
          <w:lang w:eastAsia="zh-CN"/>
        </w:rPr>
        <w:t>　</w:t>
      </w:r>
      <w:r>
        <w:rPr>
          <w:rFonts w:hint="eastAsia" w:hAnsi="宋体" w:cs="宋体"/>
          <w:b/>
          <w:bCs/>
          <w:color w:val="auto"/>
          <w:szCs w:val="24"/>
          <w:highlight w:val="none"/>
          <w:lang w:eastAsia="zh-CN"/>
        </w:rPr>
        <w:t>友好解决</w:t>
      </w:r>
      <w:bookmarkEnd w:id="1427"/>
      <w:bookmarkEnd w:id="1428"/>
      <w:bookmarkEnd w:id="1429"/>
    </w:p>
    <w:p w14:paraId="3D6F3BDE">
      <w:pPr>
        <w:kinsoku/>
        <w:ind w:firstLine="0"/>
        <w:rPr>
          <w:color w:val="auto"/>
          <w:highlight w:val="none"/>
          <w:lang w:eastAsia="zh-CN"/>
        </w:rPr>
      </w:pPr>
      <w:r>
        <w:rPr>
          <w:color w:val="auto"/>
          <w:highlight w:val="none"/>
          <w:lang w:eastAsia="zh-CN"/>
        </w:rPr>
        <w:t>在提请争议评审、仲裁或者诉讼前，以及在争议评审、仲裁或诉讼过程中，发包人和承包人均可共同努力友好协商解决争议。</w:t>
      </w:r>
    </w:p>
    <w:p w14:paraId="3FC80DA3">
      <w:pPr>
        <w:pStyle w:val="4"/>
        <w:kinsoku/>
        <w:spacing w:beforeLines="0" w:afterLines="0"/>
        <w:rPr>
          <w:rFonts w:hint="eastAsia" w:hAnsi="宋体" w:cs="宋体"/>
          <w:bCs/>
          <w:color w:val="auto"/>
          <w:szCs w:val="24"/>
          <w:highlight w:val="none"/>
          <w:lang w:eastAsia="zh-CN"/>
        </w:rPr>
      </w:pPr>
      <w:bookmarkStart w:id="1430" w:name="_Toc23215"/>
      <w:bookmarkStart w:id="1431" w:name="_Toc18895"/>
      <w:bookmarkStart w:id="1432" w:name="_Toc5124"/>
      <w:r>
        <w:rPr>
          <w:rFonts w:hint="eastAsia" w:hAnsi="宋体" w:cs="宋体"/>
          <w:b/>
          <w:bCs/>
          <w:color w:val="auto"/>
          <w:szCs w:val="24"/>
          <w:highlight w:val="none"/>
          <w:lang w:eastAsia="zh-CN"/>
        </w:rPr>
        <w:t>24.3</w:t>
      </w:r>
      <w:r>
        <w:rPr>
          <w:rFonts w:hint="eastAsia" w:cs="宋体"/>
          <w:b/>
          <w:bCs/>
          <w:color w:val="auto"/>
          <w:szCs w:val="24"/>
          <w:highlight w:val="none"/>
          <w:lang w:eastAsia="zh-CN"/>
        </w:rPr>
        <w:t>　</w:t>
      </w:r>
      <w:r>
        <w:rPr>
          <w:rFonts w:hint="eastAsia" w:hAnsi="宋体" w:cs="宋体"/>
          <w:b/>
          <w:bCs/>
          <w:color w:val="auto"/>
          <w:szCs w:val="24"/>
          <w:highlight w:val="none"/>
          <w:lang w:eastAsia="zh-CN"/>
        </w:rPr>
        <w:t>争议评审</w:t>
      </w:r>
      <w:bookmarkEnd w:id="1430"/>
      <w:bookmarkEnd w:id="1431"/>
      <w:bookmarkEnd w:id="1432"/>
    </w:p>
    <w:p w14:paraId="66F0040C">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24.3.1</w:t>
      </w:r>
      <w:r>
        <w:rPr>
          <w:rFonts w:hint="eastAsia" w:hAnsi="Times New Roman" w:cs="Times New Roman"/>
          <w:b/>
          <w:bCs/>
          <w:color w:val="auto"/>
          <w:highlight w:val="none"/>
          <w:lang w:eastAsia="zh-CN"/>
        </w:rPr>
        <w:t>　</w:t>
      </w:r>
      <w:r>
        <w:rPr>
          <w:rFonts w:cs="宋体"/>
          <w:color w:val="auto"/>
          <w:highlight w:val="none"/>
          <w:lang w:eastAsia="zh-CN"/>
        </w:rPr>
        <w:t>采用争议评审的，发包人和承包人应在开工日后的</w:t>
      </w:r>
      <w:r>
        <w:rPr>
          <w:rFonts w:hAnsi="Times New Roman" w:cs="Times New Roman"/>
          <w:color w:val="auto"/>
          <w:highlight w:val="none"/>
          <w:lang w:eastAsia="zh-CN"/>
        </w:rPr>
        <w:t>28</w:t>
      </w:r>
      <w:r>
        <w:rPr>
          <w:rFonts w:cs="宋体"/>
          <w:color w:val="auto"/>
          <w:highlight w:val="none"/>
          <w:lang w:eastAsia="zh-CN"/>
        </w:rPr>
        <w:t>天内或在争议发生后，协商成立争议评审组。争议评审组由有合同管理和工程实践经验的专家组成。</w:t>
      </w:r>
    </w:p>
    <w:p w14:paraId="07E7494F">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24.3.2</w:t>
      </w:r>
      <w:r>
        <w:rPr>
          <w:rFonts w:hint="eastAsia" w:hAnsi="Times New Roman" w:cs="Times New Roman"/>
          <w:b/>
          <w:bCs/>
          <w:color w:val="auto"/>
          <w:highlight w:val="none"/>
          <w:lang w:eastAsia="zh-CN"/>
        </w:rPr>
        <w:t>　</w:t>
      </w:r>
      <w:r>
        <w:rPr>
          <w:rFonts w:cs="宋体"/>
          <w:color w:val="auto"/>
          <w:highlight w:val="none"/>
          <w:lang w:eastAsia="zh-CN"/>
        </w:rPr>
        <w:t>合同双方的争议，应首先由申请人向争议评审组提交一份详细的评审申请报告，并附必要的文件、图纸和证明材料，申请人还应将上述报告的副本同时提交给被申请人和监理人。</w:t>
      </w:r>
    </w:p>
    <w:p w14:paraId="48A6D56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24.3.3</w:t>
      </w:r>
      <w:r>
        <w:rPr>
          <w:rFonts w:hint="eastAsia" w:hAnsi="Times New Roman" w:cs="Times New Roman"/>
          <w:b/>
          <w:bCs/>
          <w:color w:val="auto"/>
          <w:highlight w:val="none"/>
          <w:lang w:eastAsia="zh-CN"/>
        </w:rPr>
        <w:t>　</w:t>
      </w:r>
      <w:r>
        <w:rPr>
          <w:rFonts w:cs="宋体"/>
          <w:color w:val="auto"/>
          <w:highlight w:val="none"/>
          <w:lang w:eastAsia="zh-CN"/>
        </w:rPr>
        <w:t>被申请人在收到申请人评审申请报告副本后的</w:t>
      </w:r>
      <w:r>
        <w:rPr>
          <w:rFonts w:hAnsi="Times New Roman" w:cs="Times New Roman"/>
          <w:color w:val="auto"/>
          <w:highlight w:val="none"/>
          <w:lang w:eastAsia="zh-CN"/>
        </w:rPr>
        <w:t>28</w:t>
      </w:r>
      <w:r>
        <w:rPr>
          <w:rFonts w:cs="宋体"/>
          <w:color w:val="auto"/>
          <w:highlight w:val="none"/>
          <w:lang w:eastAsia="zh-CN"/>
        </w:rPr>
        <w:t>天内，向争议评审组提交一份答辩报告，并附证明材料。被申请人应将答辩报告的副本同时提交给申请人和监理人。</w:t>
      </w:r>
    </w:p>
    <w:p w14:paraId="75331ABA">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24.3.4</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除专用合同条款另有约定外，争议评审组在收到合同双方报告后的</w:t>
      </w:r>
      <w:r>
        <w:rPr>
          <w:rFonts w:hAnsi="Times New Roman" w:cs="Times New Roman"/>
          <w:color w:val="auto"/>
          <w:highlight w:val="none"/>
          <w:lang w:eastAsia="zh-CN"/>
        </w:rPr>
        <w:t>14</w:t>
      </w:r>
      <w:r>
        <w:rPr>
          <w:rFonts w:cs="宋体"/>
          <w:color w:val="auto"/>
          <w:highlight w:val="none"/>
          <w:lang w:eastAsia="zh-CN"/>
        </w:rPr>
        <w:t>天内，邀请双方代表和有关人员举行调查会，向双方调查争议细节；必要时争议评审组可要求双方进一步提供补充材料。</w:t>
      </w:r>
    </w:p>
    <w:p w14:paraId="14FB10BD">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24.3.5</w:t>
      </w:r>
      <w:r>
        <w:rPr>
          <w:rFonts w:hint="eastAsia" w:hAnsi="Times New Roman" w:cs="Times New Roman"/>
          <w:b/>
          <w:bCs/>
          <w:color w:val="auto"/>
          <w:highlight w:val="none"/>
          <w:lang w:eastAsia="zh-CN"/>
        </w:rPr>
        <w:t>　</w:t>
      </w:r>
      <w:r>
        <w:rPr>
          <w:rFonts w:cs="宋体"/>
          <w:color w:val="auto"/>
          <w:highlight w:val="none"/>
          <w:lang w:eastAsia="zh-CN"/>
        </w:rPr>
        <w:t>除专用合同条款另有约定外，在调查会结束后的</w:t>
      </w:r>
      <w:r>
        <w:rPr>
          <w:rFonts w:hAnsi="Times New Roman" w:cs="Times New Roman"/>
          <w:color w:val="auto"/>
          <w:highlight w:val="none"/>
          <w:lang w:eastAsia="zh-CN"/>
        </w:rPr>
        <w:t>14</w:t>
      </w:r>
      <w:r>
        <w:rPr>
          <w:rFonts w:cs="宋体"/>
          <w:color w:val="auto"/>
          <w:highlight w:val="none"/>
          <w:lang w:eastAsia="zh-CN"/>
        </w:rPr>
        <w:t>天内，争议评审组应在不受任何干扰的情况下进行独立、公正的评审，作出书面评审意见，并说明理由。在争议评审期间，争议双方暂按总监理工程师的确定执行。</w:t>
      </w:r>
    </w:p>
    <w:p w14:paraId="6C4ECC01">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24.3.6</w:t>
      </w:r>
      <w:r>
        <w:rPr>
          <w:rFonts w:hint="eastAsia" w:hAnsi="Times New Roman" w:cs="Times New Roman"/>
          <w:b/>
          <w:bCs/>
          <w:color w:val="auto"/>
          <w:highlight w:val="none"/>
          <w:lang w:eastAsia="zh-CN"/>
        </w:rPr>
        <w:t>　</w:t>
      </w:r>
      <w:r>
        <w:rPr>
          <w:rFonts w:cs="宋体"/>
          <w:color w:val="auto"/>
          <w:highlight w:val="none"/>
          <w:lang w:eastAsia="zh-CN"/>
        </w:rPr>
        <w:t>发包人和承包人接受评审意见的，由监理人根据评审意见拟定执行协议，经争议双方签字后作为合同的补充文件，并遵照执行。</w:t>
      </w:r>
    </w:p>
    <w:p w14:paraId="7886F99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24.3.7</w:t>
      </w:r>
      <w:r>
        <w:rPr>
          <w:rFonts w:hint="eastAsia" w:hAnsi="Times New Roman" w:cs="Times New Roman"/>
          <w:b/>
          <w:bCs/>
          <w:color w:val="auto"/>
          <w:highlight w:val="none"/>
          <w:lang w:eastAsia="zh-CN"/>
        </w:rPr>
        <w:t>　</w:t>
      </w:r>
      <w:r>
        <w:rPr>
          <w:rFonts w:cs="宋体"/>
          <w:color w:val="auto"/>
          <w:highlight w:val="none"/>
          <w:lang w:eastAsia="zh-CN"/>
        </w:rPr>
        <w:t>发包人或承包人不接受评审意见，并要求提交仲裁或提起诉讼的，应在收到评审意见后的</w:t>
      </w:r>
      <w:r>
        <w:rPr>
          <w:rFonts w:hAnsi="Times New Roman" w:cs="Times New Roman"/>
          <w:color w:val="auto"/>
          <w:highlight w:val="none"/>
          <w:lang w:eastAsia="zh-CN"/>
        </w:rPr>
        <w:t>14</w:t>
      </w:r>
      <w:r>
        <w:rPr>
          <w:rFonts w:cs="宋体"/>
          <w:color w:val="auto"/>
          <w:highlight w:val="none"/>
          <w:lang w:eastAsia="zh-CN"/>
        </w:rPr>
        <w:t>天内将仲裁或起诉意向书面通知另一方，并抄送监理人，但在仲裁或诉讼结束前应暂按总监理工程师的确定执行。</w:t>
      </w:r>
    </w:p>
    <w:p w14:paraId="5A28A465">
      <w:pPr>
        <w:pStyle w:val="4"/>
        <w:kinsoku/>
        <w:spacing w:beforeLines="0" w:afterLines="0"/>
        <w:rPr>
          <w:rFonts w:hint="eastAsia" w:hAnsi="宋体" w:cs="宋体"/>
          <w:bCs/>
          <w:color w:val="auto"/>
          <w:szCs w:val="24"/>
          <w:highlight w:val="none"/>
          <w:lang w:eastAsia="zh-CN"/>
        </w:rPr>
      </w:pPr>
      <w:bookmarkStart w:id="1433" w:name="_Toc3653"/>
      <w:bookmarkStart w:id="1434" w:name="_Toc3088"/>
      <w:bookmarkStart w:id="1435" w:name="_Toc9064"/>
      <w:r>
        <w:rPr>
          <w:rFonts w:hint="eastAsia" w:hAnsi="宋体" w:cs="宋体"/>
          <w:b/>
          <w:bCs/>
          <w:color w:val="auto"/>
          <w:szCs w:val="24"/>
          <w:highlight w:val="none"/>
          <w:lang w:eastAsia="zh-CN"/>
        </w:rPr>
        <w:t>24.4</w:t>
      </w:r>
      <w:r>
        <w:rPr>
          <w:rFonts w:hint="eastAsia" w:cs="宋体"/>
          <w:b/>
          <w:bCs/>
          <w:color w:val="auto"/>
          <w:szCs w:val="24"/>
          <w:highlight w:val="none"/>
          <w:lang w:eastAsia="zh-CN"/>
        </w:rPr>
        <w:t>　</w:t>
      </w:r>
      <w:r>
        <w:rPr>
          <w:rFonts w:hint="eastAsia" w:hAnsi="宋体" w:cs="宋体"/>
          <w:b/>
          <w:bCs/>
          <w:color w:val="auto"/>
          <w:szCs w:val="24"/>
          <w:highlight w:val="none"/>
          <w:lang w:eastAsia="zh-CN"/>
        </w:rPr>
        <w:t>仲裁</w:t>
      </w:r>
      <w:bookmarkEnd w:id="1433"/>
      <w:bookmarkEnd w:id="1434"/>
      <w:bookmarkEnd w:id="1435"/>
    </w:p>
    <w:p w14:paraId="79BE28F9">
      <w:pPr>
        <w:kinsoku/>
        <w:spacing w:beforeLines="0" w:afterLines="0"/>
        <w:ind w:firstLine="0" w:firstLineChars="0"/>
        <w:jc w:val="left"/>
        <w:rPr>
          <w:rFonts w:cs="宋体"/>
          <w:color w:val="auto"/>
          <w:highlight w:val="none"/>
          <w:lang w:eastAsia="zh-CN"/>
        </w:rPr>
      </w:pPr>
      <w:r>
        <w:rPr>
          <w:rFonts w:hAnsi="Times New Roman" w:cs="Times New Roman"/>
          <w:b/>
          <w:bCs/>
          <w:color w:val="auto"/>
          <w:highlight w:val="none"/>
          <w:lang w:eastAsia="zh-CN"/>
        </w:rPr>
        <w:t>24.4.1</w:t>
      </w:r>
      <w:r>
        <w:rPr>
          <w:rFonts w:hint="eastAsia" w:hAnsi="Times New Roman" w:cs="Times New Roman"/>
          <w:b/>
          <w:bCs/>
          <w:color w:val="auto"/>
          <w:highlight w:val="none"/>
          <w:lang w:eastAsia="zh-CN"/>
        </w:rPr>
        <w:t>　</w:t>
      </w:r>
      <w:r>
        <w:rPr>
          <w:rFonts w:cs="宋体"/>
          <w:color w:val="auto"/>
          <w:highlight w:val="none"/>
          <w:lang w:eastAsia="zh-CN"/>
        </w:rPr>
        <w:t>若合同双方商定直接向仲裁机构申请仲裁，应签订仲裁协议并约定仲裁机构。</w:t>
      </w:r>
    </w:p>
    <w:p w14:paraId="1E74526C">
      <w:pPr>
        <w:kinsoku/>
        <w:spacing w:beforeLines="0" w:afterLines="0"/>
        <w:ind w:right="0" w:firstLine="0" w:firstLineChars="0"/>
        <w:jc w:val="left"/>
        <w:rPr>
          <w:rFonts w:cs="宋体"/>
          <w:color w:val="auto"/>
          <w:highlight w:val="none"/>
          <w:lang w:eastAsia="zh-CN"/>
        </w:rPr>
      </w:pPr>
      <w:r>
        <w:rPr>
          <w:rFonts w:hAnsi="Times New Roman" w:cs="Times New Roman"/>
          <w:b/>
          <w:bCs/>
          <w:color w:val="auto"/>
          <w:highlight w:val="none"/>
          <w:lang w:eastAsia="zh-CN"/>
        </w:rPr>
        <w:t>24.4.2</w:t>
      </w:r>
      <w:r>
        <w:rPr>
          <w:rFonts w:hint="eastAsia" w:hAnsi="Times New Roman" w:cs="Times New Roman"/>
          <w:b/>
          <w:bCs/>
          <w:color w:val="auto"/>
          <w:highlight w:val="none"/>
          <w:lang w:eastAsia="zh-CN"/>
        </w:rPr>
        <w:t>　</w:t>
      </w:r>
      <w:r>
        <w:rPr>
          <w:rFonts w:cs="宋体"/>
          <w:color w:val="auto"/>
          <w:highlight w:val="none"/>
          <w:lang w:eastAsia="zh-CN"/>
        </w:rPr>
        <w:t>若合同双方未能达成仲裁协议，则本合同的仲裁条款无效，任一方均有权向人民法院提起诉讼。</w:t>
      </w:r>
    </w:p>
    <w:p w14:paraId="6C8EF798">
      <w:pPr>
        <w:spacing w:beforeLines="0" w:afterLines="0"/>
        <w:ind w:right="0" w:firstLine="0" w:firstLineChars="0"/>
        <w:jc w:val="left"/>
        <w:rPr>
          <w:color w:val="auto"/>
          <w:highlight w:val="none"/>
          <w:lang w:eastAsia="zh-CN"/>
        </w:rPr>
      </w:pPr>
    </w:p>
    <w:p w14:paraId="194678C5">
      <w:pPr>
        <w:kinsoku/>
        <w:adjustRightInd/>
        <w:snapToGrid/>
        <w:spacing w:beforeLines="0" w:afterLines="0" w:line="360" w:lineRule="auto"/>
        <w:ind w:firstLine="420"/>
        <w:jc w:val="left"/>
        <w:textAlignment w:val="auto"/>
        <w:rPr>
          <w:rFonts w:hint="eastAsia" w:cs="宋体"/>
          <w:color w:val="auto"/>
          <w:highlight w:val="none"/>
          <w:lang w:eastAsia="zh-CN"/>
        </w:rPr>
      </w:pPr>
    </w:p>
    <w:p w14:paraId="69217B48">
      <w:pPr>
        <w:kinsoku/>
        <w:adjustRightInd/>
        <w:snapToGrid/>
        <w:spacing w:beforeLines="0" w:afterLines="0" w:line="360" w:lineRule="auto"/>
        <w:ind w:firstLine="420"/>
        <w:jc w:val="left"/>
        <w:textAlignment w:val="auto"/>
        <w:rPr>
          <w:rFonts w:hint="eastAsia" w:cs="宋体"/>
          <w:color w:val="auto"/>
          <w:highlight w:val="none"/>
          <w:lang w:eastAsia="zh-CN"/>
        </w:rPr>
      </w:pPr>
    </w:p>
    <w:p w14:paraId="60876718">
      <w:pPr>
        <w:kinsoku/>
        <w:adjustRightInd/>
        <w:snapToGrid/>
        <w:spacing w:beforeLines="0" w:afterLines="0" w:line="360" w:lineRule="auto"/>
        <w:ind w:firstLine="420"/>
        <w:jc w:val="left"/>
        <w:textAlignment w:val="auto"/>
        <w:rPr>
          <w:rFonts w:hint="eastAsia" w:cs="宋体"/>
          <w:color w:val="auto"/>
          <w:highlight w:val="none"/>
          <w:lang w:eastAsia="zh-CN"/>
        </w:rPr>
      </w:pPr>
    </w:p>
    <w:p w14:paraId="25E83179">
      <w:pPr>
        <w:kinsoku/>
        <w:adjustRightInd/>
        <w:snapToGrid/>
        <w:spacing w:beforeLines="0" w:afterLines="0" w:line="360" w:lineRule="auto"/>
        <w:ind w:firstLine="420"/>
        <w:jc w:val="left"/>
        <w:textAlignment w:val="auto"/>
        <w:rPr>
          <w:rFonts w:hint="eastAsia" w:cs="宋体"/>
          <w:color w:val="auto"/>
          <w:highlight w:val="none"/>
          <w:lang w:eastAsia="zh-CN"/>
        </w:rPr>
      </w:pPr>
    </w:p>
    <w:p w14:paraId="28720596">
      <w:pPr>
        <w:kinsoku/>
        <w:adjustRightInd/>
        <w:snapToGrid/>
        <w:spacing w:beforeLines="0" w:afterLines="0" w:line="360" w:lineRule="auto"/>
        <w:ind w:firstLine="420"/>
        <w:jc w:val="left"/>
        <w:textAlignment w:val="auto"/>
        <w:rPr>
          <w:rFonts w:hint="eastAsia" w:cs="宋体"/>
          <w:color w:val="auto"/>
          <w:highlight w:val="none"/>
          <w:lang w:eastAsia="zh-CN"/>
        </w:rPr>
      </w:pPr>
    </w:p>
    <w:p w14:paraId="09CB25B2">
      <w:pPr>
        <w:kinsoku/>
        <w:adjustRightInd/>
        <w:snapToGrid/>
        <w:spacing w:beforeLines="0" w:afterLines="0" w:line="360" w:lineRule="auto"/>
        <w:ind w:firstLine="420"/>
        <w:jc w:val="left"/>
        <w:textAlignment w:val="auto"/>
        <w:rPr>
          <w:rFonts w:hint="eastAsia" w:cs="宋体"/>
          <w:color w:val="auto"/>
          <w:highlight w:val="none"/>
          <w:lang w:eastAsia="zh-CN"/>
        </w:rPr>
      </w:pPr>
    </w:p>
    <w:p w14:paraId="4C232CBB">
      <w:pPr>
        <w:kinsoku/>
        <w:adjustRightInd/>
        <w:snapToGrid/>
        <w:spacing w:beforeLines="0" w:afterLines="0" w:line="360" w:lineRule="auto"/>
        <w:ind w:firstLine="420"/>
        <w:jc w:val="left"/>
        <w:textAlignment w:val="auto"/>
        <w:rPr>
          <w:rFonts w:cs="宋体"/>
          <w:color w:val="auto"/>
          <w:spacing w:val="0"/>
          <w:szCs w:val="21"/>
          <w:highlight w:val="none"/>
          <w:lang w:eastAsia="zh-CN"/>
        </w:rPr>
      </w:pPr>
      <w:r>
        <w:rPr>
          <w:rFonts w:cs="宋体"/>
          <w:color w:val="auto"/>
          <w:spacing w:val="0"/>
          <w:szCs w:val="21"/>
          <w:highlight w:val="none"/>
          <w:lang w:eastAsia="zh-CN"/>
        </w:rPr>
        <w:br w:type="page"/>
      </w:r>
    </w:p>
    <w:p w14:paraId="47E4698A">
      <w:pPr>
        <w:pStyle w:val="2"/>
        <w:kinsoku/>
        <w:wordWrap w:val="0"/>
        <w:adjustRightInd/>
        <w:snapToGrid/>
        <w:spacing w:beforeLines="0" w:afterLines="0"/>
        <w:ind w:firstLineChars="900"/>
        <w:jc w:val="both"/>
        <w:textAlignment w:val="auto"/>
        <w:outlineLvl w:val="0"/>
        <w:rPr>
          <w:rFonts w:hint="eastAsia" w:cs="宋体"/>
          <w:color w:val="auto"/>
          <w:szCs w:val="30"/>
          <w:highlight w:val="none"/>
        </w:rPr>
      </w:pPr>
      <w:bookmarkStart w:id="1436" w:name="bookmark75"/>
      <w:bookmarkEnd w:id="1436"/>
      <w:bookmarkStart w:id="1437" w:name="bookmark76"/>
      <w:bookmarkEnd w:id="1437"/>
      <w:bookmarkStart w:id="1438" w:name="_Toc15179"/>
      <w:bookmarkStart w:id="1439" w:name="_Toc6123"/>
      <w:bookmarkStart w:id="1440" w:name="_Toc29637"/>
      <w:bookmarkStart w:id="1441" w:name="_Toc33"/>
      <w:bookmarkStart w:id="1442" w:name="_Toc26706"/>
      <w:bookmarkStart w:id="1443" w:name="_Toc5382"/>
      <w:bookmarkStart w:id="1444" w:name="_Toc18957"/>
      <w:bookmarkStart w:id="1445" w:name="_Toc13080"/>
      <w:bookmarkStart w:id="1446" w:name="_Toc19807"/>
      <w:bookmarkStart w:id="1447" w:name="_Toc2467"/>
      <w:bookmarkStart w:id="1448" w:name="_Toc24577"/>
      <w:bookmarkStart w:id="1449" w:name="_Toc1422"/>
      <w:bookmarkStart w:id="1450" w:name="_Toc28256"/>
      <w:bookmarkStart w:id="1451" w:name="_Toc3753"/>
      <w:bookmarkStart w:id="1452" w:name="_Toc29869"/>
      <w:r>
        <w:rPr>
          <w:rFonts w:hint="eastAsia" w:cs="宋体"/>
          <w:color w:val="auto"/>
          <w:sz w:val="30"/>
          <w:szCs w:val="30"/>
          <w:highlight w:val="none"/>
        </w:rPr>
        <w:t>第2节</w:t>
      </w:r>
      <w:r>
        <w:rPr>
          <w:rFonts w:hint="eastAsia" w:cs="宋体"/>
          <w:color w:val="auto"/>
          <w:sz w:val="30"/>
          <w:szCs w:val="30"/>
          <w:highlight w:val="none"/>
          <w:lang w:val="en-US" w:eastAsia="zh-CN"/>
        </w:rPr>
        <w:t xml:space="preserve">  </w:t>
      </w:r>
      <w:r>
        <w:rPr>
          <w:rFonts w:hint="eastAsia" w:cs="宋体"/>
          <w:color w:val="auto"/>
          <w:sz w:val="30"/>
          <w:szCs w:val="30"/>
          <w:highlight w:val="none"/>
        </w:rPr>
        <w:t>专用合同条款</w:t>
      </w:r>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p>
    <w:p w14:paraId="3B81FF2C">
      <w:pPr>
        <w:pStyle w:val="4"/>
        <w:kinsoku/>
        <w:spacing w:beforeLines="0" w:afterLines="0"/>
        <w:rPr>
          <w:rFonts w:hint="eastAsia" w:cs="宋体"/>
          <w:bCs/>
          <w:color w:val="auto"/>
          <w:szCs w:val="24"/>
          <w:highlight w:val="none"/>
        </w:rPr>
      </w:pPr>
      <w:r>
        <w:rPr>
          <w:rFonts w:hint="eastAsia" w:cs="宋体"/>
          <w:bCs/>
          <w:color w:val="auto"/>
          <w:szCs w:val="24"/>
          <w:highlight w:val="none"/>
        </w:rPr>
        <w:t>1</w:t>
      </w:r>
      <w:r>
        <w:rPr>
          <w:rFonts w:hint="eastAsia" w:cs="宋体"/>
          <w:bCs/>
          <w:color w:val="auto"/>
          <w:szCs w:val="24"/>
          <w:highlight w:val="none"/>
          <w:lang w:eastAsia="zh-CN"/>
        </w:rPr>
        <w:t>　</w:t>
      </w:r>
      <w:r>
        <w:rPr>
          <w:rFonts w:hint="eastAsia" w:cs="宋体"/>
          <w:bCs/>
          <w:color w:val="auto"/>
          <w:szCs w:val="24"/>
          <w:highlight w:val="none"/>
        </w:rPr>
        <w:t>一般约定</w:t>
      </w:r>
    </w:p>
    <w:p w14:paraId="38629B29">
      <w:pPr>
        <w:kinsoku/>
        <w:spacing w:before="0" w:beforeLines="0" w:afterLines="0"/>
        <w:ind w:firstLine="0" w:firstLineChars="0"/>
        <w:jc w:val="left"/>
        <w:rPr>
          <w:rFonts w:ascii="宋体" w:hAnsi="Times New Roman" w:eastAsia="宋体" w:cs="Times New Roman"/>
          <w:b/>
          <w:bCs/>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1.1</w:t>
      </w:r>
      <w:r>
        <w:rPr>
          <w:rFonts w:hint="eastAsia" w:hAnsi="Times New Roman" w:cs="Times New Roman"/>
          <w:b/>
          <w:bCs/>
          <w:color w:val="auto"/>
          <w:spacing w:val="0"/>
          <w:szCs w:val="21"/>
          <w:highlight w:val="none"/>
          <w:lang w:eastAsia="zh-CN"/>
        </w:rPr>
        <w:t>　</w:t>
      </w:r>
      <w:r>
        <w:rPr>
          <w:rFonts w:hint="eastAsia" w:ascii="宋体" w:hAnsi="楷体" w:eastAsia="宋体" w:cs="楷体"/>
          <w:b/>
          <w:bCs/>
          <w:color w:val="auto"/>
          <w:spacing w:val="0"/>
          <w:szCs w:val="21"/>
          <w:highlight w:val="none"/>
          <w:lang w:eastAsia="zh-CN"/>
        </w:rPr>
        <w:t>词语定义</w:t>
      </w:r>
    </w:p>
    <w:p w14:paraId="14A3CAC3">
      <w:pPr>
        <w:pStyle w:val="30"/>
        <w:snapToGrid w:val="0"/>
        <w:spacing w:beforeLines="0" w:afterLines="0" w:line="360" w:lineRule="auto"/>
        <w:ind w:firstLine="0" w:firstLineChars="0"/>
        <w:jc w:val="left"/>
        <w:rPr>
          <w:rFonts w:ascii="宋体" w:hAnsi="宋体" w:cs="宋体"/>
          <w:snapToGrid w:val="0"/>
          <w:color w:val="auto"/>
          <w:spacing w:val="0"/>
          <w:kern w:val="0"/>
          <w:sz w:val="24"/>
          <w:highlight w:val="none"/>
        </w:rPr>
      </w:pPr>
      <w:r>
        <w:rPr>
          <w:rFonts w:ascii="宋体" w:eastAsia="宋体"/>
          <w:b/>
          <w:bCs/>
          <w:snapToGrid w:val="0"/>
          <w:color w:val="auto"/>
          <w:spacing w:val="0"/>
          <w:kern w:val="0"/>
          <w:sz w:val="24"/>
          <w:szCs w:val="24"/>
          <w:highlight w:val="none"/>
        </w:rPr>
        <w:t>1.1.2</w:t>
      </w:r>
      <w:r>
        <w:rPr>
          <w:rFonts w:hint="eastAsia" w:ascii="宋体"/>
          <w:b/>
          <w:bCs/>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合同当事人和人员</w:t>
      </w:r>
    </w:p>
    <w:p w14:paraId="3DF94289">
      <w:pPr>
        <w:pStyle w:val="30"/>
        <w:tabs>
          <w:tab w:val="left" w:pos="360"/>
        </w:tabs>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snapToGrid w:val="0"/>
          <w:color w:val="auto"/>
          <w:spacing w:val="0"/>
          <w:kern w:val="0"/>
          <w:sz w:val="24"/>
          <w:szCs w:val="24"/>
          <w:highlight w:val="none"/>
        </w:rPr>
        <w:t>1.1.2.2</w:t>
      </w:r>
      <w:r>
        <w:rPr>
          <w:rFonts w:hint="eastAsia" w:ascii="宋体"/>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发包人：</w:t>
      </w:r>
      <w:r>
        <w:rPr>
          <w:rFonts w:hint="eastAsia" w:ascii="宋体" w:hAnsi="宋体" w:cs="宋体"/>
          <w:snapToGrid w:val="0"/>
          <w:color w:val="auto"/>
          <w:spacing w:val="0"/>
          <w:kern w:val="0"/>
          <w:sz w:val="24"/>
          <w:szCs w:val="24"/>
          <w:highlight w:val="none"/>
          <w:u w:val="single"/>
        </w:rPr>
        <w:t>浙江镜岭水库有限公司</w:t>
      </w:r>
      <w:r>
        <w:rPr>
          <w:rFonts w:hint="eastAsia" w:ascii="宋体" w:hAnsi="宋体" w:cs="宋体"/>
          <w:snapToGrid w:val="0"/>
          <w:color w:val="auto"/>
          <w:spacing w:val="0"/>
          <w:kern w:val="0"/>
          <w:sz w:val="24"/>
          <w:szCs w:val="24"/>
          <w:highlight w:val="none"/>
        </w:rPr>
        <w:t>。</w:t>
      </w:r>
    </w:p>
    <w:p w14:paraId="47E05BCB">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snapToGrid w:val="0"/>
          <w:color w:val="auto"/>
          <w:spacing w:val="0"/>
          <w:kern w:val="0"/>
          <w:sz w:val="24"/>
          <w:szCs w:val="24"/>
          <w:highlight w:val="none"/>
        </w:rPr>
        <w:t>1.1.2.3</w:t>
      </w:r>
      <w:r>
        <w:rPr>
          <w:rFonts w:hint="eastAsia" w:ascii="宋体"/>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承包人：</w:t>
      </w:r>
      <w:r>
        <w:rPr>
          <w:rFonts w:hint="eastAsia" w:ascii="宋体" w:hAnsi="宋体" w:cs="宋体"/>
          <w:snapToGrid w:val="0"/>
          <w:color w:val="auto"/>
          <w:spacing w:val="0"/>
          <w:kern w:val="0"/>
          <w:sz w:val="24"/>
          <w:szCs w:val="24"/>
          <w:highlight w:val="none"/>
          <w:u w:val="single"/>
        </w:rPr>
        <w:t>（签约后填入）</w:t>
      </w:r>
      <w:r>
        <w:rPr>
          <w:rFonts w:hint="eastAsia" w:ascii="宋体" w:hAnsi="宋体" w:cs="宋体"/>
          <w:snapToGrid w:val="0"/>
          <w:color w:val="auto"/>
          <w:spacing w:val="0"/>
          <w:kern w:val="0"/>
          <w:sz w:val="24"/>
          <w:szCs w:val="24"/>
          <w:highlight w:val="none"/>
        </w:rPr>
        <w:t>。</w:t>
      </w:r>
    </w:p>
    <w:p w14:paraId="2B247AED">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snapToGrid w:val="0"/>
          <w:color w:val="auto"/>
          <w:spacing w:val="0"/>
          <w:kern w:val="0"/>
          <w:sz w:val="24"/>
          <w:szCs w:val="24"/>
          <w:highlight w:val="none"/>
        </w:rPr>
        <w:t>1.1.2.5</w:t>
      </w:r>
      <w:r>
        <w:rPr>
          <w:rFonts w:hint="eastAsia" w:ascii="宋体"/>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分包人：</w:t>
      </w:r>
      <w:r>
        <w:rPr>
          <w:rFonts w:ascii="宋体" w:hAnsi="宋体" w:cs="宋体"/>
          <w:snapToGrid w:val="0"/>
          <w:color w:val="auto"/>
          <w:spacing w:val="0"/>
          <w:kern w:val="0"/>
          <w:sz w:val="24"/>
          <w:szCs w:val="24"/>
          <w:highlight w:val="none"/>
          <w:u w:val="single"/>
        </w:rPr>
        <w:t xml:space="preserve">               </w:t>
      </w:r>
      <w:r>
        <w:rPr>
          <w:rFonts w:hint="eastAsia" w:ascii="宋体" w:hAnsi="宋体" w:cs="宋体"/>
          <w:snapToGrid w:val="0"/>
          <w:color w:val="auto"/>
          <w:spacing w:val="0"/>
          <w:kern w:val="0"/>
          <w:sz w:val="24"/>
          <w:szCs w:val="24"/>
          <w:highlight w:val="none"/>
        </w:rPr>
        <w:t>。</w:t>
      </w:r>
    </w:p>
    <w:p w14:paraId="77AC134C">
      <w:pPr>
        <w:pStyle w:val="30"/>
        <w:snapToGrid w:val="0"/>
        <w:spacing w:beforeLines="0" w:afterLines="0" w:line="360" w:lineRule="auto"/>
        <w:ind w:firstLine="0" w:firstLineChars="0"/>
        <w:jc w:val="left"/>
        <w:rPr>
          <w:rFonts w:ascii="宋体" w:hAnsi="宋体" w:cs="宋体"/>
          <w:snapToGrid w:val="0"/>
          <w:color w:val="auto"/>
          <w:spacing w:val="0"/>
          <w:kern w:val="0"/>
          <w:sz w:val="24"/>
          <w:highlight w:val="none"/>
        </w:rPr>
      </w:pPr>
      <w:r>
        <w:rPr>
          <w:rFonts w:ascii="宋体" w:eastAsia="宋体"/>
          <w:snapToGrid w:val="0"/>
          <w:color w:val="auto"/>
          <w:spacing w:val="0"/>
          <w:kern w:val="0"/>
          <w:sz w:val="24"/>
          <w:szCs w:val="24"/>
          <w:highlight w:val="none"/>
        </w:rPr>
        <w:t>1.1.2.6</w:t>
      </w:r>
      <w:r>
        <w:rPr>
          <w:rFonts w:hint="eastAsia" w:ascii="宋体"/>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监理人：</w:t>
      </w:r>
      <w:r>
        <w:rPr>
          <w:rFonts w:hint="eastAsia" w:ascii="宋体" w:hAnsi="宋体" w:cs="宋体"/>
          <w:snapToGrid w:val="0"/>
          <w:color w:val="auto"/>
          <w:spacing w:val="0"/>
          <w:kern w:val="0"/>
          <w:sz w:val="24"/>
          <w:szCs w:val="24"/>
          <w:highlight w:val="none"/>
          <w:u w:val="single"/>
        </w:rPr>
        <w:t>长江勘测规划设计研究有限责任公司</w:t>
      </w:r>
      <w:r>
        <w:rPr>
          <w:rFonts w:hint="eastAsia" w:ascii="宋体" w:hAnsi="宋体" w:cs="宋体"/>
          <w:snapToGrid w:val="0"/>
          <w:color w:val="auto"/>
          <w:spacing w:val="0"/>
          <w:kern w:val="0"/>
          <w:sz w:val="24"/>
          <w:szCs w:val="24"/>
          <w:highlight w:val="none"/>
        </w:rPr>
        <w:t>。</w:t>
      </w:r>
    </w:p>
    <w:p w14:paraId="05CA0095">
      <w:pPr>
        <w:pStyle w:val="30"/>
        <w:snapToGrid w:val="0"/>
        <w:spacing w:beforeLines="0" w:afterLines="0" w:line="360" w:lineRule="auto"/>
        <w:ind w:firstLine="0" w:firstLineChars="0"/>
        <w:jc w:val="left"/>
        <w:rPr>
          <w:rFonts w:ascii="宋体" w:hAnsi="宋体" w:cs="宋体"/>
          <w:snapToGrid w:val="0"/>
          <w:color w:val="auto"/>
          <w:spacing w:val="0"/>
          <w:kern w:val="0"/>
          <w:sz w:val="24"/>
          <w:highlight w:val="none"/>
        </w:rPr>
      </w:pPr>
      <w:r>
        <w:rPr>
          <w:rFonts w:ascii="宋体" w:eastAsia="宋体"/>
          <w:snapToGrid w:val="0"/>
          <w:color w:val="auto"/>
          <w:spacing w:val="0"/>
          <w:kern w:val="0"/>
          <w:sz w:val="24"/>
          <w:szCs w:val="24"/>
          <w:highlight w:val="none"/>
        </w:rPr>
        <w:t>1.1.2.7</w:t>
      </w:r>
      <w:r>
        <w:rPr>
          <w:rFonts w:hint="eastAsia" w:ascii="宋体"/>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监理人（爆破监理）：</w:t>
      </w:r>
      <w:r>
        <w:rPr>
          <w:rFonts w:ascii="宋体" w:hAnsi="宋体" w:cs="宋体"/>
          <w:snapToGrid w:val="0"/>
          <w:color w:val="auto"/>
          <w:spacing w:val="0"/>
          <w:kern w:val="0"/>
          <w:sz w:val="24"/>
          <w:szCs w:val="24"/>
          <w:highlight w:val="none"/>
          <w:u w:val="single"/>
        </w:rPr>
        <w:t xml:space="preserve">                    </w:t>
      </w:r>
      <w:r>
        <w:rPr>
          <w:rFonts w:hint="eastAsia" w:ascii="宋体" w:hAnsi="宋体" w:cs="宋体"/>
          <w:snapToGrid w:val="0"/>
          <w:color w:val="auto"/>
          <w:spacing w:val="0"/>
          <w:kern w:val="0"/>
          <w:sz w:val="24"/>
          <w:szCs w:val="24"/>
          <w:highlight w:val="none"/>
        </w:rPr>
        <w:t>。</w:t>
      </w:r>
    </w:p>
    <w:p w14:paraId="588F2B38">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b/>
          <w:bCs/>
          <w:snapToGrid w:val="0"/>
          <w:color w:val="auto"/>
          <w:spacing w:val="0"/>
          <w:kern w:val="0"/>
          <w:sz w:val="24"/>
          <w:szCs w:val="24"/>
          <w:highlight w:val="none"/>
        </w:rPr>
        <w:t>1.1.4</w:t>
      </w:r>
      <w:r>
        <w:rPr>
          <w:rFonts w:hint="eastAsia" w:ascii="宋体"/>
          <w:b/>
          <w:bCs/>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日期</w:t>
      </w:r>
    </w:p>
    <w:p w14:paraId="377A8843">
      <w:pPr>
        <w:pStyle w:val="30"/>
        <w:snapToGrid w:val="0"/>
        <w:spacing w:beforeLines="0" w:afterLines="0" w:line="360" w:lineRule="auto"/>
        <w:ind w:firstLine="0" w:firstLineChars="0"/>
        <w:jc w:val="left"/>
        <w:rPr>
          <w:rFonts w:ascii="宋体" w:hAnsi="宋体" w:cs="宋体"/>
          <w:snapToGrid w:val="0"/>
          <w:color w:val="auto"/>
          <w:spacing w:val="0"/>
          <w:kern w:val="0"/>
          <w:sz w:val="24"/>
          <w:highlight w:val="none"/>
        </w:rPr>
      </w:pPr>
      <w:r>
        <w:rPr>
          <w:rFonts w:ascii="宋体" w:eastAsia="宋体"/>
          <w:snapToGrid w:val="0"/>
          <w:color w:val="auto"/>
          <w:spacing w:val="0"/>
          <w:kern w:val="0"/>
          <w:sz w:val="24"/>
          <w:szCs w:val="24"/>
          <w:highlight w:val="none"/>
        </w:rPr>
        <w:t>1.1.4.5</w:t>
      </w:r>
      <w:r>
        <w:rPr>
          <w:rFonts w:hint="eastAsia" w:ascii="宋体"/>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缺陷责任期（工程质量保修期）：为</w:t>
      </w:r>
      <w:r>
        <w:rPr>
          <w:rFonts w:ascii="宋体" w:hAnsi="宋体" w:cs="宋体"/>
          <w:snapToGrid w:val="0"/>
          <w:color w:val="auto"/>
          <w:spacing w:val="0"/>
          <w:kern w:val="0"/>
          <w:sz w:val="24"/>
          <w:szCs w:val="24"/>
          <w:highlight w:val="none"/>
          <w:u w:val="single"/>
        </w:rPr>
        <w:t xml:space="preserve"> </w:t>
      </w:r>
      <w:r>
        <w:rPr>
          <w:rFonts w:ascii="宋体"/>
          <w:snapToGrid w:val="0"/>
          <w:color w:val="auto"/>
          <w:spacing w:val="0"/>
          <w:kern w:val="0"/>
          <w:sz w:val="24"/>
          <w:szCs w:val="24"/>
          <w:highlight w:val="none"/>
          <w:u w:val="single"/>
        </w:rPr>
        <w:t>2</w:t>
      </w:r>
      <w:r>
        <w:rPr>
          <w:rFonts w:ascii="宋体" w:hAnsi="宋体" w:cs="宋体"/>
          <w:snapToGrid w:val="0"/>
          <w:color w:val="auto"/>
          <w:spacing w:val="0"/>
          <w:kern w:val="0"/>
          <w:sz w:val="24"/>
          <w:szCs w:val="24"/>
          <w:highlight w:val="none"/>
          <w:u w:val="single"/>
        </w:rPr>
        <w:t xml:space="preserve"> </w:t>
      </w:r>
      <w:r>
        <w:rPr>
          <w:rFonts w:ascii="宋体" w:hAnsi="宋体" w:cs="宋体"/>
          <w:snapToGrid w:val="0"/>
          <w:color w:val="auto"/>
          <w:spacing w:val="0"/>
          <w:kern w:val="0"/>
          <w:sz w:val="24"/>
          <w:szCs w:val="24"/>
          <w:highlight w:val="none"/>
        </w:rPr>
        <w:t>年。</w:t>
      </w:r>
    </w:p>
    <w:p w14:paraId="10891A26">
      <w:pPr>
        <w:kinsoku/>
        <w:spacing w:before="0" w:beforeLines="0" w:afterLines="0"/>
        <w:ind w:firstLine="0" w:firstLineChars="0"/>
        <w:jc w:val="left"/>
        <w:rPr>
          <w:rFonts w:ascii="宋体" w:hAnsi="楷体" w:eastAsia="宋体" w:cs="楷体"/>
          <w:b/>
          <w:bCs/>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1.4</w:t>
      </w:r>
      <w:r>
        <w:rPr>
          <w:rFonts w:hint="eastAsia" w:hAnsi="Times New Roman" w:cs="Times New Roman"/>
          <w:b/>
          <w:bCs/>
          <w:color w:val="auto"/>
          <w:spacing w:val="0"/>
          <w:szCs w:val="21"/>
          <w:highlight w:val="none"/>
          <w:lang w:eastAsia="zh-CN"/>
        </w:rPr>
        <w:t>　</w:t>
      </w:r>
      <w:r>
        <w:rPr>
          <w:rFonts w:hint="eastAsia" w:ascii="宋体" w:hAnsi="楷体" w:eastAsia="宋体" w:cs="楷体"/>
          <w:b/>
          <w:bCs/>
          <w:color w:val="auto"/>
          <w:spacing w:val="0"/>
          <w:szCs w:val="21"/>
          <w:highlight w:val="none"/>
          <w:lang w:eastAsia="zh-CN"/>
        </w:rPr>
        <w:t>合同文件的优先顺序</w:t>
      </w:r>
    </w:p>
    <w:p w14:paraId="13963763">
      <w:pPr>
        <w:pStyle w:val="30"/>
        <w:snapToGrid w:val="0"/>
        <w:spacing w:beforeLines="0" w:afterLines="0" w:line="360" w:lineRule="auto"/>
        <w:ind w:firstLine="480" w:firstLineChars="200"/>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除合同另有规定外，解释合同文件的优先顺序如下：</w:t>
      </w:r>
    </w:p>
    <w:p w14:paraId="6BB619B1">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1</w:t>
      </w:r>
      <w:r>
        <w:rPr>
          <w:rFonts w:hint="eastAsia" w:ascii="宋体" w:hAnsi="宋体" w:cs="宋体"/>
          <w:snapToGrid w:val="0"/>
          <w:color w:val="auto"/>
          <w:spacing w:val="0"/>
          <w:kern w:val="0"/>
          <w:sz w:val="24"/>
          <w:szCs w:val="24"/>
          <w:highlight w:val="none"/>
        </w:rPr>
        <w:t>）合同协议书（包括补充协议书）。</w:t>
      </w:r>
    </w:p>
    <w:p w14:paraId="15775ACD">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2</w:t>
      </w:r>
      <w:r>
        <w:rPr>
          <w:rFonts w:hint="eastAsia" w:ascii="宋体" w:hAnsi="宋体" w:cs="宋体"/>
          <w:snapToGrid w:val="0"/>
          <w:color w:val="auto"/>
          <w:spacing w:val="0"/>
          <w:kern w:val="0"/>
          <w:sz w:val="24"/>
          <w:szCs w:val="24"/>
          <w:highlight w:val="none"/>
        </w:rPr>
        <w:t>）中标通知书。</w:t>
      </w:r>
    </w:p>
    <w:p w14:paraId="2524C4AA">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3</w:t>
      </w:r>
      <w:r>
        <w:rPr>
          <w:rFonts w:hint="eastAsia" w:ascii="宋体" w:hAnsi="宋体" w:cs="宋体"/>
          <w:snapToGrid w:val="0"/>
          <w:color w:val="auto"/>
          <w:spacing w:val="0"/>
          <w:kern w:val="0"/>
          <w:sz w:val="24"/>
          <w:szCs w:val="24"/>
          <w:highlight w:val="none"/>
        </w:rPr>
        <w:t>）投标函及投标函附录。</w:t>
      </w:r>
    </w:p>
    <w:p w14:paraId="43A599FB">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4</w:t>
      </w:r>
      <w:r>
        <w:rPr>
          <w:rFonts w:hint="eastAsia" w:ascii="宋体" w:hAnsi="宋体" w:cs="宋体"/>
          <w:snapToGrid w:val="0"/>
          <w:color w:val="auto"/>
          <w:spacing w:val="0"/>
          <w:kern w:val="0"/>
          <w:sz w:val="24"/>
          <w:szCs w:val="24"/>
          <w:highlight w:val="none"/>
        </w:rPr>
        <w:t>）招投标文件澄清问题、澄清问题的复函、补充通知等相关资料。</w:t>
      </w:r>
    </w:p>
    <w:p w14:paraId="7D6B9F83">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5</w:t>
      </w:r>
      <w:r>
        <w:rPr>
          <w:rFonts w:hint="eastAsia" w:ascii="宋体" w:hAnsi="宋体" w:cs="宋体"/>
          <w:snapToGrid w:val="0"/>
          <w:color w:val="auto"/>
          <w:spacing w:val="0"/>
          <w:kern w:val="0"/>
          <w:sz w:val="24"/>
          <w:szCs w:val="24"/>
          <w:highlight w:val="none"/>
        </w:rPr>
        <w:t>）专用合同条款。</w:t>
      </w:r>
    </w:p>
    <w:p w14:paraId="361FCCA0">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6</w:t>
      </w:r>
      <w:r>
        <w:rPr>
          <w:rFonts w:hint="eastAsia" w:ascii="宋体" w:hAnsi="宋体" w:cs="宋体"/>
          <w:snapToGrid w:val="0"/>
          <w:color w:val="auto"/>
          <w:spacing w:val="0"/>
          <w:kern w:val="0"/>
          <w:sz w:val="24"/>
          <w:szCs w:val="24"/>
          <w:highlight w:val="none"/>
        </w:rPr>
        <w:t>）通用合同条款。</w:t>
      </w:r>
    </w:p>
    <w:p w14:paraId="41AC6D0F">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hint="eastAsia" w:ascii="宋体"/>
          <w:snapToGrid w:val="0"/>
          <w:color w:val="auto"/>
          <w:spacing w:val="0"/>
          <w:kern w:val="0"/>
          <w:sz w:val="24"/>
          <w:szCs w:val="24"/>
          <w:highlight w:val="none"/>
          <w:lang w:val="en-US" w:eastAsia="zh-CN"/>
        </w:rPr>
        <w:t>7</w:t>
      </w:r>
      <w:r>
        <w:rPr>
          <w:rFonts w:hint="eastAsia" w:ascii="宋体" w:hAnsi="宋体" w:cs="宋体"/>
          <w:snapToGrid w:val="0"/>
          <w:color w:val="auto"/>
          <w:spacing w:val="0"/>
          <w:kern w:val="0"/>
          <w:sz w:val="24"/>
          <w:szCs w:val="24"/>
          <w:highlight w:val="none"/>
        </w:rPr>
        <w:t>）图纸。</w:t>
      </w:r>
    </w:p>
    <w:p w14:paraId="11FA2669">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hint="eastAsia" w:ascii="宋体"/>
          <w:snapToGrid w:val="0"/>
          <w:color w:val="auto"/>
          <w:spacing w:val="0"/>
          <w:kern w:val="0"/>
          <w:sz w:val="24"/>
          <w:szCs w:val="24"/>
          <w:highlight w:val="none"/>
          <w:lang w:eastAsia="zh-CN"/>
        </w:rPr>
        <w:t>8</w:t>
      </w:r>
      <w:r>
        <w:rPr>
          <w:rFonts w:hint="eastAsia" w:ascii="宋体" w:hAnsi="宋体" w:cs="宋体"/>
          <w:snapToGrid w:val="0"/>
          <w:color w:val="auto"/>
          <w:spacing w:val="0"/>
          <w:kern w:val="0"/>
          <w:sz w:val="24"/>
          <w:szCs w:val="24"/>
          <w:highlight w:val="none"/>
        </w:rPr>
        <w:t>）技术标准和要求。</w:t>
      </w:r>
    </w:p>
    <w:p w14:paraId="4C734E76">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9</w:t>
      </w:r>
      <w:r>
        <w:rPr>
          <w:rFonts w:hint="eastAsia" w:ascii="宋体" w:hAnsi="宋体" w:cs="宋体"/>
          <w:snapToGrid w:val="0"/>
          <w:color w:val="auto"/>
          <w:spacing w:val="0"/>
          <w:kern w:val="0"/>
          <w:sz w:val="24"/>
          <w:szCs w:val="24"/>
          <w:highlight w:val="none"/>
        </w:rPr>
        <w:t>）已标价的工程量清单。</w:t>
      </w:r>
    </w:p>
    <w:p w14:paraId="0EB06470">
      <w:pPr>
        <w:pStyle w:val="30"/>
        <w:snapToGrid w:val="0"/>
        <w:spacing w:beforeLines="0" w:afterLines="0" w:line="360" w:lineRule="auto"/>
        <w:ind w:firstLine="480" w:firstLineChars="200"/>
        <w:jc w:val="left"/>
        <w:rPr>
          <w:rFonts w:ascii="宋体" w:hAnsi="宋体" w:cs="宋体"/>
          <w:snapToGrid w:val="0"/>
          <w:color w:val="auto"/>
          <w:spacing w:val="0"/>
          <w:kern w:val="0"/>
          <w:sz w:val="24"/>
          <w:highlight w:val="none"/>
        </w:rPr>
      </w:pPr>
      <w:r>
        <w:rPr>
          <w:rFonts w:hint="eastAsia" w:ascii="宋体" w:hAnsi="宋体" w:cs="宋体"/>
          <w:snapToGrid w:val="0"/>
          <w:color w:val="auto"/>
          <w:spacing w:val="0"/>
          <w:kern w:val="0"/>
          <w:sz w:val="24"/>
          <w:szCs w:val="24"/>
          <w:highlight w:val="none"/>
        </w:rPr>
        <w:t>（</w:t>
      </w:r>
      <w:r>
        <w:rPr>
          <w:rFonts w:ascii="宋体"/>
          <w:snapToGrid w:val="0"/>
          <w:color w:val="auto"/>
          <w:spacing w:val="0"/>
          <w:kern w:val="0"/>
          <w:sz w:val="24"/>
          <w:szCs w:val="24"/>
          <w:highlight w:val="none"/>
        </w:rPr>
        <w:t>10</w:t>
      </w:r>
      <w:r>
        <w:rPr>
          <w:rFonts w:hint="eastAsia" w:ascii="宋体" w:hAnsi="宋体" w:cs="宋体"/>
          <w:snapToGrid w:val="0"/>
          <w:color w:val="auto"/>
          <w:spacing w:val="0"/>
          <w:kern w:val="0"/>
          <w:sz w:val="24"/>
          <w:szCs w:val="24"/>
          <w:highlight w:val="none"/>
        </w:rPr>
        <w:t>）经双方确认进入合同的其他文件。</w:t>
      </w:r>
    </w:p>
    <w:p w14:paraId="14B9AA4B">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bCs/>
          <w:snapToGrid w:val="0"/>
          <w:color w:val="auto"/>
          <w:spacing w:val="0"/>
          <w:sz w:val="24"/>
          <w:szCs w:val="24"/>
          <w:highlight w:val="none"/>
        </w:rPr>
        <w:t>1.7</w:t>
      </w:r>
      <w:r>
        <w:rPr>
          <w:rFonts w:hint="eastAsia" w:ascii="宋体" w:eastAsia="宋体"/>
          <w:bCs/>
          <w:snapToGrid w:val="0"/>
          <w:color w:val="auto"/>
          <w:spacing w:val="0"/>
          <w:sz w:val="24"/>
          <w:szCs w:val="24"/>
          <w:highlight w:val="none"/>
          <w:lang w:eastAsia="zh-CN"/>
        </w:rPr>
        <w:t>　</w:t>
      </w:r>
      <w:r>
        <w:rPr>
          <w:rFonts w:hint="eastAsia" w:ascii="宋体" w:hAnsi="楷体" w:eastAsia="宋体" w:cs="楷体"/>
          <w:bCs/>
          <w:snapToGrid w:val="0"/>
          <w:color w:val="auto"/>
          <w:spacing w:val="0"/>
          <w:sz w:val="24"/>
          <w:szCs w:val="24"/>
          <w:highlight w:val="none"/>
        </w:rPr>
        <w:t>联络</w:t>
      </w:r>
    </w:p>
    <w:p w14:paraId="2D442768">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b/>
          <w:bCs/>
          <w:snapToGrid w:val="0"/>
          <w:color w:val="auto"/>
          <w:spacing w:val="0"/>
          <w:kern w:val="0"/>
          <w:sz w:val="24"/>
          <w:szCs w:val="24"/>
          <w:highlight w:val="none"/>
        </w:rPr>
        <w:t>1.7.2</w:t>
      </w:r>
      <w:r>
        <w:rPr>
          <w:rFonts w:hint="eastAsia" w:ascii="宋体"/>
          <w:b/>
          <w:bCs/>
          <w:snapToGrid w:val="0"/>
          <w:color w:val="auto"/>
          <w:spacing w:val="0"/>
          <w:kern w:val="0"/>
          <w:sz w:val="24"/>
          <w:szCs w:val="24"/>
          <w:highlight w:val="none"/>
          <w:lang w:eastAsia="zh-CN"/>
        </w:rPr>
        <w:t>　</w:t>
      </w:r>
      <w:r>
        <w:rPr>
          <w:rFonts w:hint="eastAsia" w:ascii="宋体" w:hAnsi="宋体" w:cs="宋体"/>
          <w:snapToGrid w:val="0"/>
          <w:color w:val="auto"/>
          <w:spacing w:val="0"/>
          <w:kern w:val="0"/>
          <w:sz w:val="24"/>
          <w:szCs w:val="24"/>
          <w:highlight w:val="none"/>
        </w:rPr>
        <w:t>来往函件均应按技术标准和要求（合同技术条款）约定的期限送达</w:t>
      </w:r>
      <w:r>
        <w:rPr>
          <w:rFonts w:hint="eastAsia" w:ascii="宋体" w:hAnsi="宋体" w:cs="宋体"/>
          <w:snapToGrid w:val="0"/>
          <w:color w:val="auto"/>
          <w:spacing w:val="0"/>
          <w:kern w:val="0"/>
          <w:sz w:val="24"/>
          <w:szCs w:val="24"/>
          <w:highlight w:val="none"/>
          <w:u w:val="single"/>
          <w:lang w:val="zh-CN"/>
        </w:rPr>
        <w:t>项目监理部、项目管理部以及发包人现场指挥部</w:t>
      </w:r>
      <w:r>
        <w:rPr>
          <w:rFonts w:ascii="宋体" w:hAnsi="宋体" w:cs="宋体"/>
          <w:snapToGrid w:val="0"/>
          <w:color w:val="auto"/>
          <w:spacing w:val="0"/>
          <w:kern w:val="0"/>
          <w:sz w:val="24"/>
          <w:szCs w:val="24"/>
          <w:highlight w:val="none"/>
          <w:u w:val="single"/>
        </w:rPr>
        <w:t xml:space="preserve"> </w:t>
      </w:r>
      <w:r>
        <w:rPr>
          <w:rFonts w:hint="eastAsia" w:ascii="宋体" w:hAnsi="宋体" w:cs="宋体"/>
          <w:snapToGrid w:val="0"/>
          <w:color w:val="auto"/>
          <w:spacing w:val="0"/>
          <w:kern w:val="0"/>
          <w:sz w:val="24"/>
          <w:szCs w:val="24"/>
          <w:highlight w:val="none"/>
        </w:rPr>
        <w:t>。</w:t>
      </w:r>
    </w:p>
    <w:p w14:paraId="472EAABF">
      <w:pPr>
        <w:pStyle w:val="4"/>
        <w:kinsoku/>
        <w:spacing w:beforeLines="0" w:afterLines="0"/>
        <w:rPr>
          <w:rFonts w:hint="eastAsia" w:cs="宋体"/>
          <w:bCs/>
          <w:color w:val="auto"/>
          <w:sz w:val="24"/>
          <w:szCs w:val="24"/>
          <w:highlight w:val="none"/>
        </w:rPr>
      </w:pPr>
      <w:r>
        <w:rPr>
          <w:rFonts w:hint="eastAsia" w:cs="宋体"/>
          <w:bCs/>
          <w:color w:val="auto"/>
          <w:sz w:val="24"/>
          <w:szCs w:val="24"/>
          <w:highlight w:val="none"/>
        </w:rPr>
        <w:t>2</w:t>
      </w:r>
      <w:r>
        <w:rPr>
          <w:rFonts w:hint="eastAsia" w:cs="宋体"/>
          <w:bCs/>
          <w:color w:val="auto"/>
          <w:sz w:val="24"/>
          <w:szCs w:val="24"/>
          <w:highlight w:val="none"/>
          <w:lang w:eastAsia="zh-CN"/>
        </w:rPr>
        <w:t>　</w:t>
      </w:r>
      <w:r>
        <w:rPr>
          <w:rFonts w:hint="eastAsia" w:cs="宋体"/>
          <w:bCs/>
          <w:color w:val="auto"/>
          <w:sz w:val="24"/>
          <w:szCs w:val="24"/>
          <w:highlight w:val="none"/>
        </w:rPr>
        <w:t>发包人义务</w:t>
      </w:r>
    </w:p>
    <w:p w14:paraId="7FF6DD14">
      <w:pPr>
        <w:pStyle w:val="32"/>
        <w:autoSpaceDE/>
        <w:autoSpaceDN/>
        <w:spacing w:beforeLines="0" w:afterLines="0"/>
        <w:ind w:firstLineChars="0"/>
        <w:outlineLvl w:val="9"/>
        <w:rPr>
          <w:rFonts w:ascii="宋体" w:hAnsi="楷体" w:eastAsia="宋体" w:cs="楷体"/>
          <w:bCs/>
          <w:snapToGrid w:val="0"/>
          <w:color w:val="auto"/>
          <w:spacing w:val="0"/>
          <w:highlight w:val="none"/>
        </w:rPr>
      </w:pPr>
      <w:r>
        <w:rPr>
          <w:rFonts w:ascii="宋体" w:eastAsia="宋体"/>
          <w:bCs/>
          <w:snapToGrid w:val="0"/>
          <w:color w:val="auto"/>
          <w:spacing w:val="0"/>
          <w:sz w:val="24"/>
          <w:szCs w:val="24"/>
          <w:highlight w:val="none"/>
        </w:rPr>
        <w:t>2.3</w:t>
      </w:r>
      <w:r>
        <w:rPr>
          <w:rFonts w:hint="eastAsia" w:ascii="宋体" w:eastAsia="宋体"/>
          <w:bCs/>
          <w:snapToGrid w:val="0"/>
          <w:color w:val="auto"/>
          <w:spacing w:val="0"/>
          <w:sz w:val="24"/>
          <w:szCs w:val="24"/>
          <w:highlight w:val="none"/>
          <w:lang w:eastAsia="zh-CN"/>
        </w:rPr>
        <w:t>　</w:t>
      </w:r>
      <w:r>
        <w:rPr>
          <w:rFonts w:hint="eastAsia" w:ascii="宋体" w:hAnsi="楷体" w:eastAsia="宋体" w:cs="楷体"/>
          <w:bCs/>
          <w:snapToGrid w:val="0"/>
          <w:color w:val="auto"/>
          <w:spacing w:val="0"/>
          <w:sz w:val="24"/>
          <w:szCs w:val="24"/>
          <w:highlight w:val="none"/>
        </w:rPr>
        <w:t>提供施工场地</w:t>
      </w:r>
    </w:p>
    <w:p w14:paraId="4130F097">
      <w:pPr>
        <w:pStyle w:val="30"/>
        <w:snapToGrid w:val="0"/>
        <w:spacing w:beforeLines="0" w:afterLines="0" w:line="360" w:lineRule="auto"/>
        <w:ind w:firstLine="0" w:firstLineChars="0"/>
        <w:jc w:val="left"/>
        <w:rPr>
          <w:rFonts w:hint="eastAsia" w:ascii="宋体"/>
          <w:color w:val="auto"/>
          <w:sz w:val="24"/>
          <w:szCs w:val="24"/>
          <w:highlight w:val="none"/>
          <w:u w:val="single"/>
        </w:rPr>
      </w:pPr>
      <w:r>
        <w:rPr>
          <w:rFonts w:ascii="宋体" w:eastAsia="宋体"/>
          <w:b/>
          <w:bCs/>
          <w:snapToGrid w:val="0"/>
          <w:color w:val="auto"/>
          <w:spacing w:val="0"/>
          <w:kern w:val="0"/>
          <w:sz w:val="24"/>
          <w:szCs w:val="24"/>
          <w:highlight w:val="none"/>
        </w:rPr>
        <w:t>2.3.2</w:t>
      </w:r>
      <w:r>
        <w:rPr>
          <w:rFonts w:hint="eastAsia" w:ascii="宋体"/>
          <w:b/>
          <w:bCs/>
          <w:snapToGrid w:val="0"/>
          <w:color w:val="auto"/>
          <w:spacing w:val="0"/>
          <w:kern w:val="0"/>
          <w:sz w:val="24"/>
          <w:szCs w:val="24"/>
          <w:highlight w:val="none"/>
          <w:lang w:eastAsia="zh-CN"/>
        </w:rPr>
        <w:t>　</w:t>
      </w:r>
      <w:r>
        <w:rPr>
          <w:rFonts w:hint="eastAsia" w:ascii="宋体" w:hAnsi="宋体" w:cs="宋体"/>
          <w:snapToGrid w:val="0"/>
          <w:color w:val="auto"/>
          <w:sz w:val="24"/>
          <w:szCs w:val="24"/>
          <w:highlight w:val="none"/>
        </w:rPr>
        <w:t>发包人提供的用地范围为：</w:t>
      </w:r>
      <w:r>
        <w:rPr>
          <w:rFonts w:hint="eastAsia" w:ascii="宋体"/>
          <w:color w:val="auto"/>
          <w:sz w:val="24"/>
          <w:szCs w:val="24"/>
          <w:highlight w:val="none"/>
          <w:u w:val="single"/>
        </w:rPr>
        <w:t>发包人提供的红线范围，承包人应无条件接受现场条件。承包人因项目建设所需红线范围外的临时用地（包括但不限于施工房屋建筑、临时施工交通、施工场外供电、混凝土生产系统、混凝土骨料加工场、砂石料堆场、钢筋加工场等），均由承包人自行落实解决、承担相关费用和办理相关手续，由此引起的一切纠纷、事故和赔偿责任，均由承包人承担，包括在相应项目的报价中（发包人不另行列项支付），发包人提供相应的协调，但发包人的协调并不减轻或免除承包人的义务。红线范围外新征的临时占地退还前，承包人应恢复到临时占地使用前（或占地使用协议规定）的状况并经相关部门验收合格，承担相关费用。如因承包人撤离后未按要求对临时占地进行恢复或虽进行了恢复但未达到使用标准的，将由发包人委托第三方对其恢复，所发生的费用将从应付给承包人的任何款项内扣除</w:t>
      </w:r>
      <w:r>
        <w:rPr>
          <w:rFonts w:ascii="宋体"/>
          <w:color w:val="auto"/>
          <w:sz w:val="24"/>
          <w:szCs w:val="24"/>
          <w:highlight w:val="none"/>
          <w:u w:val="single"/>
        </w:rPr>
        <w:t xml:space="preserve"> </w:t>
      </w:r>
      <w:r>
        <w:rPr>
          <w:rFonts w:hint="eastAsia" w:ascii="宋体"/>
          <w:color w:val="auto"/>
          <w:sz w:val="24"/>
          <w:szCs w:val="24"/>
          <w:highlight w:val="none"/>
          <w:u w:val="single"/>
        </w:rPr>
        <w:t>。</w:t>
      </w:r>
    </w:p>
    <w:p w14:paraId="0AC165EF">
      <w:pPr>
        <w:pStyle w:val="30"/>
        <w:snapToGrid w:val="0"/>
        <w:spacing w:beforeLines="0" w:afterLines="0" w:line="360" w:lineRule="auto"/>
        <w:ind w:firstLine="0" w:firstLineChars="0"/>
        <w:jc w:val="left"/>
        <w:rPr>
          <w:rFonts w:hint="default" w:ascii="宋体" w:eastAsia="宋体"/>
          <w:color w:val="auto"/>
          <w:sz w:val="24"/>
          <w:szCs w:val="24"/>
          <w:highlight w:val="none"/>
          <w:u w:val="single"/>
          <w:lang w:val="en-US" w:eastAsia="zh-CN"/>
        </w:rPr>
      </w:pPr>
      <w:r>
        <w:rPr>
          <w:rFonts w:hint="eastAsia" w:ascii="宋体"/>
          <w:color w:val="auto"/>
          <w:sz w:val="24"/>
          <w:szCs w:val="24"/>
          <w:highlight w:val="none"/>
          <w:u w:val="single"/>
          <w:lang w:val="en-US" w:eastAsia="zh-CN"/>
        </w:rPr>
        <w:t xml:space="preserve">   </w:t>
      </w:r>
      <w:r>
        <w:rPr>
          <w:rFonts w:hint="eastAsia" w:ascii="宋体"/>
          <w:color w:val="auto"/>
          <w:sz w:val="24"/>
          <w:szCs w:val="24"/>
          <w:highlight w:val="cyan"/>
          <w:u w:val="single"/>
          <w:lang w:val="en-US" w:eastAsia="zh-CN"/>
        </w:rPr>
        <w:t xml:space="preserve"> 本次暂未提供的24亩临时用地，由承包人负责土地选址（土地选址引起的运距等增加的费用由承包人自行承担，发包人不另行调整、支付）、报批和政策处理等工作，发包人仅予以协助配合，相关费用（不包含2000元/亩.年土地租金和国家相关税费）在工程量清单中已单独列项，由承包人自行报价，费用总价包干，相关手续由承包人自行办理。</w:t>
      </w:r>
    </w:p>
    <w:p w14:paraId="581A72A2">
      <w:pPr>
        <w:pStyle w:val="30"/>
        <w:snapToGrid w:val="0"/>
        <w:spacing w:beforeLines="0" w:afterLines="0" w:line="360" w:lineRule="auto"/>
        <w:ind w:firstLine="480" w:firstLineChars="200"/>
        <w:jc w:val="left"/>
        <w:rPr>
          <w:rFonts w:ascii="宋体"/>
          <w:color w:val="auto"/>
          <w:sz w:val="24"/>
          <w:highlight w:val="none"/>
          <w:u w:val="single"/>
        </w:rPr>
      </w:pPr>
      <w:r>
        <w:rPr>
          <w:rFonts w:hint="eastAsia" w:ascii="宋体"/>
          <w:color w:val="auto"/>
          <w:sz w:val="24"/>
          <w:szCs w:val="24"/>
          <w:highlight w:val="none"/>
          <w:u w:val="single"/>
          <w:lang w:val="zh-CN"/>
        </w:rPr>
        <w:t>承包人进场施工条件：发包人的“四通一平”仅提供至</w:t>
      </w:r>
      <w:r>
        <w:rPr>
          <w:rFonts w:hint="eastAsia" w:ascii="宋体"/>
          <w:color w:val="auto"/>
          <w:sz w:val="24"/>
          <w:szCs w:val="24"/>
          <w:highlight w:val="none"/>
          <w:u w:val="single"/>
        </w:rPr>
        <w:t>投</w:t>
      </w:r>
      <w:r>
        <w:rPr>
          <w:rFonts w:hint="eastAsia" w:ascii="宋体"/>
          <w:color w:val="auto"/>
          <w:sz w:val="24"/>
          <w:szCs w:val="24"/>
          <w:highlight w:val="none"/>
          <w:u w:val="single"/>
          <w:lang w:val="zh-CN"/>
        </w:rPr>
        <w:t>标</w:t>
      </w:r>
      <w:r>
        <w:rPr>
          <w:rFonts w:hint="eastAsia" w:ascii="宋体"/>
          <w:color w:val="auto"/>
          <w:sz w:val="24"/>
          <w:szCs w:val="24"/>
          <w:highlight w:val="none"/>
          <w:u w:val="single"/>
        </w:rPr>
        <w:t>截止</w:t>
      </w:r>
      <w:r>
        <w:rPr>
          <w:rFonts w:hint="eastAsia" w:ascii="宋体"/>
          <w:color w:val="auto"/>
          <w:sz w:val="24"/>
          <w:szCs w:val="24"/>
          <w:highlight w:val="none"/>
          <w:u w:val="single"/>
          <w:lang w:val="zh-CN"/>
        </w:rPr>
        <w:t>时的现状。</w:t>
      </w:r>
    </w:p>
    <w:p w14:paraId="3B8A46AF">
      <w:pPr>
        <w:pStyle w:val="30"/>
        <w:snapToGrid w:val="0"/>
        <w:spacing w:beforeLines="0" w:afterLines="0" w:line="360" w:lineRule="auto"/>
        <w:ind w:firstLine="480" w:firstLineChars="200"/>
        <w:jc w:val="left"/>
        <w:rPr>
          <w:rStyle w:val="34"/>
          <w:rFonts w:ascii="宋体" w:hAnsi="宋体" w:cs="宋体"/>
          <w:color w:val="auto"/>
          <w:sz w:val="24"/>
          <w:szCs w:val="24"/>
          <w:highlight w:val="none"/>
        </w:rPr>
      </w:pPr>
      <w:r>
        <w:rPr>
          <w:rFonts w:hint="eastAsia" w:ascii="宋体"/>
          <w:color w:val="auto"/>
          <w:sz w:val="24"/>
          <w:szCs w:val="24"/>
          <w:highlight w:val="none"/>
          <w:u w:val="single"/>
        </w:rPr>
        <w:t>承包人自行勘察的施工场地范围为：承包人自行对超过发包人提供的临时借地范围的用地组织勘察。承包人如需占用发包人提供用地范围之外的用地的，由承包人自行解决并与出借人签署借地协议，承包人自行解决该部分用地的借地费（含租金、土地有偿使用费、地表附着物赔偿费及搬迁清理费等费用）、复垦费，由此产生的纠纷（包括运距增减所产生的费用等）均由承包人负责，发包人不予补偿；承包人根据工程情况综合考虑，费用计入相关报价不作调整。承包人自行借地范围内的施工临时设施区、生产生活区临时占地由承包人复耕，相关费用由承包人</w:t>
      </w:r>
      <w:r>
        <w:rPr>
          <w:rFonts w:hint="eastAsia" w:ascii="宋体"/>
          <w:color w:val="auto"/>
          <w:sz w:val="24"/>
          <w:szCs w:val="24"/>
          <w:highlight w:val="none"/>
          <w:u w:val="single"/>
          <w:lang w:val="en-US" w:eastAsia="zh-CN"/>
        </w:rPr>
        <w:t>承担</w:t>
      </w:r>
      <w:r>
        <w:rPr>
          <w:rFonts w:hint="eastAsia" w:ascii="宋体"/>
          <w:color w:val="auto"/>
          <w:sz w:val="24"/>
          <w:szCs w:val="24"/>
          <w:highlight w:val="none"/>
          <w:u w:val="single"/>
        </w:rPr>
        <w:t>，发包人不另行支付</w:t>
      </w:r>
      <w:r>
        <w:rPr>
          <w:rStyle w:val="34"/>
          <w:rFonts w:hint="eastAsia" w:ascii="宋体" w:hAnsi="宋体" w:cs="宋体"/>
          <w:color w:val="auto"/>
          <w:sz w:val="24"/>
          <w:szCs w:val="24"/>
          <w:highlight w:val="none"/>
        </w:rPr>
        <w:t>。</w:t>
      </w:r>
    </w:p>
    <w:p w14:paraId="0EECF2E8">
      <w:pPr>
        <w:pStyle w:val="30"/>
        <w:snapToGrid w:val="0"/>
        <w:spacing w:beforeLines="0" w:afterLines="0" w:line="360" w:lineRule="auto"/>
        <w:ind w:firstLine="0" w:firstLineChars="0"/>
        <w:jc w:val="left"/>
        <w:rPr>
          <w:rStyle w:val="34"/>
          <w:rFonts w:ascii="宋体" w:hAnsi="宋体" w:cs="宋体"/>
          <w:snapToGrid w:val="0"/>
          <w:color w:val="auto"/>
          <w:kern w:val="0"/>
          <w:sz w:val="24"/>
          <w:szCs w:val="24"/>
          <w:highlight w:val="none"/>
        </w:rPr>
      </w:pPr>
      <w:r>
        <w:rPr>
          <w:rFonts w:ascii="宋体" w:eastAsia="宋体"/>
          <w:b/>
          <w:bCs/>
          <w:snapToGrid w:val="0"/>
          <w:color w:val="auto"/>
          <w:spacing w:val="0"/>
          <w:kern w:val="0"/>
          <w:sz w:val="24"/>
          <w:szCs w:val="24"/>
          <w:highlight w:val="none"/>
        </w:rPr>
        <w:t>2.3.4</w:t>
      </w:r>
      <w:r>
        <w:rPr>
          <w:rFonts w:hint="eastAsia" w:ascii="宋体"/>
          <w:b/>
          <w:bCs/>
          <w:snapToGrid w:val="0"/>
          <w:color w:val="auto"/>
          <w:spacing w:val="0"/>
          <w:kern w:val="0"/>
          <w:sz w:val="24"/>
          <w:szCs w:val="24"/>
          <w:highlight w:val="none"/>
          <w:lang w:eastAsia="zh-CN"/>
        </w:rPr>
        <w:t>　</w:t>
      </w:r>
      <w:r>
        <w:rPr>
          <w:rFonts w:hint="eastAsia" w:ascii="宋体"/>
          <w:color w:val="auto"/>
          <w:sz w:val="24"/>
          <w:szCs w:val="24"/>
          <w:highlight w:val="none"/>
          <w:u w:val="single"/>
        </w:rPr>
        <w:t>弃渣需堆放到发包人、监理人指定的弃渣场，并由承包人负责该弃渣场（弃渣场包括但不限于白岩下弃渣场、岭下坑弃渣场、张岙弃渣场、三溪口弃渣场或发包人、监理人指定的其它弃渣场，下同）的保管、监控、水保、环保等工作。施工过程中，因项目建设需要，其他承包人需在本标段承包人负责管理的弃渣场弃渣时，承包人应做好相应的协调、配合、管理其他承包人在本标段承包人管辖的弃渣场弃渣堆放工作，同时配合发包人做好弃渣外运。上述工作（包括但不限于保管、监控、水保、环保、对其他承包人的协调、配合、管理和配合发包人弃渣外运等）需持续至浙江镜岭水库工程完工验收后2个月，期间产生的相关费用在投标报价时综合考虑在综合单价中，发包人不再另行支付。</w:t>
      </w:r>
    </w:p>
    <w:p w14:paraId="48FBD3C7">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bCs/>
          <w:snapToGrid w:val="0"/>
          <w:color w:val="auto"/>
          <w:spacing w:val="0"/>
          <w:sz w:val="24"/>
          <w:szCs w:val="24"/>
          <w:highlight w:val="none"/>
        </w:rPr>
        <w:t>2.8</w:t>
      </w:r>
      <w:r>
        <w:rPr>
          <w:rFonts w:hint="eastAsia" w:ascii="宋体" w:eastAsia="宋体"/>
          <w:bCs/>
          <w:snapToGrid w:val="0"/>
          <w:color w:val="auto"/>
          <w:spacing w:val="0"/>
          <w:sz w:val="24"/>
          <w:szCs w:val="24"/>
          <w:highlight w:val="none"/>
          <w:lang w:eastAsia="zh-CN"/>
        </w:rPr>
        <w:t>　</w:t>
      </w:r>
      <w:r>
        <w:rPr>
          <w:rFonts w:hint="eastAsia" w:ascii="宋体" w:hAnsi="楷体" w:eastAsia="宋体" w:cs="楷体"/>
          <w:bCs/>
          <w:snapToGrid w:val="0"/>
          <w:color w:val="auto"/>
          <w:spacing w:val="0"/>
          <w:sz w:val="24"/>
          <w:szCs w:val="24"/>
          <w:highlight w:val="none"/>
        </w:rPr>
        <w:t>其他义务</w:t>
      </w:r>
    </w:p>
    <w:p w14:paraId="4977033C">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kern w:val="0"/>
          <w:sz w:val="24"/>
          <w:szCs w:val="24"/>
          <w:highlight w:val="none"/>
          <w:u w:val="single"/>
          <w:lang w:val="en-US" w:bidi="zh-CN"/>
        </w:rPr>
        <w:t xml:space="preserve">   /  </w:t>
      </w:r>
      <w:r>
        <w:rPr>
          <w:rFonts w:hint="eastAsia" w:ascii="宋体" w:hAnsi="宋体" w:cs="宋体"/>
          <w:snapToGrid w:val="0"/>
          <w:color w:val="auto"/>
          <w:kern w:val="0"/>
          <w:sz w:val="24"/>
          <w:szCs w:val="24"/>
          <w:highlight w:val="none"/>
          <w:lang w:val="zh-CN" w:bidi="zh-CN"/>
        </w:rPr>
        <w:t>；</w:t>
      </w:r>
    </w:p>
    <w:p w14:paraId="00F047DA">
      <w:pPr>
        <w:pStyle w:val="4"/>
        <w:kinsoku/>
        <w:spacing w:beforeLines="0" w:afterLines="0"/>
        <w:rPr>
          <w:rFonts w:hint="eastAsia" w:cs="宋体"/>
          <w:bCs/>
          <w:color w:val="auto"/>
          <w:sz w:val="24"/>
          <w:szCs w:val="24"/>
          <w:highlight w:val="none"/>
        </w:rPr>
      </w:pPr>
      <w:r>
        <w:rPr>
          <w:rFonts w:hint="eastAsia" w:cs="宋体"/>
          <w:bCs/>
          <w:color w:val="auto"/>
          <w:sz w:val="24"/>
          <w:szCs w:val="24"/>
          <w:highlight w:val="none"/>
        </w:rPr>
        <w:t>3</w:t>
      </w:r>
      <w:r>
        <w:rPr>
          <w:rFonts w:hint="eastAsia" w:cs="宋体"/>
          <w:bCs/>
          <w:color w:val="auto"/>
          <w:sz w:val="24"/>
          <w:szCs w:val="24"/>
          <w:highlight w:val="none"/>
          <w:lang w:eastAsia="zh-CN"/>
        </w:rPr>
        <w:t>　</w:t>
      </w:r>
      <w:r>
        <w:rPr>
          <w:rFonts w:hint="eastAsia" w:cs="宋体"/>
          <w:bCs/>
          <w:color w:val="auto"/>
          <w:sz w:val="24"/>
          <w:szCs w:val="24"/>
          <w:highlight w:val="none"/>
        </w:rPr>
        <w:t>监理人</w:t>
      </w:r>
    </w:p>
    <w:p w14:paraId="2CB968FA">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bCs/>
          <w:snapToGrid w:val="0"/>
          <w:color w:val="auto"/>
          <w:spacing w:val="0"/>
          <w:sz w:val="24"/>
          <w:szCs w:val="24"/>
          <w:highlight w:val="none"/>
        </w:rPr>
        <w:t>3.1</w:t>
      </w:r>
      <w:r>
        <w:rPr>
          <w:rFonts w:hint="eastAsia" w:ascii="宋体" w:eastAsia="宋体"/>
          <w:bCs/>
          <w:snapToGrid w:val="0"/>
          <w:color w:val="auto"/>
          <w:spacing w:val="0"/>
          <w:sz w:val="24"/>
          <w:szCs w:val="24"/>
          <w:highlight w:val="none"/>
          <w:lang w:eastAsia="zh-CN"/>
        </w:rPr>
        <w:t>　</w:t>
      </w:r>
      <w:r>
        <w:rPr>
          <w:rFonts w:hint="eastAsia" w:ascii="宋体" w:hAnsi="楷体" w:eastAsia="宋体" w:cs="楷体"/>
          <w:bCs/>
          <w:snapToGrid w:val="0"/>
          <w:color w:val="auto"/>
          <w:spacing w:val="0"/>
          <w:sz w:val="24"/>
          <w:szCs w:val="24"/>
          <w:highlight w:val="none"/>
        </w:rPr>
        <w:t>监理人的职责和权力</w:t>
      </w:r>
    </w:p>
    <w:p w14:paraId="29BF76E6">
      <w:pPr>
        <w:pStyle w:val="30"/>
        <w:snapToGrid w:val="0"/>
        <w:spacing w:beforeLines="0" w:afterLines="0" w:line="360" w:lineRule="auto"/>
        <w:ind w:firstLine="0" w:firstLineChars="0"/>
        <w:rPr>
          <w:rFonts w:ascii="宋体" w:hAnsi="宋体" w:cs="宋体"/>
          <w:snapToGrid w:val="0"/>
          <w:color w:val="auto"/>
          <w:sz w:val="24"/>
          <w:highlight w:val="none"/>
        </w:rPr>
      </w:pPr>
      <w:r>
        <w:rPr>
          <w:rFonts w:ascii="宋体" w:eastAsia="宋体"/>
          <w:b/>
          <w:bCs/>
          <w:snapToGrid w:val="0"/>
          <w:color w:val="auto"/>
          <w:spacing w:val="0"/>
          <w:kern w:val="0"/>
          <w:sz w:val="24"/>
          <w:szCs w:val="24"/>
          <w:highlight w:val="none"/>
        </w:rPr>
        <w:t>3.1.1</w:t>
      </w:r>
      <w:r>
        <w:rPr>
          <w:rFonts w:hint="eastAsia" w:ascii="宋体"/>
          <w:b/>
          <w:bCs/>
          <w:snapToGrid w:val="0"/>
          <w:color w:val="auto"/>
          <w:spacing w:val="0"/>
          <w:kern w:val="0"/>
          <w:sz w:val="24"/>
          <w:szCs w:val="24"/>
          <w:highlight w:val="none"/>
          <w:lang w:eastAsia="zh-CN"/>
        </w:rPr>
        <w:t>　</w:t>
      </w:r>
      <w:r>
        <w:rPr>
          <w:rFonts w:hint="eastAsia" w:ascii="宋体" w:hAnsi="宋体" w:cs="宋体"/>
          <w:snapToGrid w:val="0"/>
          <w:color w:val="auto"/>
          <w:sz w:val="24"/>
          <w:szCs w:val="24"/>
          <w:highlight w:val="none"/>
        </w:rPr>
        <w:t>监理人须根据发包人事先批准的权力范围行使权力，发包人批准的权利范围：</w:t>
      </w:r>
    </w:p>
    <w:p w14:paraId="1F85F4E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）按第</w:t>
      </w:r>
      <w:r>
        <w:rPr>
          <w:rFonts w:ascii="宋体"/>
          <w:snapToGrid w:val="0"/>
          <w:color w:val="auto"/>
          <w:sz w:val="24"/>
          <w:szCs w:val="24"/>
          <w:highlight w:val="none"/>
        </w:rPr>
        <w:t>4.3</w:t>
      </w:r>
      <w:r>
        <w:rPr>
          <w:rFonts w:hint="eastAsia" w:ascii="宋体" w:hAnsi="宋体" w:cs="宋体"/>
          <w:snapToGrid w:val="0"/>
          <w:color w:val="auto"/>
          <w:sz w:val="24"/>
          <w:szCs w:val="24"/>
          <w:highlight w:val="none"/>
        </w:rPr>
        <w:t>条规定，批准工程分包。</w:t>
      </w:r>
    </w:p>
    <w:p w14:paraId="693C7578">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）按通用条款第</w:t>
      </w:r>
      <w:r>
        <w:rPr>
          <w:rFonts w:ascii="宋体"/>
          <w:snapToGrid w:val="0"/>
          <w:color w:val="auto"/>
          <w:sz w:val="24"/>
          <w:szCs w:val="24"/>
          <w:highlight w:val="none"/>
        </w:rPr>
        <w:t>11.3</w:t>
      </w:r>
      <w:r>
        <w:rPr>
          <w:rFonts w:hint="eastAsia" w:ascii="宋体" w:hAnsi="宋体" w:cs="宋体"/>
          <w:snapToGrid w:val="0"/>
          <w:color w:val="auto"/>
          <w:sz w:val="24"/>
          <w:szCs w:val="24"/>
          <w:highlight w:val="none"/>
        </w:rPr>
        <w:t>款规定，确定延长完工期限。</w:t>
      </w:r>
    </w:p>
    <w:p w14:paraId="07749596">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）按通用条款第</w:t>
      </w:r>
      <w:r>
        <w:rPr>
          <w:rFonts w:ascii="宋体"/>
          <w:snapToGrid w:val="0"/>
          <w:color w:val="auto"/>
          <w:sz w:val="24"/>
          <w:szCs w:val="24"/>
          <w:highlight w:val="none"/>
        </w:rPr>
        <w:t>15.6</w:t>
      </w:r>
      <w:r>
        <w:rPr>
          <w:rFonts w:hint="eastAsia" w:ascii="宋体" w:hAnsi="宋体" w:cs="宋体"/>
          <w:snapToGrid w:val="0"/>
          <w:color w:val="auto"/>
          <w:sz w:val="24"/>
          <w:szCs w:val="24"/>
          <w:highlight w:val="none"/>
        </w:rPr>
        <w:t>条规定，批准预留金的使用。</w:t>
      </w:r>
    </w:p>
    <w:p w14:paraId="5A86E5D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4</w:t>
      </w:r>
      <w:r>
        <w:rPr>
          <w:rFonts w:hint="eastAsia" w:ascii="宋体" w:hAnsi="宋体" w:cs="宋体"/>
          <w:snapToGrid w:val="0"/>
          <w:color w:val="auto"/>
          <w:sz w:val="24"/>
          <w:szCs w:val="24"/>
          <w:highlight w:val="none"/>
        </w:rPr>
        <w:t>）按第</w:t>
      </w:r>
      <w:r>
        <w:rPr>
          <w:rFonts w:ascii="宋体"/>
          <w:snapToGrid w:val="0"/>
          <w:color w:val="auto"/>
          <w:sz w:val="24"/>
          <w:szCs w:val="24"/>
          <w:highlight w:val="none"/>
        </w:rPr>
        <w:t>15</w:t>
      </w:r>
      <w:r>
        <w:rPr>
          <w:rFonts w:hint="eastAsia" w:ascii="宋体" w:hAnsi="宋体" w:cs="宋体"/>
          <w:snapToGrid w:val="0"/>
          <w:color w:val="auto"/>
          <w:sz w:val="24"/>
          <w:szCs w:val="24"/>
          <w:highlight w:val="none"/>
        </w:rPr>
        <w:t>条规定，当变更引起的合同价格增减时作出变更决定；</w:t>
      </w:r>
    </w:p>
    <w:p w14:paraId="4AF0BFD0">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5</w:t>
      </w:r>
      <w:r>
        <w:rPr>
          <w:rFonts w:hint="eastAsia" w:ascii="宋体" w:hAnsi="宋体" w:cs="宋体"/>
          <w:snapToGrid w:val="0"/>
          <w:color w:val="auto"/>
          <w:sz w:val="24"/>
          <w:szCs w:val="24"/>
          <w:highlight w:val="none"/>
        </w:rPr>
        <w:t>）按第</w:t>
      </w:r>
      <w:r>
        <w:rPr>
          <w:rFonts w:ascii="宋体"/>
          <w:snapToGrid w:val="0"/>
          <w:color w:val="auto"/>
          <w:sz w:val="24"/>
          <w:szCs w:val="24"/>
          <w:highlight w:val="none"/>
        </w:rPr>
        <w:t>15.4</w:t>
      </w:r>
      <w:r>
        <w:rPr>
          <w:rFonts w:ascii="宋体" w:hAnsi="宋体" w:cs="宋体"/>
          <w:snapToGrid w:val="0"/>
          <w:color w:val="auto"/>
          <w:sz w:val="24"/>
          <w:szCs w:val="24"/>
          <w:highlight w:val="none"/>
        </w:rPr>
        <w:t>条规定，因变更而变动的单价和合价。</w:t>
      </w:r>
    </w:p>
    <w:p w14:paraId="561D1321">
      <w:pPr>
        <w:pStyle w:val="30"/>
        <w:snapToGrid w:val="0"/>
        <w:spacing w:beforeLines="0" w:afterLines="0" w:line="360" w:lineRule="auto"/>
        <w:ind w:firstLine="480" w:firstLineChars="200"/>
        <w:jc w:val="left"/>
        <w:rPr>
          <w:rFonts w:ascii="宋体" w:eastAsia="宋体"/>
          <w:b/>
          <w:bCs/>
          <w:snapToGrid w:val="0"/>
          <w:color w:val="auto"/>
          <w:spacing w:val="0"/>
          <w:kern w:val="0"/>
          <w:sz w:val="24"/>
          <w:szCs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6</w:t>
      </w:r>
      <w:r>
        <w:rPr>
          <w:rFonts w:hint="eastAsia" w:ascii="宋体" w:hAnsi="宋体" w:cs="宋体"/>
          <w:snapToGrid w:val="0"/>
          <w:color w:val="auto"/>
          <w:sz w:val="24"/>
          <w:szCs w:val="24"/>
          <w:highlight w:val="none"/>
        </w:rPr>
        <w:t>）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监理人应按第</w:t>
      </w:r>
      <w:r>
        <w:rPr>
          <w:rFonts w:ascii="宋体"/>
          <w:snapToGrid w:val="0"/>
          <w:color w:val="auto"/>
          <w:sz w:val="24"/>
          <w:szCs w:val="24"/>
          <w:highlight w:val="none"/>
        </w:rPr>
        <w:t>15</w:t>
      </w:r>
      <w:r>
        <w:rPr>
          <w:rFonts w:hint="eastAsia" w:ascii="宋体" w:hAnsi="宋体" w:cs="宋体"/>
          <w:snapToGrid w:val="0"/>
          <w:color w:val="auto"/>
          <w:sz w:val="24"/>
          <w:szCs w:val="24"/>
          <w:highlight w:val="none"/>
        </w:rPr>
        <w:t>条的规定增加相应的费用，并通知承包人。</w:t>
      </w:r>
    </w:p>
    <w:p w14:paraId="0B4C2244">
      <w:pPr>
        <w:pStyle w:val="4"/>
        <w:spacing w:beforeLines="0" w:afterLines="0"/>
        <w:outlineLvl w:val="2"/>
        <w:rPr>
          <w:rFonts w:hint="eastAsia" w:ascii="宋体" w:cs="宋体"/>
          <w:bCs/>
          <w:color w:val="auto"/>
          <w:sz w:val="24"/>
          <w:szCs w:val="24"/>
          <w:highlight w:val="none"/>
        </w:rPr>
      </w:pPr>
      <w:r>
        <w:rPr>
          <w:rFonts w:hint="eastAsia" w:ascii="宋体" w:eastAsia="宋体" w:cs="宋体"/>
          <w:bCs/>
          <w:snapToGrid w:val="0"/>
          <w:color w:val="auto"/>
          <w:spacing w:val="0"/>
          <w:sz w:val="24"/>
          <w:szCs w:val="24"/>
          <w:highlight w:val="none"/>
        </w:rPr>
        <w:t>4</w:t>
      </w:r>
      <w:r>
        <w:rPr>
          <w:rFonts w:hint="eastAsia" w:cs="宋体"/>
          <w:bCs/>
          <w:snapToGrid w:val="0"/>
          <w:color w:val="auto"/>
          <w:spacing w:val="0"/>
          <w:sz w:val="24"/>
          <w:szCs w:val="24"/>
          <w:highlight w:val="none"/>
          <w:lang w:eastAsia="zh-CN"/>
        </w:rPr>
        <w:t>　</w:t>
      </w:r>
      <w:r>
        <w:rPr>
          <w:rFonts w:hint="eastAsia" w:ascii="宋体" w:hAnsi="宋体" w:cs="宋体"/>
          <w:bCs/>
          <w:snapToGrid w:val="0"/>
          <w:color w:val="auto"/>
          <w:spacing w:val="0"/>
          <w:sz w:val="24"/>
          <w:szCs w:val="24"/>
          <w:highlight w:val="none"/>
        </w:rPr>
        <w:t>承包人</w:t>
      </w:r>
    </w:p>
    <w:p w14:paraId="36F6F101">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color w:val="auto"/>
          <w:sz w:val="24"/>
          <w:szCs w:val="24"/>
          <w:highlight w:val="none"/>
        </w:rPr>
        <w:t>4.1</w:t>
      </w:r>
      <w:r>
        <w:rPr>
          <w:rFonts w:hint="eastAsia" w:ascii="宋体" w:eastAsia="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承包人一般义务</w:t>
      </w:r>
    </w:p>
    <w:p w14:paraId="3BF6CDDD">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hAnsi="宋体" w:cs="宋体"/>
          <w:b/>
          <w:snapToGrid w:val="0"/>
          <w:color w:val="auto"/>
          <w:sz w:val="24"/>
          <w:szCs w:val="24"/>
          <w:highlight w:val="none"/>
        </w:rPr>
        <w:t>4.1.11</w:t>
      </w:r>
      <w:r>
        <w:rPr>
          <w:rFonts w:hint="eastAsia" w:ascii="宋体" w:hAnsi="宋体" w:cs="宋体"/>
          <w:b/>
          <w:snapToGrid w:val="0"/>
          <w:color w:val="auto"/>
          <w:sz w:val="24"/>
          <w:szCs w:val="24"/>
          <w:highlight w:val="none"/>
          <w:lang w:eastAsia="zh-CN"/>
        </w:rPr>
        <w:t>　</w:t>
      </w:r>
      <w:r>
        <w:rPr>
          <w:rFonts w:hint="eastAsia" w:ascii="宋体" w:hAnsi="宋体" w:eastAsia="宋体" w:cs="宋体"/>
          <w:b w:val="0"/>
          <w:snapToGrid w:val="0"/>
          <w:color w:val="auto"/>
          <w:kern w:val="2"/>
          <w:sz w:val="24"/>
          <w:szCs w:val="24"/>
          <w:highlight w:val="none"/>
        </w:rPr>
        <w:t>其他义务</w:t>
      </w:r>
    </w:p>
    <w:p w14:paraId="2928D13C">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1</w:t>
      </w:r>
      <w:r>
        <w:rPr>
          <w:rFonts w:hint="eastAsia" w:ascii="宋体" w:hAnsi="宋体" w:cs="宋体"/>
          <w:color w:val="auto"/>
          <w:kern w:val="0"/>
          <w:sz w:val="24"/>
          <w:szCs w:val="24"/>
          <w:highlight w:val="none"/>
        </w:rPr>
        <w:t>）完工工程成品保护的特殊要求及费用承担：已完工工程未交付发包人之前，由承包人负责已完工程的保护工作，保护期间发生损坏，承包人自费予以修复。需要采取特殊保护措施的工程部位，承包人应制定特殊保护措施，报发包人（或监理人）同意后实施。</w:t>
      </w:r>
    </w:p>
    <w:p w14:paraId="0754E50E">
      <w:pPr>
        <w:pStyle w:val="35"/>
        <w:spacing w:beforeLines="0" w:afterLines="0" w:line="360" w:lineRule="auto"/>
        <w:ind w:firstLine="480" w:firstLineChars="200"/>
        <w:jc w:val="left"/>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w:t>
      </w:r>
      <w:r>
        <w:rPr>
          <w:rFonts w:ascii="宋体"/>
          <w:color w:val="auto"/>
          <w:kern w:val="0"/>
          <w:sz w:val="24"/>
          <w:szCs w:val="24"/>
          <w:highlight w:val="none"/>
        </w:rPr>
        <w:t>2</w:t>
      </w:r>
      <w:r>
        <w:rPr>
          <w:rFonts w:hint="eastAsia" w:ascii="宋体" w:hAnsi="宋体" w:cs="宋体"/>
          <w:color w:val="auto"/>
          <w:kern w:val="0"/>
          <w:sz w:val="24"/>
          <w:szCs w:val="24"/>
          <w:highlight w:val="none"/>
        </w:rPr>
        <w:t>）按时向发包人（或监理人）提交开完（竣）工报告、隐蔽工程验收报告、质量自检记录、完（竣）工验收报告及工程事故报告等资料。</w:t>
      </w:r>
    </w:p>
    <w:p w14:paraId="7FFA00C4">
      <w:pPr>
        <w:kinsoku/>
        <w:spacing w:beforeLines="0" w:afterLines="0"/>
        <w:ind w:firstLine="420"/>
        <w:jc w:val="left"/>
        <w:rPr>
          <w:rFonts w:cs="宋体"/>
          <w:color w:val="auto"/>
          <w:szCs w:val="21"/>
          <w:highlight w:val="none"/>
          <w:u w:val="single"/>
          <w:lang w:eastAsia="zh-CN"/>
        </w:rPr>
      </w:pPr>
      <w:r>
        <w:rPr>
          <w:rFonts w:hint="eastAsia" w:ascii="宋体" w:cs="宋体"/>
          <w:snapToGrid w:val="0"/>
          <w:color w:val="auto"/>
          <w:kern w:val="0"/>
          <w:szCs w:val="21"/>
          <w:highlight w:val="none"/>
          <w:lang w:eastAsia="zh-CN"/>
        </w:rPr>
        <w:t>（</w:t>
      </w:r>
      <w:r>
        <w:rPr>
          <w:rFonts w:ascii="宋体" w:hAnsi="Times New Roman" w:cs="Times New Roman"/>
          <w:snapToGrid w:val="0"/>
          <w:color w:val="auto"/>
          <w:kern w:val="0"/>
          <w:szCs w:val="21"/>
          <w:highlight w:val="none"/>
          <w:lang w:eastAsia="zh-CN"/>
        </w:rPr>
        <w:t>3</w:t>
      </w:r>
      <w:r>
        <w:rPr>
          <w:rFonts w:hint="eastAsia" w:ascii="宋体" w:cs="宋体"/>
          <w:snapToGrid w:val="0"/>
          <w:color w:val="auto"/>
          <w:kern w:val="0"/>
          <w:szCs w:val="21"/>
          <w:highlight w:val="none"/>
          <w:lang w:eastAsia="zh-CN"/>
        </w:rPr>
        <w:t>）本工程实施前承包人应对沿线范围内的地下管线、道路和周围建筑物、构筑物进行周密的勘察，并在施工前采取必要的加固及保护措施，在施工过程中采取措施对变形进行控制，发现损坏应及时抢修，施工结束后进行必要的维修，维修结果必须经相关管理部门认可，确保沿线在影响范围内的地下管线、道路和周围建筑物、构筑物的正常使用，并承担有关费用。</w:t>
      </w:r>
    </w:p>
    <w:p w14:paraId="389C9948">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4</w:t>
      </w:r>
      <w:r>
        <w:rPr>
          <w:rFonts w:hint="eastAsia" w:ascii="宋体" w:hAnsi="宋体" w:cs="宋体"/>
          <w:color w:val="auto"/>
          <w:kern w:val="0"/>
          <w:sz w:val="24"/>
          <w:szCs w:val="24"/>
          <w:highlight w:val="none"/>
        </w:rPr>
        <w:t>）必须接受发包人的管理或其委托的监理单位的监理，并为其开展工作和生活提供方便，按照要求提供完整真实的原始记录、检测记录等技术资料及各种报表。承包人应执行发包人及监理单位对工程管理所制定的各项管理制度。</w:t>
      </w:r>
    </w:p>
    <w:p w14:paraId="7D7BABE3">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5）承包人不按合同约定完成以上工作，发包人有权限令其停止施工并进行整改，由此引起的损失由承包人自行承担。</w:t>
      </w:r>
    </w:p>
    <w:p w14:paraId="026594BC">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6）承包人应配备一定数量的柴油发电机作为备用电源，以满足生产、生活用电，本工程施工区施工用电接入点由发包人提供。</w:t>
      </w:r>
    </w:p>
    <w:p w14:paraId="641D4AA3">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7）参加发包人召开的与本工程相关的会议，并作好会前有关资料的准备。在保修期内要及时做好回访工作，属保修责任范围的事项应及时按相关标准维修。</w:t>
      </w:r>
    </w:p>
    <w:p w14:paraId="104F175C">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8）承包人应</w:t>
      </w:r>
      <w:r>
        <w:rPr>
          <w:rFonts w:hint="eastAsia" w:ascii="宋体" w:hAnsi="宋体" w:cs="宋体"/>
          <w:color w:val="auto"/>
          <w:kern w:val="0"/>
          <w:sz w:val="24"/>
          <w:szCs w:val="24"/>
          <w:highlight w:val="none"/>
          <w:lang w:val="en-US" w:eastAsia="zh-CN"/>
        </w:rPr>
        <w:t>配备专职档案管理人员1人并</w:t>
      </w:r>
      <w:r>
        <w:rPr>
          <w:rFonts w:ascii="宋体" w:hAnsi="宋体" w:cs="宋体"/>
          <w:color w:val="auto"/>
          <w:kern w:val="0"/>
          <w:sz w:val="24"/>
          <w:szCs w:val="24"/>
          <w:highlight w:val="none"/>
        </w:rPr>
        <w:t>按照《国家重大建设项目文件归档要求与档案整理规范》《重大建设项目档案验收办法》等相关规范的要求对工程档案进行立卷整理、归档并数字化。工程主体及水保措施的重要部位、施工过程中重要节点和事件、重要隐蔽工程等须留有影像资料</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影像资料按应按规范整理按定期上报发包人</w:t>
      </w:r>
      <w:r>
        <w:rPr>
          <w:rFonts w:ascii="宋体" w:hAnsi="宋体" w:cs="宋体"/>
          <w:color w:val="auto"/>
          <w:kern w:val="0"/>
          <w:sz w:val="24"/>
          <w:szCs w:val="24"/>
          <w:highlight w:val="none"/>
        </w:rPr>
        <w:t>。</w:t>
      </w:r>
    </w:p>
    <w:p w14:paraId="5BBF3ADE">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9）根据现有的施工道路条件及施工的需要，主干道路（</w:t>
      </w:r>
      <w:r>
        <w:rPr>
          <w:rFonts w:hint="eastAsia" w:ascii="宋体" w:hAnsi="宋体" w:cs="宋体"/>
          <w:color w:val="auto"/>
          <w:kern w:val="0"/>
          <w:sz w:val="24"/>
          <w:szCs w:val="24"/>
          <w:highlight w:val="none"/>
          <w:lang w:val="en-US" w:eastAsia="zh-CN"/>
        </w:rPr>
        <w:t>含乡镇道路</w:t>
      </w:r>
      <w:r>
        <w:rPr>
          <w:rFonts w:ascii="宋体" w:hAnsi="宋体" w:cs="宋体"/>
          <w:color w:val="auto"/>
          <w:kern w:val="0"/>
          <w:sz w:val="24"/>
          <w:szCs w:val="24"/>
          <w:highlight w:val="none"/>
        </w:rPr>
        <w:t>）到施工现场及其他施工面之间的临时道路（含村级道路和施工进场道路）的级别与布置，由承包人负责设计、施工、维修和养护等。</w:t>
      </w:r>
    </w:p>
    <w:p w14:paraId="5F5BD354">
      <w:pPr>
        <w:pStyle w:val="35"/>
        <w:spacing w:beforeLines="0" w:afterLines="0"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施工过程中如</w:t>
      </w:r>
      <w:r>
        <w:rPr>
          <w:rFonts w:hint="eastAsia" w:ascii="宋体" w:hAnsi="宋体" w:cs="宋体"/>
          <w:color w:val="auto"/>
          <w:kern w:val="0"/>
          <w:sz w:val="24"/>
          <w:szCs w:val="24"/>
          <w:highlight w:val="none"/>
          <w:lang w:val="en-US" w:eastAsia="zh-CN"/>
        </w:rPr>
        <w:t>承包人使用现有</w:t>
      </w:r>
      <w:r>
        <w:rPr>
          <w:rFonts w:hint="eastAsia" w:ascii="宋体" w:hAnsi="宋体" w:cs="宋体"/>
          <w:color w:val="auto"/>
          <w:kern w:val="0"/>
          <w:sz w:val="24"/>
          <w:szCs w:val="24"/>
          <w:highlight w:val="none"/>
        </w:rPr>
        <w:t>公共交通设施</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包括但不限于道路、桥梁、隧洞等</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的，须进行必要的维修、养护、拓宽、加固等，以满足施工需求，如</w:t>
      </w:r>
      <w:r>
        <w:rPr>
          <w:rFonts w:hint="eastAsia" w:ascii="宋体" w:hAnsi="宋体" w:cs="宋体"/>
          <w:color w:val="auto"/>
          <w:kern w:val="0"/>
          <w:sz w:val="24"/>
          <w:szCs w:val="24"/>
          <w:highlight w:val="none"/>
        </w:rPr>
        <w:t>造成破坏，承包人须对其进行修复，以满足相关部门的要求</w:t>
      </w:r>
      <w:r>
        <w:rPr>
          <w:rFonts w:hint="eastAsia" w:ascii="宋体" w:hAnsi="宋体" w:cs="宋体"/>
          <w:color w:val="auto"/>
          <w:kern w:val="0"/>
          <w:sz w:val="24"/>
          <w:szCs w:val="24"/>
          <w:highlight w:val="none"/>
          <w:lang w:eastAsia="zh-CN"/>
        </w:rPr>
        <w:t>。</w:t>
      </w:r>
    </w:p>
    <w:p w14:paraId="061F045D">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lang w:eastAsia="zh-CN"/>
        </w:rPr>
        <w:t>1</w:t>
      </w:r>
      <w:r>
        <w:rPr>
          <w:rFonts w:ascii="宋体" w:hAnsi="宋体" w:cs="宋体"/>
          <w:color w:val="auto"/>
          <w:kern w:val="0"/>
          <w:sz w:val="24"/>
          <w:szCs w:val="24"/>
          <w:highlight w:val="none"/>
        </w:rPr>
        <w:t>）承包人应完成或配合的验收工作。承包人应完成《水利水电建设工程验收规程》规定的验收工作，配合完成项目法人验收及政府验收</w:t>
      </w:r>
      <w:r>
        <w:rPr>
          <w:rFonts w:hint="eastAsia" w:ascii="宋体" w:hAnsi="宋体" w:cs="宋体"/>
          <w:color w:val="auto"/>
          <w:kern w:val="0"/>
          <w:sz w:val="24"/>
          <w:szCs w:val="24"/>
          <w:highlight w:val="none"/>
          <w:lang w:val="en-US" w:eastAsia="zh-CN"/>
        </w:rPr>
        <w:t>等工作</w:t>
      </w:r>
      <w:r>
        <w:rPr>
          <w:rFonts w:ascii="宋体" w:hAnsi="宋体" w:cs="宋体"/>
          <w:color w:val="auto"/>
          <w:kern w:val="0"/>
          <w:sz w:val="24"/>
          <w:szCs w:val="24"/>
          <w:highlight w:val="none"/>
        </w:rPr>
        <w:t>。</w:t>
      </w:r>
    </w:p>
    <w:p w14:paraId="4F3433D7">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lang w:eastAsia="zh-CN"/>
        </w:rPr>
        <w:t>2</w:t>
      </w:r>
      <w:r>
        <w:rPr>
          <w:rFonts w:ascii="宋体" w:hAnsi="宋体" w:cs="宋体"/>
          <w:color w:val="auto"/>
          <w:kern w:val="0"/>
          <w:sz w:val="24"/>
          <w:szCs w:val="24"/>
          <w:highlight w:val="none"/>
        </w:rPr>
        <w:t>）承包人负责工程区域内人员的管理，对进入工程区域内的外来人员进行劝离。</w:t>
      </w:r>
    </w:p>
    <w:p w14:paraId="5A80B4B9">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ascii="宋体" w:hAnsi="宋体" w:cs="宋体"/>
          <w:color w:val="auto"/>
          <w:kern w:val="0"/>
          <w:sz w:val="24"/>
          <w:szCs w:val="24"/>
          <w:highlight w:val="none"/>
        </w:rPr>
        <w:t>）承包人应处理好与周边人员与居民的关系，保证不影响周边居民的日常生活与办公活动。承包人应协助发包人处理好与工程其他承包人或毗邻工程的配合关系，发生交叉施工时，承包人和工程其他承包人或毗邻工程应相互配合，友好协作，并服从监理人的统一协调。</w:t>
      </w:r>
    </w:p>
    <w:p w14:paraId="674A5AB3">
      <w:pPr>
        <w:pStyle w:val="35"/>
        <w:spacing w:beforeLines="0" w:afterLines="0" w:line="360" w:lineRule="auto"/>
        <w:ind w:firstLine="480" w:firstLineChars="200"/>
        <w:jc w:val="left"/>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1</w:t>
      </w:r>
      <w:r>
        <w:rPr>
          <w:rFonts w:hint="eastAsia" w:ascii="宋体" w:hAnsi="宋体" w:cs="宋体"/>
          <w:snapToGrid w:val="0"/>
          <w:color w:val="auto"/>
          <w:sz w:val="24"/>
          <w:szCs w:val="24"/>
          <w:highlight w:val="none"/>
          <w:lang w:val="en-US" w:eastAsia="zh-CN"/>
        </w:rPr>
        <w:t>4</w:t>
      </w:r>
      <w:r>
        <w:rPr>
          <w:rFonts w:ascii="宋体" w:hAnsi="宋体" w:cs="宋体"/>
          <w:snapToGrid w:val="0"/>
          <w:color w:val="auto"/>
          <w:sz w:val="24"/>
          <w:szCs w:val="24"/>
          <w:highlight w:val="none"/>
        </w:rPr>
        <w:t>）</w:t>
      </w:r>
      <w:r>
        <w:rPr>
          <w:rFonts w:hint="eastAsia" w:ascii="宋体" w:hAnsi="宋体" w:cs="宋体"/>
          <w:color w:val="auto"/>
          <w:kern w:val="0"/>
          <w:sz w:val="24"/>
          <w:szCs w:val="24"/>
          <w:highlight w:val="none"/>
          <w:lang w:val="zh-CN"/>
        </w:rPr>
        <w:t>承包人对开挖的洞渣做好看管责任，不得私自外运或出售。如发现以上情形的，有权上报有关部门处理，若构成刑事犯罪的，依法追究法律责任</w:t>
      </w:r>
      <w:r>
        <w:rPr>
          <w:rFonts w:hint="eastAsia" w:ascii="宋体" w:hAnsi="宋体" w:cs="宋体"/>
          <w:snapToGrid w:val="0"/>
          <w:color w:val="auto"/>
          <w:sz w:val="24"/>
          <w:szCs w:val="24"/>
          <w:highlight w:val="none"/>
        </w:rPr>
        <w:t>。</w:t>
      </w:r>
    </w:p>
    <w:p w14:paraId="215BD580">
      <w:pPr>
        <w:pStyle w:val="35"/>
        <w:spacing w:beforeLines="0" w:afterLines="0" w:line="360" w:lineRule="auto"/>
        <w:ind w:firstLine="480" w:firstLineChars="200"/>
        <w:jc w:val="left"/>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snapToGrid w:val="0"/>
          <w:color w:val="auto"/>
          <w:sz w:val="24"/>
          <w:szCs w:val="24"/>
          <w:highlight w:val="none"/>
          <w:lang w:val="en-US" w:eastAsia="zh-CN"/>
        </w:rPr>
        <w:t>5</w:t>
      </w:r>
      <w:r>
        <w:rPr>
          <w:rFonts w:hint="eastAsia" w:ascii="宋体" w:hAnsi="宋体" w:cs="宋体"/>
          <w:snapToGrid w:val="0"/>
          <w:color w:val="auto"/>
          <w:sz w:val="24"/>
          <w:szCs w:val="24"/>
          <w:highlight w:val="none"/>
        </w:rPr>
        <w:t>）承包人施工前应仔细调查隧洞出入口、隧洞沿线对爆破振动影响敏感的建筑物分布，在施工中须严格按照相关规程规范采取控制爆破、防护等相应的工程措施，承包人应做好周边建筑物的监控、监测，必要时委托第三方机构对建筑物质量进行检测鉴定，做好控制爆破及防护的相关工作，相关费用计入工程总报价，发包人不另行支付。因承包人措施不利导致的一些损失由承包人承担。即使承包人的施工和防护措施符合相关规范及施工组织设计的要求，但施工仍对周边产生了不利影响，由此引起的纠纷、赔偿、阻工等现象由承包人限期处理完成。逾期未完成的，发包人书面通知后可委托第三方进行处理，除产生的相关费用由承包人承担外，另扣除违约金</w:t>
      </w:r>
      <w:r>
        <w:rPr>
          <w:rFonts w:ascii="宋体" w:hAnsi="宋体" w:cs="宋体"/>
          <w:snapToGrid w:val="0"/>
          <w:color w:val="auto"/>
          <w:sz w:val="24"/>
          <w:szCs w:val="24"/>
          <w:highlight w:val="none"/>
        </w:rPr>
        <w:t>20000元/次，对工期造成影响的，按工期违约相关规定执行。</w:t>
      </w:r>
    </w:p>
    <w:p w14:paraId="1B94CCD8">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1</w:t>
      </w:r>
      <w:r>
        <w:rPr>
          <w:rFonts w:hint="eastAsia" w:ascii="宋体"/>
          <w:color w:val="auto"/>
          <w:kern w:val="0"/>
          <w:sz w:val="24"/>
          <w:szCs w:val="24"/>
          <w:highlight w:val="none"/>
          <w:lang w:val="en-US" w:eastAsia="zh-CN"/>
        </w:rPr>
        <w:t>6</w:t>
      </w:r>
      <w:r>
        <w:rPr>
          <w:rFonts w:hint="eastAsia" w:ascii="宋体" w:hAnsi="宋体" w:cs="宋体"/>
          <w:color w:val="auto"/>
          <w:kern w:val="0"/>
          <w:sz w:val="24"/>
          <w:szCs w:val="24"/>
          <w:highlight w:val="none"/>
        </w:rPr>
        <w:t>）发生工程质量事故或工伤事故后，必须迅速有效地实施先期处置，防止事故进一步扩大，并须按水利行政主管、绍兴市有关规定及时电话联系发包人或监理人，按规定上报事故书面报告，同时按政府有关部门要求采取措施，发生的费用由承包人承担。发包人有权追究其责任，并由承包人承担相应经济损失。</w:t>
      </w:r>
    </w:p>
    <w:p w14:paraId="3402A45A">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1</w:t>
      </w:r>
      <w:r>
        <w:rPr>
          <w:rFonts w:hint="eastAsia" w:ascii="宋体"/>
          <w:color w:val="auto"/>
          <w:kern w:val="0"/>
          <w:sz w:val="24"/>
          <w:szCs w:val="24"/>
          <w:highlight w:val="none"/>
          <w:lang w:val="en-US" w:eastAsia="zh-CN"/>
        </w:rPr>
        <w:t>7</w:t>
      </w:r>
      <w:r>
        <w:rPr>
          <w:rFonts w:hint="eastAsia" w:ascii="宋体" w:hAnsi="宋体" w:cs="宋体"/>
          <w:color w:val="auto"/>
          <w:kern w:val="0"/>
          <w:sz w:val="24"/>
          <w:szCs w:val="24"/>
          <w:highlight w:val="none"/>
        </w:rPr>
        <w:t>）承包人在使用地方道路过程中，必须采取一切措施确保车辆正常通行，做到施工、通车两不误。承包人应针对通车路段的施工特点，提出通车路段的施工维护方案，满足交通主管部门的要求，报监理人批准，并认真组织实施。由于承包人措施不力，导致阻车和事故频发或损坏地方道路，影响交通安全和正常运行，并造成重大影响，引起索赔，赔偿、诉讼费用及工程拖延或施工费用增加时，应由承包人承担一切责任和费用。</w:t>
      </w:r>
    </w:p>
    <w:p w14:paraId="48EA3618">
      <w:pPr>
        <w:pStyle w:val="35"/>
        <w:spacing w:beforeLines="0" w:afterLines="0"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1</w:t>
      </w:r>
      <w:r>
        <w:rPr>
          <w:rFonts w:hint="eastAsia" w:ascii="宋体"/>
          <w:color w:val="auto"/>
          <w:kern w:val="0"/>
          <w:sz w:val="24"/>
          <w:szCs w:val="24"/>
          <w:highlight w:val="none"/>
          <w:lang w:val="en-US" w:eastAsia="zh-CN"/>
        </w:rPr>
        <w:t>8</w:t>
      </w:r>
      <w:r>
        <w:rPr>
          <w:rFonts w:hint="eastAsia" w:ascii="宋体" w:hAnsi="宋体" w:cs="宋体"/>
          <w:color w:val="auto"/>
          <w:kern w:val="0"/>
          <w:sz w:val="24"/>
          <w:szCs w:val="24"/>
          <w:highlight w:val="none"/>
        </w:rPr>
        <w:t>）保障农民工工资支付</w:t>
      </w:r>
    </w:p>
    <w:p w14:paraId="4F4C1C7A">
      <w:pPr>
        <w:pStyle w:val="35"/>
        <w:spacing w:beforeLines="0" w:afterLines="0"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1）工程款支付实行人工费和其他工程款两条线拨付机制。施工合同中按浙建[2020]7号文规定，明确人工费用拨付周期和拨付比例为15%；承包人中标后需</w:t>
      </w:r>
      <w:r>
        <w:rPr>
          <w:rFonts w:hint="eastAsia" w:ascii="宋体" w:hAnsi="宋体" w:cs="宋体"/>
          <w:color w:val="auto"/>
          <w:kern w:val="0"/>
          <w:sz w:val="24"/>
          <w:szCs w:val="24"/>
          <w:highlight w:val="none"/>
          <w:lang w:val="en-US" w:eastAsia="zh-CN"/>
        </w:rPr>
        <w:t>按发包人要求</w:t>
      </w:r>
      <w:r>
        <w:rPr>
          <w:rFonts w:hint="eastAsia" w:ascii="宋体" w:hAnsi="宋体" w:cs="宋体"/>
          <w:color w:val="auto"/>
          <w:kern w:val="0"/>
          <w:sz w:val="24"/>
          <w:szCs w:val="24"/>
          <w:highlight w:val="none"/>
        </w:rPr>
        <w:t>建立项目农民工工资专用账户和建设工程资金监管协议，发包人将向承包人自开工后按约定金额打入项目农民工工资专用账户用于支付农民工工资，此账户的款项只能用于支付农民工工资，不得挪作他用，否则发包人有权责令其改正并对其扣以违约金，且发包人有权在工程款中直接扣除。</w:t>
      </w:r>
    </w:p>
    <w:p w14:paraId="4D2666CA">
      <w:pPr>
        <w:pStyle w:val="35"/>
        <w:spacing w:beforeLines="0" w:afterLines="0"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本项目实行农民工用工实名制管理和农民工工资专用账户管理制度，承包人按规定缴纳农民工工资保证金，并开设农民工工资专用账户，专项用于支付该工程建设项目农民工工资。本项目的所有民工工资均由该项目农民工工资专用账户拨付，委托专户开设银行将农民工工资直接划入农民工办理的实名制工资卡中。</w:t>
      </w:r>
    </w:p>
    <w:p w14:paraId="3954F62E">
      <w:pPr>
        <w:pStyle w:val="35"/>
        <w:spacing w:beforeLines="0" w:afterLines="0"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承包人应按规定严格落实农民工工资保障的各项制度，确保该项目所有农民工工资按月足额支付。如果承包人或其分包人未按月足额支付农民工工资导致发包人承担连带责任垫付人工工资，则发包人有权在下一期支付给承包人的款项中扣除相应的金额，直接支付给农民工个人，并保留向承包人索偿的权利。</w:t>
      </w:r>
    </w:p>
    <w:p w14:paraId="3442EA09">
      <w:pPr>
        <w:pStyle w:val="35"/>
        <w:spacing w:beforeLines="0" w:afterLines="0"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承包人应遵守《保障农民工工资支付条例》《工程建设领域农民工工资专用账户管理暂行办法》（人社部发〔2021〕53号）、《浙江省工程建设领域农民工工资专用账户管理实施细则》（浙人社发〔2022〕14号）、《浙江省工程建设领域农民工工资保证金管理实施细则》（浙人社发〔2022〕13号）的相关规定。</w:t>
      </w:r>
    </w:p>
    <w:p w14:paraId="30519857">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1</w:t>
      </w:r>
      <w:r>
        <w:rPr>
          <w:rFonts w:hint="eastAsia" w:ascii="宋体"/>
          <w:color w:val="auto"/>
          <w:kern w:val="0"/>
          <w:sz w:val="24"/>
          <w:szCs w:val="24"/>
          <w:highlight w:val="none"/>
          <w:lang w:val="en-US" w:eastAsia="zh-CN"/>
        </w:rPr>
        <w:t>9</w:t>
      </w:r>
      <w:r>
        <w:rPr>
          <w:rFonts w:hint="eastAsia" w:ascii="宋体" w:hAnsi="宋体" w:cs="宋体"/>
          <w:color w:val="auto"/>
          <w:kern w:val="0"/>
          <w:sz w:val="24"/>
          <w:szCs w:val="24"/>
          <w:highlight w:val="none"/>
        </w:rPr>
        <w:t>）承包人需严格遵守并无条件执行发包人制定的适用于本项目相关制度、办法和规定以及合理指令等，且合同违约条款设置不低于上述文件规定。</w:t>
      </w:r>
    </w:p>
    <w:p w14:paraId="504CCDA0">
      <w:pPr>
        <w:pStyle w:val="35"/>
        <w:spacing w:beforeLines="0" w:afterLines="0"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20</w:t>
      </w:r>
      <w:r>
        <w:rPr>
          <w:rFonts w:hint="eastAsia" w:ascii="宋体" w:hAnsi="宋体" w:cs="宋体"/>
          <w:color w:val="auto"/>
          <w:kern w:val="0"/>
          <w:sz w:val="24"/>
          <w:szCs w:val="24"/>
          <w:highlight w:val="none"/>
        </w:rPr>
        <w:t>）承包人需无条件配合发包人做好开工仪式、外来调研、科研考察、检查</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宣传</w:t>
      </w:r>
      <w:r>
        <w:rPr>
          <w:rFonts w:hint="eastAsia" w:ascii="宋体" w:hAnsi="宋体" w:cs="宋体"/>
          <w:color w:val="auto"/>
          <w:kern w:val="0"/>
          <w:sz w:val="24"/>
          <w:szCs w:val="24"/>
          <w:highlight w:val="none"/>
        </w:rPr>
        <w:t>等相关工作，因上述活动导致承包人增加的费用由承包人承担。</w:t>
      </w:r>
    </w:p>
    <w:p w14:paraId="1F67AA54">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cs="宋体"/>
          <w:color w:val="auto"/>
          <w:szCs w:val="21"/>
          <w:highlight w:val="none"/>
          <w:lang w:eastAsia="zh-CN"/>
        </w:rPr>
        <w:t>2</w:t>
      </w:r>
      <w:r>
        <w:rPr>
          <w:rFonts w:hint="eastAsia" w:cs="宋体"/>
          <w:color w:val="auto"/>
          <w:szCs w:val="21"/>
          <w:highlight w:val="none"/>
          <w:lang w:val="en-US" w:eastAsia="zh-CN"/>
        </w:rPr>
        <w:t>1</w:t>
      </w:r>
      <w:r>
        <w:rPr>
          <w:rFonts w:cs="宋体"/>
          <w:color w:val="auto"/>
          <w:szCs w:val="21"/>
          <w:highlight w:val="none"/>
          <w:lang w:eastAsia="zh-CN"/>
        </w:rPr>
        <w:t>）需承包人办理的有关施工场地交通、环卫和施工噪音管理等手续：遵守政府有关主管部门对施工场地交通、施工噪音以及环境保护和安全生产等的管理规定，办理相关手续、并以书面形式通知发包人；施工过程中由承包人负责处理自身原因涉及市政、环保、卫生、交通、污水处理和自身原因引起的一切纠纷、事故赔偿责任和社会治安等关系。</w:t>
      </w:r>
    </w:p>
    <w:p w14:paraId="5258342E">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hAnsi="Times New Roman" w:cs="Times New Roman"/>
          <w:color w:val="auto"/>
          <w:szCs w:val="21"/>
          <w:highlight w:val="none"/>
          <w:lang w:val="en-US" w:eastAsia="zh-CN"/>
        </w:rPr>
        <w:t>2</w:t>
      </w:r>
      <w:r>
        <w:rPr>
          <w:rFonts w:hint="eastAsia" w:cs="宋体"/>
          <w:color w:val="auto"/>
          <w:szCs w:val="21"/>
          <w:highlight w:val="none"/>
          <w:lang w:eastAsia="zh-CN"/>
        </w:rPr>
        <w:t>）承包人负责办理爆破作业相关审批手续（含爆破方案安全评估等），并承担相应费用。</w:t>
      </w:r>
    </w:p>
    <w:p w14:paraId="14976DFB">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hAnsi="Times New Roman" w:cs="Times New Roman"/>
          <w:color w:val="auto"/>
          <w:szCs w:val="21"/>
          <w:highlight w:val="none"/>
          <w:lang w:val="en-US" w:eastAsia="zh-CN"/>
        </w:rPr>
        <w:t>3</w:t>
      </w:r>
      <w:r>
        <w:rPr>
          <w:rFonts w:hint="eastAsia" w:cs="宋体"/>
          <w:color w:val="auto"/>
          <w:szCs w:val="21"/>
          <w:highlight w:val="none"/>
          <w:lang w:eastAsia="zh-CN"/>
        </w:rPr>
        <w:t>）项目审计、稽查和检查等的配合。</w:t>
      </w:r>
    </w:p>
    <w:p w14:paraId="4B65A2AF">
      <w:pPr>
        <w:kinsoku/>
        <w:spacing w:beforeLines="0" w:afterLines="0"/>
        <w:ind w:firstLine="420"/>
        <w:jc w:val="left"/>
        <w:rPr>
          <w:rFonts w:cs="宋体"/>
          <w:color w:val="auto"/>
          <w:szCs w:val="21"/>
          <w:highlight w:val="none"/>
          <w:lang w:eastAsia="zh-CN"/>
        </w:rPr>
      </w:pPr>
      <w:r>
        <w:rPr>
          <w:rFonts w:ascii="宋体" w:hAnsi="Times New Roman" w:cs="Times New Roman"/>
          <w:color w:val="auto"/>
          <w:szCs w:val="21"/>
          <w:highlight w:val="none"/>
          <w:lang w:eastAsia="zh-CN"/>
        </w:rPr>
        <w:t>1</w:t>
      </w:r>
      <w:r>
        <w:rPr>
          <w:rFonts w:hint="eastAsia" w:cs="宋体"/>
          <w:color w:val="auto"/>
          <w:szCs w:val="21"/>
          <w:highlight w:val="none"/>
          <w:lang w:eastAsia="zh-CN"/>
        </w:rPr>
        <w:t>）与本工程项目相关的审计和稽查，承包人应高度重视并委派专人积极予以配合；</w:t>
      </w:r>
    </w:p>
    <w:p w14:paraId="0F792F7B">
      <w:pPr>
        <w:kinsoku/>
        <w:spacing w:beforeLines="0" w:afterLines="0"/>
        <w:ind w:firstLine="420"/>
        <w:jc w:val="left"/>
        <w:rPr>
          <w:rFonts w:cs="宋体"/>
          <w:color w:val="auto"/>
          <w:szCs w:val="21"/>
          <w:highlight w:val="none"/>
          <w:lang w:eastAsia="zh-CN"/>
        </w:rPr>
      </w:pPr>
      <w:r>
        <w:rPr>
          <w:rFonts w:ascii="宋体" w:hAnsi="Times New Roman" w:cs="Times New Roman"/>
          <w:color w:val="auto"/>
          <w:szCs w:val="21"/>
          <w:highlight w:val="none"/>
          <w:lang w:eastAsia="zh-CN"/>
        </w:rPr>
        <w:t>2</w:t>
      </w:r>
      <w:r>
        <w:rPr>
          <w:rFonts w:hint="eastAsia" w:cs="宋体"/>
          <w:color w:val="auto"/>
          <w:szCs w:val="21"/>
          <w:highlight w:val="none"/>
          <w:lang w:eastAsia="zh-CN"/>
        </w:rPr>
        <w:t>）有关单位对本项目的各种检查和视察等活动，承包人有义务予以积极配合开展各项工作；</w:t>
      </w:r>
    </w:p>
    <w:p w14:paraId="07233401">
      <w:pPr>
        <w:kinsoku/>
        <w:spacing w:beforeLines="0" w:afterLines="0"/>
        <w:ind w:firstLine="420"/>
        <w:jc w:val="left"/>
        <w:rPr>
          <w:rFonts w:cs="宋体"/>
          <w:color w:val="auto"/>
          <w:szCs w:val="21"/>
          <w:highlight w:val="none"/>
          <w:lang w:eastAsia="zh-CN"/>
        </w:rPr>
      </w:pPr>
      <w:r>
        <w:rPr>
          <w:rFonts w:ascii="宋体" w:hAnsi="Times New Roman" w:cs="Times New Roman"/>
          <w:color w:val="auto"/>
          <w:szCs w:val="21"/>
          <w:highlight w:val="none"/>
          <w:lang w:eastAsia="zh-CN"/>
        </w:rPr>
        <w:t>3</w:t>
      </w:r>
      <w:r>
        <w:rPr>
          <w:rFonts w:hint="eastAsia" w:cs="宋体"/>
          <w:color w:val="auto"/>
          <w:szCs w:val="21"/>
          <w:highlight w:val="none"/>
          <w:lang w:eastAsia="zh-CN"/>
        </w:rPr>
        <w:t>）本工程项目有关的各类统计报表、汇报材料包括完（竣）工验收和项目后评价报告等，承包人有义务配合发包人做好编制工作并提供相应的资料；</w:t>
      </w:r>
    </w:p>
    <w:p w14:paraId="5C302261">
      <w:pPr>
        <w:kinsoku/>
        <w:spacing w:beforeLines="0" w:afterLines="0"/>
        <w:ind w:firstLine="420"/>
        <w:jc w:val="left"/>
        <w:rPr>
          <w:rFonts w:cs="宋体"/>
          <w:color w:val="auto"/>
          <w:szCs w:val="21"/>
          <w:highlight w:val="none"/>
          <w:lang w:eastAsia="zh-CN"/>
        </w:rPr>
      </w:pPr>
      <w:r>
        <w:rPr>
          <w:rFonts w:ascii="宋体" w:hAnsi="Times New Roman" w:cs="Times New Roman"/>
          <w:color w:val="auto"/>
          <w:szCs w:val="21"/>
          <w:highlight w:val="none"/>
          <w:lang w:eastAsia="zh-CN"/>
        </w:rPr>
        <w:t>4</w:t>
      </w:r>
      <w:r>
        <w:rPr>
          <w:rFonts w:hint="eastAsia" w:cs="宋体"/>
          <w:color w:val="auto"/>
          <w:szCs w:val="21"/>
          <w:highlight w:val="none"/>
          <w:lang w:eastAsia="zh-CN"/>
        </w:rPr>
        <w:t>）承包人应按发包人、监理人和有关文件要求，建立相应的计量、支付和变更台账，同时承包人应配合发包人、监理人建立相应的台账，并保持其持续有效直至工程决算完成；</w:t>
      </w:r>
    </w:p>
    <w:p w14:paraId="49A6772F">
      <w:pPr>
        <w:kinsoku/>
        <w:spacing w:beforeLines="0" w:afterLines="0"/>
        <w:ind w:firstLine="420"/>
        <w:jc w:val="left"/>
        <w:rPr>
          <w:rFonts w:cs="宋体"/>
          <w:color w:val="auto"/>
          <w:szCs w:val="21"/>
          <w:highlight w:val="none"/>
          <w:lang w:eastAsia="zh-CN"/>
        </w:rPr>
      </w:pPr>
      <w:r>
        <w:rPr>
          <w:rFonts w:ascii="宋体" w:hAnsi="Times New Roman" w:cs="Times New Roman"/>
          <w:color w:val="auto"/>
          <w:szCs w:val="21"/>
          <w:highlight w:val="none"/>
          <w:lang w:eastAsia="zh-CN"/>
        </w:rPr>
        <w:t>5</w:t>
      </w:r>
      <w:r>
        <w:rPr>
          <w:rFonts w:hint="eastAsia" w:cs="宋体"/>
          <w:color w:val="auto"/>
          <w:szCs w:val="21"/>
          <w:highlight w:val="none"/>
          <w:lang w:eastAsia="zh-CN"/>
        </w:rPr>
        <w:t>）承包人应按发包人要求将有关材料的供货合同等资料提供给发包人和监理人备案。取料场或供货人和货源应保持相对固定，承包人及其供货人应接受发包人和监理人的监督检查，如有变更应及时通知发包人或监理人并送交相应有关资料。</w:t>
      </w:r>
    </w:p>
    <w:p w14:paraId="65C64259">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hAnsi="Times New Roman" w:cs="Times New Roman"/>
          <w:color w:val="auto"/>
          <w:szCs w:val="21"/>
          <w:highlight w:val="none"/>
          <w:lang w:val="en-US" w:eastAsia="zh-CN"/>
        </w:rPr>
        <w:t>4</w:t>
      </w:r>
      <w:r>
        <w:rPr>
          <w:rFonts w:hint="eastAsia" w:cs="宋体"/>
          <w:color w:val="auto"/>
          <w:szCs w:val="21"/>
          <w:highlight w:val="none"/>
          <w:lang w:eastAsia="zh-CN"/>
        </w:rPr>
        <w:t>）未经发包人事先批准，承包人不得在任何报纸、商业或技术文献上刊登或披露任何与本合同或与本工程有关的详细资料。</w:t>
      </w:r>
    </w:p>
    <w:p w14:paraId="3E78C2DB">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hAnsi="Times New Roman" w:cs="Times New Roman"/>
          <w:color w:val="auto"/>
          <w:szCs w:val="21"/>
          <w:highlight w:val="none"/>
          <w:lang w:val="en-US" w:eastAsia="zh-CN"/>
        </w:rPr>
        <w:t>5</w:t>
      </w:r>
      <w:r>
        <w:rPr>
          <w:rFonts w:hint="eastAsia" w:cs="宋体"/>
          <w:color w:val="auto"/>
          <w:szCs w:val="21"/>
          <w:highlight w:val="none"/>
          <w:lang w:eastAsia="zh-CN"/>
        </w:rPr>
        <w:t>）承包人不应在现场或施工设施上展示或容许展示任何贸易和商业性广告。在工地现场张贴布告，应事先得到监理人的批准，当监理人指示撤除时，应立即执行。</w:t>
      </w:r>
    </w:p>
    <w:p w14:paraId="4FD2E0F7">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hAnsi="Times New Roman" w:cs="Times New Roman"/>
          <w:color w:val="auto"/>
          <w:szCs w:val="21"/>
          <w:highlight w:val="none"/>
          <w:lang w:val="en-US" w:eastAsia="zh-CN"/>
        </w:rPr>
        <w:t>6</w:t>
      </w:r>
      <w:r>
        <w:rPr>
          <w:rFonts w:hint="eastAsia" w:cs="宋体"/>
          <w:color w:val="auto"/>
          <w:szCs w:val="21"/>
          <w:highlight w:val="none"/>
          <w:lang w:eastAsia="zh-CN"/>
        </w:rPr>
        <w:t>）本工程原始地形在开工前由发包人、监理人及承包人进行联合测量，经三方认可的测量结果作为结算依据。</w:t>
      </w:r>
    </w:p>
    <w:p w14:paraId="3DB14EED">
      <w:pPr>
        <w:kinsoku/>
        <w:spacing w:beforeLines="0" w:afterLines="0"/>
        <w:ind w:firstLine="420"/>
        <w:rPr>
          <w:rFonts w:cs="宋体"/>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hAnsi="Times New Roman" w:cs="Times New Roman"/>
          <w:color w:val="auto"/>
          <w:szCs w:val="21"/>
          <w:highlight w:val="none"/>
          <w:lang w:val="en-US" w:eastAsia="zh-CN"/>
        </w:rPr>
        <w:t>7</w:t>
      </w:r>
      <w:r>
        <w:rPr>
          <w:rFonts w:hint="eastAsia" w:cs="宋体"/>
          <w:color w:val="auto"/>
          <w:szCs w:val="21"/>
          <w:highlight w:val="none"/>
          <w:lang w:eastAsia="zh-CN"/>
        </w:rPr>
        <w:t>）工程完工后，承包人所在标段的遗留问题，如（不限于）：渣土清运、赔偿等，承包人应积极主动进行处理和解决，并承担所有费用。如果上述问题在发包人规定的期限内不能解决，发包人有权单独或委托其他单位进行处理，发生的全部费用从承包人</w:t>
      </w:r>
      <w:r>
        <w:rPr>
          <w:rFonts w:hint="eastAsia" w:cs="宋体"/>
          <w:color w:val="auto"/>
          <w:szCs w:val="21"/>
          <w:highlight w:val="none"/>
          <w:lang w:val="en-US" w:eastAsia="zh-CN"/>
        </w:rPr>
        <w:t>质量保证金</w:t>
      </w:r>
      <w:r>
        <w:rPr>
          <w:rFonts w:hint="eastAsia" w:cs="宋体"/>
          <w:color w:val="auto"/>
          <w:szCs w:val="21"/>
          <w:highlight w:val="none"/>
          <w:lang w:eastAsia="zh-CN"/>
        </w:rPr>
        <w:t>中抵扣，承包人应无条件接受。</w:t>
      </w:r>
    </w:p>
    <w:p w14:paraId="6CD329D0">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w:t>
      </w:r>
      <w:r>
        <w:rPr>
          <w:rFonts w:cs="宋体"/>
          <w:color w:val="auto"/>
          <w:szCs w:val="21"/>
          <w:highlight w:val="none"/>
          <w:lang w:eastAsia="zh-CN"/>
        </w:rPr>
        <w:t>2</w:t>
      </w:r>
      <w:r>
        <w:rPr>
          <w:rFonts w:hint="eastAsia" w:cs="宋体"/>
          <w:color w:val="auto"/>
          <w:szCs w:val="21"/>
          <w:highlight w:val="none"/>
          <w:lang w:val="en-US" w:eastAsia="zh-CN"/>
        </w:rPr>
        <w:t>8</w:t>
      </w:r>
      <w:r>
        <w:rPr>
          <w:rFonts w:cs="宋体"/>
          <w:color w:val="auto"/>
          <w:szCs w:val="21"/>
          <w:highlight w:val="none"/>
          <w:lang w:eastAsia="zh-CN"/>
        </w:rPr>
        <w:t>）为保证本工程的正常施工，承包人应负责并建立与周边交警、企事业单位、社区街道、环保、市政等部门的联系，并加强沟通，并组织开展社区共建活动，自行协调工程施工中上述有关部门配合解决的各种事项，管理好施工作业人员和民工队伍，确保不发生民事纠纷和违法违纪行为，否则将给予重罚和计入不良诚信记录。</w:t>
      </w:r>
    </w:p>
    <w:p w14:paraId="0D191E28">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上述⑴至（</w:t>
      </w:r>
      <w:r>
        <w:rPr>
          <w:rFonts w:cs="宋体"/>
          <w:color w:val="auto"/>
          <w:szCs w:val="21"/>
          <w:highlight w:val="none"/>
          <w:lang w:eastAsia="zh-CN"/>
        </w:rPr>
        <w:t>2</w:t>
      </w:r>
      <w:r>
        <w:rPr>
          <w:rFonts w:hint="eastAsia" w:cs="宋体"/>
          <w:color w:val="auto"/>
          <w:szCs w:val="21"/>
          <w:highlight w:val="none"/>
          <w:lang w:eastAsia="zh-CN"/>
        </w:rPr>
        <w:t>8</w:t>
      </w:r>
      <w:r>
        <w:rPr>
          <w:rFonts w:cs="宋体"/>
          <w:color w:val="auto"/>
          <w:szCs w:val="21"/>
          <w:highlight w:val="none"/>
          <w:lang w:eastAsia="zh-CN"/>
        </w:rPr>
        <w:t>）各条款涉及的各类费用均应列入措施费内，发包人不再向承包人另行支付。如因此类原因导致工期延误，工期不予顺延，并由承包人承担相应的责任及费用。</w:t>
      </w:r>
    </w:p>
    <w:p w14:paraId="73175907">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承包人不按合同约定完成上述⑴至（</w:t>
      </w:r>
      <w:r>
        <w:rPr>
          <w:rFonts w:cs="宋体"/>
          <w:color w:val="auto"/>
          <w:szCs w:val="21"/>
          <w:highlight w:val="none"/>
          <w:lang w:eastAsia="zh-CN"/>
        </w:rPr>
        <w:t>2</w:t>
      </w:r>
      <w:r>
        <w:rPr>
          <w:rFonts w:hint="eastAsia" w:cs="宋体"/>
          <w:color w:val="auto"/>
          <w:szCs w:val="21"/>
          <w:highlight w:val="none"/>
          <w:lang w:eastAsia="zh-CN"/>
        </w:rPr>
        <w:t>8</w:t>
      </w:r>
      <w:r>
        <w:rPr>
          <w:rFonts w:cs="宋体"/>
          <w:color w:val="auto"/>
          <w:szCs w:val="21"/>
          <w:highlight w:val="none"/>
          <w:lang w:eastAsia="zh-CN"/>
        </w:rPr>
        <w:t>）各条款工作，发包人有权限令其停止施工并进行整改，由此引起的损失由承包人承担。涉及的各类费用均应列入投标报价内，发包人不再向承包人另行支付。</w:t>
      </w:r>
    </w:p>
    <w:p w14:paraId="219416E8">
      <w:pPr>
        <w:numPr>
          <w:ilvl w:val="0"/>
          <w:numId w:val="2"/>
        </w:numPr>
        <w:kinsoku/>
        <w:spacing w:beforeLines="0" w:afterLines="0"/>
        <w:ind w:firstLine="420"/>
        <w:jc w:val="left"/>
        <w:rPr>
          <w:rFonts w:hint="eastAsia" w:cs="宋体"/>
          <w:strike/>
          <w:color w:val="auto"/>
          <w:szCs w:val="21"/>
          <w:highlight w:val="none"/>
          <w:lang w:eastAsia="zh-CN"/>
        </w:rPr>
      </w:pPr>
      <w:r>
        <w:rPr>
          <w:rFonts w:hint="eastAsia" w:cs="宋体"/>
          <w:color w:val="auto"/>
          <w:highlight w:val="none"/>
          <w:lang w:eastAsia="zh-CN"/>
        </w:rPr>
        <w:t>承包人施工进度明显滞后于计划进度 ，采取相应合理赶工措施仍不能满足施工总进度要求，承包人应接受发包人根据施工总进度和标段合同期对标段界线的调整，相邻（相关）两个标段的承包人应妥善协商解决工程款相关事宜</w:t>
      </w:r>
      <w:r>
        <w:rPr>
          <w:rFonts w:hint="eastAsia" w:cs="宋体"/>
          <w:color w:val="auto"/>
          <w:szCs w:val="21"/>
          <w:highlight w:val="none"/>
          <w:lang w:eastAsia="zh-CN"/>
        </w:rPr>
        <w:t>。</w:t>
      </w:r>
    </w:p>
    <w:p w14:paraId="20DD1328">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承包人按照设计及施工规范要求，做好施工期安全监测相关工作，及时分析监测数据并报监理人审核，相关费用由承包人承担，发包人不另行支付。</w:t>
      </w:r>
    </w:p>
    <w:p w14:paraId="20C8E3B5">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发包人有权根据实际情况对提供的施工场地范围做局部调整，由此引起承包人费用变化不予调整。</w:t>
      </w:r>
    </w:p>
    <w:p w14:paraId="3FFEA647">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在进行前期借地放样的同时，应做好现有各类（地上、地下）管线的调查，对于与本工程管道相邻或相交的各类（地上、地下）管线，承包人在施工期间应做好必要的安全维护措施，所需费用已计入报价内，结算时不再调整。如因未做维护措施或维护措施不当所造成的损坏（或塌方）等一切损失均由承包人承担，与发包人无关。当地下管线与本工程管道重叠或冲突时，由发包人安排迁移或组织设计局部调整予以避让。施工临时设施场地的借用及交通运输（借用村道、社区道路、地方关系协调、施工运输便道）等，与各配套单位的协调配合费用一系列问题由承包人自行踏勘现场考虑，所需费用已计入报价内，结算不进行调整。施工临时设施场地包括管材堆场、项目部及办公生活设施、加工场地等。施工现场的施工便道、便桥等临时设施的搭建、维护、拆除及复原等应在临时设施费中充分考虑。承包人须在施工现场设置仓库，由招标人供应的材料及设备由供货商运至现场仓库，通往现场仓库交通道路由承包人解决，材料及设备的卸货由承包人负责。材料及设备到场后，经各方验收合格后移交承包人，所发生的二次搬运、储藏、保管以及对设备的安装、调试等工作均由承包人负责，所需费用已计入报价内，结算不进行调整。</w:t>
      </w:r>
    </w:p>
    <w:p w14:paraId="0C5E05BA">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承包人如遇其他施工单位交叉施工时，应给予积极配合，必要时合理调整施工进度计划，但不得影响总工期，原则上经济不补偿，特殊情况另行协商。</w:t>
      </w:r>
    </w:p>
    <w:p w14:paraId="43D2D12F">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进场前，发包人将向承包人移交红线范围内的施工场地，承包人应无条件接受现场的施工场地。界定场地范围及场区内必须保护的树木、绿地、广告、管线、建筑物、构筑物及其他设施及测绘资料，除发包人提供的施工场地外承包人另行增加的施工临时用地由承包人自行解决，所需的包括临时施工用地借地费，拆除、迁移、保管、恢复原有设施及为满足因拆除设施而需修建相关替代设施等所有相关工作的费用已计入报价，发包人不另行支付。</w:t>
      </w:r>
    </w:p>
    <w:p w14:paraId="37486AE6">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应做好在本标段和周边工程中施工的其他承包人、及在相邻标段施工的承包人的协调工作。这些协调工作将包括提供进入工地的道路、住地、场地、用电、用水、安装、吊装等，承包人尤其需满足发包人与周边协调的工期节点及场地归还时间，并采取一切合理的步骤给在同一标段或相邻标段的其他承包人提供一切可能的便利条件，保证向邻近的承包人及时提供场地等必要条件及与本工程同期施工其他承包人之间的协调。</w:t>
      </w:r>
    </w:p>
    <w:p w14:paraId="49FC5C53">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施工现场内的建筑垃圾、生活垃圾、房屋基础、高土方、村道、便道、原有老渠道、树木杂草等非适用性材料拆除、外运，请投标单位踏勘现场后自行考虑在报价中，结算不作调整。</w:t>
      </w:r>
    </w:p>
    <w:p w14:paraId="6914F58D">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由于承包人原因在施工场地内及其毗邻地带造成的第三者人员伤亡和财产损失，由承包人负责赔偿。</w:t>
      </w:r>
    </w:p>
    <w:p w14:paraId="69727CFE">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本合同施工用水设泵抽取附近水源解决（不足时由自来水补充），其水源和电源的接头均由承包人完成并承担费用（包括接水、电手续等费用），生活用水采用自来水，水质应符合GB5749-2006 有关的规定。</w:t>
      </w:r>
    </w:p>
    <w:p w14:paraId="5F8E3D79">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各专业或合同工程接口界面：本工程是一个系统的群体工程，涉及专业的形式和种类较多，将分别由不同专业的承包人来完成。</w:t>
      </w:r>
      <w:r>
        <w:rPr>
          <w:rFonts w:hint="eastAsia" w:cs="宋体"/>
          <w:color w:val="auto"/>
          <w:highlight w:val="none"/>
          <w:lang w:eastAsia="zh-CN"/>
        </w:rPr>
        <w:tab/>
      </w:r>
      <w:r>
        <w:rPr>
          <w:rFonts w:hint="eastAsia" w:cs="宋体"/>
          <w:color w:val="auto"/>
          <w:highlight w:val="none"/>
          <w:lang w:eastAsia="zh-CN"/>
        </w:rPr>
        <w:t>除各设计单位做好各专业、各合同工程接口界面的划定和设计工作外，承包人必须清楚，自己的工作应为其他专业或承包人提供合格的工程，为后续工序提供完善的质量保证。因此在本合同工程施工期间，承包人除应履行合同条件中有关规定的义务外，承包人必须无条件服从发包人及监理的接口统一协调指令。施工过程中，承包人应有专人负责接口协调和落实工作，确保发包人及监理指令的及时实施。</w:t>
      </w:r>
    </w:p>
    <w:p w14:paraId="33665CD1">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承包人应负责修建本合同施工区内现有交通道路至各施工点的全部施工道路、桥涵和停车场，并在合同实施期间负责管理和维护。</w:t>
      </w:r>
    </w:p>
    <w:p w14:paraId="4389381F">
      <w:pPr>
        <w:numPr>
          <w:ilvl w:val="0"/>
          <w:numId w:val="2"/>
        </w:numPr>
        <w:kinsoku/>
        <w:spacing w:beforeLines="0" w:afterLines="0"/>
        <w:ind w:firstLine="420"/>
        <w:jc w:val="left"/>
        <w:rPr>
          <w:rFonts w:hint="eastAsia" w:cs="宋体"/>
          <w:color w:val="auto"/>
          <w:highlight w:val="none"/>
          <w:lang w:eastAsia="zh-CN"/>
        </w:rPr>
      </w:pPr>
      <w:r>
        <w:rPr>
          <w:rFonts w:hint="eastAsia" w:cs="宋体"/>
          <w:color w:val="auto"/>
          <w:highlight w:val="none"/>
          <w:lang w:eastAsia="zh-CN"/>
        </w:rPr>
        <w:t>承包人应在施工现场安装地磅，安装的时间、地点、地磅的具体要求按监理人的指示，费用包含《工程量清单》“其它措施项目”中，发包人不另行支付。</w:t>
      </w:r>
    </w:p>
    <w:p w14:paraId="12AF4351">
      <w:pPr>
        <w:numPr>
          <w:ilvl w:val="0"/>
          <w:numId w:val="2"/>
        </w:numPr>
        <w:kinsoku/>
        <w:spacing w:beforeLines="0" w:afterLines="0"/>
        <w:ind w:firstLine="420"/>
        <w:jc w:val="left"/>
        <w:rPr>
          <w:rFonts w:hint="eastAsia" w:cs="宋体"/>
          <w:color w:val="auto"/>
          <w:szCs w:val="21"/>
          <w:highlight w:val="none"/>
          <w:lang w:eastAsia="zh-CN"/>
        </w:rPr>
      </w:pPr>
      <w:r>
        <w:rPr>
          <w:rFonts w:hint="eastAsia" w:cs="宋体"/>
          <w:color w:val="auto"/>
          <w:highlight w:val="none"/>
          <w:lang w:eastAsia="zh-CN"/>
        </w:rPr>
        <w:t>工程完工后，承包人所在标段的遗留问题，如（不限于）：河道清理、泥浆池、渣土清运、临时用地(含取、弃土场等)的复耕、建筑垃圾和渣土清运,临时工程的清除、赔偿，因承包人施工原因造成的受损地方道路、桥梁或其他公共设施等，承包人应积极主动进行处理、解决、修复和恢复等，并承担所有费用。如果上述问题在发包人规定的期限内不能解决，发包人有权单独或委托其他单位进行处理，发生的全部费用从承包人工程款中抵扣，承包人应无条件接受。</w:t>
      </w:r>
    </w:p>
    <w:p w14:paraId="5CD05829">
      <w:pPr>
        <w:kinsoku/>
        <w:spacing w:beforeLines="0" w:afterLines="0"/>
        <w:ind w:firstLine="0" w:firstLineChars="0"/>
        <w:jc w:val="left"/>
        <w:rPr>
          <w:rFonts w:cs="宋体"/>
          <w:b/>
          <w:color w:val="auto"/>
          <w:highlight w:val="none"/>
          <w:lang w:eastAsia="zh-CN"/>
        </w:rPr>
      </w:pPr>
      <w:r>
        <w:rPr>
          <w:rFonts w:ascii="宋体" w:hAnsi="Times New Roman" w:cs="Times New Roman"/>
          <w:b/>
          <w:color w:val="auto"/>
          <w:szCs w:val="21"/>
          <w:highlight w:val="none"/>
          <w:lang w:eastAsia="zh-CN"/>
        </w:rPr>
        <w:t>4.2</w:t>
      </w:r>
      <w:r>
        <w:rPr>
          <w:rFonts w:hint="eastAsia" w:hAnsi="Times New Roman" w:cs="Times New Roman"/>
          <w:b/>
          <w:color w:val="auto"/>
          <w:szCs w:val="21"/>
          <w:highlight w:val="none"/>
          <w:lang w:eastAsia="zh-CN"/>
        </w:rPr>
        <w:t>　</w:t>
      </w:r>
      <w:r>
        <w:rPr>
          <w:rFonts w:hint="eastAsia" w:ascii="宋体" w:hAnsi="楷体" w:eastAsia="宋体" w:cs="楷体"/>
          <w:b/>
          <w:bCs/>
          <w:color w:val="auto"/>
          <w:spacing w:val="0"/>
          <w:szCs w:val="21"/>
          <w:highlight w:val="none"/>
          <w:lang w:eastAsia="zh-CN"/>
        </w:rPr>
        <w:t>履约担保</w:t>
      </w:r>
    </w:p>
    <w:p w14:paraId="2E88FDB9">
      <w:pPr>
        <w:kinsoku/>
        <w:spacing w:beforeLines="0" w:afterLines="0"/>
        <w:ind w:firstLine="422"/>
        <w:jc w:val="left"/>
        <w:rPr>
          <w:rFonts w:cs="宋体"/>
          <w:color w:val="auto"/>
          <w:szCs w:val="21"/>
          <w:highlight w:val="none"/>
          <w:lang w:eastAsia="zh-CN"/>
        </w:rPr>
      </w:pPr>
      <w:r>
        <w:rPr>
          <w:rFonts w:hint="eastAsia" w:cs="宋体"/>
          <w:b/>
          <w:color w:val="auto"/>
          <w:szCs w:val="21"/>
          <w:highlight w:val="none"/>
          <w:lang w:eastAsia="zh-CN"/>
        </w:rPr>
        <w:t>履约担保的方式、金额、提交时间及期限</w:t>
      </w:r>
      <w:r>
        <w:rPr>
          <w:rFonts w:cs="宋体"/>
          <w:b/>
          <w:color w:val="auto"/>
          <w:szCs w:val="21"/>
          <w:highlight w:val="none"/>
          <w:lang w:eastAsia="zh-CN"/>
        </w:rPr>
        <w:t xml:space="preserve">: </w:t>
      </w:r>
      <w:r>
        <w:rPr>
          <w:rFonts w:hint="eastAsia" w:cs="宋体"/>
          <w:bCs/>
          <w:color w:val="auto"/>
          <w:szCs w:val="21"/>
          <w:highlight w:val="none"/>
          <w:u w:val="single"/>
          <w:lang w:eastAsia="zh-CN"/>
        </w:rPr>
        <w:t>合同签订前提交合同价格（</w:t>
      </w:r>
      <w:r>
        <w:rPr>
          <w:rFonts w:hint="eastAsia" w:ascii="宋体" w:hAnsi="宋体" w:cs="宋体"/>
          <w:bCs/>
          <w:color w:val="auto"/>
          <w:sz w:val="24"/>
          <w:szCs w:val="21"/>
          <w:highlight w:val="none"/>
          <w:u w:val="single"/>
          <w:lang w:eastAsia="zh-CN"/>
        </w:rPr>
        <w:t>扣除预留金后</w:t>
      </w:r>
      <w:r>
        <w:rPr>
          <w:rFonts w:hint="eastAsia" w:cs="宋体"/>
          <w:bCs/>
          <w:color w:val="auto"/>
          <w:highlight w:val="none"/>
          <w:u w:val="single"/>
          <w:lang w:eastAsia="zh-CN"/>
        </w:rPr>
        <w:t>）</w:t>
      </w:r>
      <w:r>
        <w:rPr>
          <w:rFonts w:hint="eastAsia" w:cs="宋体"/>
          <w:bCs/>
          <w:color w:val="auto"/>
          <w:szCs w:val="21"/>
          <w:highlight w:val="none"/>
          <w:u w:val="single"/>
          <w:lang w:eastAsia="zh-CN"/>
        </w:rPr>
        <w:t>的</w:t>
      </w:r>
      <w:r>
        <w:rPr>
          <w:rFonts w:ascii="宋体" w:hAnsi="Times New Roman" w:cs="Times New Roman"/>
          <w:bCs/>
          <w:color w:val="auto"/>
          <w:szCs w:val="21"/>
          <w:highlight w:val="none"/>
          <w:u w:val="single"/>
          <w:lang w:eastAsia="zh-CN"/>
        </w:rPr>
        <w:t>2</w:t>
      </w:r>
      <w:r>
        <w:rPr>
          <w:rFonts w:cs="宋体"/>
          <w:bCs/>
          <w:color w:val="auto"/>
          <w:szCs w:val="21"/>
          <w:highlight w:val="none"/>
          <w:u w:val="single"/>
          <w:lang w:eastAsia="zh-CN"/>
        </w:rPr>
        <w:t>%的履约担保。形式：</w:t>
      </w:r>
      <w:r>
        <w:rPr>
          <w:rFonts w:hint="eastAsia" w:cs="宋体"/>
          <w:bCs/>
          <w:color w:val="auto"/>
          <w:szCs w:val="21"/>
          <w:highlight w:val="none"/>
          <w:u w:val="single"/>
          <w:lang w:eastAsia="zh-CN"/>
        </w:rPr>
        <w:t>经发包人认可的银行保函或保险机构保证保险保单或融资担保公司保函，或现金</w:t>
      </w:r>
      <w:r>
        <w:rPr>
          <w:rFonts w:hint="eastAsia" w:cs="宋体"/>
          <w:bCs/>
          <w:color w:val="auto"/>
          <w:szCs w:val="21"/>
          <w:highlight w:val="none"/>
          <w:lang w:eastAsia="zh-CN"/>
        </w:rPr>
        <w:t>。提交时间：</w:t>
      </w:r>
      <w:r>
        <w:rPr>
          <w:rFonts w:hint="eastAsia" w:cs="宋体"/>
          <w:color w:val="auto"/>
          <w:szCs w:val="21"/>
          <w:highlight w:val="none"/>
          <w:lang w:eastAsia="zh-CN"/>
        </w:rPr>
        <w:t>合同签订前</w:t>
      </w:r>
      <w:r>
        <w:rPr>
          <w:rFonts w:ascii="宋体" w:hAnsi="Times New Roman" w:cs="Times New Roman"/>
          <w:color w:val="auto"/>
          <w:szCs w:val="21"/>
          <w:highlight w:val="none"/>
          <w:lang w:eastAsia="zh-CN"/>
        </w:rPr>
        <w:t>7</w:t>
      </w:r>
      <w:r>
        <w:rPr>
          <w:rFonts w:hint="eastAsia" w:cs="宋体"/>
          <w:color w:val="auto"/>
          <w:szCs w:val="21"/>
          <w:highlight w:val="none"/>
          <w:lang w:eastAsia="zh-CN"/>
        </w:rPr>
        <w:t>天</w:t>
      </w:r>
      <w:r>
        <w:rPr>
          <w:rFonts w:hint="eastAsia" w:cs="宋体"/>
          <w:bCs/>
          <w:color w:val="auto"/>
          <w:szCs w:val="21"/>
          <w:highlight w:val="none"/>
          <w:u w:val="single"/>
          <w:lang w:eastAsia="zh-CN"/>
        </w:rPr>
        <w:t>提交。期限：履约担保期限自担保提交之日起至工程完工验收通过后</w:t>
      </w:r>
      <w:r>
        <w:rPr>
          <w:rFonts w:ascii="宋体" w:hAnsi="Times New Roman" w:cs="Times New Roman"/>
          <w:bCs/>
          <w:color w:val="auto"/>
          <w:szCs w:val="21"/>
          <w:highlight w:val="none"/>
          <w:u w:val="single"/>
          <w:lang w:eastAsia="zh-CN"/>
        </w:rPr>
        <w:t>90</w:t>
      </w:r>
      <w:r>
        <w:rPr>
          <w:rFonts w:hint="eastAsia" w:cs="宋体"/>
          <w:bCs/>
          <w:color w:val="auto"/>
          <w:szCs w:val="21"/>
          <w:highlight w:val="none"/>
          <w:u w:val="single"/>
          <w:lang w:eastAsia="zh-CN"/>
        </w:rPr>
        <w:t>个日历天</w:t>
      </w:r>
      <w:r>
        <w:rPr>
          <w:rFonts w:hint="eastAsia" w:cs="宋体"/>
          <w:bCs/>
          <w:color w:val="auto"/>
          <w:szCs w:val="21"/>
          <w:highlight w:val="none"/>
          <w:lang w:eastAsia="zh-CN"/>
        </w:rPr>
        <w:t>。</w:t>
      </w:r>
    </w:p>
    <w:p w14:paraId="611BB019">
      <w:pPr>
        <w:kinsoku/>
        <w:spacing w:beforeLines="0" w:afterLines="0"/>
        <w:ind w:firstLine="422"/>
        <w:jc w:val="left"/>
        <w:rPr>
          <w:rFonts w:cs="宋体"/>
          <w:b/>
          <w:color w:val="auto"/>
          <w:szCs w:val="21"/>
          <w:highlight w:val="none"/>
          <w:lang w:eastAsia="zh-CN"/>
        </w:rPr>
      </w:pPr>
      <w:r>
        <w:rPr>
          <w:rFonts w:hint="eastAsia" w:cs="宋体"/>
          <w:b/>
          <w:color w:val="auto"/>
          <w:szCs w:val="21"/>
          <w:highlight w:val="none"/>
          <w:lang w:eastAsia="zh-CN"/>
        </w:rPr>
        <w:t>履约担保扣除及补足：</w:t>
      </w:r>
    </w:p>
    <w:p w14:paraId="7DC1988E">
      <w:pPr>
        <w:kinsoku/>
        <w:spacing w:beforeLines="0" w:afterLines="0"/>
        <w:ind w:firstLine="420"/>
        <w:jc w:val="left"/>
        <w:rPr>
          <w:rFonts w:cs="宋体"/>
          <w:bCs/>
          <w:color w:val="auto"/>
          <w:szCs w:val="21"/>
          <w:highlight w:val="none"/>
          <w:lang w:eastAsia="zh-CN"/>
        </w:rPr>
      </w:pPr>
      <w:r>
        <w:rPr>
          <w:rFonts w:hint="eastAsia" w:ascii="宋体" w:hAnsi="Times New Roman" w:cs="Times New Roman"/>
          <w:bCs/>
          <w:color w:val="auto"/>
          <w:szCs w:val="21"/>
          <w:highlight w:val="none"/>
          <w:lang w:eastAsia="zh-CN"/>
        </w:rPr>
        <w:t>（</w:t>
      </w:r>
      <w:r>
        <w:rPr>
          <w:rFonts w:ascii="宋体" w:hAnsi="Times New Roman" w:cs="Times New Roman"/>
          <w:bCs/>
          <w:color w:val="auto"/>
          <w:szCs w:val="21"/>
          <w:highlight w:val="none"/>
          <w:lang w:eastAsia="zh-CN"/>
        </w:rPr>
        <w:t>1</w:t>
      </w:r>
      <w:r>
        <w:rPr>
          <w:rFonts w:hint="eastAsia" w:cs="宋体"/>
          <w:bCs/>
          <w:color w:val="auto"/>
          <w:szCs w:val="21"/>
          <w:highlight w:val="none"/>
          <w:lang w:eastAsia="zh-CN"/>
        </w:rPr>
        <w:t>）承包人出现违约情形以发包人或发包人现场代表出具的书面意见为准，发包人有权直接以此为索赔依据，要求承包人承担违约责任；并有权从履约担保金额或者应支付的工程款中直接扣除本合同规定的承包人应承担的费用、违约金、赔偿金等任何款项。承包人若以保函形式向发包人提供履约担保的，发包人有权向出具前述保函的机构要求无条件支付相应部分的履约担保金额；拒绝支付的，发包人有权直接从承包人工程款中扣除或提存相应数额的履约担保金额。</w:t>
      </w:r>
    </w:p>
    <w:p w14:paraId="437AEB9E">
      <w:pPr>
        <w:pStyle w:val="35"/>
        <w:spacing w:beforeLines="0" w:afterLines="0" w:line="360" w:lineRule="auto"/>
        <w:ind w:firstLine="480" w:firstLineChars="200"/>
        <w:jc w:val="left"/>
        <w:rPr>
          <w:rFonts w:ascii="宋体" w:hAnsi="宋体" w:cs="宋体"/>
          <w:bCs/>
          <w:color w:val="auto"/>
          <w:kern w:val="0"/>
          <w:sz w:val="24"/>
          <w:szCs w:val="24"/>
          <w:highlight w:val="none"/>
        </w:rPr>
      </w:pPr>
      <w:r>
        <w:rPr>
          <w:rFonts w:hint="eastAsia" w:ascii="宋体"/>
          <w:bCs/>
          <w:color w:val="auto"/>
          <w:kern w:val="0"/>
          <w:sz w:val="24"/>
          <w:szCs w:val="24"/>
          <w:highlight w:val="none"/>
        </w:rPr>
        <w:t>（</w:t>
      </w:r>
      <w:r>
        <w:rPr>
          <w:rFonts w:ascii="宋体"/>
          <w:bCs/>
          <w:color w:val="auto"/>
          <w:kern w:val="0"/>
          <w:sz w:val="24"/>
          <w:szCs w:val="24"/>
          <w:highlight w:val="none"/>
        </w:rPr>
        <w:t>2</w:t>
      </w:r>
      <w:r>
        <w:rPr>
          <w:rFonts w:hint="eastAsia" w:ascii="宋体" w:hAnsi="宋体" w:cs="宋体"/>
          <w:bCs/>
          <w:color w:val="auto"/>
          <w:kern w:val="0"/>
          <w:sz w:val="24"/>
          <w:szCs w:val="24"/>
          <w:highlight w:val="none"/>
        </w:rPr>
        <w:t>）本合同履行过程中，因承包人违约，发包人扣除全部或部分履约担保的，则自发包人书面通知之日起</w:t>
      </w:r>
      <w:r>
        <w:rPr>
          <w:rFonts w:ascii="宋体"/>
          <w:bCs/>
          <w:color w:val="auto"/>
          <w:kern w:val="0"/>
          <w:sz w:val="24"/>
          <w:szCs w:val="24"/>
          <w:highlight w:val="none"/>
        </w:rPr>
        <w:t>5</w:t>
      </w:r>
      <w:r>
        <w:rPr>
          <w:rFonts w:hint="eastAsia" w:ascii="宋体" w:hAnsi="宋体" w:cs="宋体"/>
          <w:bCs/>
          <w:color w:val="auto"/>
          <w:kern w:val="0"/>
          <w:sz w:val="24"/>
          <w:szCs w:val="24"/>
          <w:highlight w:val="none"/>
        </w:rPr>
        <w:t>天内，承包人应以</w:t>
      </w:r>
      <w:r>
        <w:rPr>
          <w:rFonts w:hint="eastAsia" w:ascii="宋体" w:hAnsi="宋体" w:cs="宋体"/>
          <w:bCs/>
          <w:color w:val="auto"/>
          <w:kern w:val="0"/>
          <w:sz w:val="24"/>
          <w:szCs w:val="24"/>
          <w:highlight w:val="none"/>
          <w:lang w:val="en-US" w:eastAsia="zh-CN"/>
        </w:rPr>
        <w:t>经发包人认可的</w:t>
      </w:r>
      <w:r>
        <w:rPr>
          <w:rFonts w:hint="eastAsia" w:ascii="宋体" w:hAnsi="宋体" w:cs="宋体"/>
          <w:bCs/>
          <w:color w:val="auto"/>
          <w:kern w:val="0"/>
          <w:sz w:val="24"/>
          <w:szCs w:val="24"/>
          <w:highlight w:val="none"/>
        </w:rPr>
        <w:t>银行保函或者保险公司保函或者融资担保公司保函方式向发包人补足该履约担保金额；逾期补足的，承包人应向发包人按未补足金额的千分之一每日计付违约金。逾期【</w:t>
      </w:r>
      <w:r>
        <w:rPr>
          <w:rFonts w:ascii="宋体"/>
          <w:bCs/>
          <w:color w:val="auto"/>
          <w:kern w:val="0"/>
          <w:sz w:val="24"/>
          <w:szCs w:val="24"/>
          <w:highlight w:val="none"/>
        </w:rPr>
        <w:t>60</w:t>
      </w:r>
      <w:r>
        <w:rPr>
          <w:rFonts w:hint="eastAsia" w:ascii="宋体" w:hAnsi="宋体" w:cs="宋体"/>
          <w:bCs/>
          <w:color w:val="auto"/>
          <w:kern w:val="0"/>
          <w:sz w:val="24"/>
          <w:szCs w:val="24"/>
          <w:highlight w:val="none"/>
        </w:rPr>
        <w:t>】日仍不补足的，发包人有权解除本合同，且扣除剩余的履约担保金额，并要求承包人赔偿由此给发包人造成的实际损失。</w:t>
      </w:r>
    </w:p>
    <w:p w14:paraId="1FF131CC">
      <w:pPr>
        <w:pStyle w:val="35"/>
        <w:spacing w:beforeLines="0" w:afterLines="0" w:line="360" w:lineRule="auto"/>
        <w:ind w:firstLine="480" w:firstLineChars="200"/>
        <w:jc w:val="left"/>
        <w:rPr>
          <w:rFonts w:ascii="宋体" w:hAnsi="宋体" w:cs="宋体"/>
          <w:bCs/>
          <w:color w:val="auto"/>
          <w:kern w:val="0"/>
          <w:sz w:val="24"/>
          <w:szCs w:val="24"/>
          <w:highlight w:val="none"/>
        </w:rPr>
      </w:pPr>
      <w:r>
        <w:rPr>
          <w:rFonts w:hint="eastAsia" w:ascii="宋体"/>
          <w:bCs/>
          <w:color w:val="auto"/>
          <w:kern w:val="0"/>
          <w:sz w:val="24"/>
          <w:szCs w:val="24"/>
          <w:highlight w:val="none"/>
        </w:rPr>
        <w:t>（</w:t>
      </w:r>
      <w:r>
        <w:rPr>
          <w:rFonts w:ascii="宋体"/>
          <w:bCs/>
          <w:color w:val="auto"/>
          <w:kern w:val="0"/>
          <w:sz w:val="24"/>
          <w:szCs w:val="24"/>
          <w:highlight w:val="none"/>
        </w:rPr>
        <w:t>3</w:t>
      </w:r>
      <w:r>
        <w:rPr>
          <w:rFonts w:hint="eastAsia" w:ascii="宋体" w:hAnsi="宋体" w:cs="宋体"/>
          <w:bCs/>
          <w:color w:val="auto"/>
          <w:kern w:val="0"/>
          <w:sz w:val="24"/>
          <w:szCs w:val="24"/>
          <w:highlight w:val="none"/>
        </w:rPr>
        <w:t>）如工期拖延，则承包人必须在保函有效期满前一个月内办理保函有效期顺延事宜，否则视作违约，发包人有权暂停支付工程款，且承包人须承担其他相关违约责任。</w:t>
      </w:r>
    </w:p>
    <w:p w14:paraId="76A39314">
      <w:pPr>
        <w:pStyle w:val="35"/>
        <w:spacing w:beforeLines="0" w:afterLines="0"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承包人应保证其履约担保在工程完工结算前一直有效。发包人应在扣留质量保证金时，将履约担保退还给承包人。</w:t>
      </w:r>
    </w:p>
    <w:p w14:paraId="51DFFB13">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color w:val="auto"/>
          <w:sz w:val="24"/>
          <w:szCs w:val="24"/>
          <w:highlight w:val="none"/>
        </w:rPr>
        <w:t>4.3</w:t>
      </w:r>
      <w:r>
        <w:rPr>
          <w:rFonts w:hint="eastAsia" w:ascii="宋体" w:eastAsia="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分包</w:t>
      </w:r>
    </w:p>
    <w:p w14:paraId="59621DA3">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4.3.2</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允许承包人分包的工程项目、工作内容与分包金额为：</w:t>
      </w:r>
    </w:p>
    <w:p w14:paraId="7FDCC3FE">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）工程项目：</w:t>
      </w:r>
      <w:r>
        <w:rPr>
          <w:rFonts w:hint="eastAsia" w:ascii="宋体" w:hAnsi="宋体" w:cs="宋体"/>
          <w:snapToGrid w:val="0"/>
          <w:color w:val="auto"/>
          <w:sz w:val="24"/>
          <w:szCs w:val="24"/>
          <w:highlight w:val="none"/>
          <w:u w:val="single"/>
          <w:lang w:val="en-US" w:eastAsia="zh-CN"/>
        </w:rPr>
        <w:t xml:space="preserve"> </w:t>
      </w:r>
      <w:r>
        <w:rPr>
          <w:rFonts w:ascii="宋体" w:hAnsi="宋体" w:cs="宋体"/>
          <w:snapToGrid w:val="0"/>
          <w:color w:val="auto"/>
          <w:sz w:val="24"/>
          <w:szCs w:val="24"/>
          <w:highlight w:val="none"/>
          <w:u w:val="single"/>
        </w:rPr>
        <w:t>/</w:t>
      </w:r>
      <w:r>
        <w:rPr>
          <w:rFonts w:hint="eastAsia" w:ascii="宋体" w:hAnsi="宋体" w:cs="宋体"/>
          <w:snapToGrid w:val="0"/>
          <w:color w:val="auto"/>
          <w:sz w:val="24"/>
          <w:szCs w:val="24"/>
          <w:highlight w:val="none"/>
          <w:u w:val="single"/>
          <w:lang w:val="en-US" w:eastAsia="zh-CN"/>
        </w:rPr>
        <w:t xml:space="preserve"> </w:t>
      </w:r>
      <w:r>
        <w:rPr>
          <w:rFonts w:hint="eastAsia" w:ascii="宋体" w:hAnsi="宋体" w:cs="宋体"/>
          <w:snapToGrid w:val="0"/>
          <w:color w:val="auto"/>
          <w:sz w:val="24"/>
          <w:szCs w:val="24"/>
          <w:highlight w:val="none"/>
        </w:rPr>
        <w:t>。</w:t>
      </w:r>
    </w:p>
    <w:p w14:paraId="1C45AB72">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）工作内容：本项目的部分非主体、非关键性工作经招标人同意允许分包。</w:t>
      </w:r>
    </w:p>
    <w:p w14:paraId="3298A748">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）分包金额限额：</w:t>
      </w:r>
      <w:r>
        <w:rPr>
          <w:rFonts w:hint="eastAsia" w:ascii="宋体" w:hAnsi="宋体" w:cs="宋体"/>
          <w:snapToGrid w:val="0"/>
          <w:color w:val="auto"/>
          <w:sz w:val="24"/>
          <w:szCs w:val="24"/>
          <w:highlight w:val="none"/>
          <w:u w:val="single"/>
          <w:lang w:val="en-US" w:eastAsia="zh-CN"/>
        </w:rPr>
        <w:t xml:space="preserve"> </w:t>
      </w:r>
      <w:r>
        <w:rPr>
          <w:rFonts w:ascii="宋体" w:hAnsi="宋体" w:cs="宋体"/>
          <w:snapToGrid w:val="0"/>
          <w:color w:val="auto"/>
          <w:sz w:val="24"/>
          <w:szCs w:val="24"/>
          <w:highlight w:val="none"/>
          <w:u w:val="single"/>
        </w:rPr>
        <w:t xml:space="preserve">/ </w:t>
      </w:r>
      <w:r>
        <w:rPr>
          <w:rFonts w:ascii="宋体" w:hAnsi="宋体" w:cs="宋体"/>
          <w:snapToGrid w:val="0"/>
          <w:color w:val="auto"/>
          <w:sz w:val="24"/>
          <w:szCs w:val="24"/>
          <w:highlight w:val="none"/>
        </w:rPr>
        <w:t>。</w:t>
      </w:r>
    </w:p>
    <w:p w14:paraId="45749255">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4</w:t>
      </w:r>
      <w:r>
        <w:rPr>
          <w:rFonts w:hint="eastAsia" w:ascii="宋体" w:hAnsi="宋体" w:cs="宋体"/>
          <w:snapToGrid w:val="0"/>
          <w:color w:val="auto"/>
          <w:sz w:val="24"/>
          <w:szCs w:val="24"/>
          <w:highlight w:val="none"/>
        </w:rPr>
        <w:t>）接受工程分包的第三人资质要求：分包人应具备与分包工程的标准和规模相适应的资质和业绩，在人力、设备、资金等方面具有承担分包工程施工的能力。</w:t>
      </w:r>
    </w:p>
    <w:p w14:paraId="6FDE00F3">
      <w:pPr>
        <w:keepNext/>
        <w:widowControl w:val="0"/>
        <w:spacing w:line="360" w:lineRule="auto"/>
        <w:ind w:firstLine="0" w:firstLineChars="0"/>
        <w:jc w:val="both"/>
        <w:outlineLvl w:val="9"/>
        <w:rPr>
          <w:rFonts w:ascii="宋体" w:hAnsi="Arial" w:eastAsia="宋体" w:cs="Times New Roman"/>
          <w:b/>
          <w:strike w:val="0"/>
          <w:color w:val="auto"/>
          <w:kern w:val="2"/>
          <w:sz w:val="24"/>
          <w:szCs w:val="21"/>
          <w:highlight w:val="none"/>
          <w:lang w:val="en-US" w:eastAsia="zh-CN" w:bidi="ar-SA"/>
        </w:rPr>
      </w:pPr>
      <w:r>
        <w:rPr>
          <w:rFonts w:ascii="宋体" w:hAnsi="Arial" w:eastAsia="宋体" w:cs="Times New Roman"/>
          <w:b/>
          <w:strike w:val="0"/>
          <w:color w:val="auto"/>
          <w:kern w:val="2"/>
          <w:sz w:val="24"/>
          <w:szCs w:val="21"/>
          <w:highlight w:val="none"/>
          <w:lang w:val="en-US" w:eastAsia="zh-CN" w:bidi="ar-SA"/>
        </w:rPr>
        <w:t>4.6  承包人人员的管理</w:t>
      </w:r>
    </w:p>
    <w:p w14:paraId="65F5A993">
      <w:pPr>
        <w:suppressAutoHyphens/>
        <w:kinsoku/>
        <w:adjustRightInd/>
        <w:snapToGrid/>
        <w:ind w:firstLine="480"/>
        <w:textAlignment w:val="auto"/>
        <w:rPr>
          <w:rFonts w:ascii="宋体" w:hAnsi="宋体" w:eastAsia="宋体" w:cs="宋体"/>
          <w:strike w:val="0"/>
          <w:snapToGrid/>
          <w:color w:val="auto"/>
          <w:kern w:val="2"/>
          <w:szCs w:val="24"/>
          <w:highlight w:val="none"/>
          <w:lang w:eastAsia="zh-CN"/>
        </w:rPr>
      </w:pPr>
      <w:r>
        <w:rPr>
          <w:rFonts w:ascii="宋体" w:hAnsi="宋体" w:eastAsia="宋体" w:cs="宋体"/>
          <w:strike w:val="0"/>
          <w:snapToGrid/>
          <w:color w:val="auto"/>
          <w:kern w:val="2"/>
          <w:szCs w:val="24"/>
          <w:highlight w:val="none"/>
          <w:lang w:eastAsia="zh-CN"/>
        </w:rPr>
        <w:t>本章</w:t>
      </w:r>
      <w:r>
        <w:rPr>
          <w:rFonts w:ascii="宋体" w:hAnsi="Times New Roman" w:eastAsia="宋体" w:cs="Times New Roman"/>
          <w:strike w:val="0"/>
          <w:snapToGrid/>
          <w:color w:val="auto"/>
          <w:kern w:val="2"/>
          <w:szCs w:val="24"/>
          <w:highlight w:val="none"/>
          <w:lang w:eastAsia="zh-CN"/>
        </w:rPr>
        <w:t>4.6.3</w:t>
      </w:r>
      <w:r>
        <w:rPr>
          <w:rFonts w:ascii="宋体" w:hAnsi="宋体" w:eastAsia="宋体" w:cs="宋体"/>
          <w:strike w:val="0"/>
          <w:snapToGrid/>
          <w:color w:val="auto"/>
          <w:kern w:val="2"/>
          <w:szCs w:val="24"/>
          <w:highlight w:val="none"/>
          <w:lang w:eastAsia="zh-CN"/>
        </w:rPr>
        <w:t>款补充：</w:t>
      </w:r>
    </w:p>
    <w:p w14:paraId="1BB35EE5">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关于项目负责人每月在施工现场的时间要求：每月不少于24天 。</w:t>
      </w:r>
    </w:p>
    <w:p w14:paraId="241E984C">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拟派项目部的主要人员（技术负责人、质量负责人、安全负责人、项目安全员、质检员、施工员、资料员、专职安全生产管理人员等）每月驻工地的天数不少于24天，其中安全员在施工期间应全勤在岗，到岗率达到100%。</w:t>
      </w:r>
    </w:p>
    <w:p w14:paraId="36EE89CF">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主要管理人员到岗率不达标，发包人有权扣除部分履约保证金，标准如下：项目负责人扣除违约金</w:t>
      </w:r>
      <w:r>
        <w:rPr>
          <w:rFonts w:hint="eastAsia" w:cs="宋体"/>
          <w:strike w:val="0"/>
          <w:snapToGrid/>
          <w:color w:val="auto"/>
          <w:kern w:val="2"/>
          <w:szCs w:val="24"/>
          <w:highlight w:val="none"/>
          <w:lang w:val="en-US" w:eastAsia="zh-CN"/>
        </w:rPr>
        <w:t>10000</w:t>
      </w:r>
      <w:r>
        <w:rPr>
          <w:rFonts w:hint="eastAsia" w:ascii="宋体" w:hAnsi="宋体" w:eastAsia="宋体" w:cs="宋体"/>
          <w:strike w:val="0"/>
          <w:snapToGrid/>
          <w:color w:val="auto"/>
          <w:kern w:val="2"/>
          <w:szCs w:val="24"/>
          <w:highlight w:val="none"/>
          <w:lang w:eastAsia="zh-CN"/>
        </w:rPr>
        <w:t>元/天；技术负责人、质量负责人、安全负责人按扣除违约金3000元/天；其他主要管理人员扣除违约金2000元/天；违约金限额为合同价格的</w:t>
      </w:r>
      <w:r>
        <w:rPr>
          <w:rFonts w:hint="eastAsia" w:cs="宋体"/>
          <w:strike w:val="0"/>
          <w:snapToGrid/>
          <w:color w:val="auto"/>
          <w:kern w:val="2"/>
          <w:szCs w:val="24"/>
          <w:highlight w:val="none"/>
          <w:lang w:val="en-US" w:eastAsia="zh-CN"/>
        </w:rPr>
        <w:t>2</w:t>
      </w:r>
      <w:r>
        <w:rPr>
          <w:rFonts w:hint="eastAsia" w:ascii="宋体" w:hAnsi="宋体" w:eastAsia="宋体" w:cs="宋体"/>
          <w:strike w:val="0"/>
          <w:snapToGrid/>
          <w:color w:val="auto"/>
          <w:kern w:val="2"/>
          <w:szCs w:val="24"/>
          <w:highlight w:val="none"/>
          <w:lang w:eastAsia="zh-CN"/>
        </w:rPr>
        <w:t>%。如违约金超出限额的，发包人有权解除合同，违约金不能弥补发包人实际损失的，承包人需另行承担损失赔偿。</w:t>
      </w:r>
    </w:p>
    <w:p w14:paraId="3C672DE4">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施工期间原则上不得更换项目负责人、项目技术负责人及其他主要管理人员，擅自更换项目负责人按</w:t>
      </w:r>
      <w:r>
        <w:rPr>
          <w:rFonts w:hint="eastAsia" w:cs="宋体"/>
          <w:strike w:val="0"/>
          <w:snapToGrid/>
          <w:color w:val="auto"/>
          <w:kern w:val="2"/>
          <w:szCs w:val="24"/>
          <w:highlight w:val="none"/>
          <w:lang w:eastAsia="zh-CN"/>
        </w:rPr>
        <w:t>5</w:t>
      </w:r>
      <w:r>
        <w:rPr>
          <w:rFonts w:hint="eastAsia" w:cs="宋体"/>
          <w:strike w:val="0"/>
          <w:snapToGrid/>
          <w:color w:val="auto"/>
          <w:kern w:val="2"/>
          <w:szCs w:val="24"/>
          <w:highlight w:val="none"/>
          <w:lang w:val="en-US" w:eastAsia="zh-CN"/>
        </w:rPr>
        <w:t>0万元</w:t>
      </w:r>
      <w:r>
        <w:rPr>
          <w:rFonts w:hint="eastAsia" w:ascii="宋体" w:hAnsi="宋体" w:eastAsia="宋体" w:cs="宋体"/>
          <w:strike w:val="0"/>
          <w:snapToGrid/>
          <w:color w:val="auto"/>
          <w:kern w:val="2"/>
          <w:szCs w:val="24"/>
          <w:highlight w:val="none"/>
          <w:lang w:eastAsia="zh-CN"/>
        </w:rPr>
        <w:t>向发包人缴纳变更违约金，</w:t>
      </w:r>
      <w:r>
        <w:rPr>
          <w:rFonts w:hint="eastAsia" w:cs="宋体"/>
          <w:strike w:val="0"/>
          <w:snapToGrid/>
          <w:color w:val="auto"/>
          <w:kern w:val="2"/>
          <w:szCs w:val="24"/>
          <w:highlight w:val="none"/>
          <w:lang w:val="en-US" w:eastAsia="zh-CN"/>
        </w:rPr>
        <w:t>擅自更换</w:t>
      </w:r>
      <w:r>
        <w:rPr>
          <w:rFonts w:hint="eastAsia" w:ascii="宋体" w:hAnsi="宋体" w:eastAsia="宋体" w:cs="宋体"/>
          <w:strike w:val="0"/>
          <w:snapToGrid/>
          <w:color w:val="auto"/>
          <w:kern w:val="2"/>
          <w:szCs w:val="24"/>
          <w:highlight w:val="none"/>
          <w:lang w:eastAsia="zh-CN"/>
        </w:rPr>
        <w:t>项目技术负责人按合同价款的</w:t>
      </w:r>
      <w:r>
        <w:rPr>
          <w:rFonts w:hint="eastAsia" w:cs="宋体"/>
          <w:strike w:val="0"/>
          <w:snapToGrid/>
          <w:color w:val="auto"/>
          <w:kern w:val="2"/>
          <w:szCs w:val="24"/>
          <w:highlight w:val="none"/>
          <w:lang w:eastAsia="zh-CN"/>
        </w:rPr>
        <w:t>2</w:t>
      </w:r>
      <w:r>
        <w:rPr>
          <w:rFonts w:hint="eastAsia" w:cs="宋体"/>
          <w:strike w:val="0"/>
          <w:snapToGrid/>
          <w:color w:val="auto"/>
          <w:kern w:val="2"/>
          <w:szCs w:val="24"/>
          <w:highlight w:val="none"/>
          <w:lang w:val="en-US" w:eastAsia="zh-CN"/>
        </w:rPr>
        <w:t>0万元</w:t>
      </w:r>
      <w:r>
        <w:rPr>
          <w:rFonts w:hint="eastAsia" w:ascii="宋体" w:hAnsi="宋体" w:eastAsia="宋体" w:cs="宋体"/>
          <w:strike w:val="0"/>
          <w:snapToGrid/>
          <w:color w:val="auto"/>
          <w:kern w:val="2"/>
          <w:szCs w:val="24"/>
          <w:highlight w:val="none"/>
          <w:lang w:eastAsia="zh-CN"/>
        </w:rPr>
        <w:t>向发包人缴纳变更违约金，</w:t>
      </w:r>
      <w:r>
        <w:rPr>
          <w:rFonts w:hint="eastAsia" w:cs="宋体"/>
          <w:strike w:val="0"/>
          <w:snapToGrid/>
          <w:color w:val="auto"/>
          <w:kern w:val="2"/>
          <w:szCs w:val="24"/>
          <w:highlight w:val="none"/>
          <w:lang w:val="en-US" w:eastAsia="zh-CN"/>
        </w:rPr>
        <w:t>擅自更换</w:t>
      </w:r>
      <w:r>
        <w:rPr>
          <w:rFonts w:hint="eastAsia" w:ascii="宋体" w:hAnsi="宋体" w:eastAsia="宋体" w:cs="宋体"/>
          <w:strike w:val="0"/>
          <w:snapToGrid/>
          <w:color w:val="auto"/>
          <w:kern w:val="2"/>
          <w:szCs w:val="24"/>
          <w:highlight w:val="none"/>
          <w:lang w:eastAsia="zh-CN"/>
        </w:rPr>
        <w:t>其他主要管理人员需按合同价款的</w:t>
      </w:r>
      <w:r>
        <w:rPr>
          <w:rFonts w:hint="eastAsia" w:cs="宋体"/>
          <w:strike w:val="0"/>
          <w:snapToGrid/>
          <w:color w:val="auto"/>
          <w:kern w:val="2"/>
          <w:szCs w:val="24"/>
          <w:highlight w:val="none"/>
          <w:lang w:eastAsia="zh-CN"/>
        </w:rPr>
        <w:t>1</w:t>
      </w:r>
      <w:r>
        <w:rPr>
          <w:rFonts w:hint="eastAsia" w:cs="宋体"/>
          <w:strike w:val="0"/>
          <w:snapToGrid/>
          <w:color w:val="auto"/>
          <w:kern w:val="2"/>
          <w:szCs w:val="24"/>
          <w:highlight w:val="none"/>
          <w:lang w:val="en-US" w:eastAsia="zh-CN"/>
        </w:rPr>
        <w:t>0万元</w:t>
      </w:r>
      <w:r>
        <w:rPr>
          <w:rFonts w:hint="eastAsia" w:ascii="宋体" w:hAnsi="宋体" w:eastAsia="宋体" w:cs="宋体"/>
          <w:strike w:val="0"/>
          <w:snapToGrid/>
          <w:color w:val="auto"/>
          <w:kern w:val="2"/>
          <w:szCs w:val="24"/>
          <w:highlight w:val="none"/>
          <w:lang w:eastAsia="zh-CN"/>
        </w:rPr>
        <w:t>向发包人缴纳变更违约金</w:t>
      </w:r>
      <w:r>
        <w:rPr>
          <w:rFonts w:hint="eastAsia" w:cs="宋体"/>
          <w:strike w:val="0"/>
          <w:snapToGrid/>
          <w:color w:val="auto"/>
          <w:kern w:val="2"/>
          <w:szCs w:val="24"/>
          <w:highlight w:val="none"/>
          <w:lang w:eastAsia="zh-CN"/>
        </w:rPr>
        <w:t>。</w:t>
      </w:r>
      <w:r>
        <w:rPr>
          <w:rFonts w:hint="eastAsia" w:cs="宋体"/>
          <w:strike w:val="0"/>
          <w:snapToGrid/>
          <w:color w:val="auto"/>
          <w:kern w:val="2"/>
          <w:szCs w:val="24"/>
          <w:highlight w:val="none"/>
          <w:lang w:val="en-US" w:eastAsia="zh-CN"/>
        </w:rPr>
        <w:t>同时人员更换的违约金不得低于《</w:t>
      </w:r>
      <w:r>
        <w:rPr>
          <w:rFonts w:hint="eastAsia" w:cs="宋体"/>
          <w:snapToGrid/>
          <w:color w:val="auto"/>
          <w:kern w:val="2"/>
          <w:szCs w:val="24"/>
          <w:highlight w:val="none"/>
          <w:lang w:eastAsia="zh-CN"/>
        </w:rPr>
        <w:t>浙江镜岭水库工程参建单位主要人员管理办法（试行）</w:t>
      </w:r>
      <w:r>
        <w:rPr>
          <w:rFonts w:hint="eastAsia" w:cs="宋体"/>
          <w:strike w:val="0"/>
          <w:snapToGrid/>
          <w:color w:val="auto"/>
          <w:kern w:val="2"/>
          <w:szCs w:val="24"/>
          <w:highlight w:val="none"/>
          <w:lang w:val="en-US" w:eastAsia="zh-CN"/>
        </w:rPr>
        <w:t>》要求，</w:t>
      </w:r>
      <w:r>
        <w:rPr>
          <w:rFonts w:hint="eastAsia" w:ascii="宋体" w:hAnsi="宋体" w:eastAsia="宋体" w:cs="宋体"/>
          <w:strike w:val="0"/>
          <w:snapToGrid/>
          <w:color w:val="auto"/>
          <w:kern w:val="2"/>
          <w:szCs w:val="24"/>
          <w:highlight w:val="none"/>
          <w:lang w:eastAsia="zh-CN"/>
        </w:rPr>
        <w:t>上述人员如遇特殊原因确需更换时，更换后的人员资格和业绩条件不得低于原人员的资格和业绩条件，并需缴纳违约金</w:t>
      </w:r>
      <w:r>
        <w:rPr>
          <w:rFonts w:hint="eastAsia" w:cs="宋体"/>
          <w:strike w:val="0"/>
          <w:snapToGrid/>
          <w:color w:val="auto"/>
          <w:kern w:val="2"/>
          <w:szCs w:val="24"/>
          <w:highlight w:val="none"/>
          <w:lang w:eastAsia="zh-CN"/>
        </w:rPr>
        <w:t>，</w:t>
      </w:r>
      <w:r>
        <w:rPr>
          <w:rFonts w:hint="eastAsia" w:cs="宋体"/>
          <w:strike w:val="0"/>
          <w:snapToGrid/>
          <w:color w:val="auto"/>
          <w:kern w:val="2"/>
          <w:szCs w:val="24"/>
          <w:highlight w:val="none"/>
          <w:lang w:val="en-US" w:eastAsia="zh-CN"/>
        </w:rPr>
        <w:t>同时</w:t>
      </w:r>
      <w:r>
        <w:rPr>
          <w:rFonts w:hint="eastAsia" w:ascii="宋体" w:hAnsi="宋体" w:eastAsia="宋体" w:cs="宋体"/>
          <w:strike w:val="0"/>
          <w:snapToGrid/>
          <w:color w:val="auto"/>
          <w:kern w:val="2"/>
          <w:szCs w:val="24"/>
          <w:highlight w:val="none"/>
          <w:lang w:eastAsia="zh-CN"/>
        </w:rPr>
        <w:t>承担由此增加的费用和（或）延误的工期损失。</w:t>
      </w:r>
    </w:p>
    <w:p w14:paraId="1E41B174">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特殊原因指：</w:t>
      </w:r>
    </w:p>
    <w:p w14:paraId="31655F27">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①离职和退休；</w:t>
      </w:r>
    </w:p>
    <w:p w14:paraId="4E932DE1">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②因伤病、死亡等身体原因不能履职的；</w:t>
      </w:r>
    </w:p>
    <w:p w14:paraId="2E653D17">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③法律法规规定的其他情形。</w:t>
      </w:r>
    </w:p>
    <w:p w14:paraId="4060C691">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备注：由于患病、发生意外等身体原因导致更换的，按合同约定违约金的50%支付违约金，死亡原因导致更换的，无需支付违约金。</w:t>
      </w:r>
    </w:p>
    <w:p w14:paraId="74CBEDA0">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承包人变更主要管理人员时，需按如下要求准备相关证明材料：</w:t>
      </w:r>
    </w:p>
    <w:p w14:paraId="0CB215A3">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1.新替换人员均应提供本单位聘用合同、社保证明以及执业资格、业绩证明、投标时无在建证明等资料；</w:t>
      </w:r>
    </w:p>
    <w:p w14:paraId="7384FAAC">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2.离开本单位解除聘用劳动关系的，应另提供原单位劳动合同解除协议；</w:t>
      </w:r>
    </w:p>
    <w:p w14:paraId="30FE9925">
      <w:pPr>
        <w:suppressAutoHyphens/>
        <w:kinsoku/>
        <w:adjustRightInd/>
        <w:snapToGrid/>
        <w:ind w:firstLine="480"/>
        <w:textAlignment w:val="auto"/>
        <w:rPr>
          <w:rFonts w:hint="eastAsia"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3.因患病、发生意外等身体原因不能履职3个月及以上的，须同时提供三项证明资料：①三级甲等及以上等级的医疗机构出具经主治医师签名的疾病诊断书，②住院证明（缴费机打收据），③休养证明或伤病丧失工作能力证明；</w:t>
      </w:r>
    </w:p>
    <w:p w14:paraId="468A47CA">
      <w:pPr>
        <w:suppressAutoHyphens/>
        <w:kinsoku/>
        <w:adjustRightInd/>
        <w:snapToGrid/>
        <w:ind w:firstLine="480"/>
        <w:textAlignment w:val="auto"/>
        <w:rPr>
          <w:rFonts w:ascii="宋体" w:hAnsi="宋体" w:eastAsia="宋体" w:cs="宋体"/>
          <w:strike w:val="0"/>
          <w:snapToGrid/>
          <w:color w:val="auto"/>
          <w:kern w:val="2"/>
          <w:szCs w:val="24"/>
          <w:highlight w:val="none"/>
          <w:lang w:eastAsia="zh-CN"/>
        </w:rPr>
      </w:pPr>
      <w:r>
        <w:rPr>
          <w:rFonts w:hint="eastAsia" w:ascii="宋体" w:hAnsi="宋体" w:eastAsia="宋体" w:cs="宋体"/>
          <w:strike w:val="0"/>
          <w:snapToGrid/>
          <w:color w:val="auto"/>
          <w:kern w:val="2"/>
          <w:szCs w:val="24"/>
          <w:highlight w:val="none"/>
          <w:lang w:eastAsia="zh-CN"/>
        </w:rPr>
        <w:t>4.因违法违规行为不能继续从事施工现场管理工作的，应提供相应的行政处罚决定书或法院判决书等相关处罚的证明材料。</w:t>
      </w:r>
    </w:p>
    <w:p w14:paraId="0AF0CD2E">
      <w:pPr>
        <w:kinsoku/>
        <w:adjustRightInd/>
        <w:snapToGrid/>
        <w:spacing w:beforeLines="0" w:afterLines="0"/>
        <w:ind w:firstLine="0" w:firstLineChars="0"/>
        <w:textAlignment w:val="auto"/>
        <w:rPr>
          <w:rFonts w:cs="宋体"/>
          <w:b/>
          <w:bCs/>
          <w:color w:val="auto"/>
          <w:highlight w:val="none"/>
          <w:lang w:eastAsia="zh-CN"/>
        </w:rPr>
      </w:pPr>
      <w:r>
        <w:rPr>
          <w:rFonts w:ascii="宋体" w:hAnsi="Times New Roman" w:cs="Times New Roman"/>
          <w:b/>
          <w:bCs/>
          <w:color w:val="auto"/>
          <w:kern w:val="2"/>
          <w:szCs w:val="21"/>
          <w:highlight w:val="none"/>
          <w:lang w:eastAsia="zh-CN"/>
        </w:rPr>
        <w:t>4.9</w:t>
      </w:r>
      <w:r>
        <w:rPr>
          <w:rFonts w:hint="eastAsia" w:hAnsi="Times New Roman" w:cs="Times New Roman"/>
          <w:b/>
          <w:bCs/>
          <w:color w:val="auto"/>
          <w:kern w:val="2"/>
          <w:szCs w:val="21"/>
          <w:highlight w:val="none"/>
          <w:lang w:eastAsia="zh-CN"/>
        </w:rPr>
        <w:t>　</w:t>
      </w:r>
      <w:r>
        <w:rPr>
          <w:rFonts w:hint="eastAsia" w:ascii="宋体" w:hAnsi="楷体" w:eastAsia="宋体" w:cs="楷体"/>
          <w:b/>
          <w:bCs/>
          <w:color w:val="auto"/>
          <w:spacing w:val="0"/>
          <w:szCs w:val="21"/>
          <w:highlight w:val="none"/>
          <w:lang w:eastAsia="zh-CN"/>
        </w:rPr>
        <w:t>工程价款应专款专用</w:t>
      </w:r>
    </w:p>
    <w:p w14:paraId="2AF2AFE3">
      <w:pPr>
        <w:kinsoku/>
        <w:adjustRightInd/>
        <w:snapToGrid/>
        <w:spacing w:beforeLines="0" w:afterLines="0"/>
        <w:ind w:firstLine="420"/>
        <w:jc w:val="left"/>
        <w:textAlignment w:val="auto"/>
        <w:rPr>
          <w:rFonts w:cs="宋体"/>
          <w:color w:val="auto"/>
          <w:kern w:val="2"/>
          <w:szCs w:val="21"/>
          <w:highlight w:val="none"/>
          <w:lang w:eastAsia="zh-CN"/>
        </w:rPr>
      </w:pPr>
      <w:r>
        <w:rPr>
          <w:rFonts w:hint="eastAsia" w:cs="宋体"/>
          <w:color w:val="auto"/>
          <w:kern w:val="2"/>
          <w:szCs w:val="21"/>
          <w:highlight w:val="none"/>
          <w:lang w:eastAsia="zh-CN"/>
        </w:rPr>
        <w:t>按《浙江镜岭水库工程工程资金监管办法（试行）》执行。</w:t>
      </w:r>
    </w:p>
    <w:p w14:paraId="0C12531F">
      <w:pPr>
        <w:pStyle w:val="32"/>
        <w:autoSpaceDE/>
        <w:autoSpaceDN/>
        <w:spacing w:beforeLines="0" w:afterLines="0"/>
        <w:ind w:firstLineChars="0"/>
        <w:jc w:val="both"/>
        <w:outlineLvl w:val="9"/>
        <w:rPr>
          <w:rFonts w:ascii="宋体" w:hAnsi="楷体" w:eastAsia="宋体" w:cs="楷体"/>
          <w:bCs/>
          <w:snapToGrid w:val="0"/>
          <w:color w:val="auto"/>
          <w:spacing w:val="0"/>
          <w:highlight w:val="none"/>
        </w:rPr>
      </w:pPr>
      <w:r>
        <w:rPr>
          <w:rFonts w:ascii="宋体" w:hAnsi="楷体" w:eastAsia="宋体" w:cs="楷体"/>
          <w:bCs/>
          <w:snapToGrid w:val="0"/>
          <w:color w:val="auto"/>
          <w:spacing w:val="0"/>
          <w:sz w:val="24"/>
          <w:szCs w:val="24"/>
          <w:highlight w:val="none"/>
        </w:rPr>
        <w:t>4.11</w:t>
      </w:r>
      <w:r>
        <w:rPr>
          <w:rFonts w:hint="eastAsia" w:ascii="宋体" w:hAnsi="楷体" w:eastAsia="宋体" w:cs="楷体"/>
          <w:bCs/>
          <w:snapToGrid w:val="0"/>
          <w:color w:val="auto"/>
          <w:spacing w:val="0"/>
          <w:sz w:val="24"/>
          <w:szCs w:val="24"/>
          <w:highlight w:val="none"/>
          <w:lang w:eastAsia="zh-CN"/>
        </w:rPr>
        <w:t>　</w:t>
      </w:r>
      <w:r>
        <w:rPr>
          <w:rFonts w:hint="eastAsia" w:ascii="宋体" w:hAnsi="楷体" w:eastAsia="宋体" w:cs="楷体"/>
          <w:bCs/>
          <w:snapToGrid w:val="0"/>
          <w:color w:val="auto"/>
          <w:spacing w:val="0"/>
          <w:sz w:val="24"/>
          <w:szCs w:val="24"/>
          <w:highlight w:val="none"/>
        </w:rPr>
        <w:t>不利物质条件</w:t>
      </w:r>
    </w:p>
    <w:p w14:paraId="197CDB6D">
      <w:pPr>
        <w:pStyle w:val="30"/>
        <w:snapToGrid w:val="0"/>
        <w:spacing w:beforeLines="0" w:afterLines="0" w:line="360" w:lineRule="auto"/>
        <w:ind w:firstLine="0" w:firstLineChars="0"/>
        <w:rPr>
          <w:rFonts w:ascii="宋体" w:hAnsi="宋体" w:cs="宋体"/>
          <w:snapToGrid w:val="0"/>
          <w:color w:val="auto"/>
          <w:sz w:val="24"/>
          <w:highlight w:val="none"/>
        </w:rPr>
      </w:pPr>
      <w:r>
        <w:rPr>
          <w:rFonts w:ascii="宋体"/>
          <w:bCs/>
          <w:snapToGrid w:val="0"/>
          <w:color w:val="auto"/>
          <w:sz w:val="24"/>
          <w:szCs w:val="24"/>
          <w:highlight w:val="none"/>
        </w:rPr>
        <w:t>4.11.1</w:t>
      </w:r>
      <w:r>
        <w:rPr>
          <w:rFonts w:hint="eastAsia" w:ascii="宋体"/>
          <w:bCs/>
          <w:snapToGrid w:val="0"/>
          <w:color w:val="auto"/>
          <w:sz w:val="24"/>
          <w:szCs w:val="24"/>
          <w:highlight w:val="none"/>
          <w:lang w:eastAsia="zh-CN"/>
        </w:rPr>
        <w:t>　</w:t>
      </w:r>
      <w:r>
        <w:rPr>
          <w:rFonts w:hint="eastAsia" w:ascii="宋体" w:hAnsi="宋体" w:cs="宋体"/>
          <w:snapToGrid w:val="0"/>
          <w:color w:val="auto"/>
          <w:sz w:val="24"/>
          <w:szCs w:val="24"/>
          <w:highlight w:val="none"/>
        </w:rPr>
        <w:t>不利物质条件的范围：</w:t>
      </w:r>
      <w:r>
        <w:rPr>
          <w:rFonts w:hint="eastAsia" w:ascii="宋体" w:hAnsi="宋体" w:cs="宋体"/>
          <w:snapToGrid w:val="0"/>
          <w:color w:val="auto"/>
          <w:kern w:val="0"/>
          <w:sz w:val="24"/>
          <w:szCs w:val="24"/>
          <w:highlight w:val="none"/>
          <w:u w:val="single"/>
          <w:lang w:val="zh-CN" w:bidi="zh-CN"/>
        </w:rPr>
        <w:t>施工中遇到文物或古迹</w:t>
      </w:r>
      <w:r>
        <w:rPr>
          <w:rFonts w:hint="eastAsia" w:ascii="宋体" w:hAnsi="宋体" w:cs="宋体"/>
          <w:snapToGrid w:val="0"/>
          <w:color w:val="auto"/>
          <w:sz w:val="24"/>
          <w:szCs w:val="24"/>
          <w:highlight w:val="none"/>
        </w:rPr>
        <w:t>。</w:t>
      </w:r>
    </w:p>
    <w:p w14:paraId="3348EF6B">
      <w:pPr>
        <w:pStyle w:val="4"/>
        <w:kinsoku/>
        <w:spacing w:beforeLines="0" w:afterLines="0"/>
        <w:outlineLvl w:val="2"/>
        <w:rPr>
          <w:rFonts w:hint="eastAsia" w:cs="宋体"/>
          <w:bCs/>
          <w:color w:val="auto"/>
          <w:szCs w:val="24"/>
          <w:highlight w:val="none"/>
        </w:rPr>
      </w:pPr>
      <w:r>
        <w:rPr>
          <w:rFonts w:hint="eastAsia" w:cs="宋体"/>
          <w:bCs/>
          <w:color w:val="auto"/>
          <w:szCs w:val="24"/>
          <w:highlight w:val="none"/>
        </w:rPr>
        <w:t>5</w:t>
      </w:r>
      <w:r>
        <w:rPr>
          <w:rFonts w:hint="eastAsia" w:cs="宋体"/>
          <w:bCs/>
          <w:color w:val="auto"/>
          <w:szCs w:val="24"/>
          <w:highlight w:val="none"/>
          <w:lang w:eastAsia="zh-CN"/>
        </w:rPr>
        <w:t>　</w:t>
      </w:r>
      <w:r>
        <w:rPr>
          <w:rFonts w:hint="eastAsia" w:cs="宋体"/>
          <w:bCs/>
          <w:color w:val="auto"/>
          <w:szCs w:val="24"/>
          <w:highlight w:val="none"/>
        </w:rPr>
        <w:t>材料和工程设备</w:t>
      </w:r>
    </w:p>
    <w:p w14:paraId="2BDEF818">
      <w:pPr>
        <w:kinsoku/>
        <w:spacing w:beforeLines="0" w:afterLines="0"/>
        <w:ind w:firstLine="0" w:firstLineChars="0"/>
        <w:rPr>
          <w:color w:val="auto"/>
          <w:highlight w:val="none"/>
          <w:lang w:eastAsia="zh-CN"/>
        </w:rPr>
      </w:pPr>
      <w:r>
        <w:rPr>
          <w:rFonts w:ascii="宋体" w:hAnsi="Times New Roman" w:eastAsia="宋体" w:cs="Times New Roman"/>
          <w:b/>
          <w:bCs/>
          <w:color w:val="auto"/>
          <w:spacing w:val="0"/>
          <w:szCs w:val="21"/>
          <w:highlight w:val="none"/>
          <w:lang w:eastAsia="zh-CN"/>
        </w:rPr>
        <w:t>5.1</w:t>
      </w:r>
      <w:r>
        <w:rPr>
          <w:rFonts w:hint="eastAsia" w:hAnsi="Times New Roman" w:cs="Times New Roman"/>
          <w:b/>
          <w:bCs/>
          <w:color w:val="auto"/>
          <w:spacing w:val="0"/>
          <w:szCs w:val="21"/>
          <w:highlight w:val="none"/>
          <w:lang w:eastAsia="zh-CN"/>
        </w:rPr>
        <w:t>　</w:t>
      </w:r>
      <w:r>
        <w:rPr>
          <w:rFonts w:ascii="宋体" w:hAnsi="楷体" w:eastAsia="宋体" w:cs="楷体"/>
          <w:b/>
          <w:bCs/>
          <w:color w:val="auto"/>
          <w:spacing w:val="0"/>
          <w:szCs w:val="21"/>
          <w:highlight w:val="none"/>
          <w:lang w:eastAsia="zh-CN"/>
        </w:rPr>
        <w:t>承包人提供的材料和工程设备</w:t>
      </w:r>
    </w:p>
    <w:p w14:paraId="48BC8456">
      <w:pPr>
        <w:kinsoku/>
        <w:adjustRightInd/>
        <w:snapToGrid/>
        <w:spacing w:beforeLines="0" w:afterLines="0"/>
        <w:ind w:firstLine="0" w:firstLineChars="0"/>
        <w:textAlignment w:val="auto"/>
        <w:rPr>
          <w:rFonts w:cs="宋体"/>
          <w:color w:val="auto"/>
          <w:kern w:val="2"/>
          <w:szCs w:val="21"/>
          <w:highlight w:val="none"/>
          <w:lang w:eastAsia="zh-CN"/>
        </w:rPr>
      </w:pPr>
      <w:r>
        <w:rPr>
          <w:rFonts w:ascii="宋体" w:hAnsi="Times New Roman" w:cs="Times New Roman"/>
          <w:bCs/>
          <w:color w:val="auto"/>
          <w:kern w:val="2"/>
          <w:szCs w:val="21"/>
          <w:highlight w:val="none"/>
          <w:lang w:eastAsia="zh-CN"/>
        </w:rPr>
        <w:t>5.1.4</w:t>
      </w:r>
      <w:r>
        <w:rPr>
          <w:rFonts w:hint="eastAsia" w:hAnsi="Times New Roman" w:cs="Times New Roman"/>
          <w:bCs/>
          <w:color w:val="auto"/>
          <w:kern w:val="2"/>
          <w:szCs w:val="21"/>
          <w:highlight w:val="none"/>
          <w:lang w:eastAsia="zh-CN"/>
        </w:rPr>
        <w:t>　</w:t>
      </w:r>
      <w:r>
        <w:rPr>
          <w:rFonts w:hint="eastAsia" w:cs="宋体"/>
          <w:color w:val="auto"/>
          <w:kern w:val="2"/>
          <w:szCs w:val="21"/>
          <w:highlight w:val="none"/>
          <w:lang w:eastAsia="zh-CN"/>
        </w:rPr>
        <w:t>承包人应配备足够数量且状况良好的施工机械进场施工，如凿岩台车、钢模台车、挖机、风机等施工设备，设备进场前应报监理及发包人审核备案，发包人有权要求承包人更换不满足工程质量、进度、环保要求的施工设备，承包人应予以配合，更换的施工设备进出场费用由承包人承担，发包人不予补偿。</w:t>
      </w:r>
    </w:p>
    <w:p w14:paraId="5928C572">
      <w:pPr>
        <w:kinsoku/>
        <w:adjustRightInd/>
        <w:snapToGrid/>
        <w:spacing w:beforeLines="0" w:afterLines="0"/>
        <w:ind w:firstLine="0" w:firstLineChars="0"/>
        <w:textAlignment w:val="auto"/>
        <w:rPr>
          <w:rFonts w:cs="宋体"/>
          <w:color w:val="auto"/>
          <w:kern w:val="2"/>
          <w:szCs w:val="21"/>
          <w:highlight w:val="none"/>
          <w:lang w:eastAsia="zh-CN"/>
        </w:rPr>
      </w:pPr>
      <w:r>
        <w:rPr>
          <w:rFonts w:ascii="宋体" w:hAnsi="Times New Roman" w:cs="Times New Roman"/>
          <w:bCs/>
          <w:color w:val="auto"/>
          <w:kern w:val="2"/>
          <w:szCs w:val="21"/>
          <w:highlight w:val="none"/>
          <w:lang w:eastAsia="zh-CN"/>
        </w:rPr>
        <w:t>5.1.5</w:t>
      </w:r>
      <w:r>
        <w:rPr>
          <w:rFonts w:hint="eastAsia" w:hAnsi="Times New Roman" w:cs="Times New Roman"/>
          <w:bCs/>
          <w:color w:val="auto"/>
          <w:kern w:val="2"/>
          <w:szCs w:val="21"/>
          <w:highlight w:val="none"/>
          <w:lang w:eastAsia="zh-CN"/>
        </w:rPr>
        <w:t>　</w:t>
      </w:r>
      <w:r>
        <w:rPr>
          <w:rFonts w:hint="eastAsia" w:cs="宋体"/>
          <w:color w:val="auto"/>
          <w:kern w:val="2"/>
          <w:szCs w:val="21"/>
          <w:highlight w:val="none"/>
          <w:lang w:eastAsia="zh-CN"/>
        </w:rPr>
        <w:t>承包人应严格执行国家有关水域环境生态保护的规定，合理选择施工机械和施工工艺，采取有效措施，减少施工对周边环境的影响。如果被相关部门处罚，由承包人承担相应费用，并处以</w:t>
      </w:r>
      <w:r>
        <w:rPr>
          <w:rFonts w:cs="宋体"/>
          <w:color w:val="auto"/>
          <w:kern w:val="2"/>
          <w:szCs w:val="21"/>
          <w:highlight w:val="none"/>
          <w:lang w:eastAsia="zh-CN"/>
        </w:rPr>
        <w:t>20000元/次违约金。</w:t>
      </w:r>
    </w:p>
    <w:p w14:paraId="0C89EF0D">
      <w:pPr>
        <w:kinsoku/>
        <w:adjustRightInd/>
        <w:snapToGrid/>
        <w:spacing w:beforeLines="0" w:afterLines="0"/>
        <w:ind w:firstLine="0" w:firstLineChars="0"/>
        <w:textAlignment w:val="auto"/>
        <w:rPr>
          <w:rFonts w:ascii="宋体" w:hAnsi="楷体" w:eastAsia="宋体" w:cs="楷体"/>
          <w:b/>
          <w:bCs/>
          <w:color w:val="auto"/>
          <w:spacing w:val="0"/>
          <w:szCs w:val="21"/>
          <w:highlight w:val="none"/>
          <w:lang w:eastAsia="zh-CN"/>
        </w:rPr>
      </w:pPr>
      <w:r>
        <w:rPr>
          <w:rFonts w:ascii="宋体" w:hAnsi="Times New Roman" w:eastAsia="宋体" w:cs="Times New Roman"/>
          <w:b/>
          <w:bCs/>
          <w:color w:val="auto"/>
          <w:spacing w:val="0"/>
          <w:szCs w:val="21"/>
          <w:highlight w:val="none"/>
          <w:lang w:eastAsia="zh-CN"/>
        </w:rPr>
        <w:t>5.2</w:t>
      </w:r>
      <w:r>
        <w:rPr>
          <w:rFonts w:hint="eastAsia" w:hAnsi="Times New Roman" w:cs="Times New Roman"/>
          <w:b/>
          <w:bCs/>
          <w:color w:val="auto"/>
          <w:spacing w:val="0"/>
          <w:szCs w:val="21"/>
          <w:highlight w:val="none"/>
          <w:lang w:eastAsia="zh-CN"/>
        </w:rPr>
        <w:t>　</w:t>
      </w:r>
      <w:r>
        <w:rPr>
          <w:rFonts w:hint="eastAsia" w:ascii="宋体" w:hAnsi="Times New Roman" w:cs="Times New Roman"/>
          <w:b/>
          <w:bCs/>
          <w:color w:val="auto"/>
          <w:spacing w:val="0"/>
          <w:szCs w:val="21"/>
          <w:highlight w:val="none"/>
          <w:lang w:eastAsia="zh-CN"/>
        </w:rPr>
        <w:t>发包</w:t>
      </w:r>
      <w:r>
        <w:rPr>
          <w:rFonts w:ascii="宋体" w:hAnsi="楷体" w:eastAsia="宋体" w:cs="楷体"/>
          <w:b/>
          <w:bCs/>
          <w:color w:val="auto"/>
          <w:spacing w:val="0"/>
          <w:szCs w:val="21"/>
          <w:highlight w:val="none"/>
          <w:lang w:eastAsia="zh-CN"/>
        </w:rPr>
        <w:t>人提供的材料和工程设备</w:t>
      </w:r>
    </w:p>
    <w:p w14:paraId="48AA883A">
      <w:pPr>
        <w:kinsoku/>
        <w:adjustRightInd/>
        <w:snapToGrid/>
        <w:spacing w:beforeLines="0" w:afterLines="0"/>
        <w:ind w:firstLine="420"/>
        <w:jc w:val="left"/>
        <w:textAlignment w:val="auto"/>
        <w:rPr>
          <w:rFonts w:ascii="宋体" w:hAnsi="Times New Roman" w:cs="Times New Roman"/>
          <w:bCs/>
          <w:color w:val="auto"/>
          <w:kern w:val="2"/>
          <w:szCs w:val="21"/>
          <w:highlight w:val="none"/>
          <w:lang w:eastAsia="zh-CN"/>
        </w:rPr>
      </w:pPr>
      <w:r>
        <w:rPr>
          <w:rFonts w:hint="eastAsia" w:ascii="宋体" w:hAnsi="Times New Roman" w:cs="Times New Roman"/>
          <w:bCs/>
          <w:color w:val="auto"/>
          <w:kern w:val="2"/>
          <w:szCs w:val="21"/>
          <w:highlight w:val="none"/>
          <w:lang w:eastAsia="zh-CN"/>
        </w:rPr>
        <w:t>本标段不提供</w:t>
      </w:r>
    </w:p>
    <w:p w14:paraId="62C89EE4">
      <w:pPr>
        <w:pStyle w:val="4"/>
        <w:spacing w:beforeLines="0" w:afterLines="0"/>
        <w:outlineLvl w:val="2"/>
        <w:rPr>
          <w:rFonts w:hint="eastAsia" w:ascii="宋体" w:hAnsi="宋体" w:eastAsia="宋体" w:cs="宋体"/>
          <w:bCs/>
          <w:snapToGrid w:val="0"/>
          <w:color w:val="auto"/>
          <w:spacing w:val="0"/>
          <w:sz w:val="24"/>
          <w:szCs w:val="24"/>
          <w:highlight w:val="none"/>
        </w:rPr>
      </w:pPr>
      <w:r>
        <w:rPr>
          <w:rFonts w:hint="eastAsia" w:ascii="宋体" w:eastAsia="宋体" w:cs="宋体"/>
          <w:bCs/>
          <w:snapToGrid w:val="0"/>
          <w:color w:val="auto"/>
          <w:spacing w:val="0"/>
          <w:sz w:val="24"/>
          <w:szCs w:val="24"/>
          <w:highlight w:val="none"/>
        </w:rPr>
        <w:t>6</w:t>
      </w:r>
      <w:r>
        <w:rPr>
          <w:rFonts w:hint="eastAsia" w:cs="宋体"/>
          <w:bCs/>
          <w:snapToGrid w:val="0"/>
          <w:color w:val="auto"/>
          <w:spacing w:val="0"/>
          <w:sz w:val="24"/>
          <w:szCs w:val="24"/>
          <w:highlight w:val="none"/>
          <w:lang w:eastAsia="zh-CN"/>
        </w:rPr>
        <w:t>　</w:t>
      </w:r>
      <w:r>
        <w:rPr>
          <w:rFonts w:hint="eastAsia" w:ascii="宋体" w:hAnsi="宋体" w:eastAsia="宋体" w:cs="宋体"/>
          <w:bCs/>
          <w:snapToGrid w:val="0"/>
          <w:color w:val="auto"/>
          <w:spacing w:val="0"/>
          <w:sz w:val="24"/>
          <w:szCs w:val="24"/>
          <w:highlight w:val="none"/>
        </w:rPr>
        <w:t>施工设备和临时设施</w:t>
      </w:r>
    </w:p>
    <w:p w14:paraId="22F68165">
      <w:pPr>
        <w:pStyle w:val="4"/>
        <w:spacing w:beforeLines="0" w:afterLines="0"/>
        <w:outlineLvl w:val="2"/>
        <w:rPr>
          <w:rFonts w:hint="eastAsia" w:ascii="宋体" w:cs="宋体"/>
          <w:bCs/>
          <w:color w:val="auto"/>
          <w:sz w:val="24"/>
          <w:szCs w:val="24"/>
          <w:highlight w:val="none"/>
        </w:rPr>
      </w:pPr>
      <w:r>
        <w:rPr>
          <w:rFonts w:hint="eastAsia" w:ascii="宋体" w:eastAsia="宋体" w:cs="宋体"/>
          <w:bCs/>
          <w:snapToGrid w:val="0"/>
          <w:color w:val="auto"/>
          <w:spacing w:val="0"/>
          <w:sz w:val="24"/>
          <w:szCs w:val="24"/>
          <w:highlight w:val="none"/>
        </w:rPr>
        <w:t>7</w:t>
      </w:r>
      <w:r>
        <w:rPr>
          <w:rFonts w:hint="eastAsia" w:cs="宋体"/>
          <w:bCs/>
          <w:snapToGrid w:val="0"/>
          <w:color w:val="auto"/>
          <w:spacing w:val="0"/>
          <w:sz w:val="24"/>
          <w:szCs w:val="24"/>
          <w:highlight w:val="none"/>
          <w:lang w:eastAsia="zh-CN"/>
        </w:rPr>
        <w:t>　</w:t>
      </w:r>
      <w:r>
        <w:rPr>
          <w:rFonts w:hint="eastAsia" w:ascii="宋体" w:hAnsi="宋体" w:eastAsia="宋体" w:cs="宋体"/>
          <w:bCs/>
          <w:snapToGrid w:val="0"/>
          <w:color w:val="auto"/>
          <w:spacing w:val="0"/>
          <w:sz w:val="24"/>
          <w:szCs w:val="24"/>
          <w:highlight w:val="none"/>
        </w:rPr>
        <w:t>交通运输</w:t>
      </w:r>
    </w:p>
    <w:p w14:paraId="5F9A5970">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color w:val="auto"/>
          <w:sz w:val="24"/>
          <w:szCs w:val="24"/>
          <w:highlight w:val="none"/>
        </w:rPr>
        <w:t>7.1</w:t>
      </w:r>
      <w:r>
        <w:rPr>
          <w:rFonts w:hint="eastAsia" w:ascii="宋体" w:eastAsia="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道路通行权和场外设施</w:t>
      </w:r>
    </w:p>
    <w:p w14:paraId="27559E34">
      <w:pPr>
        <w:snapToGrid w:val="0"/>
        <w:spacing w:line="360" w:lineRule="auto"/>
        <w:ind w:firstLineChars="200"/>
        <w:rPr>
          <w:rFonts w:ascii="Times New Roman" w:hAnsi="Times New Roman" w:cs="Times New Roman"/>
          <w:snapToGrid/>
          <w:color w:val="auto"/>
          <w:sz w:val="24"/>
          <w:szCs w:val="24"/>
          <w:highlight w:val="none"/>
        </w:rPr>
      </w:pPr>
      <w:r>
        <w:rPr>
          <w:rFonts w:hint="default" w:ascii="Times New Roman" w:hAnsi="Times New Roman" w:cs="Times New Roman"/>
          <w:snapToGrid/>
          <w:color w:val="auto"/>
          <w:sz w:val="24"/>
          <w:szCs w:val="24"/>
          <w:highlight w:val="none"/>
        </w:rPr>
        <w:t>道路通行权和场外设施的约定：</w:t>
      </w:r>
    </w:p>
    <w:p w14:paraId="638D47B5">
      <w:pPr>
        <w:pStyle w:val="30"/>
        <w:spacing w:beforeLines="0" w:afterLines="0" w:line="360" w:lineRule="auto"/>
        <w:ind w:firstLine="480" w:firstLineChars="200"/>
        <w:jc w:val="left"/>
        <w:rPr>
          <w:rFonts w:ascii="宋体" w:hAnsi="宋体" w:cs="宋体"/>
          <w:snapToGrid w:val="0"/>
          <w:color w:val="auto"/>
          <w:sz w:val="24"/>
          <w:highlight w:val="none"/>
        </w:rPr>
      </w:pPr>
      <w:r>
        <w:rPr>
          <w:rFonts w:ascii="宋体"/>
          <w:snapToGrid w:val="0"/>
          <w:color w:val="auto"/>
          <w:sz w:val="24"/>
          <w:szCs w:val="24"/>
          <w:highlight w:val="none"/>
        </w:rPr>
        <w:t>1</w:t>
      </w:r>
      <w:r>
        <w:rPr>
          <w:rFonts w:hint="eastAsia" w:ascii="宋体" w:hAnsi="宋体" w:cs="宋体"/>
          <w:snapToGrid w:val="0"/>
          <w:color w:val="auto"/>
          <w:sz w:val="24"/>
          <w:szCs w:val="24"/>
          <w:highlight w:val="none"/>
        </w:rPr>
        <w:t>、承包人自行协调场外道路及设施，必须采取一切措施确保车辆正常通行，做到施工、通车两不误。承包人应针对通车路段的施工特点，提出通车路段的施工维护、安全、分流方案，满足交通主管部门的要求，如不归属交通主管部门管理的道路则满足当地权属部门要求并协商费用，如发生损坏则按原标准恢复并承担相关费用。承包人必须保证工地附近居民的正常出行，因施工原因产生的交通中断，承包人必须采取临时措施确保附近居民出行。相关费用计入投标报价中，发包人不再另行支付。承包人在施工场地外的一切交通费用，均由承包人自行承担，发包人不另行支付；</w:t>
      </w:r>
    </w:p>
    <w:p w14:paraId="7FFF1632">
      <w:pPr>
        <w:pStyle w:val="30"/>
        <w:spacing w:beforeLines="0" w:afterLines="0" w:line="360" w:lineRule="auto"/>
        <w:ind w:firstLine="480" w:firstLineChars="200"/>
        <w:jc w:val="left"/>
        <w:rPr>
          <w:rFonts w:ascii="宋体" w:hAnsi="宋体" w:cs="宋体"/>
          <w:snapToGrid w:val="0"/>
          <w:color w:val="auto"/>
          <w:sz w:val="24"/>
          <w:highlight w:val="none"/>
        </w:rPr>
      </w:pPr>
      <w:r>
        <w:rPr>
          <w:rFonts w:ascii="宋体"/>
          <w:snapToGrid w:val="0"/>
          <w:color w:val="auto"/>
          <w:sz w:val="24"/>
          <w:szCs w:val="24"/>
          <w:highlight w:val="none"/>
        </w:rPr>
        <w:t>2</w:t>
      </w:r>
      <w:r>
        <w:rPr>
          <w:rFonts w:hint="eastAsia" w:ascii="宋体" w:hAnsi="宋体" w:cs="宋体"/>
          <w:snapToGrid w:val="0"/>
          <w:color w:val="auto"/>
          <w:sz w:val="24"/>
          <w:szCs w:val="24"/>
          <w:highlight w:val="none"/>
        </w:rPr>
        <w:t>、承包人应负责修建本合同施工区内现有交通道路至各施工点的全部施工道路、轨道、桥涵、交通隧道和停车场，并在合同实施期间负责管理和维护，承包人负责场内过境车辆的协调和分流工作。</w:t>
      </w:r>
    </w:p>
    <w:p w14:paraId="78E300B3">
      <w:pPr>
        <w:kinsoku/>
        <w:spacing w:beforeLines="0" w:afterLines="0"/>
        <w:ind w:firstLine="420"/>
        <w:jc w:val="left"/>
        <w:rPr>
          <w:rFonts w:ascii="宋体" w:hAnsi="Times New Roman" w:eastAsia="宋体" w:cs="Times New Roman"/>
          <w:b/>
          <w:bCs/>
          <w:color w:val="auto"/>
          <w:spacing w:val="0"/>
          <w:sz w:val="24"/>
          <w:szCs w:val="24"/>
          <w:highlight w:val="none"/>
          <w:lang w:eastAsia="zh-CN"/>
        </w:rPr>
      </w:pPr>
      <w:r>
        <w:rPr>
          <w:rFonts w:ascii="宋体" w:hAnsi="Times New Roman" w:cs="Times New Roman"/>
          <w:snapToGrid w:val="0"/>
          <w:color w:val="auto"/>
          <w:kern w:val="0"/>
          <w:szCs w:val="21"/>
          <w:highlight w:val="none"/>
          <w:lang w:eastAsia="zh-CN"/>
        </w:rPr>
        <w:t>3</w:t>
      </w:r>
      <w:r>
        <w:rPr>
          <w:rFonts w:hint="eastAsia" w:ascii="宋体" w:cs="宋体"/>
          <w:snapToGrid w:val="0"/>
          <w:color w:val="auto"/>
          <w:kern w:val="0"/>
          <w:szCs w:val="21"/>
          <w:highlight w:val="none"/>
          <w:lang w:eastAsia="zh-CN"/>
        </w:rPr>
        <w:t>、本条</w:t>
      </w:r>
      <w:r>
        <w:rPr>
          <w:rFonts w:ascii="宋体" w:cs="宋体"/>
          <w:snapToGrid w:val="0"/>
          <w:color w:val="auto"/>
          <w:kern w:val="0"/>
          <w:szCs w:val="21"/>
          <w:highlight w:val="none"/>
          <w:lang w:eastAsia="zh-CN"/>
        </w:rPr>
        <w:t>1～2条款相关费用计入措施费，不再另行计费。</w:t>
      </w:r>
    </w:p>
    <w:p w14:paraId="27083281">
      <w:pPr>
        <w:pStyle w:val="4"/>
        <w:spacing w:beforeLines="0" w:afterLines="0"/>
        <w:outlineLvl w:val="2"/>
        <w:rPr>
          <w:rFonts w:hint="eastAsia" w:ascii="宋体" w:cs="宋体"/>
          <w:bCs/>
          <w:color w:val="auto"/>
          <w:sz w:val="24"/>
          <w:szCs w:val="24"/>
          <w:highlight w:val="none"/>
        </w:rPr>
      </w:pPr>
      <w:r>
        <w:rPr>
          <w:rFonts w:hint="eastAsia" w:ascii="宋体" w:eastAsia="宋体" w:cs="宋体"/>
          <w:bCs/>
          <w:snapToGrid w:val="0"/>
          <w:color w:val="auto"/>
          <w:spacing w:val="0"/>
          <w:sz w:val="24"/>
          <w:szCs w:val="24"/>
          <w:highlight w:val="none"/>
        </w:rPr>
        <w:t>8</w:t>
      </w:r>
      <w:r>
        <w:rPr>
          <w:rFonts w:hint="eastAsia" w:cs="宋体"/>
          <w:bCs/>
          <w:snapToGrid w:val="0"/>
          <w:color w:val="auto"/>
          <w:spacing w:val="0"/>
          <w:sz w:val="24"/>
          <w:szCs w:val="24"/>
          <w:highlight w:val="none"/>
          <w:lang w:eastAsia="zh-CN"/>
        </w:rPr>
        <w:t>　</w:t>
      </w:r>
      <w:r>
        <w:rPr>
          <w:rFonts w:hint="eastAsia" w:ascii="宋体" w:hAnsi="宋体" w:cs="宋体"/>
          <w:bCs/>
          <w:snapToGrid w:val="0"/>
          <w:color w:val="auto"/>
          <w:spacing w:val="0"/>
          <w:sz w:val="24"/>
          <w:szCs w:val="24"/>
          <w:highlight w:val="none"/>
        </w:rPr>
        <w:t>测量放线</w:t>
      </w:r>
    </w:p>
    <w:p w14:paraId="41EB8B9C">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color w:val="auto"/>
          <w:sz w:val="24"/>
          <w:szCs w:val="24"/>
          <w:highlight w:val="none"/>
        </w:rPr>
        <w:t>8.1</w:t>
      </w:r>
      <w:r>
        <w:rPr>
          <w:rFonts w:hint="eastAsia" w:ascii="宋体" w:eastAsia="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施工控制网</w:t>
      </w:r>
    </w:p>
    <w:p w14:paraId="0B62B7F2">
      <w:pPr>
        <w:kinsoku/>
        <w:spacing w:beforeLines="0" w:afterLines="0"/>
        <w:ind w:firstLine="0" w:firstLineChars="0"/>
        <w:rPr>
          <w:rFonts w:ascii="宋体" w:hAnsi="Times New Roman" w:eastAsia="宋体" w:cs="Times New Roman"/>
          <w:b/>
          <w:bCs/>
          <w:color w:val="auto"/>
          <w:spacing w:val="0"/>
          <w:sz w:val="24"/>
          <w:szCs w:val="24"/>
          <w:highlight w:val="none"/>
          <w:lang w:eastAsia="zh-CN"/>
        </w:rPr>
      </w:pPr>
      <w:r>
        <w:rPr>
          <w:rFonts w:ascii="宋体" w:hAnsi="Times New Roman" w:eastAsia="宋体" w:cs="Times New Roman"/>
          <w:b/>
          <w:snapToGrid w:val="0"/>
          <w:color w:val="auto"/>
          <w:szCs w:val="21"/>
          <w:highlight w:val="none"/>
          <w:lang w:eastAsia="zh-CN"/>
        </w:rPr>
        <w:t>8.1.1</w:t>
      </w:r>
      <w:r>
        <w:rPr>
          <w:rFonts w:hint="eastAsia" w:hAnsi="Times New Roman" w:cs="Times New Roman"/>
          <w:b/>
          <w:snapToGrid w:val="0"/>
          <w:color w:val="auto"/>
          <w:szCs w:val="21"/>
          <w:highlight w:val="none"/>
          <w:lang w:eastAsia="zh-CN"/>
        </w:rPr>
        <w:t>　</w:t>
      </w:r>
      <w:r>
        <w:rPr>
          <w:rFonts w:hint="eastAsia" w:ascii="宋体" w:eastAsia="宋体" w:cs="宋体"/>
          <w:b w:val="0"/>
          <w:snapToGrid w:val="0"/>
          <w:color w:val="auto"/>
          <w:szCs w:val="21"/>
          <w:highlight w:val="none"/>
          <w:lang w:eastAsia="zh-CN"/>
        </w:rPr>
        <w:t>施工控制网的约定：</w:t>
      </w:r>
      <w:r>
        <w:rPr>
          <w:rFonts w:hint="eastAsia" w:cs="宋体"/>
          <w:b w:val="0"/>
          <w:snapToGrid w:val="0"/>
          <w:color w:val="auto"/>
          <w:szCs w:val="21"/>
          <w:highlight w:val="none"/>
          <w:u w:val="single"/>
          <w:lang w:val="en-US" w:eastAsia="zh-CN"/>
        </w:rPr>
        <w:t xml:space="preserve">    /    </w:t>
      </w:r>
      <w:r>
        <w:rPr>
          <w:rFonts w:hint="eastAsia" w:ascii="宋体" w:eastAsia="宋体" w:cs="宋体"/>
          <w:b w:val="0"/>
          <w:snapToGrid w:val="0"/>
          <w:color w:val="auto"/>
          <w:szCs w:val="21"/>
          <w:highlight w:val="none"/>
          <w:u w:val="single"/>
          <w:lang w:eastAsia="zh-CN"/>
        </w:rPr>
        <w:t>。</w:t>
      </w:r>
    </w:p>
    <w:p w14:paraId="36A0EC57">
      <w:pPr>
        <w:pStyle w:val="4"/>
        <w:spacing w:beforeLines="0" w:afterLines="0"/>
        <w:outlineLvl w:val="2"/>
        <w:rPr>
          <w:rFonts w:hint="eastAsia" w:ascii="宋体" w:cs="宋体"/>
          <w:bCs/>
          <w:color w:val="auto"/>
          <w:sz w:val="24"/>
          <w:szCs w:val="24"/>
          <w:highlight w:val="none"/>
        </w:rPr>
      </w:pPr>
      <w:r>
        <w:rPr>
          <w:rFonts w:hint="eastAsia" w:ascii="宋体" w:eastAsia="宋体" w:cs="宋体"/>
          <w:bCs/>
          <w:snapToGrid w:val="0"/>
          <w:color w:val="auto"/>
          <w:spacing w:val="0"/>
          <w:sz w:val="24"/>
          <w:szCs w:val="24"/>
          <w:highlight w:val="none"/>
        </w:rPr>
        <w:t>9</w:t>
      </w:r>
      <w:r>
        <w:rPr>
          <w:rFonts w:hint="eastAsia" w:cs="宋体"/>
          <w:bCs/>
          <w:snapToGrid w:val="0"/>
          <w:color w:val="auto"/>
          <w:spacing w:val="0"/>
          <w:sz w:val="24"/>
          <w:szCs w:val="24"/>
          <w:highlight w:val="none"/>
          <w:lang w:eastAsia="zh-CN"/>
        </w:rPr>
        <w:t>　</w:t>
      </w:r>
      <w:r>
        <w:rPr>
          <w:rFonts w:hint="eastAsia" w:ascii="宋体" w:hAnsi="宋体" w:cs="宋体"/>
          <w:bCs/>
          <w:snapToGrid w:val="0"/>
          <w:color w:val="auto"/>
          <w:spacing w:val="0"/>
          <w:sz w:val="24"/>
          <w:szCs w:val="24"/>
          <w:highlight w:val="none"/>
        </w:rPr>
        <w:t>施工安全、治安保卫和环境保护</w:t>
      </w:r>
    </w:p>
    <w:p w14:paraId="1ECFB97E">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color w:val="auto"/>
          <w:sz w:val="24"/>
          <w:szCs w:val="24"/>
          <w:highlight w:val="none"/>
        </w:rPr>
        <w:t>9.1</w:t>
      </w:r>
      <w:r>
        <w:rPr>
          <w:rFonts w:hint="eastAsia" w:ascii="宋体" w:eastAsia="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发包人的施工安全责任</w:t>
      </w:r>
    </w:p>
    <w:p w14:paraId="7A36E7C8">
      <w:pPr>
        <w:pStyle w:val="30"/>
        <w:snapToGrid w:val="0"/>
        <w:spacing w:beforeLines="0" w:afterLines="0" w:line="360" w:lineRule="auto"/>
        <w:ind w:firstLine="0" w:firstLineChars="0"/>
        <w:rPr>
          <w:rFonts w:ascii="宋体" w:hAnsi="宋体" w:cs="宋体"/>
          <w:snapToGrid w:val="0"/>
          <w:color w:val="auto"/>
          <w:sz w:val="24"/>
          <w:highlight w:val="none"/>
        </w:rPr>
      </w:pPr>
      <w:r>
        <w:rPr>
          <w:rFonts w:ascii="宋体"/>
          <w:b/>
          <w:snapToGrid w:val="0"/>
          <w:color w:val="auto"/>
          <w:sz w:val="24"/>
          <w:szCs w:val="24"/>
          <w:highlight w:val="none"/>
        </w:rPr>
        <w:t>9.1.4</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发包人提供设计阶段收集的</w:t>
      </w:r>
      <w:r>
        <w:rPr>
          <w:rFonts w:hint="eastAsia" w:ascii="宋体" w:hAnsi="宋体" w:cs="宋体"/>
          <w:bCs/>
          <w:color w:val="auto"/>
          <w:sz w:val="24"/>
          <w:szCs w:val="24"/>
          <w:highlight w:val="none"/>
          <w:u w:val="single"/>
        </w:rPr>
        <w:t>工程区域内的水文、气象、地质</w:t>
      </w:r>
      <w:r>
        <w:rPr>
          <w:rFonts w:hint="eastAsia" w:ascii="宋体" w:hAnsi="宋体" w:cs="宋体"/>
          <w:snapToGrid w:val="0"/>
          <w:color w:val="auto"/>
          <w:sz w:val="24"/>
          <w:szCs w:val="24"/>
          <w:highlight w:val="none"/>
        </w:rPr>
        <w:t>资料，其余资料由承包人负责收集。</w:t>
      </w:r>
    </w:p>
    <w:p w14:paraId="059E7F57">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color w:val="auto"/>
          <w:sz w:val="24"/>
          <w:szCs w:val="24"/>
          <w:highlight w:val="none"/>
        </w:rPr>
        <w:t>9.2</w:t>
      </w:r>
      <w:r>
        <w:rPr>
          <w:rFonts w:hint="eastAsia" w:ascii="宋体" w:eastAsia="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承包人的施工安全责任</w:t>
      </w:r>
    </w:p>
    <w:p w14:paraId="647B4D76">
      <w:pPr>
        <w:kinsoku/>
        <w:spacing w:beforeLines="0" w:afterLines="0"/>
        <w:ind w:firstLine="0" w:firstLineChars="0"/>
        <w:rPr>
          <w:rFonts w:cs="宋体"/>
          <w:color w:val="auto"/>
          <w:szCs w:val="21"/>
          <w:highlight w:val="none"/>
          <w:lang w:eastAsia="zh-CN"/>
        </w:rPr>
      </w:pPr>
      <w:r>
        <w:rPr>
          <w:rFonts w:ascii="宋体" w:hAnsi="Times New Roman" w:eastAsia="宋体" w:cs="Times New Roman"/>
          <w:b/>
          <w:snapToGrid w:val="0"/>
          <w:color w:val="auto"/>
          <w:kern w:val="2"/>
          <w:szCs w:val="21"/>
          <w:highlight w:val="none"/>
          <w:lang w:eastAsia="zh-CN"/>
        </w:rPr>
        <w:t>9.2.12</w:t>
      </w:r>
      <w:r>
        <w:rPr>
          <w:rFonts w:hint="eastAsia" w:hAnsi="Times New Roman" w:cs="Times New Roman"/>
          <w:b/>
          <w:snapToGrid w:val="0"/>
          <w:color w:val="auto"/>
          <w:kern w:val="2"/>
          <w:szCs w:val="21"/>
          <w:highlight w:val="none"/>
          <w:lang w:eastAsia="zh-CN"/>
        </w:rPr>
        <w:t>　</w:t>
      </w:r>
      <w:r>
        <w:rPr>
          <w:rFonts w:hint="eastAsia" w:ascii="宋体" w:eastAsia="宋体" w:cs="宋体"/>
          <w:b w:val="0"/>
          <w:snapToGrid w:val="0"/>
          <w:color w:val="auto"/>
          <w:szCs w:val="21"/>
          <w:highlight w:val="none"/>
          <w:lang w:eastAsia="zh-CN"/>
        </w:rPr>
        <w:t>下列工程应编制专项施工方案：</w:t>
      </w:r>
      <w:r>
        <w:rPr>
          <w:rFonts w:hint="eastAsia" w:cs="宋体"/>
          <w:color w:val="auto"/>
          <w:highlight w:val="none"/>
          <w:u w:val="single"/>
          <w:lang w:eastAsia="zh-CN"/>
        </w:rPr>
        <w:t>包括但不限于爆破工程、地下暗挖工程（隧洞开挖）、砼模板支撑工程、围堰工程、临时用电工程、洞脸高边坡防护、度汛方案等。其中爆破工程、砼模板支撑工程、洞脸高边坡防护等应组织专家论证和审查，具体内容及要求见《水利水电工程施工安全管理导则》（</w:t>
      </w:r>
      <w:r>
        <w:rPr>
          <w:rFonts w:cs="宋体"/>
          <w:color w:val="auto"/>
          <w:highlight w:val="none"/>
          <w:u w:val="single"/>
          <w:lang w:eastAsia="zh-CN"/>
        </w:rPr>
        <w:t>SL721）附录A中要求的危险性较大的单项工程。如《水利水电工程施工安全管理导则》（SL721）中无相关内容，则可以参考《危险性较大的分部分项工程安全管理规定》（住建部令第37号）作为补充</w:t>
      </w:r>
      <w:r>
        <w:rPr>
          <w:rFonts w:hint="eastAsia" w:cs="宋体"/>
          <w:color w:val="auto"/>
          <w:highlight w:val="none"/>
          <w:lang w:eastAsia="zh-CN"/>
        </w:rPr>
        <w:t>。</w:t>
      </w:r>
    </w:p>
    <w:p w14:paraId="50D58FC3">
      <w:pPr>
        <w:pStyle w:val="30"/>
        <w:snapToGrid w:val="0"/>
        <w:spacing w:beforeLines="0" w:afterLines="0" w:line="360" w:lineRule="auto"/>
        <w:ind w:firstLine="0" w:firstLineChars="0"/>
        <w:jc w:val="left"/>
        <w:rPr>
          <w:rFonts w:ascii="宋体" w:hAnsi="宋体" w:cs="宋体"/>
          <w:b/>
          <w:bCs/>
          <w:snapToGrid w:val="0"/>
          <w:color w:val="auto"/>
          <w:sz w:val="24"/>
          <w:szCs w:val="24"/>
          <w:highlight w:val="none"/>
        </w:rPr>
      </w:pPr>
      <w:r>
        <w:rPr>
          <w:rFonts w:ascii="宋体"/>
          <w:b/>
          <w:snapToGrid w:val="0"/>
          <w:color w:val="auto"/>
          <w:sz w:val="24"/>
          <w:szCs w:val="24"/>
          <w:highlight w:val="none"/>
        </w:rPr>
        <w:t>9.2.13</w:t>
      </w:r>
      <w:r>
        <w:rPr>
          <w:rFonts w:hint="eastAsia" w:ascii="宋体"/>
          <w:b/>
          <w:snapToGrid w:val="0"/>
          <w:color w:val="auto"/>
          <w:sz w:val="24"/>
          <w:szCs w:val="24"/>
          <w:highlight w:val="none"/>
          <w:lang w:eastAsia="zh-CN"/>
        </w:rPr>
        <w:t>　</w:t>
      </w:r>
      <w:r>
        <w:rPr>
          <w:rFonts w:hint="eastAsia" w:ascii="宋体" w:hAnsi="宋体" w:cs="宋体"/>
          <w:snapToGrid w:val="0"/>
          <w:color w:val="auto"/>
          <w:spacing w:val="0"/>
          <w:kern w:val="0"/>
          <w:sz w:val="24"/>
          <w:szCs w:val="24"/>
          <w:highlight w:val="none"/>
        </w:rPr>
        <w:t>安全生产其他要求</w:t>
      </w:r>
      <w:r>
        <w:rPr>
          <w:rFonts w:hint="eastAsia" w:ascii="宋体" w:hAnsi="楷体" w:eastAsia="宋体" w:cs="楷体"/>
          <w:b/>
          <w:bCs/>
          <w:snapToGrid w:val="0"/>
          <w:color w:val="auto"/>
          <w:spacing w:val="0"/>
          <w:kern w:val="0"/>
          <w:sz w:val="24"/>
          <w:szCs w:val="24"/>
          <w:highlight w:val="none"/>
        </w:rPr>
        <w:t>：</w:t>
      </w:r>
    </w:p>
    <w:p w14:paraId="760607DE">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合同当事人对安全施工的要求：承包人必须保证安全生产，定期组织安全施工培训并承担相关费用。具体要求：</w:t>
      </w:r>
    </w:p>
    <w:p w14:paraId="3004C24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工程开工前，承包人应编制详细的安全生产措施方案及费用计划报监理人审核，发包人审批。工程实施过程中，承包人应按有关规定建立安全施工费使用台账。安全生产施工费须经监理人和第三方跟踪审计单位审核后才能支付。</w:t>
      </w:r>
    </w:p>
    <w:p w14:paraId="245DEAE6">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）承包人的安全管理人员当中要求至少</w:t>
      </w:r>
      <w:r>
        <w:rPr>
          <w:rFonts w:ascii="宋体"/>
          <w:snapToGrid w:val="0"/>
          <w:color w:val="auto"/>
          <w:sz w:val="24"/>
          <w:szCs w:val="24"/>
          <w:highlight w:val="none"/>
        </w:rPr>
        <w:t>2</w:t>
      </w:r>
      <w:r>
        <w:rPr>
          <w:rFonts w:hint="eastAsia" w:ascii="宋体" w:hAnsi="宋体" w:cs="宋体"/>
          <w:snapToGrid w:val="0"/>
          <w:color w:val="auto"/>
          <w:sz w:val="24"/>
          <w:szCs w:val="24"/>
          <w:highlight w:val="none"/>
        </w:rPr>
        <w:t>人具有注册安全工程师资格证书（采用标后管理，投标阶段不作强制性要求）。</w:t>
      </w:r>
    </w:p>
    <w:p w14:paraId="439E8275">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）隧洞内确保用电安全。</w:t>
      </w:r>
    </w:p>
    <w:p w14:paraId="07FECCE1">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4</w:t>
      </w:r>
      <w:r>
        <w:rPr>
          <w:rFonts w:hint="eastAsia" w:ascii="宋体" w:hAnsi="宋体" w:cs="宋体"/>
          <w:snapToGrid w:val="0"/>
          <w:color w:val="auto"/>
          <w:sz w:val="24"/>
          <w:szCs w:val="24"/>
          <w:highlight w:val="none"/>
        </w:rPr>
        <w:t>）承包人应对施工现场的供电、消防、基坑开挖、不良工程地质等制定专项的措施及应急预案，并报监理人审查同意。发包人或监理人的认可不能免除承包人所应承担的责任。</w:t>
      </w:r>
    </w:p>
    <w:p w14:paraId="03EF2471">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5</w:t>
      </w:r>
      <w:r>
        <w:rPr>
          <w:rFonts w:hint="eastAsia" w:ascii="宋体" w:hAnsi="宋体" w:cs="宋体"/>
          <w:snapToGrid w:val="0"/>
          <w:color w:val="auto"/>
          <w:sz w:val="24"/>
          <w:szCs w:val="24"/>
          <w:highlight w:val="none"/>
        </w:rPr>
        <w:t>）承包人应保证地上、地下相关管线、建筑物及文物不受施工破坏，并承担相关费用。</w:t>
      </w:r>
    </w:p>
    <w:p w14:paraId="07CE356E">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6</w:t>
      </w:r>
      <w:r>
        <w:rPr>
          <w:rFonts w:hint="eastAsia" w:ascii="宋体" w:hAnsi="宋体" w:cs="宋体"/>
          <w:snapToGrid w:val="0"/>
          <w:color w:val="auto"/>
          <w:sz w:val="24"/>
          <w:szCs w:val="24"/>
          <w:highlight w:val="none"/>
        </w:rPr>
        <w:t>）防台防汛期间，承包人应无条件服从发包人的指令做好防台防汛相关工作，确保人员安全，期间人员因防台防汛工作要求撤离施工范围至安全地点的转移费用，由承包人承担。</w:t>
      </w:r>
    </w:p>
    <w:p w14:paraId="3F4D84D1">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7</w:t>
      </w:r>
      <w:r>
        <w:rPr>
          <w:rFonts w:hint="eastAsia" w:ascii="宋体" w:hAnsi="宋体" w:cs="宋体"/>
          <w:snapToGrid w:val="0"/>
          <w:color w:val="auto"/>
          <w:sz w:val="24"/>
          <w:szCs w:val="24"/>
          <w:highlight w:val="none"/>
        </w:rPr>
        <w:t>）遵守发包人制订的安全生产相关管理规定，接受安全生产相关奖惩办法，爆破前进行现场管控、劝离无关人员远离爆破现场。</w:t>
      </w:r>
    </w:p>
    <w:p w14:paraId="13A1DB47">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8</w:t>
      </w:r>
      <w:r>
        <w:rPr>
          <w:rFonts w:hint="eastAsia" w:ascii="宋体" w:hAnsi="宋体" w:cs="宋体"/>
          <w:snapToGrid w:val="0"/>
          <w:color w:val="auto"/>
          <w:sz w:val="24"/>
          <w:szCs w:val="24"/>
          <w:highlight w:val="none"/>
        </w:rPr>
        <w:t>）承担施工安全保卫工作及施工照明的责任和要求：根据工程需要，提供和维修施工使用的照明、围栏设施，并负责安全保卫。</w:t>
      </w:r>
    </w:p>
    <w:p w14:paraId="12B3BEF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9</w:t>
      </w:r>
      <w:r>
        <w:rPr>
          <w:rFonts w:hint="eastAsia" w:ascii="宋体" w:hAnsi="宋体" w:cs="宋体"/>
          <w:snapToGrid w:val="0"/>
          <w:color w:val="auto"/>
          <w:sz w:val="24"/>
          <w:szCs w:val="24"/>
          <w:highlight w:val="none"/>
        </w:rPr>
        <w:t>）承包人承担建设期信息化物联感知设备采购、安装、调试及维护工作，感知体系建设需按照发包人需求、标准化文明工地创建要求及建设期信息化要求，设备选型、参数、功能、品牌及点位布置需要满足发包人提出的要求以及实际的管理需求，搭建的各类物联感知系统数据能够接入浙江镜岭水库工程数字孪生系统。需搭建的物联感知体系包括但不限于：建设期洞内、外网络通信、视频监控系统、闸机考勤系统、人脸识别管控系统、安全生产管理系统（安全帽定位系统）、车辆管控系统、地磅称重系统、洞内有毒有害气体监测系统、噪音扬尘监测系统、预警广播系统、大屏显示系统等。</w:t>
      </w:r>
    </w:p>
    <w:p w14:paraId="59941B17">
      <w:pPr>
        <w:pStyle w:val="30"/>
        <w:snapToGrid w:val="0"/>
        <w:spacing w:beforeLines="0" w:afterLines="0" w:line="360" w:lineRule="auto"/>
        <w:ind w:firstLine="480" w:firstLineChars="200"/>
        <w:jc w:val="left"/>
        <w:rPr>
          <w:rFonts w:ascii="宋体" w:hAnsi="宋体" w:cs="宋体"/>
          <w:snapToGrid w:val="0"/>
          <w:color w:val="auto"/>
          <w:sz w:val="24"/>
          <w:highlight w:val="none"/>
          <w:u w:val="singl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10</w:t>
      </w:r>
      <w:r>
        <w:rPr>
          <w:rFonts w:hint="eastAsia" w:ascii="宋体" w:hAnsi="宋体" w:cs="宋体"/>
          <w:snapToGrid w:val="0"/>
          <w:color w:val="auto"/>
          <w:sz w:val="24"/>
          <w:szCs w:val="24"/>
          <w:highlight w:val="none"/>
        </w:rPr>
        <w:t>）承包人需</w:t>
      </w:r>
      <w:r>
        <w:rPr>
          <w:rFonts w:hint="eastAsia" w:ascii="宋体" w:hAnsi="宋体" w:cs="宋体"/>
          <w:snapToGrid w:val="0"/>
          <w:color w:val="auto"/>
          <w:sz w:val="24"/>
          <w:szCs w:val="24"/>
          <w:highlight w:val="none"/>
          <w:lang w:val="en-US" w:eastAsia="zh-CN"/>
        </w:rPr>
        <w:t>每周</w:t>
      </w:r>
      <w:r>
        <w:rPr>
          <w:rFonts w:hint="eastAsia" w:ascii="宋体" w:hAnsi="宋体" w:cs="宋体"/>
          <w:snapToGrid w:val="0"/>
          <w:color w:val="auto"/>
          <w:sz w:val="24"/>
          <w:szCs w:val="24"/>
          <w:highlight w:val="none"/>
        </w:rPr>
        <w:t>开展工区无人机飞行拍摄，多视角采集，确保至少有一张覆盖整个工区的顶视图（类似正射影像图，如果工区过大可按区块采集），用于纹理采集，分辨率不低于</w:t>
      </w:r>
      <w:r>
        <w:rPr>
          <w:rFonts w:ascii="宋体"/>
          <w:snapToGrid w:val="0"/>
          <w:color w:val="auto"/>
          <w:sz w:val="24"/>
          <w:szCs w:val="24"/>
          <w:highlight w:val="none"/>
        </w:rPr>
        <w:t>5471</w:t>
      </w:r>
      <w:r>
        <w:rPr>
          <w:rFonts w:hint="eastAsia" w:ascii="宋体" w:hAnsi="宋体" w:cs="宋体"/>
          <w:snapToGrid w:val="0"/>
          <w:color w:val="auto"/>
          <w:sz w:val="24"/>
          <w:szCs w:val="24"/>
          <w:highlight w:val="none"/>
          <w:lang w:eastAsia="zh-CN"/>
        </w:rPr>
        <w:t>×</w:t>
      </w:r>
      <w:r>
        <w:rPr>
          <w:rFonts w:ascii="宋体"/>
          <w:snapToGrid w:val="0"/>
          <w:color w:val="auto"/>
          <w:sz w:val="24"/>
          <w:szCs w:val="24"/>
          <w:highlight w:val="none"/>
        </w:rPr>
        <w:t>3648</w:t>
      </w:r>
      <w:r>
        <w:rPr>
          <w:rFonts w:hint="eastAsia" w:ascii="宋体" w:hAnsi="宋体" w:cs="宋体"/>
          <w:snapToGrid w:val="0"/>
          <w:color w:val="auto"/>
          <w:sz w:val="24"/>
          <w:szCs w:val="24"/>
          <w:highlight w:val="none"/>
        </w:rPr>
        <w:t>，其余可为不同角度透视图，用于现场布置及结构参考。</w:t>
      </w:r>
    </w:p>
    <w:p w14:paraId="718D309A">
      <w:pPr>
        <w:kinsoku/>
        <w:adjustRightInd/>
        <w:snapToGrid/>
        <w:spacing w:beforeLines="0" w:afterLines="0"/>
        <w:ind w:left="0" w:firstLine="0" w:firstLineChars="0"/>
        <w:jc w:val="left"/>
        <w:textAlignment w:val="auto"/>
        <w:rPr>
          <w:rFonts w:cs="宋体"/>
          <w:b/>
          <w:bCs/>
          <w:color w:val="auto"/>
          <w:kern w:val="2"/>
          <w:highlight w:val="none"/>
          <w:lang w:eastAsia="zh-CN"/>
        </w:rPr>
      </w:pPr>
      <w:r>
        <w:rPr>
          <w:rFonts w:ascii="宋体" w:hAnsi="Times New Roman" w:cs="Times New Roman"/>
          <w:b/>
          <w:bCs/>
          <w:color w:val="auto"/>
          <w:kern w:val="2"/>
          <w:szCs w:val="21"/>
          <w:highlight w:val="none"/>
          <w:lang w:eastAsia="zh-CN"/>
        </w:rPr>
        <w:t>9.4</w:t>
      </w:r>
      <w:r>
        <w:rPr>
          <w:rFonts w:hint="eastAsia" w:hAnsi="Times New Roman" w:cs="Times New Roman"/>
          <w:b/>
          <w:bCs/>
          <w:color w:val="auto"/>
          <w:kern w:val="2"/>
          <w:szCs w:val="21"/>
          <w:highlight w:val="none"/>
          <w:lang w:eastAsia="zh-CN"/>
        </w:rPr>
        <w:t>　</w:t>
      </w:r>
      <w:r>
        <w:rPr>
          <w:rFonts w:hint="eastAsia" w:ascii="宋体" w:hAnsi="楷体" w:eastAsia="宋体" w:cs="楷体"/>
          <w:b/>
          <w:bCs/>
          <w:color w:val="auto"/>
          <w:spacing w:val="0"/>
          <w:szCs w:val="21"/>
          <w:highlight w:val="none"/>
          <w:lang w:eastAsia="zh-CN"/>
        </w:rPr>
        <w:t>环境保护</w:t>
      </w:r>
    </w:p>
    <w:p w14:paraId="3F9F65D5">
      <w:pPr>
        <w:kinsoku/>
        <w:adjustRightInd/>
        <w:snapToGrid/>
        <w:spacing w:beforeLines="0" w:afterLines="0"/>
        <w:ind w:firstLine="0" w:firstLineChars="0"/>
        <w:jc w:val="left"/>
        <w:textAlignment w:val="auto"/>
        <w:rPr>
          <w:rFonts w:cs="宋体"/>
          <w:color w:val="auto"/>
          <w:kern w:val="2"/>
          <w:szCs w:val="21"/>
          <w:highlight w:val="none"/>
          <w:u w:val="single"/>
          <w:lang w:eastAsia="zh-CN"/>
        </w:rPr>
      </w:pPr>
      <w:r>
        <w:rPr>
          <w:rFonts w:ascii="宋体" w:hAnsi="Times New Roman" w:cs="Times New Roman"/>
          <w:b/>
          <w:bCs/>
          <w:color w:val="auto"/>
          <w:kern w:val="2"/>
          <w:szCs w:val="21"/>
          <w:highlight w:val="none"/>
          <w:lang w:eastAsia="zh-CN"/>
        </w:rPr>
        <w:t>9.4.2</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承包人应按合同约定的环保工作内容，编制环保专项施工方案，报送监理人审批。编制、审查环保专项施工方案、实施施工期环境保护的各项费用已包含在投标报价中，发包人不再另行支付。</w:t>
      </w:r>
    </w:p>
    <w:p w14:paraId="53C63E1E">
      <w:pPr>
        <w:kinsoku/>
        <w:adjustRightInd/>
        <w:snapToGrid/>
        <w:spacing w:beforeLines="0" w:afterLines="0"/>
        <w:ind w:left="0" w:firstLine="420"/>
        <w:jc w:val="left"/>
        <w:textAlignment w:val="auto"/>
        <w:rPr>
          <w:rFonts w:cs="宋体"/>
          <w:color w:val="auto"/>
          <w:kern w:val="2"/>
          <w:szCs w:val="21"/>
          <w:highlight w:val="none"/>
          <w:lang w:eastAsia="zh-CN"/>
        </w:rPr>
      </w:pPr>
      <w:r>
        <w:rPr>
          <w:rFonts w:hint="eastAsia" w:cs="宋体"/>
          <w:color w:val="auto"/>
          <w:kern w:val="2"/>
          <w:szCs w:val="21"/>
          <w:highlight w:val="none"/>
          <w:lang w:eastAsia="zh-CN"/>
        </w:rPr>
        <w:t>补充以下条款：</w:t>
      </w:r>
    </w:p>
    <w:p w14:paraId="60B50EA2">
      <w:pPr>
        <w:kinsoku/>
        <w:adjustRightInd/>
        <w:snapToGrid/>
        <w:spacing w:beforeLines="0" w:afterLines="0"/>
        <w:ind w:firstLine="0" w:firstLineChars="0"/>
        <w:jc w:val="left"/>
        <w:textAlignment w:val="auto"/>
        <w:rPr>
          <w:rFonts w:cs="宋体"/>
          <w:color w:val="auto"/>
          <w:kern w:val="2"/>
          <w:szCs w:val="21"/>
          <w:highlight w:val="none"/>
          <w:u w:val="singl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7</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承包人应严格执行国家有关水域环境生态保护的规定，合理选择施工机械和施工工艺，采取有效措施，减少施工对周边环境的影响。</w:t>
      </w:r>
    </w:p>
    <w:p w14:paraId="1EB99C69">
      <w:pPr>
        <w:kinsoku/>
        <w:adjustRightInd/>
        <w:snapToGrid/>
        <w:spacing w:beforeLines="0" w:afterLines="0"/>
        <w:ind w:firstLine="0" w:firstLineChars="0"/>
        <w:jc w:val="left"/>
        <w:textAlignment w:val="auto"/>
        <w:rPr>
          <w:rFonts w:cs="宋体"/>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8</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承包人应做好施工期各项水质保护措施，各类污水需执行分治外排原则，禁止直接外排。特别加强对废弃泥浆的处理措施，按相关规定处置。施工临时占地应尽量远离饮用水水源保护区。</w:t>
      </w:r>
    </w:p>
    <w:p w14:paraId="36EC86F9">
      <w:pPr>
        <w:kinsoku/>
        <w:adjustRightInd/>
        <w:snapToGrid/>
        <w:spacing w:beforeLines="0" w:afterLines="0"/>
        <w:ind w:firstLine="0" w:firstLineChars="0"/>
        <w:jc w:val="left"/>
        <w:textAlignment w:val="auto"/>
        <w:rPr>
          <w:rFonts w:cs="宋体"/>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9</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承包人应尽可能优化施工方案，严格限定施工活动范围，合理安排好施工时段和施工方式。加强水土流失防治，落实相应的工程措施、植物措施和临时措施。进一步优化工程取土、弃渣处置方案，禁止在环境敏感区范围内设置工程取土弃渣场。施工期注意收集表层土壤，施工结束应立即开展对弃渣场及临时占地的复植、复耕等生态修复工作。</w:t>
      </w:r>
    </w:p>
    <w:p w14:paraId="6592506D">
      <w:pPr>
        <w:kinsoku/>
        <w:adjustRightInd/>
        <w:snapToGrid/>
        <w:spacing w:beforeLines="0" w:afterLines="0"/>
        <w:ind w:firstLine="0" w:firstLineChars="0"/>
        <w:jc w:val="left"/>
        <w:textAlignment w:val="auto"/>
        <w:rPr>
          <w:rFonts w:cs="宋体"/>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10</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承包人应做好施工区附近和施工公路沿线居民点的噪声和扬尘污染防治工作。选用低噪声设备，合理安排施工作业时间。建筑垃圾及施工人员生活垃圾须及时清运并妥善处理，禁止随意抛弃、排入水体。</w:t>
      </w:r>
    </w:p>
    <w:p w14:paraId="55A06FCA">
      <w:pPr>
        <w:kinsoku/>
        <w:adjustRightInd/>
        <w:snapToGrid/>
        <w:spacing w:beforeLines="0" w:afterLines="0"/>
        <w:ind w:firstLine="0" w:firstLineChars="0"/>
        <w:jc w:val="left"/>
        <w:textAlignment w:val="auto"/>
        <w:rPr>
          <w:rFonts w:cs="宋体"/>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11</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承包人需办理有关施工场地交通、环卫和施工噪音管理等手续：遵守政府有关主管部门对施工场地交通、施工噪音以及环境保护和安全生产等的管理规定，办理相关手续、并以书面形式通知发包人；施工过程中由承包人负责处理自身原因涉及市政、环保、卫生、交通、污水处理和自身原因引起的一切纠纷、事故赔偿责任和社会治安等关系。其中施工期间生产的废排水，承包人应根据施工组织设计并结合现场情况考虑制定处理措施方案，须满足当地环保等有关部门的要求。</w:t>
      </w:r>
    </w:p>
    <w:p w14:paraId="57E360FE">
      <w:pPr>
        <w:kinsoku/>
        <w:adjustRightInd/>
        <w:snapToGrid/>
        <w:spacing w:beforeLines="0" w:afterLines="0"/>
        <w:ind w:firstLine="0" w:firstLineChars="0"/>
        <w:jc w:val="left"/>
        <w:textAlignment w:val="auto"/>
        <w:rPr>
          <w:rFonts w:cs="宋体"/>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12</w:t>
      </w:r>
      <w:r>
        <w:rPr>
          <w:rFonts w:hint="eastAsia" w:hAnsi="Times New Roman" w:cs="Times New Roman"/>
          <w:b/>
          <w:bCs/>
          <w:color w:val="auto"/>
          <w:kern w:val="2"/>
          <w:szCs w:val="21"/>
          <w:highlight w:val="none"/>
          <w:lang w:eastAsia="zh-CN"/>
        </w:rPr>
        <w:t>　</w:t>
      </w:r>
      <w:r>
        <w:rPr>
          <w:rFonts w:hint="eastAsia" w:cs="宋体"/>
          <w:color w:val="auto"/>
          <w:kern w:val="2"/>
          <w:szCs w:val="21"/>
          <w:highlight w:val="none"/>
          <w:lang w:eastAsia="zh-CN"/>
        </w:rPr>
        <w:t>施工现场清洁卫生的要求：保证施工场地清洁符合环境卫生管理的有关规定，完工验收通过后</w:t>
      </w:r>
      <w:r>
        <w:rPr>
          <w:rFonts w:cs="宋体"/>
          <w:color w:val="auto"/>
          <w:kern w:val="2"/>
          <w:szCs w:val="21"/>
          <w:highlight w:val="none"/>
          <w:lang w:eastAsia="zh-CN"/>
        </w:rPr>
        <w:t xml:space="preserve"> </w:t>
      </w:r>
      <w:r>
        <w:rPr>
          <w:rFonts w:ascii="宋体" w:hAnsi="Times New Roman" w:cs="Times New Roman"/>
          <w:color w:val="auto"/>
          <w:kern w:val="2"/>
          <w:szCs w:val="21"/>
          <w:highlight w:val="none"/>
          <w:lang w:eastAsia="zh-CN"/>
        </w:rPr>
        <w:t>30</w:t>
      </w:r>
      <w:r>
        <w:rPr>
          <w:rFonts w:cs="宋体"/>
          <w:color w:val="auto"/>
          <w:kern w:val="2"/>
          <w:szCs w:val="21"/>
          <w:highlight w:val="none"/>
          <w:lang w:eastAsia="zh-CN"/>
        </w:rPr>
        <w:t xml:space="preserve"> 天内完工清场，并承担因自身原因违反有关规定造成的损失和违约金。</w:t>
      </w:r>
    </w:p>
    <w:p w14:paraId="1E632642">
      <w:pPr>
        <w:pStyle w:val="36"/>
        <w:kinsoku/>
        <w:adjustRightInd/>
        <w:snapToGrid/>
        <w:spacing w:beforeLines="0" w:afterLines="0"/>
        <w:ind w:firstLine="0" w:firstLineChars="0"/>
        <w:textAlignment w:val="auto"/>
        <w:rPr>
          <w:rFonts w:ascii="宋体" w:hAnsi="Times New Roman" w:cs="Times New Roman"/>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13</w:t>
      </w:r>
      <w:r>
        <w:rPr>
          <w:rFonts w:hint="eastAsia" w:ascii="宋体" w:hAnsi="Times New Roman" w:cs="Times New Roman"/>
          <w:b/>
          <w:bCs/>
          <w:color w:val="auto"/>
          <w:kern w:val="2"/>
          <w:szCs w:val="21"/>
          <w:highlight w:val="none"/>
          <w:lang w:eastAsia="zh-CN"/>
        </w:rPr>
        <w:t>　</w:t>
      </w:r>
      <w:r>
        <w:rPr>
          <w:rFonts w:hint="eastAsia" w:ascii="宋体" w:hAnsi="Times New Roman" w:cs="Times New Roman"/>
          <w:color w:val="auto"/>
          <w:kern w:val="2"/>
          <w:szCs w:val="21"/>
          <w:highlight w:val="none"/>
          <w:lang w:eastAsia="zh-CN"/>
        </w:rPr>
        <w:t>因渣土排放、建筑垃圾消纳、污水排放、扬尘治理等，引起条件变化或周边施工环境变化，导致本工程施工场地加固、施工工作量增加、施工难度增加、用水用电困难，临时用地调整之后的租赁以及相关的施工围挡、临时设施、临时水电、临时通讯、临时道路的迁移、拆除或改建等，以及土石方和工程材料、物质、设备运输（如车辆办证、运距、运输方式、运输途径、运输时间、车辆清洗等）要求变化等因素导致本工程增加的成本和费用的风险由承包人承担。</w:t>
      </w:r>
    </w:p>
    <w:p w14:paraId="38F4DA6F">
      <w:pPr>
        <w:pStyle w:val="36"/>
        <w:kinsoku/>
        <w:adjustRightInd/>
        <w:snapToGrid/>
        <w:spacing w:beforeLines="0" w:afterLines="0"/>
        <w:ind w:firstLine="0" w:firstLineChars="0"/>
        <w:textAlignment w:val="auto"/>
        <w:rPr>
          <w:rFonts w:ascii="宋体" w:hAnsi="宋体" w:cs="宋体"/>
          <w:color w:val="auto"/>
          <w:kern w:val="2"/>
          <w:szCs w:val="21"/>
          <w:highlight w:val="none"/>
          <w:lang w:eastAsia="zh-CN"/>
        </w:rPr>
      </w:pPr>
      <w:r>
        <w:rPr>
          <w:rFonts w:ascii="宋体" w:hAnsi="Times New Roman" w:cs="Times New Roman"/>
          <w:b/>
          <w:bCs/>
          <w:color w:val="auto"/>
          <w:kern w:val="2"/>
          <w:szCs w:val="21"/>
          <w:highlight w:val="none"/>
          <w:lang w:eastAsia="zh-CN"/>
        </w:rPr>
        <w:t>9.4.</w:t>
      </w:r>
      <w:r>
        <w:rPr>
          <w:rFonts w:hint="default" w:ascii="宋体" w:hAnsi="Times New Roman" w:cs="Times New Roman"/>
          <w:b/>
          <w:bCs/>
          <w:color w:val="auto"/>
          <w:kern w:val="2"/>
          <w:szCs w:val="21"/>
          <w:highlight w:val="none"/>
          <w:lang w:val="en-US" w:eastAsia="zh-CN"/>
        </w:rPr>
        <w:t>14</w:t>
      </w:r>
      <w:r>
        <w:rPr>
          <w:rFonts w:hint="eastAsia" w:ascii="宋体" w:hAnsi="Times New Roman" w:cs="Times New Roman"/>
          <w:b/>
          <w:bCs/>
          <w:color w:val="auto"/>
          <w:kern w:val="2"/>
          <w:szCs w:val="21"/>
          <w:highlight w:val="none"/>
          <w:lang w:eastAsia="zh-CN"/>
        </w:rPr>
        <w:t>　</w:t>
      </w:r>
      <w:r>
        <w:rPr>
          <w:rFonts w:hint="eastAsia" w:ascii="宋体" w:hAnsi="Times New Roman" w:cs="Times New Roman"/>
          <w:color w:val="auto"/>
          <w:kern w:val="2"/>
          <w:szCs w:val="21"/>
          <w:highlight w:val="none"/>
          <w:lang w:eastAsia="zh-CN"/>
        </w:rPr>
        <w:t>承包人应做好施工区附近和施工公路沿线居民点的噪声和扬尘污染防治工作。选用低噪声设备，合理安排施工作业时间。建筑垃圾及施工人员生活垃圾须及时清运并妥善处理，禁止随意抛弃、排入水体。</w:t>
      </w:r>
    </w:p>
    <w:p w14:paraId="6F3A677C">
      <w:pPr>
        <w:pStyle w:val="36"/>
        <w:kinsoku/>
        <w:adjustRightInd/>
        <w:snapToGrid/>
        <w:spacing w:beforeLines="0" w:afterLines="0"/>
        <w:ind w:firstLine="0" w:firstLineChars="0"/>
        <w:textAlignment w:val="auto"/>
        <w:rPr>
          <w:rFonts w:ascii="宋体" w:hAnsi="宋体" w:cs="宋体"/>
          <w:color w:val="auto"/>
          <w:kern w:val="2"/>
          <w:szCs w:val="21"/>
          <w:highlight w:val="none"/>
          <w:lang w:eastAsia="zh-CN"/>
        </w:rPr>
      </w:pPr>
      <w:r>
        <w:rPr>
          <w:rFonts w:ascii="宋体" w:hAnsi="Times New Roman" w:cs="Times New Roman"/>
          <w:b/>
          <w:bCs/>
          <w:color w:val="auto"/>
          <w:kern w:val="2"/>
          <w:szCs w:val="21"/>
          <w:highlight w:val="none"/>
          <w:lang w:eastAsia="zh-CN"/>
        </w:rPr>
        <w:t>9.4.15</w:t>
      </w:r>
      <w:r>
        <w:rPr>
          <w:rFonts w:hint="eastAsia" w:ascii="宋体" w:hAnsi="Times New Roman" w:cs="Times New Roman"/>
          <w:b/>
          <w:bCs/>
          <w:color w:val="auto"/>
          <w:kern w:val="2"/>
          <w:szCs w:val="21"/>
          <w:highlight w:val="none"/>
          <w:lang w:eastAsia="zh-CN"/>
        </w:rPr>
        <w:t>　</w:t>
      </w:r>
      <w:r>
        <w:rPr>
          <w:rFonts w:hint="eastAsia" w:ascii="宋体" w:hAnsi="宋体" w:cs="宋体"/>
          <w:color w:val="auto"/>
          <w:kern w:val="2"/>
          <w:szCs w:val="21"/>
          <w:highlight w:val="none"/>
          <w:lang w:eastAsia="zh-CN"/>
        </w:rPr>
        <w:t>施工区生产废水与生活污水要进行处理，对冲洗水及机修、车洗、施工混水等生产废水设置沉淀池和隔油池处理，待达到标准才能排放。生活污水应经处理达到排放标准后方能排放。</w:t>
      </w:r>
    </w:p>
    <w:p w14:paraId="2FE85ED5">
      <w:pPr>
        <w:kinsoku/>
        <w:adjustRightInd/>
        <w:snapToGrid/>
        <w:spacing w:beforeLines="0" w:afterLines="0"/>
        <w:ind w:left="0" w:firstLine="0" w:firstLineChars="0"/>
        <w:textAlignment w:val="auto"/>
        <w:rPr>
          <w:rFonts w:cs="宋体"/>
          <w:b/>
          <w:bCs/>
          <w:color w:val="auto"/>
          <w:kern w:val="2"/>
          <w:highlight w:val="none"/>
          <w:lang w:eastAsia="zh-CN"/>
        </w:rPr>
      </w:pPr>
      <w:r>
        <w:rPr>
          <w:rFonts w:cs="宋体"/>
          <w:b/>
          <w:bCs/>
          <w:color w:val="auto"/>
          <w:kern w:val="2"/>
          <w:highlight w:val="none"/>
          <w:lang w:eastAsia="zh-CN"/>
        </w:rPr>
        <w:t>9.6</w:t>
      </w:r>
      <w:r>
        <w:rPr>
          <w:rFonts w:hint="eastAsia" w:cs="宋体"/>
          <w:b/>
          <w:bCs/>
          <w:color w:val="auto"/>
          <w:kern w:val="2"/>
          <w:highlight w:val="none"/>
          <w:lang w:eastAsia="zh-CN"/>
        </w:rPr>
        <w:t>　</w:t>
      </w:r>
      <w:r>
        <w:rPr>
          <w:rFonts w:hint="eastAsia" w:ascii="宋体" w:hAnsi="楷体" w:eastAsia="宋体" w:cs="楷体"/>
          <w:b/>
          <w:bCs/>
          <w:color w:val="auto"/>
          <w:spacing w:val="0"/>
          <w:szCs w:val="21"/>
          <w:highlight w:val="none"/>
          <w:lang w:eastAsia="zh-CN"/>
        </w:rPr>
        <w:t>水土保持</w:t>
      </w:r>
    </w:p>
    <w:p w14:paraId="13A2039B">
      <w:pPr>
        <w:pStyle w:val="36"/>
        <w:kinsoku/>
        <w:adjustRightInd/>
        <w:snapToGrid/>
        <w:spacing w:beforeLines="0" w:afterLines="0"/>
        <w:ind w:firstLine="0" w:firstLineChars="0"/>
        <w:textAlignment w:val="auto"/>
        <w:rPr>
          <w:rFonts w:ascii="宋体" w:hAnsi="宋体" w:cs="宋体"/>
          <w:strike/>
          <w:color w:val="auto"/>
          <w:kern w:val="2"/>
          <w:szCs w:val="21"/>
          <w:highlight w:val="none"/>
          <w:u w:val="single"/>
          <w:lang w:eastAsia="zh-CN"/>
        </w:rPr>
      </w:pPr>
      <w:r>
        <w:rPr>
          <w:rFonts w:ascii="宋体" w:hAnsi="Times New Roman" w:cs="Times New Roman"/>
          <w:b/>
          <w:bCs/>
          <w:color w:val="auto"/>
          <w:kern w:val="2"/>
          <w:szCs w:val="21"/>
          <w:highlight w:val="none"/>
          <w:lang w:eastAsia="zh-CN"/>
        </w:rPr>
        <w:t>9.6.3</w:t>
      </w:r>
      <w:r>
        <w:rPr>
          <w:rFonts w:hint="eastAsia" w:ascii="宋体" w:hAnsi="Times New Roman" w:cs="Times New Roman"/>
          <w:b/>
          <w:bCs/>
          <w:color w:val="auto"/>
          <w:kern w:val="2"/>
          <w:szCs w:val="21"/>
          <w:highlight w:val="none"/>
          <w:lang w:eastAsia="zh-CN"/>
        </w:rPr>
        <w:t>　</w:t>
      </w:r>
      <w:r>
        <w:rPr>
          <w:rFonts w:hint="eastAsia" w:ascii="宋体" w:hAnsi="宋体" w:cs="宋体"/>
          <w:color w:val="auto"/>
          <w:kern w:val="2"/>
          <w:szCs w:val="21"/>
          <w:highlight w:val="none"/>
          <w:lang w:eastAsia="zh-CN"/>
        </w:rPr>
        <w:t>承包人应按合同约定的水保工作内容，编制施工水保专项方案，报送监理人审批。编制、审查施工水保专项方案的各项费用已包含在投标报价中，发包人不再另行支付。</w:t>
      </w:r>
    </w:p>
    <w:p w14:paraId="38C58979">
      <w:pPr>
        <w:pStyle w:val="36"/>
        <w:kinsoku/>
        <w:adjustRightInd/>
        <w:snapToGrid/>
        <w:spacing w:beforeLines="0" w:afterLines="0"/>
        <w:ind w:firstLine="0" w:firstLineChars="0"/>
        <w:textAlignment w:val="auto"/>
        <w:rPr>
          <w:rFonts w:ascii="宋体" w:hAnsi="宋体" w:cs="宋体"/>
          <w:color w:val="auto"/>
          <w:kern w:val="2"/>
          <w:szCs w:val="21"/>
          <w:highlight w:val="none"/>
          <w:u w:val="single"/>
          <w:lang w:eastAsia="zh-CN"/>
        </w:rPr>
      </w:pPr>
      <w:r>
        <w:rPr>
          <w:rFonts w:ascii="宋体" w:hAnsi="Times New Roman" w:cs="Times New Roman"/>
          <w:b/>
          <w:bCs/>
          <w:color w:val="auto"/>
          <w:kern w:val="2"/>
          <w:szCs w:val="21"/>
          <w:highlight w:val="none"/>
          <w:lang w:eastAsia="zh-CN"/>
        </w:rPr>
        <w:t>9.6.4</w:t>
      </w:r>
      <w:r>
        <w:rPr>
          <w:rFonts w:hint="eastAsia" w:ascii="宋体" w:hAnsi="Times New Roman" w:cs="Times New Roman"/>
          <w:b/>
          <w:bCs/>
          <w:color w:val="auto"/>
          <w:kern w:val="2"/>
          <w:szCs w:val="21"/>
          <w:highlight w:val="none"/>
          <w:lang w:eastAsia="zh-CN"/>
        </w:rPr>
        <w:t>　</w:t>
      </w:r>
      <w:r>
        <w:rPr>
          <w:rFonts w:hint="eastAsia" w:ascii="宋体" w:hAnsi="宋体" w:cs="宋体"/>
          <w:color w:val="auto"/>
          <w:kern w:val="2"/>
          <w:szCs w:val="21"/>
          <w:highlight w:val="none"/>
          <w:lang w:eastAsia="zh-CN"/>
        </w:rPr>
        <w:t>承包人的各类施工活动要严格限定在用地范围内，严禁随意占压、扰动和破坏地表植被；做好表土的剥离、集中堆放、拦挡、排水、苫盖及回覆等；施工过程中产生的弃土（渣）要及时清运至指定地点堆放并进行防护，禁止随意倾倒或堆弃。施工结束后要及时进行迹地整治、复耕或恢复植被。加强施工组织管理和临时防护措施，合理安排施工时序，严格控制施工期间可能造成的水土流失。</w:t>
      </w:r>
    </w:p>
    <w:p w14:paraId="625474D5">
      <w:pPr>
        <w:pStyle w:val="36"/>
        <w:kinsoku/>
        <w:adjustRightInd/>
        <w:snapToGrid/>
        <w:spacing w:beforeLines="0" w:afterLines="0"/>
        <w:ind w:firstLine="0" w:firstLineChars="0"/>
        <w:textAlignment w:val="auto"/>
        <w:rPr>
          <w:rFonts w:ascii="宋体" w:hAnsi="宋体" w:cs="宋体"/>
          <w:color w:val="auto"/>
          <w:kern w:val="2"/>
          <w:szCs w:val="21"/>
          <w:highlight w:val="none"/>
          <w:u w:val="single"/>
          <w:lang w:eastAsia="zh-CN"/>
        </w:rPr>
      </w:pPr>
      <w:r>
        <w:rPr>
          <w:rFonts w:ascii="宋体" w:hAnsi="Times New Roman" w:cs="Times New Roman"/>
          <w:b/>
          <w:bCs/>
          <w:color w:val="auto"/>
          <w:kern w:val="2"/>
          <w:szCs w:val="21"/>
          <w:highlight w:val="none"/>
          <w:lang w:eastAsia="zh-CN"/>
        </w:rPr>
        <w:t>9.6.5</w:t>
      </w:r>
      <w:r>
        <w:rPr>
          <w:rFonts w:hint="eastAsia" w:ascii="宋体" w:hAnsi="Times New Roman" w:cs="Times New Roman"/>
          <w:b/>
          <w:bCs/>
          <w:color w:val="auto"/>
          <w:kern w:val="2"/>
          <w:szCs w:val="21"/>
          <w:highlight w:val="none"/>
          <w:lang w:eastAsia="zh-CN"/>
        </w:rPr>
        <w:t>　</w:t>
      </w:r>
      <w:r>
        <w:rPr>
          <w:rFonts w:hint="eastAsia" w:ascii="宋体" w:hAnsi="宋体" w:cs="宋体"/>
          <w:color w:val="auto"/>
          <w:kern w:val="2"/>
          <w:szCs w:val="21"/>
          <w:highlight w:val="none"/>
          <w:lang w:eastAsia="zh-CN"/>
        </w:rPr>
        <w:t>做好水源保护区的保护工作，满足当地环保部门要求，使其免受施工的污染，所需的费用包含在投标总价或相关项目单价中。应注重水土保持相关内容，控制现场扬尘、防止水土流失。</w:t>
      </w:r>
    </w:p>
    <w:p w14:paraId="110FB34B">
      <w:pPr>
        <w:pStyle w:val="36"/>
        <w:kinsoku/>
        <w:adjustRightInd/>
        <w:snapToGrid/>
        <w:spacing w:beforeLines="0" w:afterLines="0"/>
        <w:ind w:firstLine="0" w:firstLineChars="0"/>
        <w:textAlignment w:val="auto"/>
        <w:rPr>
          <w:rFonts w:ascii="宋体" w:hAnsi="宋体" w:cs="宋体"/>
          <w:color w:val="auto"/>
          <w:kern w:val="2"/>
          <w:szCs w:val="21"/>
          <w:highlight w:val="none"/>
          <w:lang w:eastAsia="zh-CN"/>
        </w:rPr>
      </w:pPr>
      <w:r>
        <w:rPr>
          <w:rFonts w:ascii="宋体" w:hAnsi="Times New Roman" w:cs="Times New Roman"/>
          <w:b/>
          <w:bCs/>
          <w:color w:val="auto"/>
          <w:kern w:val="2"/>
          <w:szCs w:val="21"/>
          <w:highlight w:val="none"/>
          <w:lang w:eastAsia="zh-CN"/>
        </w:rPr>
        <w:t>9.6.6</w:t>
      </w:r>
      <w:r>
        <w:rPr>
          <w:rFonts w:hint="eastAsia" w:ascii="宋体" w:hAnsi="Times New Roman" w:cs="Times New Roman"/>
          <w:b/>
          <w:bCs/>
          <w:color w:val="auto"/>
          <w:kern w:val="2"/>
          <w:szCs w:val="21"/>
          <w:highlight w:val="none"/>
          <w:lang w:eastAsia="zh-CN"/>
        </w:rPr>
        <w:t>　</w:t>
      </w:r>
      <w:r>
        <w:rPr>
          <w:rFonts w:hint="eastAsia" w:ascii="宋体" w:hAnsi="宋体" w:cs="宋体"/>
          <w:color w:val="auto"/>
          <w:kern w:val="2"/>
          <w:szCs w:val="21"/>
          <w:highlight w:val="none"/>
          <w:lang w:eastAsia="zh-CN"/>
        </w:rPr>
        <w:t>发包人提供的临时借地的土地复垦由承包人实施。承包人在使用临时用地前应先按水保相关要求进行表土剥离，另行堆放并采取覆盖等形式以防止流失，在临时借地上堆放石渣和临时道路施工前应先铺设有纺土工布（土工布搭接宽度不应小于</w:t>
      </w:r>
      <w:r>
        <w:rPr>
          <w:rFonts w:ascii="宋体" w:hAnsi="Times New Roman" w:cs="Times New Roman"/>
          <w:color w:val="auto"/>
          <w:kern w:val="2"/>
          <w:szCs w:val="21"/>
          <w:highlight w:val="none"/>
          <w:lang w:eastAsia="zh-CN"/>
        </w:rPr>
        <w:t>50</w:t>
      </w:r>
      <w:r>
        <w:rPr>
          <w:rFonts w:ascii="宋体" w:hAnsi="宋体" w:cs="宋体"/>
          <w:color w:val="auto"/>
          <w:kern w:val="2"/>
          <w:szCs w:val="21"/>
          <w:highlight w:val="none"/>
          <w:lang w:eastAsia="zh-CN"/>
        </w:rPr>
        <w:t>cm）以防止石渣等与土层混合。承包人还应对临时借地范围内和施工影响范围内的其他管线、道路、沟渠等公共设施根据设施管理单位的要求采取保护措施，并承担因保护不到位造成的一切后果，工程完成后应负责损坏设施的修复。</w:t>
      </w:r>
    </w:p>
    <w:p w14:paraId="1D742AA8">
      <w:pPr>
        <w:pStyle w:val="36"/>
        <w:kinsoku/>
        <w:adjustRightInd/>
        <w:snapToGrid/>
        <w:spacing w:beforeLines="0" w:afterLines="0"/>
        <w:textAlignment w:val="auto"/>
        <w:rPr>
          <w:rFonts w:ascii="宋体" w:hAnsi="宋体" w:cs="宋体"/>
          <w:color w:val="auto"/>
          <w:kern w:val="2"/>
          <w:szCs w:val="21"/>
          <w:highlight w:val="none"/>
          <w:lang w:eastAsia="zh-CN"/>
        </w:rPr>
      </w:pPr>
      <w:r>
        <w:rPr>
          <w:rFonts w:hint="eastAsia" w:ascii="宋体" w:hAnsi="宋体" w:cs="宋体"/>
          <w:color w:val="auto"/>
          <w:kern w:val="2"/>
          <w:szCs w:val="21"/>
          <w:highlight w:val="none"/>
          <w:lang w:eastAsia="zh-CN"/>
        </w:rPr>
        <w:t>弃渣场范围的表土剥离、植被清理、树根清理、障碍物清理等费用已包含在工程量清单相应项目的单价或合价中，发包人不另行支付。</w:t>
      </w:r>
    </w:p>
    <w:p w14:paraId="1CF106B6">
      <w:pPr>
        <w:pStyle w:val="36"/>
        <w:kinsoku/>
        <w:adjustRightInd/>
        <w:snapToGrid/>
        <w:spacing w:beforeLines="0" w:afterLines="0"/>
        <w:ind w:firstLine="0" w:firstLineChars="0"/>
        <w:textAlignment w:val="auto"/>
        <w:rPr>
          <w:rFonts w:ascii="宋体" w:hAnsi="宋体" w:cs="宋体"/>
          <w:color w:val="auto"/>
          <w:szCs w:val="21"/>
          <w:highlight w:val="none"/>
          <w:lang w:eastAsia="zh-CN"/>
        </w:rPr>
      </w:pPr>
      <w:r>
        <w:rPr>
          <w:rFonts w:ascii="宋体" w:hAnsi="Times New Roman" w:cs="Times New Roman"/>
          <w:b/>
          <w:bCs/>
          <w:color w:val="auto"/>
          <w:kern w:val="2"/>
          <w:szCs w:val="21"/>
          <w:highlight w:val="none"/>
          <w:lang w:eastAsia="zh-CN"/>
        </w:rPr>
        <w:t>9.6.7</w:t>
      </w:r>
      <w:r>
        <w:rPr>
          <w:rFonts w:hint="eastAsia" w:ascii="宋体" w:hAnsi="Times New Roman" w:cs="Times New Roman"/>
          <w:b/>
          <w:bCs/>
          <w:color w:val="auto"/>
          <w:kern w:val="2"/>
          <w:szCs w:val="21"/>
          <w:highlight w:val="none"/>
          <w:lang w:eastAsia="zh-CN"/>
        </w:rPr>
        <w:t>　</w:t>
      </w:r>
      <w:r>
        <w:rPr>
          <w:rFonts w:hint="eastAsia" w:ascii="宋体" w:hAnsi="宋体" w:cs="宋体"/>
          <w:color w:val="auto"/>
          <w:kern w:val="2"/>
          <w:szCs w:val="21"/>
          <w:highlight w:val="none"/>
          <w:lang w:eastAsia="zh-CN"/>
        </w:rPr>
        <w:t>承包人应做好施工期各项水质保护措施，各类污水需执行分治外排原则，禁止排入农村饮用水水源保护区。特别加强对废弃泥浆的处理措施，确保达标排放。洞内废水处理后应集中放入收集池，规范外运处置，严禁直接外排。施工临时占地应尽量远离农村饮用水水源保护区。</w:t>
      </w:r>
    </w:p>
    <w:p w14:paraId="04B2CA5E">
      <w:pPr>
        <w:pStyle w:val="32"/>
        <w:autoSpaceDE/>
        <w:autoSpaceDN/>
        <w:spacing w:beforeLines="0" w:afterLines="0"/>
        <w:ind w:firstLineChars="0"/>
        <w:jc w:val="both"/>
        <w:outlineLvl w:val="9"/>
        <w:rPr>
          <w:rFonts w:ascii="宋体" w:hAnsi="楷体" w:eastAsia="宋体" w:cs="楷体"/>
          <w:bCs/>
          <w:snapToGrid w:val="0"/>
          <w:color w:val="auto"/>
          <w:spacing w:val="0"/>
          <w:highlight w:val="none"/>
        </w:rPr>
      </w:pPr>
      <w:r>
        <w:rPr>
          <w:rFonts w:ascii="宋体" w:hAnsi="宋体" w:eastAsia="宋体" w:cs="宋体"/>
          <w:color w:val="auto"/>
          <w:sz w:val="24"/>
          <w:szCs w:val="24"/>
          <w:highlight w:val="none"/>
        </w:rPr>
        <w:t>9.7</w:t>
      </w:r>
      <w:r>
        <w:rPr>
          <w:rFonts w:hint="eastAsia" w:ascii="宋体" w:hAnsi="宋体" w:eastAsia="宋体" w:cs="宋体"/>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文明工地</w:t>
      </w:r>
    </w:p>
    <w:p w14:paraId="0A24CFCC">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根据《浙江省水利厅关于开展水利建设工程文明标化工地创建工作的通知》（浙水建[2020]5号文）、绍兴市相关要求开展水利建设工程文明标化工地的创建。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2542D850">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关于文明标化工地的其它要求：</w:t>
      </w:r>
    </w:p>
    <w:p w14:paraId="04B10B73">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（1）承包人应配备 4G/5G 远程视频单兵头盔电力巡检实时智能头戴式安全帽远程高清记录仪，设备要求具有网络图传、录像存储、拍照上传、 GPS/ 北斗定位、蓝牙语音对讲、连续工作录像 4 小时（电池可拆卸）、激光定位、 LED 白光照明（单独照明 5 小时）功能。</w:t>
      </w:r>
    </w:p>
    <w:p w14:paraId="42794ECC">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（2）防汛防台响应：承包人应在工区入口设置4G/5G 网络摄像机用于拉闸断电后可继续监控，有利于人员疏散时的清场工作和损失情况掌握。基本参数：支持断网续传功能保证录像不丢失，支持蓄电池供电（满负荷运行 2-3 天），支持太阳能供电，支持 4G/5G （移动、联通、电信）网络传输，兼容 3G/2G （移动、联通、电信）。</w:t>
      </w:r>
    </w:p>
    <w:p w14:paraId="3F6049EE">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（3）在确保“施工现场在线监测系统”的基础上，必须按数字工地远程监控系统要求，接入业主指定现场办公室，形成智慧工地系统。</w:t>
      </w:r>
    </w:p>
    <w:p w14:paraId="36BE6587">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4）按发包人要求做好“数字孪生”相关工作。发包人需要使用浙江镜岭水库工程数字孪生系统进行进度管理、质量管理、安全管理、投资管理及智慧工地，并且按照发包单位的要求按时按量在镜岭水库工程数字孪生系统上，进行现场管理、数据上传、数据推送、数据填报。</w:t>
      </w:r>
    </w:p>
    <w:p w14:paraId="06A65D4D">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（5）为保障信息化工作正常有序运行，承包人应建立信息化工作小组。设专人负责进度、质量、安全、投资等数字孪生系统实施工作。</w:t>
      </w:r>
    </w:p>
    <w:p w14:paraId="29712DEF">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6）智慧工地现场实时数据需接入发包人提供的浙江镜岭水库工程数字孪生系统，硬件需要接入系统并且数据接口符合浙江镜岭水库工程数字孪生系统管理办法，包括“人、机、料、法、环”各阶段数据，使施工现场管理真正融入整个建设管理流程中。智慧工地应包含基础功能和网络功能，宜根据工地实际情况拓展相关功能。</w:t>
      </w:r>
    </w:p>
    <w:p w14:paraId="6B3FEA9A">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（7）本工程网络相关费用由承包人承担，具体网络配置要求如下：</w:t>
      </w:r>
    </w:p>
    <w:p w14:paraId="2A2A31EF">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网络质量等级要求：网络时延上限应小于400ms，时延抖动上限应小于50ms，丢包率上限应小于0.1%。</w:t>
      </w:r>
    </w:p>
    <w:p w14:paraId="7AB3D779">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网络带宽要求：对各输入端要求不低于50M上行带宽且具有固定IP，具体上传图像、路数等讨论明确后确定，考虑网络通讯的稳定性，建议采用稳定性高、口碑良好的网络运营商。</w:t>
      </w:r>
    </w:p>
    <w:p w14:paraId="571A59E2">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（8）供电配置要求：智慧工地各组成设备需为独立回路供电，供电线路不得与其他系统设备混用；供电回路需设置防雷保护器且接地良好。</w:t>
      </w:r>
    </w:p>
    <w:p w14:paraId="14CD8E12">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（9）数据传输要求：智慧工地数据需与发包人提供的信息化管理平台进行数据衔接，利用信息化管理平台接口进行数据推送，并遵循数据接口规范，其中：</w:t>
      </w:r>
    </w:p>
    <w:p w14:paraId="286D903B">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1）视频流数据传输需符合http协议规范；</w:t>
      </w:r>
    </w:p>
    <w:p w14:paraId="476115AE">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2）其他智慧工地数据的传输需符合restful协议规范；</w:t>
      </w:r>
    </w:p>
    <w:p w14:paraId="5877A6BF">
      <w:pPr>
        <w:pStyle w:val="30"/>
        <w:snapToGrid w:val="0"/>
        <w:spacing w:beforeLines="0" w:afterLines="0" w:line="360" w:lineRule="auto"/>
        <w:ind w:firstLine="480" w:firstLineChars="20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3）视频以及其它监测数据，在本地需要配置至少10天的备份功能。</w:t>
      </w:r>
    </w:p>
    <w:p w14:paraId="6FA604CF">
      <w:pPr>
        <w:pStyle w:val="30"/>
        <w:snapToGrid w:val="0"/>
        <w:spacing w:beforeLines="0" w:afterLines="0" w:line="360" w:lineRule="auto"/>
        <w:ind w:firstLine="480" w:firstLineChars="200"/>
        <w:jc w:val="left"/>
        <w:rPr>
          <w:rFonts w:ascii="宋体" w:hAnsi="宋体" w:cs="宋体"/>
          <w:strike w:val="0"/>
          <w:snapToGrid w:val="0"/>
          <w:color w:val="auto"/>
          <w:sz w:val="24"/>
          <w:highlight w:val="none"/>
          <w:u w:val="single"/>
        </w:rPr>
      </w:pPr>
      <w:r>
        <w:rPr>
          <w:rFonts w:hint="eastAsia" w:ascii="宋体" w:hAnsi="宋体" w:cs="宋体"/>
          <w:snapToGrid w:val="0"/>
          <w:color w:val="auto"/>
          <w:sz w:val="24"/>
          <w:szCs w:val="24"/>
          <w:highlight w:val="none"/>
        </w:rPr>
        <w:t>（10）按照浙江镜岭水库工程数字孪生系统要求进行电子签章的申请，包括企业身份认证、个人身份认证、企业长效证书、个人长效证书、事件型证书等</w:t>
      </w:r>
      <w:r>
        <w:rPr>
          <w:rFonts w:ascii="宋体" w:hAnsi="宋体" w:cs="宋体"/>
          <w:strike w:val="0"/>
          <w:snapToGrid w:val="0"/>
          <w:color w:val="auto"/>
          <w:sz w:val="24"/>
          <w:szCs w:val="24"/>
          <w:highlight w:val="none"/>
          <w:u w:val="single"/>
        </w:rPr>
        <w:t>。</w:t>
      </w:r>
    </w:p>
    <w:p w14:paraId="7DF1BC32">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u w:val="single"/>
        </w:rPr>
        <w:t>以上各项费用包含在</w:t>
      </w:r>
      <w:r>
        <w:rPr>
          <w:rFonts w:hint="eastAsia" w:ascii="宋体" w:hAnsi="宋体" w:cs="宋体"/>
          <w:snapToGrid w:val="0"/>
          <w:color w:val="auto"/>
          <w:sz w:val="24"/>
          <w:szCs w:val="24"/>
          <w:highlight w:val="none"/>
          <w:u w:val="single"/>
          <w:lang w:val="en-US" w:eastAsia="zh-CN"/>
        </w:rPr>
        <w:t>工程量清单“</w:t>
      </w:r>
      <w:r>
        <w:rPr>
          <w:rFonts w:hint="eastAsia" w:ascii="宋体" w:hAnsi="宋体" w:cs="宋体"/>
          <w:snapToGrid w:val="0"/>
          <w:color w:val="auto"/>
          <w:sz w:val="24"/>
          <w:szCs w:val="24"/>
          <w:highlight w:val="none"/>
          <w:u w:val="single"/>
        </w:rPr>
        <w:t>文明标化工地建设费</w:t>
      </w:r>
      <w:r>
        <w:rPr>
          <w:rFonts w:hint="default" w:ascii="宋体" w:hAnsi="宋体" w:cs="宋体"/>
          <w:snapToGrid w:val="0"/>
          <w:color w:val="auto"/>
          <w:sz w:val="24"/>
          <w:szCs w:val="24"/>
          <w:highlight w:val="none"/>
          <w:u w:val="single"/>
          <w:lang w:val="en-US" w:eastAsia="zh-CN"/>
        </w:rPr>
        <w:t>”</w:t>
      </w:r>
      <w:r>
        <w:rPr>
          <w:rFonts w:hint="eastAsia" w:ascii="宋体" w:hAnsi="宋体" w:cs="宋体"/>
          <w:snapToGrid w:val="0"/>
          <w:color w:val="auto"/>
          <w:sz w:val="24"/>
          <w:szCs w:val="24"/>
          <w:highlight w:val="none"/>
          <w:u w:val="single"/>
        </w:rPr>
        <w:t>中，</w:t>
      </w:r>
      <w:r>
        <w:rPr>
          <w:rFonts w:hint="eastAsia" w:ascii="宋体" w:hAnsi="宋体" w:cs="宋体"/>
          <w:snapToGrid w:val="0"/>
          <w:color w:val="auto"/>
          <w:sz w:val="24"/>
          <w:szCs w:val="24"/>
          <w:highlight w:val="none"/>
          <w:u w:val="single"/>
          <w:lang w:val="en-US" w:eastAsia="zh-CN"/>
        </w:rPr>
        <w:t>其中数字工地建设费</w:t>
      </w:r>
      <w:r>
        <w:rPr>
          <w:rFonts w:hint="eastAsia" w:ascii="宋体" w:hAnsi="宋体" w:cs="宋体"/>
          <w:snapToGrid w:val="0"/>
          <w:color w:val="auto"/>
          <w:sz w:val="24"/>
          <w:szCs w:val="24"/>
          <w:highlight w:val="none"/>
          <w:u w:val="single"/>
        </w:rPr>
        <w:t>按照实际发生进行支付，文明标化工地建设费</w:t>
      </w:r>
      <w:r>
        <w:rPr>
          <w:rFonts w:hint="eastAsia" w:ascii="宋体" w:hAnsi="宋体" w:cs="宋体"/>
          <w:snapToGrid w:val="0"/>
          <w:color w:val="auto"/>
          <w:sz w:val="24"/>
          <w:szCs w:val="24"/>
          <w:highlight w:val="none"/>
          <w:u w:val="single"/>
          <w:lang w:eastAsia="zh-CN"/>
        </w:rPr>
        <w:t>（</w:t>
      </w:r>
      <w:r>
        <w:rPr>
          <w:rFonts w:hint="eastAsia" w:ascii="宋体" w:hAnsi="宋体" w:cs="宋体"/>
          <w:snapToGrid w:val="0"/>
          <w:color w:val="auto"/>
          <w:sz w:val="24"/>
          <w:szCs w:val="24"/>
          <w:highlight w:val="none"/>
          <w:u w:val="single"/>
          <w:lang w:val="en-US" w:eastAsia="zh-CN"/>
        </w:rPr>
        <w:t>不含数字工地建设费</w:t>
      </w:r>
      <w:r>
        <w:rPr>
          <w:rFonts w:hint="eastAsia" w:ascii="宋体" w:hAnsi="宋体" w:cs="宋体"/>
          <w:snapToGrid w:val="0"/>
          <w:color w:val="auto"/>
          <w:sz w:val="24"/>
          <w:szCs w:val="24"/>
          <w:highlight w:val="none"/>
          <w:u w:val="single"/>
          <w:lang w:eastAsia="zh-CN"/>
        </w:rPr>
        <w:t>）</w:t>
      </w:r>
      <w:r>
        <w:rPr>
          <w:rFonts w:hint="eastAsia" w:ascii="宋体" w:hAnsi="宋体" w:cs="宋体"/>
          <w:snapToGrid w:val="0"/>
          <w:color w:val="auto"/>
          <w:sz w:val="24"/>
          <w:szCs w:val="24"/>
          <w:highlight w:val="none"/>
          <w:u w:val="single"/>
          <w:lang w:val="en-US" w:eastAsia="zh-CN"/>
        </w:rPr>
        <w:t>由承包人总价承包。</w:t>
      </w:r>
      <w:r>
        <w:rPr>
          <w:rFonts w:hint="eastAsia" w:ascii="宋体" w:hAnsi="宋体" w:cs="宋体"/>
          <w:snapToGrid w:val="0"/>
          <w:color w:val="auto"/>
          <w:sz w:val="24"/>
          <w:szCs w:val="24"/>
          <w:highlight w:val="none"/>
          <w:u w:val="single"/>
        </w:rPr>
        <w:t>文明标化工地建设费</w:t>
      </w:r>
      <w:r>
        <w:rPr>
          <w:rFonts w:hint="eastAsia" w:ascii="宋体" w:hAnsi="宋体" w:cs="宋体"/>
          <w:snapToGrid w:val="0"/>
          <w:color w:val="auto"/>
          <w:sz w:val="24"/>
          <w:szCs w:val="24"/>
          <w:highlight w:val="none"/>
          <w:u w:val="single"/>
          <w:lang w:eastAsia="zh-CN"/>
        </w:rPr>
        <w:t>（</w:t>
      </w:r>
      <w:r>
        <w:rPr>
          <w:rFonts w:hint="eastAsia" w:ascii="宋体" w:hAnsi="宋体" w:cs="宋体"/>
          <w:snapToGrid w:val="0"/>
          <w:color w:val="auto"/>
          <w:sz w:val="24"/>
          <w:szCs w:val="24"/>
          <w:highlight w:val="none"/>
          <w:u w:val="single"/>
          <w:lang w:val="en-US" w:eastAsia="zh-CN"/>
        </w:rPr>
        <w:t>不含数字工地建设费</w:t>
      </w:r>
      <w:r>
        <w:rPr>
          <w:rFonts w:hint="eastAsia" w:ascii="宋体" w:hAnsi="宋体" w:cs="宋体"/>
          <w:snapToGrid w:val="0"/>
          <w:color w:val="auto"/>
          <w:sz w:val="24"/>
          <w:szCs w:val="24"/>
          <w:highlight w:val="none"/>
          <w:u w:val="single"/>
          <w:lang w:eastAsia="zh-CN"/>
        </w:rPr>
        <w:t>）</w:t>
      </w:r>
      <w:r>
        <w:rPr>
          <w:rFonts w:hint="eastAsia" w:ascii="宋体" w:hAnsi="宋体" w:cs="宋体"/>
          <w:snapToGrid w:val="0"/>
          <w:color w:val="auto"/>
          <w:sz w:val="24"/>
          <w:szCs w:val="24"/>
          <w:highlight w:val="none"/>
          <w:u w:val="single"/>
        </w:rPr>
        <w:t>超出报价部分费用，由承包人自行承担，发包人不再另行支付</w:t>
      </w:r>
      <w:r>
        <w:rPr>
          <w:rFonts w:hint="eastAsia" w:ascii="宋体" w:hAnsi="宋体" w:cs="宋体"/>
          <w:snapToGrid w:val="0"/>
          <w:color w:val="auto"/>
          <w:sz w:val="24"/>
          <w:szCs w:val="24"/>
          <w:highlight w:val="none"/>
          <w:u w:val="single"/>
          <w:lang w:eastAsia="zh-CN"/>
        </w:rPr>
        <w:t>。</w:t>
      </w:r>
      <w:r>
        <w:rPr>
          <w:rFonts w:hint="eastAsia" w:ascii="宋体" w:hAnsi="宋体" w:cs="宋体"/>
          <w:snapToGrid w:val="0"/>
          <w:color w:val="auto"/>
          <w:sz w:val="24"/>
          <w:szCs w:val="24"/>
          <w:highlight w:val="none"/>
          <w:u w:val="single"/>
        </w:rPr>
        <w:t>承包人应事先选定品牌报送监理人及发包人进行审核备案。</w:t>
      </w:r>
    </w:p>
    <w:p w14:paraId="7FC59ACC">
      <w:pPr>
        <w:pStyle w:val="30"/>
        <w:snapToGrid w:val="0"/>
        <w:spacing w:beforeLines="0" w:afterLines="0" w:line="360" w:lineRule="auto"/>
        <w:ind w:firstLine="0" w:firstLineChars="0"/>
        <w:jc w:val="left"/>
        <w:rPr>
          <w:rFonts w:ascii="宋体" w:hAnsi="宋体" w:cs="宋体"/>
          <w:b/>
          <w:bCs/>
          <w:color w:val="auto"/>
          <w:kern w:val="0"/>
          <w:sz w:val="24"/>
          <w:szCs w:val="24"/>
          <w:highlight w:val="none"/>
        </w:rPr>
      </w:pPr>
      <w:r>
        <w:rPr>
          <w:rFonts w:ascii="宋体"/>
          <w:b/>
          <w:bCs/>
          <w:color w:val="auto"/>
          <w:kern w:val="0"/>
          <w:sz w:val="24"/>
          <w:szCs w:val="24"/>
          <w:highlight w:val="none"/>
        </w:rPr>
        <w:t>9.9</w:t>
      </w:r>
      <w:r>
        <w:rPr>
          <w:rFonts w:hint="eastAsia" w:ascii="宋体"/>
          <w:b/>
          <w:bCs/>
          <w:color w:val="auto"/>
          <w:kern w:val="0"/>
          <w:sz w:val="24"/>
          <w:szCs w:val="24"/>
          <w:highlight w:val="none"/>
          <w:lang w:eastAsia="zh-CN"/>
        </w:rPr>
        <w:t>　</w:t>
      </w:r>
      <w:r>
        <w:rPr>
          <w:rFonts w:hint="eastAsia" w:ascii="宋体" w:hAnsi="楷体" w:eastAsia="宋体" w:cs="楷体"/>
          <w:b/>
          <w:bCs/>
          <w:snapToGrid w:val="0"/>
          <w:color w:val="auto"/>
          <w:spacing w:val="0"/>
          <w:kern w:val="0"/>
          <w:sz w:val="24"/>
          <w:szCs w:val="24"/>
          <w:highlight w:val="none"/>
        </w:rPr>
        <w:t>安全生产事故</w:t>
      </w:r>
    </w:p>
    <w:p w14:paraId="7D59657A">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因承包人原因发生《生产安全事故报告和调查处理条例》（国务院令第493号）规定的各类安全事故的，除按法律法规须承担的损失和赔偿以及应缴纳的有关部门的行政罚款外，未及时妥善处置造成较大影响的，发包人有权按以下原则追究责任，相关违约金在进度款中扣除。发生特别重大事故的，每次处以200万元违约金；发生重大事故的，每次处以100万元违约金；发生较大事故的，每次处以20万元违约金；发生一般事故的，每次处以10万元违约金；发生其他安全事故的，每次处以5万元违约金。</w:t>
      </w:r>
    </w:p>
    <w:p w14:paraId="13D3397A">
      <w:pPr>
        <w:kinsoku/>
        <w:spacing w:beforeLines="0" w:afterLines="0"/>
        <w:ind w:firstLine="420"/>
        <w:jc w:val="left"/>
        <w:rPr>
          <w:rFonts w:cs="宋体"/>
          <w:strike w:val="0"/>
          <w:color w:val="auto"/>
          <w:kern w:val="2"/>
          <w:szCs w:val="21"/>
          <w:highlight w:val="none"/>
          <w:lang w:eastAsia="zh-CN"/>
        </w:rPr>
      </w:pPr>
      <w:r>
        <w:rPr>
          <w:rFonts w:hint="eastAsia" w:ascii="宋体" w:hAnsi="宋体" w:cs="宋体"/>
          <w:snapToGrid w:val="0"/>
          <w:color w:val="auto"/>
          <w:sz w:val="24"/>
          <w:szCs w:val="24"/>
          <w:highlight w:val="none"/>
        </w:rPr>
        <w:t>事故出现人员死亡的，若未妥善处置，除上述赔偿责任以外，承包人还须向发包人支付安全违约金20万-100万元/人；出现人员重伤的，承包人还须向发包人支付安全违约金10万元/人</w:t>
      </w:r>
      <w:r>
        <w:rPr>
          <w:rFonts w:ascii="宋体" w:cs="宋体"/>
          <w:strike w:val="0"/>
          <w:snapToGrid w:val="0"/>
          <w:color w:val="auto"/>
          <w:kern w:val="2"/>
          <w:szCs w:val="21"/>
          <w:highlight w:val="none"/>
          <w:lang w:eastAsia="zh-CN"/>
        </w:rPr>
        <w:t>。</w:t>
      </w:r>
    </w:p>
    <w:p w14:paraId="6B4D7D3A">
      <w:pPr>
        <w:pStyle w:val="30"/>
        <w:snapToGrid w:val="0"/>
        <w:spacing w:beforeLines="0" w:afterLines="0" w:line="360" w:lineRule="auto"/>
        <w:ind w:firstLine="480" w:firstLineChars="200"/>
        <w:jc w:val="left"/>
        <w:rPr>
          <w:rFonts w:ascii="宋体" w:eastAsia="宋体"/>
          <w:b/>
          <w:bCs/>
          <w:snapToGrid w:val="0"/>
          <w:color w:val="auto"/>
          <w:spacing w:val="0"/>
          <w:kern w:val="0"/>
          <w:sz w:val="24"/>
          <w:szCs w:val="24"/>
          <w:highlight w:val="none"/>
        </w:rPr>
      </w:pPr>
      <w:r>
        <w:rPr>
          <w:rFonts w:hint="eastAsia" w:ascii="宋体" w:hAnsi="宋体" w:cs="宋体"/>
          <w:snapToGrid w:val="0"/>
          <w:color w:val="auto"/>
          <w:sz w:val="24"/>
          <w:szCs w:val="24"/>
          <w:highlight w:val="none"/>
        </w:rPr>
        <w:t>发生一般及以上安全事故的，发包人保留解除合同的权力。</w:t>
      </w:r>
    </w:p>
    <w:p w14:paraId="4A4DA6BC">
      <w:pPr>
        <w:pStyle w:val="4"/>
        <w:kinsoku/>
        <w:spacing w:beforeLines="0" w:afterLines="0"/>
        <w:rPr>
          <w:rFonts w:hint="eastAsia" w:cs="宋体"/>
          <w:bCs/>
          <w:color w:val="auto"/>
          <w:sz w:val="24"/>
          <w:szCs w:val="24"/>
          <w:highlight w:val="none"/>
        </w:rPr>
      </w:pPr>
      <w:r>
        <w:rPr>
          <w:rFonts w:hint="eastAsia" w:cs="宋体"/>
          <w:bCs/>
          <w:color w:val="auto"/>
          <w:sz w:val="24"/>
          <w:szCs w:val="24"/>
          <w:highlight w:val="none"/>
        </w:rPr>
        <w:t>11</w:t>
      </w:r>
      <w:r>
        <w:rPr>
          <w:rFonts w:hint="eastAsia" w:cs="宋体"/>
          <w:bCs/>
          <w:color w:val="auto"/>
          <w:sz w:val="24"/>
          <w:szCs w:val="24"/>
          <w:highlight w:val="none"/>
          <w:lang w:eastAsia="zh-CN"/>
        </w:rPr>
        <w:t>　</w:t>
      </w:r>
      <w:r>
        <w:rPr>
          <w:rFonts w:hint="eastAsia" w:cs="宋体"/>
          <w:bCs/>
          <w:color w:val="auto"/>
          <w:sz w:val="24"/>
          <w:szCs w:val="24"/>
          <w:highlight w:val="none"/>
        </w:rPr>
        <w:t>开工和完工</w:t>
      </w:r>
    </w:p>
    <w:p w14:paraId="54F1F2CA">
      <w:pPr>
        <w:kinsoku/>
        <w:spacing w:beforeLines="0" w:afterLines="0"/>
        <w:ind w:firstLine="0" w:firstLineChars="0"/>
        <w:jc w:val="left"/>
        <w:rPr>
          <w:color w:val="auto"/>
          <w:highlight w:val="none"/>
          <w:lang w:eastAsia="zh-CN"/>
        </w:rPr>
      </w:pPr>
      <w:r>
        <w:rPr>
          <w:rFonts w:ascii="宋体" w:hAnsi="Times New Roman" w:cs="Times New Roman"/>
          <w:b/>
          <w:color w:val="auto"/>
          <w:szCs w:val="21"/>
          <w:highlight w:val="none"/>
          <w:lang w:eastAsia="zh-CN"/>
        </w:rPr>
        <w:t>11.3</w:t>
      </w:r>
      <w:r>
        <w:rPr>
          <w:rFonts w:hint="eastAsia" w:hAnsi="Times New Roman" w:cs="Times New Roman"/>
          <w:b/>
          <w:color w:val="auto"/>
          <w:szCs w:val="21"/>
          <w:highlight w:val="none"/>
          <w:lang w:eastAsia="zh-CN"/>
        </w:rPr>
        <w:t>　</w:t>
      </w:r>
      <w:r>
        <w:rPr>
          <w:rFonts w:hint="eastAsia" w:ascii="宋体" w:hAnsi="楷体" w:eastAsia="宋体" w:cs="楷体"/>
          <w:b/>
          <w:bCs/>
          <w:color w:val="auto"/>
          <w:spacing w:val="0"/>
          <w:szCs w:val="21"/>
          <w:highlight w:val="none"/>
          <w:lang w:eastAsia="zh-CN"/>
        </w:rPr>
        <w:t>发包人的工期延误</w:t>
      </w:r>
    </w:p>
    <w:p w14:paraId="67E23CB1">
      <w:pPr>
        <w:kinsoku/>
        <w:spacing w:beforeLines="0" w:afterLines="0"/>
        <w:ind w:firstLine="420"/>
        <w:rPr>
          <w:color w:val="auto"/>
          <w:szCs w:val="21"/>
          <w:highlight w:val="none"/>
          <w:lang w:eastAsia="zh-CN"/>
        </w:rPr>
      </w:pPr>
      <w:r>
        <w:rPr>
          <w:rFonts w:hint="eastAsia" w:cs="宋体"/>
          <w:color w:val="auto"/>
          <w:szCs w:val="21"/>
          <w:highlight w:val="none"/>
          <w:lang w:eastAsia="zh-CN"/>
        </w:rPr>
        <w:t>本款内容更改为</w:t>
      </w:r>
      <w:r>
        <w:rPr>
          <w:rFonts w:cs="宋体"/>
          <w:color w:val="auto"/>
          <w:szCs w:val="21"/>
          <w:highlight w:val="none"/>
          <w:lang w:eastAsia="zh-CN"/>
        </w:rPr>
        <w:t>:</w:t>
      </w:r>
    </w:p>
    <w:p w14:paraId="2C61DC02">
      <w:pPr>
        <w:kinsoku/>
        <w:spacing w:beforeLines="0" w:afterLines="0"/>
        <w:ind w:firstLine="420"/>
        <w:rPr>
          <w:color w:val="auto"/>
          <w:szCs w:val="21"/>
          <w:highlight w:val="none"/>
          <w:lang w:eastAsia="zh-CN"/>
        </w:rPr>
      </w:pPr>
      <w:r>
        <w:rPr>
          <w:rFonts w:hint="eastAsia" w:cs="宋体"/>
          <w:color w:val="auto"/>
          <w:szCs w:val="21"/>
          <w:highlight w:val="none"/>
          <w:lang w:eastAsia="zh-CN"/>
        </w:rPr>
        <w:t>在施工过程中，发生下列情况之一使关键项目的施工进度计划拖后而造成工期延误时，承包人可要求发包人延长合同规定的工期，需要修订合同进度计划的，按照第</w:t>
      </w:r>
      <w:r>
        <w:rPr>
          <w:rFonts w:ascii="宋体" w:hAnsi="Times New Roman" w:cs="Times New Roman"/>
          <w:color w:val="auto"/>
          <w:szCs w:val="21"/>
          <w:highlight w:val="none"/>
          <w:lang w:eastAsia="zh-CN"/>
        </w:rPr>
        <w:t>10.2</w:t>
      </w:r>
      <w:r>
        <w:rPr>
          <w:rFonts w:hint="eastAsia" w:cs="宋体"/>
          <w:color w:val="auto"/>
          <w:szCs w:val="21"/>
          <w:highlight w:val="none"/>
          <w:lang w:eastAsia="zh-CN"/>
        </w:rPr>
        <w:t>款的约定处理。</w:t>
      </w:r>
    </w:p>
    <w:p w14:paraId="76D0B054">
      <w:pPr>
        <w:kinsoku/>
        <w:spacing w:beforeLines="0" w:afterLines="0"/>
        <w:ind w:firstLine="420"/>
        <w:rPr>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1</w:t>
      </w:r>
      <w:r>
        <w:rPr>
          <w:rFonts w:hint="eastAsia" w:cs="宋体"/>
          <w:color w:val="auto"/>
          <w:szCs w:val="21"/>
          <w:highlight w:val="none"/>
          <w:lang w:eastAsia="zh-CN"/>
        </w:rPr>
        <w:t>）重大设计变更对关键项目工期造成实质性影响的；</w:t>
      </w:r>
    </w:p>
    <w:p w14:paraId="481BDBBF">
      <w:pPr>
        <w:kinsoku/>
        <w:spacing w:beforeLines="0" w:afterLines="0"/>
        <w:ind w:firstLine="420"/>
        <w:rPr>
          <w:color w:val="auto"/>
          <w:szCs w:val="21"/>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cs="宋体"/>
          <w:color w:val="auto"/>
          <w:szCs w:val="21"/>
          <w:highlight w:val="none"/>
          <w:lang w:eastAsia="zh-CN"/>
        </w:rPr>
        <w:t>）增加合同中关键路线上项目的工程量超过</w:t>
      </w:r>
      <w:r>
        <w:rPr>
          <w:rFonts w:cs="宋体"/>
          <w:color w:val="auto"/>
          <w:szCs w:val="21"/>
          <w:highlight w:val="none"/>
          <w:lang w:eastAsia="zh-CN"/>
        </w:rPr>
        <w:t>25%的；</w:t>
      </w:r>
    </w:p>
    <w:p w14:paraId="4CE189E0">
      <w:pPr>
        <w:kinsoku/>
        <w:spacing w:beforeLines="0" w:afterLines="0"/>
        <w:ind w:firstLine="420"/>
        <w:rPr>
          <w:rFonts w:cs="宋体"/>
          <w:b/>
          <w:color w:val="auto"/>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3</w:t>
      </w:r>
      <w:r>
        <w:rPr>
          <w:rFonts w:hint="eastAsia" w:cs="宋体"/>
          <w:color w:val="auto"/>
          <w:szCs w:val="21"/>
          <w:highlight w:val="none"/>
          <w:lang w:eastAsia="zh-CN"/>
        </w:rPr>
        <w:t>）或其他经发包人认可的原因。</w:t>
      </w:r>
    </w:p>
    <w:p w14:paraId="37A59618">
      <w:pPr>
        <w:pStyle w:val="32"/>
        <w:autoSpaceDE/>
        <w:autoSpaceDN/>
        <w:adjustRightInd/>
        <w:spacing w:beforeLines="0" w:afterLines="0"/>
        <w:ind w:firstLine="0" w:firstLineChars="0"/>
        <w:outlineLvl w:val="9"/>
        <w:rPr>
          <w:rFonts w:hint="eastAsia" w:ascii="宋体" w:hAnsi="宋体" w:eastAsia="宋体" w:cs="宋体"/>
          <w:b w:val="0"/>
          <w:bCs w:val="0"/>
          <w:strike/>
          <w:snapToGrid w:val="0"/>
          <w:color w:val="auto"/>
          <w:spacing w:val="0"/>
          <w:kern w:val="2"/>
          <w:sz w:val="24"/>
          <w:szCs w:val="24"/>
          <w:highlight w:val="none"/>
          <w:lang w:val="en-US" w:eastAsia="zh-CN"/>
        </w:rPr>
      </w:pPr>
      <w:r>
        <w:rPr>
          <w:rFonts w:ascii="宋体" w:eastAsia="宋体"/>
          <w:snapToGrid w:val="0"/>
          <w:color w:val="auto"/>
          <w:sz w:val="24"/>
          <w:szCs w:val="24"/>
          <w:highlight w:val="none"/>
        </w:rPr>
        <w:t>11.4</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异常恶劣的气候条件</w:t>
      </w:r>
    </w:p>
    <w:p w14:paraId="1FBBAAEB">
      <w:pPr>
        <w:pStyle w:val="30"/>
        <w:snapToGrid w:val="0"/>
        <w:spacing w:beforeLines="0" w:afterLines="0" w:line="360" w:lineRule="auto"/>
        <w:ind w:firstLine="0" w:firstLineChars="0"/>
        <w:jc w:val="left"/>
        <w:rPr>
          <w:rFonts w:ascii="宋体" w:hAnsi="宋体" w:cs="宋体"/>
          <w:strike/>
          <w:snapToGrid w:val="0"/>
          <w:color w:val="auto"/>
          <w:sz w:val="24"/>
          <w:highlight w:val="none"/>
        </w:rPr>
      </w:pPr>
      <w:r>
        <w:rPr>
          <w:rFonts w:ascii="宋体"/>
          <w:strike w:val="0"/>
          <w:snapToGrid w:val="0"/>
          <w:color w:val="auto"/>
          <w:sz w:val="24"/>
          <w:szCs w:val="24"/>
          <w:highlight w:val="none"/>
        </w:rPr>
        <w:t>11.4.3</w:t>
      </w:r>
      <w:r>
        <w:rPr>
          <w:rFonts w:hint="eastAsia" w:ascii="宋体"/>
          <w:strike w:val="0"/>
          <w:snapToGrid w:val="0"/>
          <w:color w:val="auto"/>
          <w:sz w:val="24"/>
          <w:szCs w:val="24"/>
          <w:highlight w:val="none"/>
          <w:lang w:eastAsia="zh-CN"/>
        </w:rPr>
        <w:t>　</w:t>
      </w:r>
      <w:r>
        <w:rPr>
          <w:rFonts w:hint="eastAsia" w:ascii="宋体" w:hAnsi="宋体" w:cs="宋体"/>
          <w:strike w:val="0"/>
          <w:snapToGrid w:val="0"/>
          <w:color w:val="auto"/>
          <w:sz w:val="24"/>
          <w:szCs w:val="24"/>
          <w:highlight w:val="none"/>
        </w:rPr>
        <w:t>本合同工程界定异常恶劣的气候条件的范围为：</w:t>
      </w:r>
    </w:p>
    <w:p w14:paraId="592DE8F1">
      <w:pPr>
        <w:pStyle w:val="30"/>
        <w:spacing w:beforeLines="0" w:afterLines="0" w:line="360" w:lineRule="auto"/>
        <w:ind w:firstLine="480" w:firstLineChars="200"/>
        <w:jc w:val="left"/>
        <w:rPr>
          <w:rFonts w:ascii="宋体" w:hAnsi="宋体" w:cs="宋体"/>
          <w:strike w:val="0"/>
          <w:snapToGrid w:val="0"/>
          <w:color w:val="auto"/>
          <w:sz w:val="24"/>
          <w:highlight w:val="none"/>
        </w:rPr>
      </w:pPr>
      <w:r>
        <w:rPr>
          <w:rFonts w:hint="eastAsia" w:ascii="宋体" w:hAnsi="宋体" w:cs="宋体"/>
          <w:strike w:val="0"/>
          <w:snapToGrid w:val="0"/>
          <w:color w:val="auto"/>
          <w:sz w:val="24"/>
          <w:szCs w:val="24"/>
          <w:highlight w:val="none"/>
        </w:rPr>
        <w:t>（</w:t>
      </w:r>
      <w:r>
        <w:rPr>
          <w:rFonts w:ascii="宋体"/>
          <w:strike w:val="0"/>
          <w:snapToGrid w:val="0"/>
          <w:color w:val="auto"/>
          <w:sz w:val="24"/>
          <w:szCs w:val="24"/>
          <w:highlight w:val="none"/>
        </w:rPr>
        <w:t>1</w:t>
      </w:r>
      <w:r>
        <w:rPr>
          <w:rFonts w:hint="eastAsia" w:ascii="宋体" w:hAnsi="宋体" w:cs="宋体"/>
          <w:strike w:val="0"/>
          <w:snapToGrid w:val="0"/>
          <w:color w:val="auto"/>
          <w:sz w:val="24"/>
          <w:szCs w:val="24"/>
          <w:highlight w:val="none"/>
        </w:rPr>
        <w:t>）</w:t>
      </w:r>
      <w:r>
        <w:rPr>
          <w:rFonts w:ascii="宋体" w:hAnsi="宋体" w:cs="宋体"/>
          <w:strike w:val="0"/>
          <w:snapToGrid w:val="0"/>
          <w:color w:val="auto"/>
          <w:sz w:val="24"/>
          <w:szCs w:val="24"/>
          <w:highlight w:val="none"/>
        </w:rPr>
        <w:t>日降雨量大于</w:t>
      </w:r>
      <w:r>
        <w:rPr>
          <w:rFonts w:hint="eastAsia" w:ascii="宋体"/>
          <w:strike w:val="0"/>
          <w:snapToGrid w:val="0"/>
          <w:color w:val="auto"/>
          <w:sz w:val="24"/>
          <w:szCs w:val="24"/>
          <w:highlight w:val="none"/>
          <w:u w:val="single"/>
          <w:lang w:val="en-US" w:eastAsia="zh-CN"/>
        </w:rPr>
        <w:t>10</w:t>
      </w:r>
      <w:r>
        <w:rPr>
          <w:rFonts w:ascii="宋体"/>
          <w:strike w:val="0"/>
          <w:snapToGrid w:val="0"/>
          <w:color w:val="auto"/>
          <w:sz w:val="24"/>
          <w:szCs w:val="24"/>
          <w:highlight w:val="none"/>
          <w:u w:val="single"/>
        </w:rPr>
        <w:t>0</w:t>
      </w:r>
      <w:r>
        <w:rPr>
          <w:rFonts w:ascii="宋体" w:hAnsi="宋体" w:cs="宋体"/>
          <w:strike w:val="0"/>
          <w:snapToGrid w:val="0"/>
          <w:color w:val="auto"/>
          <w:sz w:val="24"/>
          <w:szCs w:val="24"/>
          <w:highlight w:val="none"/>
        </w:rPr>
        <w:t>mm的雨日</w:t>
      </w:r>
      <w:r>
        <w:rPr>
          <w:rFonts w:hint="eastAsia" w:ascii="宋体" w:hAnsi="宋体" w:cs="宋体"/>
          <w:strike w:val="0"/>
          <w:snapToGrid w:val="0"/>
          <w:color w:val="auto"/>
          <w:sz w:val="24"/>
          <w:szCs w:val="24"/>
          <w:highlight w:val="none"/>
          <w:lang w:val="en-US" w:eastAsia="zh-CN"/>
        </w:rPr>
        <w:t>连续</w:t>
      </w:r>
      <w:r>
        <w:rPr>
          <w:rFonts w:ascii="宋体" w:hAnsi="宋体" w:cs="宋体"/>
          <w:strike w:val="0"/>
          <w:snapToGrid w:val="0"/>
          <w:color w:val="auto"/>
          <w:sz w:val="24"/>
          <w:szCs w:val="24"/>
          <w:highlight w:val="none"/>
        </w:rPr>
        <w:t>超过</w:t>
      </w:r>
      <w:r>
        <w:rPr>
          <w:rFonts w:hint="eastAsia" w:ascii="宋体"/>
          <w:strike w:val="0"/>
          <w:snapToGrid w:val="0"/>
          <w:color w:val="auto"/>
          <w:sz w:val="24"/>
          <w:szCs w:val="24"/>
          <w:highlight w:val="none"/>
          <w:u w:val="single"/>
          <w:lang w:eastAsia="zh-CN"/>
        </w:rPr>
        <w:t>7</w:t>
      </w:r>
      <w:r>
        <w:rPr>
          <w:rFonts w:hint="eastAsia" w:ascii="宋体" w:hAnsi="宋体" w:cs="宋体"/>
          <w:strike w:val="0"/>
          <w:snapToGrid w:val="0"/>
          <w:color w:val="auto"/>
          <w:sz w:val="24"/>
          <w:szCs w:val="24"/>
          <w:highlight w:val="none"/>
        </w:rPr>
        <w:t>天；</w:t>
      </w:r>
    </w:p>
    <w:p w14:paraId="7B1C90CE">
      <w:pPr>
        <w:pStyle w:val="30"/>
        <w:spacing w:beforeLines="0" w:afterLines="0" w:line="360" w:lineRule="auto"/>
        <w:ind w:firstLine="480" w:firstLineChars="200"/>
        <w:jc w:val="left"/>
        <w:rPr>
          <w:rFonts w:ascii="宋体" w:hAnsi="宋体" w:cs="宋体"/>
          <w:strike w:val="0"/>
          <w:snapToGrid w:val="0"/>
          <w:color w:val="auto"/>
          <w:sz w:val="24"/>
          <w:highlight w:val="none"/>
        </w:rPr>
      </w:pPr>
      <w:r>
        <w:rPr>
          <w:rFonts w:hint="eastAsia" w:ascii="宋体" w:hAnsi="宋体" w:cs="宋体"/>
          <w:strike w:val="0"/>
          <w:snapToGrid w:val="0"/>
          <w:color w:val="auto"/>
          <w:sz w:val="24"/>
          <w:szCs w:val="24"/>
          <w:highlight w:val="none"/>
        </w:rPr>
        <w:t>（</w:t>
      </w:r>
      <w:r>
        <w:rPr>
          <w:rFonts w:ascii="宋体"/>
          <w:strike w:val="0"/>
          <w:snapToGrid w:val="0"/>
          <w:color w:val="auto"/>
          <w:sz w:val="24"/>
          <w:szCs w:val="24"/>
          <w:highlight w:val="none"/>
        </w:rPr>
        <w:t>2</w:t>
      </w:r>
      <w:r>
        <w:rPr>
          <w:rFonts w:hint="eastAsia" w:ascii="宋体" w:hAnsi="宋体" w:cs="宋体"/>
          <w:strike w:val="0"/>
          <w:snapToGrid w:val="0"/>
          <w:color w:val="auto"/>
          <w:sz w:val="24"/>
          <w:szCs w:val="24"/>
          <w:highlight w:val="none"/>
        </w:rPr>
        <w:t>）</w:t>
      </w:r>
      <w:r>
        <w:rPr>
          <w:rFonts w:ascii="宋体" w:hAnsi="宋体" w:cs="宋体"/>
          <w:strike w:val="0"/>
          <w:snapToGrid w:val="0"/>
          <w:color w:val="auto"/>
          <w:sz w:val="24"/>
          <w:szCs w:val="24"/>
          <w:highlight w:val="none"/>
        </w:rPr>
        <w:t>风速大于</w:t>
      </w:r>
      <w:r>
        <w:rPr>
          <w:rFonts w:ascii="宋体"/>
          <w:strike w:val="0"/>
          <w:snapToGrid w:val="0"/>
          <w:color w:val="auto"/>
          <w:sz w:val="24"/>
          <w:szCs w:val="24"/>
          <w:highlight w:val="none"/>
          <w:u w:val="single"/>
        </w:rPr>
        <w:t>14</w:t>
      </w:r>
      <w:r>
        <w:rPr>
          <w:rFonts w:ascii="宋体" w:hAnsi="宋体" w:cs="宋体"/>
          <w:strike w:val="0"/>
          <w:snapToGrid w:val="0"/>
          <w:color w:val="auto"/>
          <w:sz w:val="24"/>
          <w:szCs w:val="24"/>
          <w:highlight w:val="none"/>
        </w:rPr>
        <w:t>m/s的</w:t>
      </w:r>
      <w:r>
        <w:rPr>
          <w:rFonts w:ascii="宋体"/>
          <w:strike w:val="0"/>
          <w:snapToGrid w:val="0"/>
          <w:color w:val="auto"/>
          <w:sz w:val="24"/>
          <w:szCs w:val="24"/>
          <w:highlight w:val="none"/>
          <w:u w:val="single"/>
        </w:rPr>
        <w:t>7</w:t>
      </w:r>
      <w:r>
        <w:rPr>
          <w:rFonts w:hint="eastAsia" w:ascii="宋体" w:hAnsi="宋体" w:cs="宋体"/>
          <w:strike w:val="0"/>
          <w:snapToGrid w:val="0"/>
          <w:color w:val="auto"/>
          <w:sz w:val="24"/>
          <w:szCs w:val="24"/>
          <w:highlight w:val="none"/>
        </w:rPr>
        <w:t>级以上台风灾害；</w:t>
      </w:r>
    </w:p>
    <w:p w14:paraId="626B985A">
      <w:pPr>
        <w:pStyle w:val="30"/>
        <w:spacing w:beforeLines="0" w:afterLines="0" w:line="360" w:lineRule="auto"/>
        <w:ind w:firstLine="480" w:firstLineChars="200"/>
        <w:jc w:val="left"/>
        <w:rPr>
          <w:rFonts w:ascii="宋体" w:hAnsi="宋体" w:cs="宋体"/>
          <w:strike w:val="0"/>
          <w:snapToGrid w:val="0"/>
          <w:color w:val="auto"/>
          <w:sz w:val="24"/>
          <w:szCs w:val="24"/>
          <w:highlight w:val="none"/>
        </w:rPr>
      </w:pPr>
      <w:r>
        <w:rPr>
          <w:rFonts w:hint="eastAsia" w:ascii="宋体" w:hAnsi="宋体" w:cs="宋体"/>
          <w:strike w:val="0"/>
          <w:snapToGrid w:val="0"/>
          <w:color w:val="auto"/>
          <w:sz w:val="24"/>
          <w:szCs w:val="24"/>
          <w:highlight w:val="none"/>
        </w:rPr>
        <w:t>（</w:t>
      </w:r>
      <w:r>
        <w:rPr>
          <w:rFonts w:ascii="宋体"/>
          <w:strike w:val="0"/>
          <w:snapToGrid w:val="0"/>
          <w:color w:val="auto"/>
          <w:sz w:val="24"/>
          <w:szCs w:val="24"/>
          <w:highlight w:val="none"/>
        </w:rPr>
        <w:t>3</w:t>
      </w:r>
      <w:r>
        <w:rPr>
          <w:rFonts w:hint="eastAsia" w:ascii="宋体" w:hAnsi="宋体" w:cs="宋体"/>
          <w:strike w:val="0"/>
          <w:snapToGrid w:val="0"/>
          <w:color w:val="auto"/>
          <w:sz w:val="24"/>
          <w:szCs w:val="24"/>
          <w:highlight w:val="none"/>
        </w:rPr>
        <w:t>）</w:t>
      </w:r>
      <w:r>
        <w:rPr>
          <w:rFonts w:ascii="宋体" w:hAnsi="宋体" w:cs="宋体"/>
          <w:strike w:val="0"/>
          <w:snapToGrid w:val="0"/>
          <w:color w:val="auto"/>
          <w:sz w:val="24"/>
          <w:szCs w:val="24"/>
          <w:highlight w:val="none"/>
        </w:rPr>
        <w:t>其它</w:t>
      </w:r>
      <w:r>
        <w:rPr>
          <w:rFonts w:hint="eastAsia" w:ascii="宋体" w:hAnsi="宋体" w:cs="宋体"/>
          <w:strike w:val="0"/>
          <w:snapToGrid w:val="0"/>
          <w:color w:val="auto"/>
          <w:sz w:val="24"/>
          <w:szCs w:val="24"/>
          <w:highlight w:val="none"/>
          <w:lang w:val="en-US" w:eastAsia="zh-CN"/>
        </w:rPr>
        <w:t>经发包人认定的</w:t>
      </w:r>
      <w:r>
        <w:rPr>
          <w:rFonts w:ascii="宋体" w:hAnsi="宋体" w:cs="宋体"/>
          <w:strike w:val="0"/>
          <w:snapToGrid w:val="0"/>
          <w:color w:val="auto"/>
          <w:sz w:val="24"/>
          <w:szCs w:val="24"/>
          <w:highlight w:val="none"/>
        </w:rPr>
        <w:t>异常恶劣气候灾害。</w:t>
      </w:r>
    </w:p>
    <w:p w14:paraId="57AE6272">
      <w:pPr>
        <w:pStyle w:val="30"/>
        <w:spacing w:beforeLines="0" w:afterLines="0" w:line="360" w:lineRule="auto"/>
        <w:ind w:firstLine="480" w:firstLineChars="200"/>
        <w:jc w:val="left"/>
        <w:rPr>
          <w:rFonts w:ascii="宋体" w:hAnsi="宋体" w:cs="宋体"/>
          <w:strike w:val="0"/>
          <w:snapToGrid w:val="0"/>
          <w:color w:val="auto"/>
          <w:sz w:val="24"/>
          <w:highlight w:val="none"/>
        </w:rPr>
      </w:pPr>
      <w:r>
        <w:rPr>
          <w:rFonts w:hint="eastAsia" w:ascii="宋体" w:hAnsi="宋体" w:cs="宋体"/>
          <w:strike w:val="0"/>
          <w:snapToGrid w:val="0"/>
          <w:color w:val="auto"/>
          <w:sz w:val="24"/>
          <w:szCs w:val="24"/>
          <w:highlight w:val="none"/>
        </w:rPr>
        <w:t>（</w:t>
      </w:r>
      <w:r>
        <w:rPr>
          <w:rFonts w:hint="eastAsia" w:ascii="宋体" w:hAnsi="宋体" w:cs="宋体"/>
          <w:strike w:val="0"/>
          <w:snapToGrid w:val="0"/>
          <w:color w:val="auto"/>
          <w:sz w:val="24"/>
          <w:szCs w:val="24"/>
          <w:highlight w:val="none"/>
          <w:lang w:val="en-US" w:eastAsia="zh-CN"/>
        </w:rPr>
        <w:t>4</w:t>
      </w:r>
      <w:r>
        <w:rPr>
          <w:rFonts w:ascii="宋体" w:hAnsi="宋体" w:cs="宋体"/>
          <w:strike w:val="0"/>
          <w:snapToGrid w:val="0"/>
          <w:color w:val="auto"/>
          <w:sz w:val="24"/>
          <w:szCs w:val="24"/>
          <w:highlight w:val="none"/>
        </w:rPr>
        <w:t>）</w:t>
      </w:r>
      <w:r>
        <w:rPr>
          <w:rFonts w:hint="eastAsia" w:ascii="宋体" w:hAnsi="宋体" w:cs="宋体"/>
          <w:strike w:val="0"/>
          <w:snapToGrid w:val="0"/>
          <w:color w:val="auto"/>
          <w:sz w:val="24"/>
          <w:szCs w:val="24"/>
          <w:highlight w:val="none"/>
          <w:lang w:eastAsia="zh-CN"/>
        </w:rPr>
        <w:t>降雨量、</w:t>
      </w:r>
      <w:r>
        <w:rPr>
          <w:rFonts w:hint="eastAsia" w:ascii="宋体" w:hAnsi="宋体" w:cs="宋体"/>
          <w:strike w:val="0"/>
          <w:snapToGrid w:val="0"/>
          <w:color w:val="auto"/>
          <w:sz w:val="24"/>
          <w:szCs w:val="24"/>
          <w:highlight w:val="none"/>
          <w:lang w:val="en-US" w:eastAsia="zh-CN"/>
        </w:rPr>
        <w:t>台风等级</w:t>
      </w:r>
      <w:r>
        <w:rPr>
          <w:rFonts w:hint="eastAsia" w:ascii="宋体" w:hAnsi="宋体" w:cs="宋体"/>
          <w:strike w:val="0"/>
          <w:snapToGrid w:val="0"/>
          <w:color w:val="auto"/>
          <w:sz w:val="24"/>
          <w:szCs w:val="24"/>
          <w:highlight w:val="none"/>
          <w:lang w:eastAsia="zh-CN"/>
        </w:rPr>
        <w:t>等以工程所在地气象台官方发布为准</w:t>
      </w:r>
      <w:r>
        <w:rPr>
          <w:rFonts w:ascii="宋体" w:hAnsi="宋体" w:cs="宋体"/>
          <w:strike w:val="0"/>
          <w:snapToGrid w:val="0"/>
          <w:color w:val="auto"/>
          <w:sz w:val="24"/>
          <w:szCs w:val="24"/>
          <w:highlight w:val="none"/>
        </w:rPr>
        <w:t>。</w:t>
      </w:r>
    </w:p>
    <w:p w14:paraId="3EBA5AA4">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11.5</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承包人的工期延误</w:t>
      </w:r>
    </w:p>
    <w:p w14:paraId="772B6081">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）逾期完工违约金表。</w:t>
      </w:r>
    </w:p>
    <w:p w14:paraId="72A9FAE4">
      <w:pPr>
        <w:pStyle w:val="30"/>
        <w:snapToGrid w:val="0"/>
        <w:spacing w:beforeLines="0" w:afterLines="0" w:line="360" w:lineRule="auto"/>
        <w:ind w:firstLine="0" w:firstLineChars="0"/>
        <w:jc w:val="center"/>
        <w:rPr>
          <w:rFonts w:ascii="宋体" w:hAnsi="宋体" w:cs="宋体"/>
          <w:b/>
          <w:snapToGrid w:val="0"/>
          <w:color w:val="auto"/>
          <w:sz w:val="24"/>
          <w:highlight w:val="none"/>
        </w:rPr>
      </w:pPr>
      <w:r>
        <w:rPr>
          <w:rFonts w:hint="eastAsia" w:ascii="宋体" w:hAnsi="宋体" w:cs="宋体"/>
          <w:b/>
          <w:snapToGrid w:val="0"/>
          <w:color w:val="auto"/>
          <w:sz w:val="24"/>
          <w:szCs w:val="24"/>
          <w:highlight w:val="none"/>
        </w:rPr>
        <w:t>逾期完工违约金表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6"/>
        <w:gridCol w:w="1316"/>
        <w:gridCol w:w="6146"/>
        <w:gridCol w:w="1001"/>
      </w:tblGrid>
      <w:tr w14:paraId="5697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0" w:type="auto"/>
            <w:tcBorders>
              <w:tl2br w:val="nil"/>
              <w:tr2bl w:val="nil"/>
            </w:tcBorders>
            <w:noWrap/>
            <w:vAlign w:val="center"/>
          </w:tcPr>
          <w:p w14:paraId="24ED820A">
            <w:pPr>
              <w:pStyle w:val="30"/>
              <w:widowControl/>
              <w:kinsoku/>
              <w:autoSpaceDE/>
              <w:autoSpaceDN/>
              <w:adjustRightInd/>
              <w:snapToGrid w:val="0"/>
              <w:spacing w:beforeLines="0" w:afterLines="0" w:line="0" w:lineRule="atLeast"/>
              <w:ind w:firstLine="0" w:firstLineChars="0"/>
              <w:jc w:val="center"/>
              <w:textAlignment w:val="auto"/>
              <w:rPr>
                <w:rFonts w:ascii="宋体" w:hAnsi="宋体" w:cs="宋体"/>
                <w:snapToGrid w:val="0"/>
                <w:color w:val="auto"/>
                <w:sz w:val="21"/>
                <w:szCs w:val="21"/>
                <w:highlight w:val="none"/>
                <w:lang w:eastAsia="zh-CN"/>
              </w:rPr>
            </w:pPr>
            <w:r>
              <w:rPr>
                <w:rFonts w:hint="eastAsia" w:ascii="宋体" w:hAnsi="宋体" w:cs="宋体"/>
                <w:snapToGrid w:val="0"/>
                <w:color w:val="auto"/>
                <w:sz w:val="21"/>
                <w:szCs w:val="21"/>
                <w:highlight w:val="none"/>
              </w:rPr>
              <w:t>序号</w:t>
            </w:r>
          </w:p>
        </w:tc>
        <w:tc>
          <w:tcPr>
            <w:tcW w:w="0" w:type="auto"/>
            <w:tcBorders>
              <w:tl2br w:val="nil"/>
              <w:tr2bl w:val="nil"/>
            </w:tcBorders>
            <w:noWrap/>
            <w:vAlign w:val="center"/>
          </w:tcPr>
          <w:p w14:paraId="18A689B8">
            <w:pPr>
              <w:pStyle w:val="30"/>
              <w:widowControl/>
              <w:kinsoku/>
              <w:autoSpaceDE/>
              <w:autoSpaceDN/>
              <w:adjustRightInd/>
              <w:snapToGrid w:val="0"/>
              <w:spacing w:beforeLines="0" w:afterLines="0" w:line="0" w:lineRule="atLeast"/>
              <w:ind w:firstLine="0" w:firstLineChars="0"/>
              <w:jc w:val="center"/>
              <w:textAlignment w:val="auto"/>
              <w:rPr>
                <w:rFonts w:ascii="宋体" w:hAnsi="宋体" w:cs="宋体"/>
                <w:snapToGrid w:val="0"/>
                <w:color w:val="auto"/>
                <w:sz w:val="21"/>
                <w:szCs w:val="21"/>
                <w:highlight w:val="none"/>
                <w:lang w:eastAsia="zh-CN"/>
              </w:rPr>
            </w:pPr>
            <w:r>
              <w:rPr>
                <w:rFonts w:hint="eastAsia" w:ascii="宋体" w:hAnsi="宋体" w:cs="宋体"/>
                <w:snapToGrid w:val="0"/>
                <w:color w:val="auto"/>
                <w:sz w:val="21"/>
                <w:szCs w:val="21"/>
                <w:highlight w:val="none"/>
              </w:rPr>
              <w:t>项目及其说明</w:t>
            </w:r>
          </w:p>
        </w:tc>
        <w:tc>
          <w:tcPr>
            <w:tcW w:w="0" w:type="auto"/>
            <w:tcBorders>
              <w:tl2br w:val="nil"/>
              <w:tr2bl w:val="nil"/>
            </w:tcBorders>
            <w:noWrap/>
            <w:vAlign w:val="center"/>
          </w:tcPr>
          <w:p w14:paraId="625BB62B">
            <w:pPr>
              <w:pStyle w:val="30"/>
              <w:widowControl/>
              <w:kinsoku/>
              <w:autoSpaceDE/>
              <w:autoSpaceDN/>
              <w:adjustRightInd/>
              <w:snapToGrid w:val="0"/>
              <w:spacing w:beforeLines="0" w:afterLines="0" w:line="0" w:lineRule="atLeast"/>
              <w:ind w:firstLine="0" w:firstLineChars="0"/>
              <w:jc w:val="center"/>
              <w:textAlignment w:val="auto"/>
              <w:rPr>
                <w:rFonts w:ascii="宋体" w:hAnsi="宋体" w:cs="宋体"/>
                <w:snapToGrid w:val="0"/>
                <w:color w:val="auto"/>
                <w:sz w:val="21"/>
                <w:szCs w:val="21"/>
                <w:highlight w:val="none"/>
                <w:lang w:eastAsia="zh-CN"/>
              </w:rPr>
            </w:pPr>
            <w:r>
              <w:rPr>
                <w:rFonts w:hint="eastAsia" w:ascii="宋体" w:hAnsi="宋体" w:cs="宋体"/>
                <w:snapToGrid w:val="0"/>
                <w:color w:val="auto"/>
                <w:sz w:val="21"/>
                <w:szCs w:val="21"/>
                <w:highlight w:val="none"/>
              </w:rPr>
              <w:t>要求完工日期</w:t>
            </w:r>
          </w:p>
        </w:tc>
        <w:tc>
          <w:tcPr>
            <w:tcW w:w="0" w:type="auto"/>
            <w:tcBorders>
              <w:tl2br w:val="nil"/>
              <w:tr2bl w:val="nil"/>
            </w:tcBorders>
            <w:noWrap/>
            <w:vAlign w:val="center"/>
          </w:tcPr>
          <w:p w14:paraId="3BA63873">
            <w:pPr>
              <w:pStyle w:val="30"/>
              <w:widowControl/>
              <w:kinsoku/>
              <w:autoSpaceDE/>
              <w:autoSpaceDN/>
              <w:adjustRightInd/>
              <w:snapToGrid w:val="0"/>
              <w:spacing w:beforeLines="0" w:afterLines="0" w:line="0" w:lineRule="atLeast"/>
              <w:ind w:firstLine="0" w:firstLineChars="0"/>
              <w:jc w:val="center"/>
              <w:textAlignment w:val="auto"/>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违约金</w:t>
            </w:r>
          </w:p>
          <w:p w14:paraId="2BE078F4">
            <w:pPr>
              <w:pStyle w:val="30"/>
              <w:widowControl/>
              <w:kinsoku/>
              <w:autoSpaceDE/>
              <w:autoSpaceDN/>
              <w:adjustRightInd/>
              <w:snapToGrid w:val="0"/>
              <w:spacing w:beforeLines="0" w:afterLines="0" w:line="0" w:lineRule="atLeast"/>
              <w:ind w:firstLine="0" w:firstLineChars="0"/>
              <w:jc w:val="center"/>
              <w:textAlignment w:val="auto"/>
              <w:rPr>
                <w:rFonts w:ascii="宋体" w:hAnsi="宋体" w:cs="宋体"/>
                <w:snapToGrid w:val="0"/>
                <w:color w:val="auto"/>
                <w:sz w:val="21"/>
                <w:szCs w:val="21"/>
                <w:highlight w:val="none"/>
                <w:lang w:eastAsia="zh-CN"/>
              </w:rPr>
            </w:pPr>
            <w:r>
              <w:rPr>
                <w:rFonts w:hint="eastAsia" w:ascii="宋体" w:hAnsi="宋体" w:cs="宋体"/>
                <w:snapToGrid w:val="0"/>
                <w:color w:val="auto"/>
                <w:sz w:val="21"/>
                <w:szCs w:val="21"/>
                <w:highlight w:val="none"/>
              </w:rPr>
              <w:t>（元</w:t>
            </w:r>
            <w:r>
              <w:rPr>
                <w:rFonts w:ascii="宋体" w:hAnsi="宋体" w:cs="宋体"/>
                <w:snapToGrid w:val="0"/>
                <w:color w:val="auto"/>
                <w:sz w:val="21"/>
                <w:szCs w:val="21"/>
                <w:highlight w:val="none"/>
              </w:rPr>
              <w:t>/天）</w:t>
            </w:r>
          </w:p>
        </w:tc>
      </w:tr>
      <w:tr w14:paraId="2C1E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0" w:type="auto"/>
            <w:tcBorders>
              <w:tl2br w:val="nil"/>
              <w:tr2bl w:val="nil"/>
            </w:tcBorders>
            <w:noWrap/>
            <w:vAlign w:val="center"/>
          </w:tcPr>
          <w:p w14:paraId="25B36F2E">
            <w:pPr>
              <w:pStyle w:val="30"/>
              <w:widowControl/>
              <w:kinsoku/>
              <w:autoSpaceDE/>
              <w:autoSpaceDN/>
              <w:adjustRightInd w:val="0"/>
              <w:snapToGrid w:val="0"/>
              <w:spacing w:beforeLines="0" w:afterLines="0" w:line="0" w:lineRule="atLeast"/>
              <w:ind w:firstLine="0" w:firstLineChars="0"/>
              <w:jc w:val="center"/>
              <w:textAlignment w:val="baseline"/>
              <w:rPr>
                <w:rFonts w:ascii="宋体" w:hAnsi="宋体" w:cs="宋体"/>
                <w:snapToGrid w:val="0"/>
                <w:color w:val="auto"/>
                <w:sz w:val="21"/>
                <w:szCs w:val="21"/>
                <w:highlight w:val="none"/>
                <w:lang w:eastAsia="zh-CN"/>
              </w:rPr>
            </w:pPr>
            <w:r>
              <w:rPr>
                <w:rFonts w:ascii="宋体"/>
                <w:snapToGrid w:val="0"/>
                <w:color w:val="auto"/>
                <w:kern w:val="0"/>
                <w:sz w:val="21"/>
                <w:szCs w:val="21"/>
                <w:highlight w:val="none"/>
                <w:lang w:val="zh-CN" w:bidi="zh-CN"/>
              </w:rPr>
              <w:t>1</w:t>
            </w:r>
          </w:p>
        </w:tc>
        <w:tc>
          <w:tcPr>
            <w:tcW w:w="0" w:type="auto"/>
            <w:tcBorders>
              <w:tl2br w:val="nil"/>
              <w:tr2bl w:val="nil"/>
            </w:tcBorders>
            <w:noWrap/>
            <w:vAlign w:val="center"/>
          </w:tcPr>
          <w:p w14:paraId="72282B57">
            <w:pPr>
              <w:pStyle w:val="30"/>
              <w:widowControl/>
              <w:kinsoku/>
              <w:autoSpaceDE/>
              <w:autoSpaceDN/>
              <w:adjustRightInd w:val="0"/>
              <w:snapToGrid w:val="0"/>
              <w:spacing w:beforeLines="0" w:afterLines="0" w:line="0" w:lineRule="atLeast"/>
              <w:ind w:firstLine="0" w:firstLineChars="0"/>
              <w:jc w:val="center"/>
              <w:textAlignment w:val="baseline"/>
              <w:rPr>
                <w:rFonts w:ascii="宋体" w:hAnsi="宋体" w:cs="宋体"/>
                <w:snapToGrid w:val="0"/>
                <w:color w:val="auto"/>
                <w:sz w:val="21"/>
                <w:szCs w:val="21"/>
                <w:highlight w:val="none"/>
                <w:lang w:eastAsia="zh-CN"/>
              </w:rPr>
            </w:pPr>
            <w:r>
              <w:rPr>
                <w:rFonts w:hint="eastAsia" w:ascii="宋体" w:hAnsi="宋体" w:cs="宋体"/>
                <w:snapToGrid w:val="0"/>
                <w:color w:val="auto"/>
                <w:kern w:val="0"/>
                <w:sz w:val="21"/>
                <w:szCs w:val="21"/>
                <w:highlight w:val="none"/>
                <w:lang w:val="zh-CN" w:bidi="zh-CN"/>
              </w:rPr>
              <w:t>全部工程</w:t>
            </w:r>
          </w:p>
        </w:tc>
        <w:tc>
          <w:tcPr>
            <w:tcW w:w="0" w:type="auto"/>
            <w:tcBorders>
              <w:tl2br w:val="nil"/>
              <w:tr2bl w:val="nil"/>
            </w:tcBorders>
            <w:noWrap/>
            <w:vAlign w:val="center"/>
          </w:tcPr>
          <w:p w14:paraId="5B42A88E">
            <w:pPr>
              <w:pStyle w:val="30"/>
              <w:widowControl/>
              <w:kinsoku/>
              <w:autoSpaceDE/>
              <w:autoSpaceDN/>
              <w:adjustRightInd w:val="0"/>
              <w:snapToGrid w:val="0"/>
              <w:spacing w:beforeLines="0" w:afterLines="0" w:line="0" w:lineRule="atLeast"/>
              <w:ind w:firstLine="0" w:firstLineChars="0"/>
              <w:jc w:val="center"/>
              <w:textAlignment w:val="baseline"/>
              <w:rPr>
                <w:rFonts w:ascii="宋体" w:hAnsi="宋体" w:cs="宋体"/>
                <w:snapToGrid w:val="0"/>
                <w:color w:val="auto"/>
                <w:sz w:val="21"/>
                <w:szCs w:val="21"/>
                <w:highlight w:val="none"/>
                <w:lang w:eastAsia="zh-CN"/>
              </w:rPr>
            </w:pPr>
            <w:r>
              <w:rPr>
                <w:rFonts w:hint="eastAsia" w:ascii="宋体" w:hAnsi="宋体" w:cs="宋体"/>
                <w:snapToGrid w:val="0"/>
                <w:color w:val="auto"/>
                <w:kern w:val="0"/>
                <w:sz w:val="21"/>
                <w:szCs w:val="21"/>
                <w:highlight w:val="none"/>
                <w:lang w:bidi="zh-CN"/>
              </w:rPr>
              <w:t>开工通知发出后</w:t>
            </w:r>
            <w:r>
              <w:rPr>
                <w:rFonts w:ascii="宋体" w:hAnsi="宋体" w:cs="宋体"/>
                <w:snapToGrid w:val="0"/>
                <w:color w:val="auto"/>
                <w:kern w:val="0"/>
                <w:sz w:val="21"/>
                <w:szCs w:val="21"/>
                <w:highlight w:val="none"/>
                <w:u w:val="single"/>
                <w:lang w:bidi="zh-CN"/>
              </w:rPr>
              <w:t>（具体根据投标单位投标承诺的时间填写）</w:t>
            </w:r>
            <w:r>
              <w:rPr>
                <w:rFonts w:hint="eastAsia" w:ascii="宋体" w:hAnsi="宋体" w:cs="宋体"/>
                <w:snapToGrid w:val="0"/>
                <w:color w:val="auto"/>
                <w:kern w:val="0"/>
                <w:sz w:val="21"/>
                <w:szCs w:val="21"/>
                <w:highlight w:val="none"/>
                <w:lang w:val="zh-CN" w:bidi="zh-CN"/>
              </w:rPr>
              <w:t>日历天</w:t>
            </w:r>
          </w:p>
        </w:tc>
        <w:tc>
          <w:tcPr>
            <w:tcW w:w="0" w:type="auto"/>
            <w:tcBorders>
              <w:tl2br w:val="nil"/>
              <w:tr2bl w:val="nil"/>
            </w:tcBorders>
            <w:noWrap/>
            <w:vAlign w:val="center"/>
          </w:tcPr>
          <w:p w14:paraId="08EC210F">
            <w:pPr>
              <w:pStyle w:val="30"/>
              <w:widowControl/>
              <w:kinsoku/>
              <w:autoSpaceDE/>
              <w:autoSpaceDN/>
              <w:adjustRightInd w:val="0"/>
              <w:snapToGrid w:val="0"/>
              <w:spacing w:beforeLines="0" w:afterLines="0" w:line="0" w:lineRule="atLeast"/>
              <w:ind w:firstLine="0" w:firstLineChars="0"/>
              <w:jc w:val="center"/>
              <w:textAlignment w:val="baseline"/>
              <w:rPr>
                <w:rFonts w:ascii="宋体" w:hAnsi="宋体" w:cs="宋体"/>
                <w:snapToGrid w:val="0"/>
                <w:color w:val="auto"/>
                <w:sz w:val="21"/>
                <w:szCs w:val="21"/>
                <w:highlight w:val="none"/>
                <w:lang w:eastAsia="zh-CN"/>
              </w:rPr>
            </w:pPr>
            <w:r>
              <w:rPr>
                <w:rFonts w:hint="eastAsia" w:ascii="宋体"/>
                <w:snapToGrid w:val="0"/>
                <w:color w:val="auto"/>
                <w:kern w:val="0"/>
                <w:sz w:val="21"/>
                <w:szCs w:val="21"/>
                <w:highlight w:val="none"/>
                <w:lang w:val="en-US" w:bidi="zh-CN"/>
              </w:rPr>
              <w:t>1</w:t>
            </w:r>
            <w:r>
              <w:rPr>
                <w:rFonts w:ascii="宋体"/>
                <w:snapToGrid w:val="0"/>
                <w:color w:val="auto"/>
                <w:kern w:val="0"/>
                <w:sz w:val="21"/>
                <w:szCs w:val="21"/>
                <w:highlight w:val="none"/>
                <w:lang w:val="zh-CN" w:bidi="zh-CN"/>
              </w:rPr>
              <w:t>000</w:t>
            </w:r>
            <w:r>
              <w:rPr>
                <w:rFonts w:ascii="宋体"/>
                <w:snapToGrid w:val="0"/>
                <w:color w:val="auto"/>
                <w:kern w:val="0"/>
                <w:sz w:val="21"/>
                <w:szCs w:val="21"/>
                <w:highlight w:val="none"/>
                <w:lang w:bidi="zh-CN"/>
              </w:rPr>
              <w:t>0</w:t>
            </w:r>
          </w:p>
        </w:tc>
      </w:tr>
    </w:tbl>
    <w:p w14:paraId="557A44D1">
      <w:pPr>
        <w:pStyle w:val="30"/>
        <w:snapToGrid w:val="0"/>
        <w:spacing w:beforeLines="0" w:afterLines="0" w:line="360" w:lineRule="auto"/>
        <w:ind w:firstLine="220" w:firstLineChars="200"/>
        <w:jc w:val="left"/>
        <w:rPr>
          <w:rFonts w:hint="eastAsia" w:ascii="宋体" w:hAnsi="宋体" w:cs="宋体"/>
          <w:snapToGrid w:val="0"/>
          <w:color w:val="auto"/>
          <w:sz w:val="11"/>
          <w:szCs w:val="11"/>
          <w:highlight w:val="none"/>
        </w:rPr>
      </w:pPr>
    </w:p>
    <w:p w14:paraId="775B2F92">
      <w:pPr>
        <w:pStyle w:val="30"/>
        <w:snapToGrid w:val="0"/>
        <w:spacing w:beforeLines="0" w:afterLines="0" w:line="360" w:lineRule="auto"/>
        <w:ind w:firstLine="480" w:firstLineChars="200"/>
        <w:jc w:val="left"/>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2）全部逾期完工违约金的总限额不超过签约合同价的</w:t>
      </w:r>
      <w:r>
        <w:rPr>
          <w:rFonts w:hint="eastAsia" w:ascii="宋体"/>
          <w:snapToGrid w:val="0"/>
          <w:color w:val="auto"/>
          <w:sz w:val="24"/>
          <w:szCs w:val="24"/>
          <w:highlight w:val="none"/>
          <w:u w:val="single"/>
          <w:lang w:val="en-US" w:eastAsia="zh-CN"/>
        </w:rPr>
        <w:t>2</w:t>
      </w:r>
      <w:r>
        <w:rPr>
          <w:rFonts w:ascii="宋体" w:hAnsi="宋体" w:cs="宋体"/>
          <w:snapToGrid w:val="0"/>
          <w:color w:val="auto"/>
          <w:sz w:val="24"/>
          <w:szCs w:val="24"/>
          <w:highlight w:val="none"/>
        </w:rPr>
        <w:t>%。</w:t>
      </w:r>
    </w:p>
    <w:p w14:paraId="1F0471CE">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11.6</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工期提前</w:t>
      </w:r>
    </w:p>
    <w:p w14:paraId="640AF2DA">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工期提前的奖金约定：</w:t>
      </w:r>
      <w:r>
        <w:rPr>
          <w:rFonts w:hint="eastAsia" w:ascii="宋体" w:hAnsi="宋体" w:cs="宋体"/>
          <w:bCs/>
          <w:color w:val="auto"/>
          <w:sz w:val="24"/>
          <w:szCs w:val="24"/>
          <w:highlight w:val="none"/>
          <w:u w:val="single"/>
        </w:rPr>
        <w:t>不奖励</w:t>
      </w:r>
      <w:r>
        <w:rPr>
          <w:rFonts w:hint="eastAsia" w:ascii="宋体" w:hAnsi="宋体" w:cs="宋体"/>
          <w:snapToGrid w:val="0"/>
          <w:color w:val="auto"/>
          <w:sz w:val="24"/>
          <w:szCs w:val="24"/>
          <w:highlight w:val="none"/>
        </w:rPr>
        <w:t>。</w:t>
      </w:r>
    </w:p>
    <w:p w14:paraId="2D7216EE">
      <w:pPr>
        <w:kinsoku/>
        <w:spacing w:beforeLines="0" w:afterLines="0"/>
        <w:ind w:firstLine="0" w:firstLineChars="0"/>
        <w:jc w:val="left"/>
        <w:rPr>
          <w:rFonts w:cs="宋体"/>
          <w:color w:val="auto"/>
          <w:highlight w:val="none"/>
          <w:lang w:eastAsia="zh-CN"/>
        </w:rPr>
      </w:pPr>
      <w:r>
        <w:rPr>
          <w:rFonts w:ascii="宋体" w:hAnsi="Times New Roman" w:eastAsia="宋体" w:cs="Times New Roman"/>
          <w:b/>
          <w:color w:val="auto"/>
          <w:szCs w:val="21"/>
          <w:highlight w:val="none"/>
          <w:lang w:eastAsia="zh-CN"/>
        </w:rPr>
        <w:t>11.7</w:t>
      </w:r>
      <w:r>
        <w:rPr>
          <w:rFonts w:hint="eastAsia" w:hAnsi="Times New Roman" w:cs="Times New Roman"/>
          <w:b/>
          <w:color w:val="auto"/>
          <w:szCs w:val="21"/>
          <w:highlight w:val="none"/>
          <w:lang w:eastAsia="zh-CN"/>
        </w:rPr>
        <w:t>　</w:t>
      </w:r>
      <w:r>
        <w:rPr>
          <w:rFonts w:hint="eastAsia" w:ascii="宋体" w:hAnsi="楷体" w:eastAsia="宋体" w:cs="楷体"/>
          <w:b/>
          <w:bCs/>
          <w:color w:val="auto"/>
          <w:spacing w:val="0"/>
          <w:szCs w:val="21"/>
          <w:highlight w:val="none"/>
          <w:lang w:eastAsia="zh-CN"/>
        </w:rPr>
        <w:t>退场</w:t>
      </w:r>
    </w:p>
    <w:p w14:paraId="01D22876">
      <w:pPr>
        <w:kinsoku/>
        <w:spacing w:beforeLines="0" w:afterLines="0"/>
        <w:ind w:firstLine="420"/>
        <w:jc w:val="left"/>
        <w:textAlignment w:val="auto"/>
        <w:rPr>
          <w:rFonts w:cs="宋体"/>
          <w:color w:val="auto"/>
          <w:kern w:val="2"/>
          <w:szCs w:val="21"/>
          <w:highlight w:val="none"/>
          <w:lang w:eastAsia="zh-CN"/>
        </w:rPr>
      </w:pPr>
      <w:r>
        <w:rPr>
          <w:rFonts w:hint="eastAsia" w:cs="宋体"/>
          <w:color w:val="auto"/>
          <w:kern w:val="2"/>
          <w:szCs w:val="21"/>
          <w:highlight w:val="none"/>
          <w:lang w:eastAsia="zh-CN"/>
        </w:rPr>
        <w:t>承包人必须按时完工清场，具体时间以甲方签发的退场通知单为准，逾期未退场的，发包人有权强制清场（费用在工程款中直接扣除），由此造成的一切损失由承包人自行承担。</w:t>
      </w:r>
    </w:p>
    <w:p w14:paraId="77B098BA">
      <w:pPr>
        <w:pStyle w:val="4"/>
        <w:kinsoku/>
        <w:spacing w:beforeLines="0" w:afterLines="0"/>
        <w:rPr>
          <w:rFonts w:hint="eastAsia" w:cs="宋体"/>
          <w:bCs/>
          <w:color w:val="auto"/>
          <w:sz w:val="24"/>
          <w:szCs w:val="24"/>
          <w:highlight w:val="none"/>
        </w:rPr>
      </w:pPr>
      <w:r>
        <w:rPr>
          <w:rFonts w:hint="eastAsia" w:cs="宋体"/>
          <w:bCs/>
          <w:color w:val="auto"/>
          <w:sz w:val="24"/>
          <w:szCs w:val="24"/>
          <w:highlight w:val="none"/>
        </w:rPr>
        <w:t>12</w:t>
      </w:r>
      <w:r>
        <w:rPr>
          <w:rFonts w:hint="eastAsia" w:cs="宋体"/>
          <w:bCs/>
          <w:snapToGrid w:val="0"/>
          <w:color w:val="auto"/>
          <w:sz w:val="24"/>
          <w:szCs w:val="24"/>
          <w:highlight w:val="none"/>
          <w:lang w:eastAsia="zh-CN"/>
        </w:rPr>
        <w:t>　</w:t>
      </w:r>
      <w:r>
        <w:rPr>
          <w:rFonts w:hint="eastAsia" w:cs="宋体"/>
          <w:bCs/>
          <w:color w:val="auto"/>
          <w:sz w:val="24"/>
          <w:szCs w:val="24"/>
          <w:highlight w:val="none"/>
        </w:rPr>
        <w:t>暂停施工</w:t>
      </w:r>
    </w:p>
    <w:p w14:paraId="2E74C473">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12.1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承包人暂停施工的责任</w:t>
      </w:r>
    </w:p>
    <w:p w14:paraId="166F700D">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5</w:t>
      </w:r>
      <w:r>
        <w:rPr>
          <w:rFonts w:hint="eastAsia" w:ascii="宋体" w:hAnsi="宋体" w:cs="宋体"/>
          <w:snapToGrid w:val="0"/>
          <w:color w:val="auto"/>
          <w:sz w:val="24"/>
          <w:szCs w:val="24"/>
          <w:highlight w:val="none"/>
        </w:rPr>
        <w:t>）承包人承担暂停施工责任的其他情形：</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472D0B5A">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12.2</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发包人暂停施工的责任</w:t>
      </w:r>
    </w:p>
    <w:p w14:paraId="23CD78EA">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）发包人承担暂停施工责任的其他情形：</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lang w:val="en-US" w:eastAsia="zh-CN"/>
        </w:rPr>
        <w:t xml:space="preserve"> </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2A5458AE">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13</w:t>
      </w:r>
      <w:r>
        <w:rPr>
          <w:rFonts w:hint="eastAsia" w:cs="宋体"/>
          <w:bCs/>
          <w:snapToGrid w:val="0"/>
          <w:color w:val="auto"/>
          <w:sz w:val="24"/>
          <w:szCs w:val="24"/>
          <w:highlight w:val="none"/>
          <w:lang w:eastAsia="zh-CN"/>
        </w:rPr>
        <w:t>　</w:t>
      </w:r>
      <w:r>
        <w:rPr>
          <w:rFonts w:hint="eastAsia" w:ascii="宋体" w:hAnsi="宋体" w:cs="宋体"/>
          <w:bCs/>
          <w:color w:val="auto"/>
          <w:sz w:val="24"/>
          <w:szCs w:val="24"/>
          <w:highlight w:val="none"/>
        </w:rPr>
        <w:t>工程质量</w:t>
      </w:r>
    </w:p>
    <w:p w14:paraId="56EC84A4">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13.7</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质量评定</w:t>
      </w:r>
    </w:p>
    <w:p w14:paraId="6A092D4E">
      <w:pPr>
        <w:widowControl/>
        <w:kinsoku/>
        <w:spacing w:beforeLines="0" w:afterLines="0"/>
        <w:ind w:firstLine="0" w:firstLineChars="0"/>
        <w:jc w:val="left"/>
        <w:textAlignment w:val="auto"/>
        <w:rPr>
          <w:rFonts w:cs="宋体"/>
          <w:color w:val="auto"/>
          <w:szCs w:val="21"/>
          <w:highlight w:val="none"/>
          <w:lang w:eastAsia="zh-CN"/>
        </w:rPr>
      </w:pPr>
      <w:r>
        <w:rPr>
          <w:rFonts w:ascii="宋体" w:hAnsi="Times New Roman" w:eastAsia="宋体" w:cs="Times New Roman"/>
          <w:b/>
          <w:snapToGrid w:val="0"/>
          <w:color w:val="auto"/>
          <w:szCs w:val="21"/>
          <w:highlight w:val="none"/>
          <w:lang w:eastAsia="zh-CN"/>
        </w:rPr>
        <w:t>13.7.7</w:t>
      </w:r>
      <w:r>
        <w:rPr>
          <w:rFonts w:hint="eastAsia" w:hAnsi="Times New Roman" w:cs="Times New Roman"/>
          <w:b/>
          <w:snapToGrid w:val="0"/>
          <w:color w:val="auto"/>
          <w:szCs w:val="21"/>
          <w:highlight w:val="none"/>
          <w:lang w:eastAsia="zh-CN"/>
        </w:rPr>
        <w:t>　</w:t>
      </w:r>
      <w:r>
        <w:rPr>
          <w:rFonts w:hint="eastAsia" w:ascii="宋体" w:eastAsia="宋体" w:cs="宋体"/>
          <w:b w:val="0"/>
          <w:snapToGrid w:val="0"/>
          <w:color w:val="auto"/>
          <w:szCs w:val="21"/>
          <w:highlight w:val="none"/>
          <w:lang w:eastAsia="zh-CN"/>
        </w:rPr>
        <w:t>工程质量等级标准为优良。</w:t>
      </w:r>
    </w:p>
    <w:p w14:paraId="3E0C3595">
      <w:pPr>
        <w:widowControl/>
        <w:kinsoku/>
        <w:spacing w:beforeLines="0" w:afterLines="0"/>
        <w:ind w:firstLine="0" w:firstLineChars="0"/>
        <w:jc w:val="left"/>
        <w:textAlignment w:val="auto"/>
        <w:rPr>
          <w:rFonts w:hint="eastAsia" w:cs="宋体"/>
          <w:b w:val="0"/>
          <w:snapToGrid w:val="0"/>
          <w:color w:val="auto"/>
          <w:szCs w:val="21"/>
          <w:highlight w:val="none"/>
          <w:lang w:val="en-US" w:eastAsia="zh-CN"/>
        </w:rPr>
      </w:pPr>
      <w:r>
        <w:rPr>
          <w:rFonts w:ascii="宋体" w:hAnsi="Times New Roman" w:eastAsia="宋体" w:cs="Times New Roman"/>
          <w:b/>
          <w:snapToGrid w:val="0"/>
          <w:color w:val="auto"/>
          <w:szCs w:val="21"/>
          <w:highlight w:val="none"/>
          <w:lang w:eastAsia="zh-CN"/>
        </w:rPr>
        <w:t>13.7.8</w:t>
      </w:r>
      <w:r>
        <w:rPr>
          <w:rFonts w:hint="eastAsia" w:hAnsi="Times New Roman" w:cs="Times New Roman"/>
          <w:b/>
          <w:snapToGrid w:val="0"/>
          <w:color w:val="auto"/>
          <w:szCs w:val="21"/>
          <w:highlight w:val="none"/>
          <w:lang w:eastAsia="zh-CN"/>
        </w:rPr>
        <w:t>　</w:t>
      </w:r>
      <w:r>
        <w:rPr>
          <w:rFonts w:hint="eastAsia" w:ascii="宋体" w:eastAsia="宋体" w:cs="宋体"/>
          <w:b w:val="0"/>
          <w:snapToGrid w:val="0"/>
          <w:color w:val="auto"/>
          <w:szCs w:val="21"/>
          <w:highlight w:val="none"/>
          <w:lang w:eastAsia="zh-CN"/>
        </w:rPr>
        <w:t>本工程确保</w:t>
      </w:r>
      <w:r>
        <w:rPr>
          <w:rFonts w:hint="eastAsia" w:cs="宋体"/>
          <w:b w:val="0"/>
          <w:snapToGrid w:val="0"/>
          <w:color w:val="auto"/>
          <w:szCs w:val="24"/>
          <w:highlight w:val="none"/>
          <w:vertAlign w:val="baseline"/>
          <w:lang w:val="en-US" w:eastAsia="zh-CN"/>
        </w:rPr>
        <w:t>省部级奖项（钱江杯或大禹奖），</w:t>
      </w:r>
      <w:r>
        <w:rPr>
          <w:rFonts w:hint="eastAsia" w:cs="宋体"/>
          <w:b w:val="0"/>
          <w:snapToGrid w:val="0"/>
          <w:color w:val="auto"/>
          <w:szCs w:val="21"/>
          <w:highlight w:val="none"/>
          <w:lang w:val="en-US" w:eastAsia="zh-CN"/>
        </w:rPr>
        <w:t>争创</w:t>
      </w:r>
      <w:r>
        <w:rPr>
          <w:rFonts w:hint="eastAsia" w:cs="宋体"/>
          <w:b w:val="0"/>
          <w:snapToGrid w:val="0"/>
          <w:color w:val="auto"/>
          <w:szCs w:val="24"/>
          <w:highlight w:val="none"/>
          <w:vertAlign w:val="baseline"/>
          <w:lang w:val="en-US" w:eastAsia="zh-CN"/>
        </w:rPr>
        <w:t>国家级奖项（鲁班奖或国家优质工程金质奖）</w:t>
      </w:r>
      <w:r>
        <w:rPr>
          <w:rFonts w:hint="eastAsia" w:cs="宋体"/>
          <w:b w:val="0"/>
          <w:snapToGrid w:val="0"/>
          <w:color w:val="auto"/>
          <w:szCs w:val="21"/>
          <w:highlight w:val="none"/>
          <w:lang w:val="en-US" w:eastAsia="zh-CN"/>
        </w:rPr>
        <w:t>。本标段承包人必须配合申报</w:t>
      </w:r>
      <w:r>
        <w:rPr>
          <w:rFonts w:hint="eastAsia" w:cs="宋体"/>
          <w:b w:val="0"/>
          <w:snapToGrid w:val="0"/>
          <w:color w:val="auto"/>
          <w:szCs w:val="24"/>
          <w:highlight w:val="none"/>
          <w:vertAlign w:val="baseline"/>
          <w:lang w:val="en-US" w:eastAsia="zh-CN"/>
        </w:rPr>
        <w:t>省部级奖项（钱江杯或大禹奖）和国家级奖项（鲁班奖或国家优质工程金质奖）</w:t>
      </w:r>
      <w:r>
        <w:rPr>
          <w:rFonts w:hint="eastAsia" w:cs="宋体"/>
          <w:b w:val="0"/>
          <w:snapToGrid w:val="0"/>
          <w:color w:val="auto"/>
          <w:szCs w:val="21"/>
          <w:highlight w:val="none"/>
          <w:lang w:val="en-US" w:eastAsia="zh-CN"/>
        </w:rPr>
        <w:t>，如未获得</w:t>
      </w:r>
      <w:r>
        <w:rPr>
          <w:rFonts w:hint="eastAsia" w:cs="宋体"/>
          <w:b w:val="0"/>
          <w:snapToGrid w:val="0"/>
          <w:color w:val="auto"/>
          <w:szCs w:val="24"/>
          <w:highlight w:val="none"/>
          <w:vertAlign w:val="baseline"/>
          <w:lang w:val="en-US" w:eastAsia="zh-CN"/>
        </w:rPr>
        <w:t>省部级奖项（钱江杯或大禹奖）</w:t>
      </w:r>
      <w:r>
        <w:rPr>
          <w:rFonts w:hint="eastAsia" w:cs="宋体"/>
          <w:b w:val="0"/>
          <w:snapToGrid w:val="0"/>
          <w:color w:val="auto"/>
          <w:szCs w:val="21"/>
          <w:highlight w:val="none"/>
          <w:lang w:val="en-US" w:eastAsia="zh-CN"/>
        </w:rPr>
        <w:t>，视为承包人违约。所有奖项在本工程完工后具备报奖条件的前提下，须在3年内获评，本标段各类奖项在约定期限内未获奖违约金及获奖奖励金额按下表执行：</w:t>
      </w:r>
    </w:p>
    <w:p w14:paraId="06EB4501">
      <w:pPr>
        <w:widowControl/>
        <w:numPr>
          <w:ilvl w:val="0"/>
          <w:numId w:val="0"/>
        </w:numPr>
        <w:adjustRightInd/>
        <w:snapToGrid/>
        <w:ind w:firstLine="0" w:firstLineChars="0"/>
        <w:jc w:val="both"/>
        <w:textAlignment w:val="auto"/>
        <w:rPr>
          <w:rFonts w:hint="eastAsia" w:cs="宋体"/>
          <w:b w:val="0"/>
          <w:snapToGrid w:val="0"/>
          <w:color w:val="auto"/>
          <w:szCs w:val="21"/>
          <w:highlight w:val="none"/>
          <w:lang w:val="en-US" w:eastAsia="zh-CN"/>
        </w:rPr>
      </w:pPr>
      <w:r>
        <w:rPr>
          <w:rFonts w:hint="eastAsia" w:ascii="仿宋" w:hAnsi="仿宋" w:eastAsia="仿宋" w:cs="仿宋"/>
          <w:b w:val="0"/>
          <w:bCs w:val="0"/>
          <w:snapToGrid/>
          <w:color w:val="auto"/>
          <w:spacing w:val="0"/>
          <w:kern w:val="0"/>
          <w:sz w:val="28"/>
          <w:szCs w:val="28"/>
          <w:highlight w:val="none"/>
          <w:lang w:val="en-US" w:eastAsia="zh-CN" w:bidi="ar"/>
        </w:rPr>
        <w:t xml:space="preserve">表13.7.8            </w:t>
      </w:r>
      <w:r>
        <w:rPr>
          <w:rFonts w:hint="eastAsia" w:ascii="黑体" w:hAnsi="黑体" w:eastAsia="黑体" w:cs="黑体"/>
          <w:b w:val="0"/>
          <w:bCs w:val="0"/>
          <w:snapToGrid/>
          <w:color w:val="auto"/>
          <w:spacing w:val="0"/>
          <w:kern w:val="0"/>
          <w:sz w:val="28"/>
          <w:szCs w:val="28"/>
          <w:highlight w:val="none"/>
          <w:lang w:val="en-US" w:eastAsia="zh-CN" w:bidi="ar"/>
        </w:rPr>
        <w:t xml:space="preserve"> 优质工程奖励及违约金表</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957"/>
        <w:gridCol w:w="2494"/>
        <w:gridCol w:w="1889"/>
        <w:gridCol w:w="1941"/>
      </w:tblGrid>
      <w:tr w14:paraId="7A6D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9" w:type="pct"/>
            <w:vAlign w:val="center"/>
          </w:tcPr>
          <w:p w14:paraId="02D90655">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val="en-US" w:eastAsia="zh-CN"/>
              </w:rPr>
            </w:pPr>
            <w:r>
              <w:rPr>
                <w:rFonts w:hint="eastAsia" w:cs="宋体"/>
                <w:b w:val="0"/>
                <w:snapToGrid w:val="0"/>
                <w:color w:val="auto"/>
                <w:sz w:val="21"/>
                <w:szCs w:val="21"/>
                <w:highlight w:val="none"/>
                <w:vertAlign w:val="baseline"/>
                <w:lang w:val="en-US" w:eastAsia="zh-CN"/>
              </w:rPr>
              <w:t>序号</w:t>
            </w:r>
          </w:p>
        </w:tc>
        <w:tc>
          <w:tcPr>
            <w:tcW w:w="1054" w:type="pct"/>
            <w:vAlign w:val="center"/>
          </w:tcPr>
          <w:p w14:paraId="7622FE37">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val="en-US" w:eastAsia="zh-CN"/>
              </w:rPr>
            </w:pPr>
            <w:r>
              <w:rPr>
                <w:rFonts w:hint="eastAsia" w:cs="宋体"/>
                <w:b w:val="0"/>
                <w:snapToGrid w:val="0"/>
                <w:color w:val="auto"/>
                <w:sz w:val="21"/>
                <w:szCs w:val="21"/>
                <w:highlight w:val="none"/>
                <w:vertAlign w:val="baseline"/>
                <w:lang w:val="en-US" w:eastAsia="zh-CN"/>
              </w:rPr>
              <w:t>奖项名称</w:t>
            </w:r>
          </w:p>
        </w:tc>
        <w:tc>
          <w:tcPr>
            <w:tcW w:w="1343" w:type="pct"/>
            <w:vAlign w:val="center"/>
          </w:tcPr>
          <w:p w14:paraId="448A0BFE">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未获奖违约金</w:t>
            </w:r>
          </w:p>
        </w:tc>
        <w:tc>
          <w:tcPr>
            <w:tcW w:w="1017" w:type="pct"/>
            <w:vAlign w:val="center"/>
          </w:tcPr>
          <w:p w14:paraId="12DEFF9E">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获奖奖励金额</w:t>
            </w:r>
          </w:p>
        </w:tc>
        <w:tc>
          <w:tcPr>
            <w:tcW w:w="1045" w:type="pct"/>
            <w:vAlign w:val="center"/>
          </w:tcPr>
          <w:p w14:paraId="7436DC14">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备注</w:t>
            </w:r>
          </w:p>
        </w:tc>
      </w:tr>
      <w:tr w14:paraId="680A2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39" w:type="pct"/>
            <w:vAlign w:val="center"/>
          </w:tcPr>
          <w:p w14:paraId="61D92FFA">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1</w:t>
            </w:r>
          </w:p>
        </w:tc>
        <w:tc>
          <w:tcPr>
            <w:tcW w:w="1054" w:type="pct"/>
            <w:vAlign w:val="center"/>
          </w:tcPr>
          <w:p w14:paraId="30A881A5">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省部级奖项（钱江杯或大禹奖）</w:t>
            </w:r>
          </w:p>
        </w:tc>
        <w:tc>
          <w:tcPr>
            <w:tcW w:w="1343" w:type="pct"/>
            <w:vAlign w:val="center"/>
          </w:tcPr>
          <w:p w14:paraId="66C4FDC2">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150万元</w:t>
            </w:r>
          </w:p>
        </w:tc>
        <w:tc>
          <w:tcPr>
            <w:tcW w:w="1017" w:type="pct"/>
            <w:vAlign w:val="center"/>
          </w:tcPr>
          <w:p w14:paraId="28A12D20">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20万元</w:t>
            </w:r>
          </w:p>
        </w:tc>
        <w:tc>
          <w:tcPr>
            <w:tcW w:w="1045" w:type="pct"/>
            <w:vMerge w:val="restart"/>
            <w:vAlign w:val="center"/>
          </w:tcPr>
          <w:p w14:paraId="3371CE5E">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同时获得多种奖项的，只奖励1次，以奖励金额较高者为准</w:t>
            </w:r>
          </w:p>
        </w:tc>
      </w:tr>
      <w:tr w14:paraId="4AB2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9" w:type="pct"/>
            <w:vAlign w:val="center"/>
          </w:tcPr>
          <w:p w14:paraId="2D88E52F">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2</w:t>
            </w:r>
          </w:p>
        </w:tc>
        <w:tc>
          <w:tcPr>
            <w:tcW w:w="1054" w:type="pct"/>
            <w:vAlign w:val="center"/>
          </w:tcPr>
          <w:p w14:paraId="6CD2481E">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国家级奖项（鲁班奖或国家优质工程金质奖）</w:t>
            </w:r>
          </w:p>
        </w:tc>
        <w:tc>
          <w:tcPr>
            <w:tcW w:w="1343" w:type="pct"/>
            <w:vAlign w:val="center"/>
          </w:tcPr>
          <w:p w14:paraId="0114FC7F">
            <w:pPr>
              <w:widowControl/>
              <w:kinsoku/>
              <w:spacing w:beforeLines="0" w:afterLines="0" w:line="320" w:lineRule="exact"/>
              <w:ind w:firstLine="0" w:firstLineChars="0"/>
              <w:jc w:val="center"/>
              <w:textAlignment w:val="auto"/>
              <w:rPr>
                <w:rFonts w:hint="default"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0元</w:t>
            </w:r>
          </w:p>
        </w:tc>
        <w:tc>
          <w:tcPr>
            <w:tcW w:w="1017" w:type="pct"/>
            <w:vAlign w:val="center"/>
          </w:tcPr>
          <w:p w14:paraId="5ED5AEF6">
            <w:pPr>
              <w:widowControl/>
              <w:kinsoku/>
              <w:spacing w:beforeLines="0" w:afterLines="0" w:line="320" w:lineRule="exact"/>
              <w:ind w:firstLine="0" w:firstLineChars="0"/>
              <w:jc w:val="center"/>
              <w:textAlignment w:val="auto"/>
              <w:rPr>
                <w:rFonts w:hint="eastAsia" w:ascii="宋体" w:eastAsia="宋体" w:cs="宋体"/>
                <w:b w:val="0"/>
                <w:snapToGrid w:val="0"/>
                <w:color w:val="auto"/>
                <w:sz w:val="21"/>
                <w:szCs w:val="21"/>
                <w:highlight w:val="none"/>
                <w:vertAlign w:val="baseline"/>
                <w:lang w:eastAsia="zh-CN"/>
              </w:rPr>
            </w:pPr>
            <w:r>
              <w:rPr>
                <w:rFonts w:hint="eastAsia" w:cs="宋体"/>
                <w:b w:val="0"/>
                <w:snapToGrid w:val="0"/>
                <w:color w:val="auto"/>
                <w:sz w:val="21"/>
                <w:szCs w:val="21"/>
                <w:highlight w:val="none"/>
                <w:vertAlign w:val="baseline"/>
                <w:lang w:val="en-US" w:eastAsia="zh-CN"/>
              </w:rPr>
              <w:t>40万元</w:t>
            </w:r>
          </w:p>
        </w:tc>
        <w:tc>
          <w:tcPr>
            <w:tcW w:w="1045" w:type="pct"/>
            <w:vMerge w:val="continue"/>
            <w:vAlign w:val="center"/>
          </w:tcPr>
          <w:p w14:paraId="566E845D">
            <w:pPr>
              <w:widowControl/>
              <w:kinsoku/>
              <w:spacing w:beforeLines="0" w:afterLines="0" w:line="320" w:lineRule="exact"/>
              <w:ind w:firstLine="0" w:firstLineChars="0"/>
              <w:jc w:val="center"/>
              <w:textAlignment w:val="auto"/>
              <w:rPr>
                <w:rFonts w:hint="eastAsia" w:ascii="宋体" w:eastAsia="宋体" w:cs="宋体"/>
                <w:b w:val="0"/>
                <w:snapToGrid w:val="0"/>
                <w:color w:val="auto"/>
                <w:szCs w:val="24"/>
                <w:highlight w:val="none"/>
                <w:vertAlign w:val="baseline"/>
                <w:lang w:eastAsia="zh-CN"/>
              </w:rPr>
            </w:pPr>
          </w:p>
        </w:tc>
      </w:tr>
    </w:tbl>
    <w:p w14:paraId="1556D915">
      <w:pPr>
        <w:widowControl/>
        <w:spacing w:beforeLines="0" w:afterLines="0" w:line="360" w:lineRule="auto"/>
        <w:ind w:firstLine="480" w:firstLineChars="200"/>
        <w:jc w:val="left"/>
        <w:rPr>
          <w:rFonts w:hAnsi="宋体" w:cs="宋体"/>
          <w:snapToGrid w:val="0"/>
          <w:color w:val="auto"/>
          <w:sz w:val="24"/>
          <w:szCs w:val="24"/>
          <w:highlight w:val="none"/>
        </w:rPr>
      </w:pPr>
      <w:r>
        <w:rPr>
          <w:rFonts w:hint="eastAsia" w:hAnsi="宋体" w:cs="宋体"/>
          <w:snapToGrid w:val="0"/>
          <w:color w:val="auto"/>
          <w:sz w:val="24"/>
          <w:szCs w:val="24"/>
          <w:highlight w:val="none"/>
        </w:rPr>
        <w:t>本工程</w:t>
      </w:r>
      <w:r>
        <w:rPr>
          <w:rFonts w:hint="eastAsia" w:hAnsi="宋体" w:cs="宋体"/>
          <w:snapToGrid w:val="0"/>
          <w:color w:val="auto"/>
          <w:sz w:val="24"/>
          <w:szCs w:val="24"/>
          <w:highlight w:val="none"/>
          <w:lang w:val="en-US" w:eastAsia="zh-CN"/>
        </w:rPr>
        <w:t>获奖奖励金额</w:t>
      </w:r>
      <w:r>
        <w:rPr>
          <w:rFonts w:hAnsi="宋体" w:cs="宋体"/>
          <w:snapToGrid w:val="0"/>
          <w:color w:val="auto"/>
          <w:sz w:val="24"/>
          <w:szCs w:val="24"/>
          <w:highlight w:val="none"/>
        </w:rPr>
        <w:t>按</w:t>
      </w:r>
      <w:r>
        <w:rPr>
          <w:rFonts w:hint="eastAsia" w:cs="宋体"/>
          <w:snapToGrid w:val="0"/>
          <w:color w:val="auto"/>
          <w:sz w:val="24"/>
          <w:szCs w:val="24"/>
          <w:highlight w:val="none"/>
          <w:lang w:val="en-US" w:eastAsia="zh-CN"/>
        </w:rPr>
        <w:t>预留金</w:t>
      </w:r>
      <w:r>
        <w:rPr>
          <w:rFonts w:hAnsi="宋体" w:cs="宋体"/>
          <w:snapToGrid w:val="0"/>
          <w:color w:val="auto"/>
          <w:sz w:val="24"/>
          <w:szCs w:val="24"/>
          <w:highlight w:val="none"/>
        </w:rPr>
        <w:t>的方式计列，作为</w:t>
      </w:r>
      <w:r>
        <w:rPr>
          <w:rFonts w:hint="eastAsia" w:hAnsi="宋体" w:cs="宋体"/>
          <w:snapToGrid w:val="0"/>
          <w:color w:val="auto"/>
          <w:sz w:val="24"/>
          <w:szCs w:val="24"/>
          <w:highlight w:val="none"/>
        </w:rPr>
        <w:t>本标段</w:t>
      </w:r>
      <w:r>
        <w:rPr>
          <w:rFonts w:hAnsi="宋体" w:cs="宋体"/>
          <w:snapToGrid w:val="0"/>
          <w:color w:val="auto"/>
          <w:sz w:val="24"/>
          <w:szCs w:val="24"/>
          <w:highlight w:val="none"/>
        </w:rPr>
        <w:t>创优工程成本费用补偿</w:t>
      </w:r>
      <w:r>
        <w:rPr>
          <w:rFonts w:hint="eastAsia" w:hAnsi="宋体" w:cs="宋体"/>
          <w:snapToGrid w:val="0"/>
          <w:color w:val="auto"/>
          <w:sz w:val="24"/>
          <w:szCs w:val="24"/>
          <w:highlight w:val="none"/>
          <w:lang w:eastAsia="zh-CN"/>
        </w:rPr>
        <w:t>。</w:t>
      </w:r>
      <w:r>
        <w:rPr>
          <w:rFonts w:hint="eastAsia" w:hAnsi="宋体" w:cs="宋体"/>
          <w:snapToGrid w:val="0"/>
          <w:color w:val="auto"/>
          <w:sz w:val="24"/>
          <w:szCs w:val="24"/>
          <w:highlight w:val="none"/>
        </w:rPr>
        <w:t>承包人凭相关</w:t>
      </w:r>
      <w:r>
        <w:rPr>
          <w:rFonts w:hint="eastAsia" w:hAnsi="宋体" w:cs="宋体"/>
          <w:snapToGrid w:val="0"/>
          <w:color w:val="auto"/>
          <w:sz w:val="24"/>
          <w:szCs w:val="24"/>
          <w:highlight w:val="none"/>
          <w:lang w:val="en-US" w:eastAsia="zh-CN"/>
        </w:rPr>
        <w:t>获奖</w:t>
      </w:r>
      <w:r>
        <w:rPr>
          <w:rFonts w:hint="eastAsia" w:hAnsi="宋体" w:cs="宋体"/>
          <w:snapToGrid w:val="0"/>
          <w:color w:val="auto"/>
          <w:sz w:val="24"/>
          <w:szCs w:val="24"/>
          <w:highlight w:val="none"/>
        </w:rPr>
        <w:t>证明材料提出申请，发包人同意后</w:t>
      </w:r>
      <w:r>
        <w:rPr>
          <w:rFonts w:hAnsi="宋体" w:cs="宋体"/>
          <w:snapToGrid w:val="0"/>
          <w:color w:val="auto"/>
          <w:sz w:val="24"/>
          <w:szCs w:val="24"/>
          <w:highlight w:val="none"/>
        </w:rPr>
        <w:t>30天内一次性支付。</w:t>
      </w:r>
      <w:r>
        <w:rPr>
          <w:rFonts w:hint="eastAsia" w:hAnsi="宋体" w:cs="宋体"/>
          <w:snapToGrid w:val="0"/>
          <w:color w:val="auto"/>
          <w:sz w:val="24"/>
          <w:szCs w:val="24"/>
          <w:highlight w:val="none"/>
        </w:rPr>
        <w:t>鼓励承包人将不低于</w:t>
      </w:r>
      <w:r>
        <w:rPr>
          <w:rFonts w:hint="eastAsia" w:cs="宋体"/>
          <w:snapToGrid w:val="0"/>
          <w:color w:val="auto"/>
          <w:sz w:val="24"/>
          <w:szCs w:val="24"/>
          <w:highlight w:val="none"/>
          <w:lang w:val="en-US" w:eastAsia="zh-CN"/>
        </w:rPr>
        <w:t>奖励</w:t>
      </w:r>
      <w:r>
        <w:rPr>
          <w:rFonts w:hint="eastAsia" w:hAnsi="宋体" w:cs="宋体"/>
          <w:snapToGrid w:val="0"/>
          <w:color w:val="auto"/>
          <w:sz w:val="24"/>
          <w:szCs w:val="24"/>
          <w:highlight w:val="none"/>
        </w:rPr>
        <w:t>金额的</w:t>
      </w:r>
      <w:r>
        <w:rPr>
          <w:rFonts w:hAnsi="宋体" w:cs="宋体"/>
          <w:snapToGrid w:val="0"/>
          <w:color w:val="auto"/>
          <w:sz w:val="24"/>
          <w:szCs w:val="24"/>
          <w:highlight w:val="none"/>
        </w:rPr>
        <w:t>20%奖励给本标段项目管理团队。</w:t>
      </w:r>
    </w:p>
    <w:p w14:paraId="547F8040">
      <w:pPr>
        <w:kinsoku/>
        <w:spacing w:beforeLines="0" w:afterLines="0"/>
        <w:ind w:firstLine="0" w:firstLineChars="0"/>
        <w:jc w:val="left"/>
        <w:rPr>
          <w:rFonts w:cs="宋体"/>
          <w:b/>
          <w:color w:val="auto"/>
          <w:highlight w:val="none"/>
          <w:lang w:eastAsia="zh-CN"/>
        </w:rPr>
      </w:pPr>
      <w:r>
        <w:rPr>
          <w:rFonts w:ascii="宋体" w:hAnsi="Times New Roman" w:cs="Times New Roman"/>
          <w:b/>
          <w:snapToGrid w:val="0"/>
          <w:color w:val="auto"/>
          <w:szCs w:val="21"/>
          <w:highlight w:val="none"/>
          <w:lang w:eastAsia="zh-CN"/>
        </w:rPr>
        <w:t>13.8</w:t>
      </w:r>
      <w:r>
        <w:rPr>
          <w:rFonts w:hint="eastAsia" w:hAnsi="Times New Roman" w:cs="Times New Roman"/>
          <w:b/>
          <w:snapToGrid w:val="0"/>
          <w:color w:val="auto"/>
          <w:szCs w:val="21"/>
          <w:highlight w:val="none"/>
          <w:lang w:eastAsia="zh-CN"/>
        </w:rPr>
        <w:t>　</w:t>
      </w:r>
      <w:r>
        <w:rPr>
          <w:rFonts w:hint="eastAsia" w:ascii="宋体" w:hAnsi="楷体" w:eastAsia="宋体" w:cs="楷体"/>
          <w:b/>
          <w:bCs/>
          <w:snapToGrid w:val="0"/>
          <w:color w:val="auto"/>
          <w:spacing w:val="0"/>
          <w:szCs w:val="21"/>
          <w:highlight w:val="none"/>
          <w:lang w:eastAsia="zh-CN"/>
        </w:rPr>
        <w:t>质量事故处理</w:t>
      </w:r>
    </w:p>
    <w:p w14:paraId="67632DB6">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因承包人原因发生《水利工程质量事故处理暂行规定》（水利部令</w:t>
      </w:r>
      <w:r>
        <w:rPr>
          <w:rFonts w:hint="eastAsia" w:ascii="宋体"/>
          <w:snapToGrid w:val="0"/>
          <w:color w:val="auto"/>
          <w:sz w:val="24"/>
          <w:szCs w:val="24"/>
          <w:highlight w:val="none"/>
        </w:rPr>
        <w:t>第9</w:t>
      </w:r>
      <w:r>
        <w:rPr>
          <w:rFonts w:hint="eastAsia" w:ascii="宋体" w:hAnsi="宋体" w:cs="宋体"/>
          <w:snapToGrid w:val="0"/>
          <w:color w:val="auto"/>
          <w:sz w:val="24"/>
          <w:szCs w:val="24"/>
          <w:highlight w:val="none"/>
        </w:rPr>
        <w:t>号）规定质量事故的，除按规定承担相应的责任外，发包人还将按以下原则进行处罚，相关违约金在进度款中扣除。发生特大质量事故的，每次处</w:t>
      </w:r>
      <w:r>
        <w:rPr>
          <w:rFonts w:hint="eastAsia" w:ascii="宋体"/>
          <w:snapToGrid w:val="0"/>
          <w:color w:val="auto"/>
          <w:sz w:val="24"/>
          <w:szCs w:val="24"/>
          <w:highlight w:val="none"/>
        </w:rPr>
        <w:t>以</w:t>
      </w:r>
      <w:r>
        <w:rPr>
          <w:rFonts w:hint="eastAsia" w:ascii="宋体"/>
          <w:snapToGrid w:val="0"/>
          <w:color w:val="auto"/>
          <w:sz w:val="24"/>
          <w:szCs w:val="24"/>
          <w:highlight w:val="none"/>
          <w:lang w:val="en-US" w:eastAsia="zh-CN"/>
        </w:rPr>
        <w:t>50万至1</w:t>
      </w:r>
      <w:r>
        <w:rPr>
          <w:rFonts w:ascii="宋体"/>
          <w:snapToGrid w:val="0"/>
          <w:color w:val="auto"/>
          <w:sz w:val="24"/>
          <w:szCs w:val="24"/>
          <w:highlight w:val="none"/>
        </w:rPr>
        <w:t>00</w:t>
      </w:r>
      <w:r>
        <w:rPr>
          <w:rFonts w:hint="eastAsia" w:ascii="宋体" w:hAnsi="宋体" w:cs="宋体"/>
          <w:snapToGrid w:val="0"/>
          <w:color w:val="auto"/>
          <w:sz w:val="24"/>
          <w:szCs w:val="24"/>
          <w:highlight w:val="none"/>
        </w:rPr>
        <w:t>万元违约金；发生重大质量事故的，每次处</w:t>
      </w:r>
      <w:r>
        <w:rPr>
          <w:rFonts w:hint="eastAsia" w:ascii="宋体"/>
          <w:snapToGrid w:val="0"/>
          <w:color w:val="auto"/>
          <w:sz w:val="24"/>
          <w:szCs w:val="24"/>
          <w:highlight w:val="none"/>
        </w:rPr>
        <w:t>以</w:t>
      </w:r>
      <w:r>
        <w:rPr>
          <w:rFonts w:hint="eastAsia" w:ascii="宋体"/>
          <w:snapToGrid w:val="0"/>
          <w:color w:val="auto"/>
          <w:sz w:val="24"/>
          <w:szCs w:val="24"/>
          <w:highlight w:val="none"/>
          <w:lang w:val="en-US" w:eastAsia="zh-CN"/>
        </w:rPr>
        <w:t>20万至5</w:t>
      </w:r>
      <w:r>
        <w:rPr>
          <w:rFonts w:ascii="宋体"/>
          <w:snapToGrid w:val="0"/>
          <w:color w:val="auto"/>
          <w:sz w:val="24"/>
          <w:szCs w:val="24"/>
          <w:highlight w:val="none"/>
        </w:rPr>
        <w:t>0</w:t>
      </w:r>
      <w:r>
        <w:rPr>
          <w:rFonts w:hint="eastAsia" w:ascii="宋体" w:hAnsi="宋体" w:cs="宋体"/>
          <w:snapToGrid w:val="0"/>
          <w:color w:val="auto"/>
          <w:sz w:val="24"/>
          <w:szCs w:val="24"/>
          <w:highlight w:val="none"/>
        </w:rPr>
        <w:t>万元违约金；发生较大质量事故的，每次处</w:t>
      </w:r>
      <w:r>
        <w:rPr>
          <w:rFonts w:hint="eastAsia" w:ascii="宋体"/>
          <w:snapToGrid w:val="0"/>
          <w:color w:val="auto"/>
          <w:sz w:val="24"/>
          <w:szCs w:val="24"/>
          <w:highlight w:val="none"/>
        </w:rPr>
        <w:t>以</w:t>
      </w:r>
      <w:r>
        <w:rPr>
          <w:rFonts w:hint="eastAsia" w:ascii="宋体"/>
          <w:snapToGrid w:val="0"/>
          <w:color w:val="auto"/>
          <w:sz w:val="24"/>
          <w:szCs w:val="24"/>
          <w:highlight w:val="none"/>
          <w:lang w:val="en-US" w:eastAsia="zh-CN"/>
        </w:rPr>
        <w:t>10万至2</w:t>
      </w:r>
      <w:r>
        <w:rPr>
          <w:rFonts w:ascii="宋体" w:hAnsi="宋体" w:cs="宋体"/>
          <w:snapToGrid w:val="0"/>
          <w:color w:val="auto"/>
          <w:sz w:val="24"/>
          <w:szCs w:val="24"/>
          <w:highlight w:val="none"/>
        </w:rPr>
        <w:t>0万元违约金；发生一般事故的，每次处</w:t>
      </w:r>
      <w:r>
        <w:rPr>
          <w:rFonts w:hint="eastAsia" w:ascii="宋体"/>
          <w:snapToGrid w:val="0"/>
          <w:color w:val="auto"/>
          <w:sz w:val="24"/>
          <w:szCs w:val="24"/>
          <w:highlight w:val="none"/>
        </w:rPr>
        <w:t>以</w:t>
      </w:r>
      <w:r>
        <w:rPr>
          <w:rFonts w:hint="eastAsia" w:ascii="宋体"/>
          <w:snapToGrid w:val="0"/>
          <w:color w:val="auto"/>
          <w:sz w:val="24"/>
          <w:szCs w:val="24"/>
          <w:highlight w:val="none"/>
          <w:lang w:val="en-US" w:eastAsia="zh-CN"/>
        </w:rPr>
        <w:t>5万至1</w:t>
      </w:r>
      <w:r>
        <w:rPr>
          <w:rFonts w:ascii="宋体"/>
          <w:snapToGrid w:val="0"/>
          <w:color w:val="auto"/>
          <w:sz w:val="24"/>
          <w:szCs w:val="24"/>
          <w:highlight w:val="none"/>
        </w:rPr>
        <w:t>0</w:t>
      </w:r>
      <w:r>
        <w:rPr>
          <w:rFonts w:hint="eastAsia" w:ascii="宋体" w:hAnsi="宋体" w:cs="宋体"/>
          <w:snapToGrid w:val="0"/>
          <w:color w:val="auto"/>
          <w:sz w:val="24"/>
          <w:szCs w:val="24"/>
          <w:highlight w:val="none"/>
        </w:rPr>
        <w:t>万元违约金。</w:t>
      </w:r>
    </w:p>
    <w:p w14:paraId="24946A4E">
      <w:pPr>
        <w:pStyle w:val="30"/>
        <w:snapToGrid w:val="0"/>
        <w:spacing w:beforeLines="0" w:afterLines="0" w:line="360" w:lineRule="auto"/>
        <w:ind w:firstLine="480" w:firstLineChars="200"/>
        <w:jc w:val="left"/>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发生一般及以上质量事故的，发包人保留解除合同的权力。</w:t>
      </w:r>
    </w:p>
    <w:p w14:paraId="0657AFAA">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14</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试验和检验</w:t>
      </w:r>
    </w:p>
    <w:p w14:paraId="726A06E9">
      <w:pPr>
        <w:pStyle w:val="32"/>
        <w:keepLines w:val="0"/>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14.1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材料、工程设备和工程的试验和检验</w:t>
      </w:r>
    </w:p>
    <w:p w14:paraId="22C62D64">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b/>
          <w:snapToGrid w:val="0"/>
          <w:color w:val="auto"/>
          <w:kern w:val="0"/>
          <w:sz w:val="24"/>
          <w:szCs w:val="24"/>
          <w:highlight w:val="none"/>
        </w:rPr>
        <w:t>14.1.5</w:t>
      </w:r>
      <w:r>
        <w:rPr>
          <w:rFonts w:hint="eastAsia" w:ascii="宋体"/>
          <w:b/>
          <w:snapToGrid w:val="0"/>
          <w:color w:val="auto"/>
          <w:kern w:val="0"/>
          <w:sz w:val="24"/>
          <w:szCs w:val="24"/>
          <w:highlight w:val="none"/>
          <w:lang w:eastAsia="zh-CN"/>
        </w:rPr>
        <w:t>　</w:t>
      </w:r>
      <w:r>
        <w:rPr>
          <w:rFonts w:hint="eastAsia" w:ascii="宋体" w:hAnsi="宋体" w:cs="宋体"/>
          <w:snapToGrid w:val="0"/>
          <w:color w:val="auto"/>
          <w:sz w:val="24"/>
          <w:szCs w:val="24"/>
          <w:highlight w:val="none"/>
        </w:rPr>
        <w:t>相关设备进场后的交货检查和验收中，承包人负责</w:t>
      </w:r>
      <w:r>
        <w:rPr>
          <w:rFonts w:hint="eastAsia" w:ascii="宋体" w:hAnsi="宋体" w:cs="宋体"/>
          <w:snapToGrid w:val="0"/>
          <w:color w:val="auto"/>
          <w:sz w:val="24"/>
          <w:szCs w:val="24"/>
          <w:highlight w:val="none"/>
          <w:u w:val="single"/>
          <w:lang w:val="en-US" w:eastAsia="zh-CN"/>
        </w:rPr>
        <w:t xml:space="preserve"> </w:t>
      </w:r>
      <w:r>
        <w:rPr>
          <w:rFonts w:hint="eastAsia" w:ascii="宋体" w:hAnsi="宋体" w:cs="宋体"/>
          <w:snapToGrid w:val="0"/>
          <w:color w:val="auto"/>
          <w:sz w:val="24"/>
          <w:szCs w:val="24"/>
          <w:highlight w:val="none"/>
          <w:u w:val="single"/>
        </w:rPr>
        <w:t>卸货、仓储保管、保护以及转运至施工安装现场，承包人需在投标报价中考虑相关费用，发包人不再另行支付</w:t>
      </w:r>
      <w:r>
        <w:rPr>
          <w:rFonts w:hint="eastAsia" w:ascii="宋体" w:hAnsi="宋体" w:cs="宋体"/>
          <w:snapToGrid w:val="0"/>
          <w:color w:val="auto"/>
          <w:sz w:val="24"/>
          <w:szCs w:val="24"/>
          <w:highlight w:val="none"/>
        </w:rPr>
        <w:t>。</w:t>
      </w:r>
    </w:p>
    <w:p w14:paraId="5081C473">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eastAsia="宋体"/>
          <w:b/>
          <w:snapToGrid w:val="0"/>
          <w:color w:val="auto"/>
          <w:kern w:val="0"/>
          <w:sz w:val="24"/>
          <w:szCs w:val="24"/>
          <w:highlight w:val="none"/>
        </w:rPr>
        <w:t>14.1.6</w:t>
      </w:r>
      <w:r>
        <w:rPr>
          <w:rFonts w:hint="eastAsia" w:ascii="宋体"/>
          <w:b/>
          <w:snapToGrid w:val="0"/>
          <w:color w:val="auto"/>
          <w:kern w:val="0"/>
          <w:sz w:val="24"/>
          <w:szCs w:val="24"/>
          <w:highlight w:val="none"/>
          <w:lang w:eastAsia="zh-CN"/>
        </w:rPr>
        <w:t>　</w:t>
      </w:r>
      <w:r>
        <w:rPr>
          <w:rFonts w:hint="eastAsia" w:ascii="宋体" w:hAnsi="宋体" w:cs="宋体"/>
          <w:snapToGrid w:val="0"/>
          <w:color w:val="auto"/>
          <w:sz w:val="24"/>
          <w:szCs w:val="24"/>
          <w:highlight w:val="none"/>
        </w:rPr>
        <w:t>本工程实行见证取样的试块、试件及有关材料：</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rPr>
        <w:t>水、水泥、砂石骨料、粉煤灰、外加剂、钢板、钢筋、混凝土、止水、沥青及填缝材料</w:t>
      </w:r>
      <w:r>
        <w:rPr>
          <w:rFonts w:ascii="宋体" w:hAnsi="宋体" w:cs="宋体"/>
          <w:snapToGrid w:val="0"/>
          <w:color w:val="auto"/>
          <w:sz w:val="24"/>
          <w:szCs w:val="24"/>
          <w:highlight w:val="none"/>
          <w:u w:val="single"/>
        </w:rPr>
        <w:t>等，具体按</w:t>
      </w:r>
      <w:r>
        <w:rPr>
          <w:rFonts w:hint="eastAsia" w:ascii="宋体" w:hAnsi="宋体" w:cs="宋体"/>
          <w:snapToGrid w:val="0"/>
          <w:color w:val="auto"/>
          <w:sz w:val="24"/>
          <w:szCs w:val="24"/>
          <w:highlight w:val="none"/>
          <w:u w:val="single"/>
          <w:lang w:val="en-US" w:eastAsia="zh-CN"/>
        </w:rPr>
        <w:t>相关规范</w:t>
      </w:r>
      <w:r>
        <w:rPr>
          <w:rFonts w:ascii="宋体" w:hAnsi="宋体" w:cs="宋体"/>
          <w:snapToGrid w:val="0"/>
          <w:color w:val="auto"/>
          <w:sz w:val="24"/>
          <w:szCs w:val="24"/>
          <w:highlight w:val="none"/>
          <w:u w:val="single"/>
        </w:rPr>
        <w:t>执行</w:t>
      </w:r>
      <w:r>
        <w:rPr>
          <w:rFonts w:hint="eastAsia" w:ascii="宋体" w:hAnsi="宋体" w:cs="宋体"/>
          <w:snapToGrid w:val="0"/>
          <w:color w:val="auto"/>
          <w:sz w:val="24"/>
          <w:szCs w:val="24"/>
          <w:highlight w:val="none"/>
        </w:rPr>
        <w:t>。</w:t>
      </w:r>
    </w:p>
    <w:p w14:paraId="0E5D7E72">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15</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变更</w:t>
      </w:r>
    </w:p>
    <w:p w14:paraId="4C7E2717">
      <w:pPr>
        <w:pStyle w:val="32"/>
        <w:keepLines w:val="0"/>
        <w:autoSpaceDE/>
        <w:autoSpaceDN/>
        <w:spacing w:beforeLines="0" w:afterLines="0"/>
        <w:ind w:firstLineChars="0"/>
        <w:textAlignment w:val="baseline"/>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15.1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变更的范围和内容</w:t>
      </w:r>
    </w:p>
    <w:p w14:paraId="3DDA8E0B">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6</w:t>
      </w:r>
      <w:r>
        <w:rPr>
          <w:rFonts w:hint="eastAsia" w:ascii="宋体" w:hAnsi="宋体" w:cs="宋体"/>
          <w:snapToGrid w:val="0"/>
          <w:color w:val="auto"/>
          <w:sz w:val="24"/>
          <w:szCs w:val="24"/>
          <w:highlight w:val="none"/>
        </w:rPr>
        <w:t>）分类分项清单项目工程量增加的，凡合价金额占签约合同总价</w:t>
      </w:r>
      <w:r>
        <w:rPr>
          <w:rFonts w:ascii="宋体"/>
          <w:snapToGrid w:val="0"/>
          <w:color w:val="auto"/>
          <w:sz w:val="24"/>
          <w:szCs w:val="24"/>
          <w:highlight w:val="none"/>
        </w:rPr>
        <w:t>2</w:t>
      </w:r>
      <w:r>
        <w:rPr>
          <w:rFonts w:ascii="宋体" w:hAnsi="宋体" w:cs="宋体"/>
          <w:snapToGrid w:val="0"/>
          <w:color w:val="auto"/>
          <w:sz w:val="24"/>
          <w:szCs w:val="24"/>
          <w:highlight w:val="none"/>
        </w:rPr>
        <w:t>%以上的分类分项清单项目其工程量增加超过本项目工程数量</w:t>
      </w:r>
      <w:r>
        <w:rPr>
          <w:rFonts w:ascii="宋体"/>
          <w:snapToGrid w:val="0"/>
          <w:color w:val="auto"/>
          <w:sz w:val="24"/>
          <w:szCs w:val="24"/>
          <w:highlight w:val="none"/>
        </w:rPr>
        <w:t>15</w:t>
      </w:r>
      <w:r>
        <w:rPr>
          <w:rFonts w:ascii="宋体" w:hAnsi="宋体" w:cs="宋体"/>
          <w:snapToGrid w:val="0"/>
          <w:color w:val="auto"/>
          <w:sz w:val="24"/>
          <w:szCs w:val="24"/>
          <w:highlight w:val="none"/>
        </w:rPr>
        <w:t>%以上，或合价金额占签约合同总价不到</w:t>
      </w:r>
      <w:r>
        <w:rPr>
          <w:rFonts w:ascii="宋体"/>
          <w:snapToGrid w:val="0"/>
          <w:color w:val="auto"/>
          <w:sz w:val="24"/>
          <w:szCs w:val="24"/>
          <w:highlight w:val="none"/>
        </w:rPr>
        <w:t>2</w:t>
      </w:r>
      <w:r>
        <w:rPr>
          <w:rFonts w:ascii="宋体" w:hAnsi="宋体" w:cs="宋体"/>
          <w:snapToGrid w:val="0"/>
          <w:color w:val="auto"/>
          <w:sz w:val="24"/>
          <w:szCs w:val="24"/>
          <w:highlight w:val="none"/>
        </w:rPr>
        <w:t>%的分类分项清单项目但其工程量增加超过本项目工程数量</w:t>
      </w:r>
      <w:r>
        <w:rPr>
          <w:rFonts w:ascii="宋体"/>
          <w:snapToGrid w:val="0"/>
          <w:color w:val="auto"/>
          <w:sz w:val="24"/>
          <w:szCs w:val="24"/>
          <w:highlight w:val="none"/>
        </w:rPr>
        <w:t>25</w:t>
      </w:r>
      <w:r>
        <w:rPr>
          <w:rFonts w:ascii="宋体" w:hAnsi="宋体" w:cs="宋体"/>
          <w:snapToGrid w:val="0"/>
          <w:color w:val="auto"/>
          <w:sz w:val="24"/>
          <w:szCs w:val="24"/>
          <w:highlight w:val="none"/>
        </w:rPr>
        <w:t>%以上，超过上述</w:t>
      </w:r>
      <w:r>
        <w:rPr>
          <w:rFonts w:ascii="宋体"/>
          <w:snapToGrid w:val="0"/>
          <w:color w:val="auto"/>
          <w:sz w:val="24"/>
          <w:szCs w:val="24"/>
          <w:highlight w:val="none"/>
        </w:rPr>
        <w:t>15</w:t>
      </w:r>
      <w:r>
        <w:rPr>
          <w:rFonts w:ascii="宋体" w:hAnsi="宋体" w:cs="宋体"/>
          <w:snapToGrid w:val="0"/>
          <w:color w:val="auto"/>
          <w:sz w:val="24"/>
          <w:szCs w:val="24"/>
          <w:highlight w:val="none"/>
        </w:rPr>
        <w:t>%或</w:t>
      </w:r>
      <w:r>
        <w:rPr>
          <w:rFonts w:ascii="宋体"/>
          <w:snapToGrid w:val="0"/>
          <w:color w:val="auto"/>
          <w:sz w:val="24"/>
          <w:szCs w:val="24"/>
          <w:highlight w:val="none"/>
        </w:rPr>
        <w:t>25</w:t>
      </w:r>
      <w:r>
        <w:rPr>
          <w:rFonts w:ascii="宋体" w:hAnsi="宋体" w:cs="宋体"/>
          <w:snapToGrid w:val="0"/>
          <w:color w:val="auto"/>
          <w:sz w:val="24"/>
          <w:szCs w:val="24"/>
          <w:highlight w:val="none"/>
        </w:rPr>
        <w:t>%以外增加部分的工程量，由承包人按</w:t>
      </w:r>
      <w:r>
        <w:rPr>
          <w:rFonts w:ascii="宋体"/>
          <w:snapToGrid w:val="0"/>
          <w:color w:val="auto"/>
          <w:sz w:val="24"/>
          <w:szCs w:val="24"/>
          <w:highlight w:val="none"/>
        </w:rPr>
        <w:t>15</w:t>
      </w:r>
      <w:r>
        <w:rPr>
          <w:rFonts w:ascii="宋体" w:hAnsi="宋体" w:cs="宋体"/>
          <w:snapToGrid w:val="0"/>
          <w:color w:val="auto"/>
          <w:sz w:val="24"/>
          <w:szCs w:val="24"/>
          <w:highlight w:val="none"/>
        </w:rPr>
        <w:t>.</w:t>
      </w:r>
      <w:r>
        <w:rPr>
          <w:rFonts w:ascii="宋体"/>
          <w:snapToGrid w:val="0"/>
          <w:color w:val="auto"/>
          <w:sz w:val="24"/>
          <w:szCs w:val="24"/>
          <w:highlight w:val="none"/>
        </w:rPr>
        <w:t>4</w:t>
      </w:r>
      <w:r>
        <w:rPr>
          <w:rFonts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款的原则提出合适的变更单价，并经监理人审核。变更单价与合同单价相比，上下浮动超过</w:t>
      </w:r>
      <w:r>
        <w:rPr>
          <w:rFonts w:ascii="宋体" w:hAnsi="宋体" w:cs="宋体"/>
          <w:snapToGrid w:val="0"/>
          <w:color w:val="auto"/>
          <w:sz w:val="24"/>
          <w:szCs w:val="24"/>
          <w:highlight w:val="none"/>
          <w:u w:val="single"/>
        </w:rPr>
        <w:t xml:space="preserve"> </w:t>
      </w:r>
      <w:r>
        <w:rPr>
          <w:rFonts w:ascii="宋体"/>
          <w:snapToGrid w:val="0"/>
          <w:color w:val="auto"/>
          <w:sz w:val="24"/>
          <w:szCs w:val="24"/>
          <w:highlight w:val="none"/>
          <w:u w:val="single"/>
        </w:rPr>
        <w:t>15</w:t>
      </w:r>
      <w:r>
        <w:rPr>
          <w:rFonts w:ascii="宋体" w:hAnsi="宋体" w:cs="宋体"/>
          <w:snapToGrid w:val="0"/>
          <w:color w:val="auto"/>
          <w:sz w:val="24"/>
          <w:szCs w:val="24"/>
          <w:highlight w:val="none"/>
          <w:u w:val="single"/>
        </w:rPr>
        <w:t>%</w:t>
      </w:r>
      <w:r>
        <w:rPr>
          <w:rFonts w:ascii="宋体" w:hAnsi="宋体" w:cs="宋体"/>
          <w:strike/>
          <w:snapToGrid w:val="0"/>
          <w:color w:val="auto"/>
          <w:sz w:val="24"/>
          <w:szCs w:val="24"/>
          <w:highlight w:val="none"/>
          <w:u w:val="single"/>
        </w:rPr>
        <w:t>（10%</w:t>
      </w:r>
      <w:r>
        <w:rPr>
          <w:rFonts w:hint="eastAsia" w:ascii="宋体" w:hAnsi="宋体" w:cs="宋体"/>
          <w:strike/>
          <w:snapToGrid w:val="0"/>
          <w:color w:val="auto"/>
          <w:sz w:val="24"/>
          <w:szCs w:val="24"/>
          <w:highlight w:val="none"/>
          <w:u w:val="single"/>
        </w:rPr>
        <w:t>～</w:t>
      </w:r>
      <w:r>
        <w:rPr>
          <w:rFonts w:ascii="宋体" w:hAnsi="宋体" w:cs="宋体"/>
          <w:strike/>
          <w:snapToGrid w:val="0"/>
          <w:color w:val="auto"/>
          <w:sz w:val="24"/>
          <w:szCs w:val="24"/>
          <w:highlight w:val="none"/>
          <w:u w:val="single"/>
        </w:rPr>
        <w:t>20%）</w:t>
      </w:r>
      <w:r>
        <w:rPr>
          <w:rFonts w:hint="eastAsia" w:ascii="宋体" w:hAnsi="宋体" w:cs="宋体"/>
          <w:snapToGrid w:val="0"/>
          <w:color w:val="auto"/>
          <w:sz w:val="24"/>
          <w:szCs w:val="24"/>
          <w:highlight w:val="none"/>
        </w:rPr>
        <w:t>时，发包人同意后按变更单价进入工程结算；上述</w:t>
      </w:r>
      <w:r>
        <w:rPr>
          <w:rFonts w:ascii="宋体"/>
          <w:snapToGrid w:val="0"/>
          <w:color w:val="auto"/>
          <w:sz w:val="24"/>
          <w:szCs w:val="24"/>
          <w:highlight w:val="none"/>
        </w:rPr>
        <w:t>15</w:t>
      </w:r>
      <w:r>
        <w:rPr>
          <w:rFonts w:ascii="宋体" w:hAnsi="宋体" w:cs="宋体"/>
          <w:snapToGrid w:val="0"/>
          <w:color w:val="auto"/>
          <w:sz w:val="24"/>
          <w:szCs w:val="24"/>
          <w:highlight w:val="none"/>
        </w:rPr>
        <w:t>%或</w:t>
      </w:r>
      <w:r>
        <w:rPr>
          <w:rFonts w:ascii="宋体"/>
          <w:snapToGrid w:val="0"/>
          <w:color w:val="auto"/>
          <w:sz w:val="24"/>
          <w:szCs w:val="24"/>
          <w:highlight w:val="none"/>
        </w:rPr>
        <w:t>25</w:t>
      </w:r>
      <w:r>
        <w:rPr>
          <w:rFonts w:ascii="宋体" w:hAnsi="宋体" w:cs="宋体"/>
          <w:snapToGrid w:val="0"/>
          <w:color w:val="auto"/>
          <w:sz w:val="24"/>
          <w:szCs w:val="24"/>
          <w:highlight w:val="none"/>
        </w:rPr>
        <w:t>%以内增加部分的工程量，按合同单价结算。</w:t>
      </w:r>
    </w:p>
    <w:p w14:paraId="3A2F962A">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r>
        <w:rPr>
          <w:rFonts w:hint="eastAsia" w:ascii="宋体" w:hAnsi="宋体" w:cs="宋体"/>
          <w:snapToGrid w:val="0"/>
          <w:color w:val="auto"/>
          <w:sz w:val="24"/>
          <w:szCs w:val="24"/>
          <w:highlight w:val="none"/>
        </w:rPr>
        <w:t>因分类分项清单项目工程量减少的，采用以下第</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lang w:val="en-US" w:eastAsia="zh-CN"/>
        </w:rPr>
        <w:t>1</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rPr>
        <w:t>种方式对合同价格进行调整：</w:t>
      </w:r>
    </w:p>
    <w:p w14:paraId="09108628">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r>
        <w:rPr>
          <w:rFonts w:hint="eastAsia" w:ascii="宋体" w:hAnsi="宋体" w:cs="宋体"/>
          <w:snapToGrid w:val="0"/>
          <w:color w:val="auto"/>
          <w:sz w:val="24"/>
          <w:szCs w:val="24"/>
          <w:highlight w:val="none"/>
        </w:rPr>
        <w:t>第</w:t>
      </w:r>
      <w:r>
        <w:rPr>
          <w:rFonts w:ascii="宋体"/>
          <w:snapToGrid w:val="0"/>
          <w:color w:val="auto"/>
          <w:sz w:val="24"/>
          <w:szCs w:val="24"/>
          <w:highlight w:val="none"/>
        </w:rPr>
        <w:t>1</w:t>
      </w:r>
      <w:r>
        <w:rPr>
          <w:rFonts w:hint="eastAsia" w:ascii="宋体" w:hAnsi="宋体" w:cs="宋体"/>
          <w:snapToGrid w:val="0"/>
          <w:color w:val="auto"/>
          <w:sz w:val="24"/>
          <w:szCs w:val="24"/>
          <w:highlight w:val="none"/>
        </w:rPr>
        <w:t>种方式：分类分项清单项目工程量减少的，合同单价不变。</w:t>
      </w:r>
    </w:p>
    <w:p w14:paraId="5E435931">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r>
        <w:rPr>
          <w:rFonts w:hint="eastAsia" w:ascii="宋体" w:hAnsi="宋体" w:cs="宋体"/>
          <w:snapToGrid w:val="0"/>
          <w:color w:val="auto"/>
          <w:sz w:val="24"/>
          <w:szCs w:val="24"/>
          <w:highlight w:val="none"/>
        </w:rPr>
        <w:t>第</w:t>
      </w:r>
      <w:r>
        <w:rPr>
          <w:rFonts w:ascii="宋体"/>
          <w:snapToGrid w:val="0"/>
          <w:color w:val="auto"/>
          <w:sz w:val="24"/>
          <w:szCs w:val="24"/>
          <w:highlight w:val="none"/>
        </w:rPr>
        <w:t>2</w:t>
      </w:r>
      <w:r>
        <w:rPr>
          <w:rFonts w:hint="eastAsia" w:ascii="宋体" w:hAnsi="宋体" w:cs="宋体"/>
          <w:snapToGrid w:val="0"/>
          <w:color w:val="auto"/>
          <w:sz w:val="24"/>
          <w:szCs w:val="24"/>
          <w:highlight w:val="none"/>
        </w:rPr>
        <w:t>种方式：分类分项清单项目工程量减少的，凡合价金额占签约合同总价</w:t>
      </w:r>
      <w:r>
        <w:rPr>
          <w:rFonts w:ascii="宋体"/>
          <w:snapToGrid w:val="0"/>
          <w:color w:val="auto"/>
          <w:sz w:val="24"/>
          <w:szCs w:val="24"/>
          <w:highlight w:val="none"/>
        </w:rPr>
        <w:t>2</w:t>
      </w:r>
      <w:r>
        <w:rPr>
          <w:rFonts w:ascii="宋体" w:hAnsi="宋体" w:cs="宋体"/>
          <w:snapToGrid w:val="0"/>
          <w:color w:val="auto"/>
          <w:sz w:val="24"/>
          <w:szCs w:val="24"/>
          <w:highlight w:val="none"/>
        </w:rPr>
        <w:t>%以上的分类分项清单项目其工程量减少超过本项目工程数量</w:t>
      </w:r>
      <w:r>
        <w:rPr>
          <w:rFonts w:ascii="宋体"/>
          <w:snapToGrid w:val="0"/>
          <w:color w:val="auto"/>
          <w:sz w:val="24"/>
          <w:szCs w:val="24"/>
          <w:highlight w:val="none"/>
        </w:rPr>
        <w:t>15</w:t>
      </w:r>
      <w:r>
        <w:rPr>
          <w:rFonts w:ascii="宋体" w:hAnsi="宋体" w:cs="宋体"/>
          <w:snapToGrid w:val="0"/>
          <w:color w:val="auto"/>
          <w:sz w:val="24"/>
          <w:szCs w:val="24"/>
          <w:highlight w:val="none"/>
        </w:rPr>
        <w:t>%以上，或合价金额占签约合同总价不到</w:t>
      </w:r>
      <w:r>
        <w:rPr>
          <w:rFonts w:ascii="宋体"/>
          <w:snapToGrid w:val="0"/>
          <w:color w:val="auto"/>
          <w:sz w:val="24"/>
          <w:szCs w:val="24"/>
          <w:highlight w:val="none"/>
        </w:rPr>
        <w:t>2</w:t>
      </w:r>
      <w:r>
        <w:rPr>
          <w:rFonts w:ascii="宋体" w:hAnsi="宋体" w:cs="宋体"/>
          <w:snapToGrid w:val="0"/>
          <w:color w:val="auto"/>
          <w:sz w:val="24"/>
          <w:szCs w:val="24"/>
          <w:highlight w:val="none"/>
        </w:rPr>
        <w:t>%的分类分项清单项目但其工程量减少超过本项目工程数量</w:t>
      </w:r>
      <w:r>
        <w:rPr>
          <w:rFonts w:ascii="宋体"/>
          <w:snapToGrid w:val="0"/>
          <w:color w:val="auto"/>
          <w:sz w:val="24"/>
          <w:szCs w:val="24"/>
          <w:highlight w:val="none"/>
        </w:rPr>
        <w:t>25</w:t>
      </w:r>
      <w:r>
        <w:rPr>
          <w:rFonts w:ascii="宋体" w:hAnsi="宋体" w:cs="宋体"/>
          <w:snapToGrid w:val="0"/>
          <w:color w:val="auto"/>
          <w:sz w:val="24"/>
          <w:szCs w:val="24"/>
          <w:highlight w:val="none"/>
        </w:rPr>
        <w:t>%以</w:t>
      </w:r>
      <w:r>
        <w:rPr>
          <w:rFonts w:hint="eastAsia" w:ascii="宋体" w:hAnsi="宋体" w:cs="宋体"/>
          <w:snapToGrid w:val="0"/>
          <w:color w:val="auto"/>
          <w:sz w:val="24"/>
          <w:szCs w:val="24"/>
          <w:highlight w:val="none"/>
        </w:rPr>
        <w:t>上，超过上述</w:t>
      </w:r>
      <w:r>
        <w:rPr>
          <w:rFonts w:ascii="宋体"/>
          <w:snapToGrid w:val="0"/>
          <w:color w:val="auto"/>
          <w:sz w:val="24"/>
          <w:szCs w:val="24"/>
          <w:highlight w:val="none"/>
        </w:rPr>
        <w:t>15</w:t>
      </w:r>
      <w:r>
        <w:rPr>
          <w:rFonts w:ascii="宋体" w:hAnsi="宋体" w:cs="宋体"/>
          <w:snapToGrid w:val="0"/>
          <w:color w:val="auto"/>
          <w:sz w:val="24"/>
          <w:szCs w:val="24"/>
          <w:highlight w:val="none"/>
        </w:rPr>
        <w:t>%或</w:t>
      </w:r>
      <w:r>
        <w:rPr>
          <w:rFonts w:ascii="宋体"/>
          <w:snapToGrid w:val="0"/>
          <w:color w:val="auto"/>
          <w:sz w:val="24"/>
          <w:szCs w:val="24"/>
          <w:highlight w:val="none"/>
        </w:rPr>
        <w:t>25</w:t>
      </w:r>
      <w:r>
        <w:rPr>
          <w:rFonts w:ascii="宋体" w:hAnsi="宋体" w:cs="宋体"/>
          <w:snapToGrid w:val="0"/>
          <w:color w:val="auto"/>
          <w:sz w:val="24"/>
          <w:szCs w:val="24"/>
          <w:highlight w:val="none"/>
        </w:rPr>
        <w:t>%以外的减少部分工程量，由承包人按</w:t>
      </w:r>
      <w:r>
        <w:rPr>
          <w:rFonts w:ascii="宋体"/>
          <w:snapToGrid w:val="0"/>
          <w:color w:val="auto"/>
          <w:sz w:val="24"/>
          <w:szCs w:val="24"/>
          <w:highlight w:val="none"/>
        </w:rPr>
        <w:t>15</w:t>
      </w:r>
      <w:r>
        <w:rPr>
          <w:rFonts w:ascii="宋体" w:hAnsi="宋体" w:cs="宋体"/>
          <w:snapToGrid w:val="0"/>
          <w:color w:val="auto"/>
          <w:sz w:val="24"/>
          <w:szCs w:val="24"/>
          <w:highlight w:val="none"/>
        </w:rPr>
        <w:t>.</w:t>
      </w:r>
      <w:r>
        <w:rPr>
          <w:rFonts w:ascii="宋体"/>
          <w:snapToGrid w:val="0"/>
          <w:color w:val="auto"/>
          <w:sz w:val="24"/>
          <w:szCs w:val="24"/>
          <w:highlight w:val="none"/>
        </w:rPr>
        <w:t>4</w:t>
      </w:r>
      <w:r>
        <w:rPr>
          <w:rFonts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款的原则提出合适的变更单价，并经监理人审核。变更单价与合同单价相比，上下浮动超过</w:t>
      </w:r>
      <w:r>
        <w:rPr>
          <w:rFonts w:ascii="宋体" w:hAnsi="宋体" w:cs="宋体"/>
          <w:snapToGrid w:val="0"/>
          <w:color w:val="auto"/>
          <w:sz w:val="24"/>
          <w:szCs w:val="24"/>
          <w:highlight w:val="none"/>
          <w:u w:val="single"/>
        </w:rPr>
        <w:t xml:space="preserve"> </w:t>
      </w:r>
      <w:r>
        <w:rPr>
          <w:rFonts w:ascii="宋体"/>
          <w:snapToGrid w:val="0"/>
          <w:color w:val="auto"/>
          <w:sz w:val="24"/>
          <w:szCs w:val="24"/>
          <w:highlight w:val="none"/>
          <w:u w:val="single"/>
        </w:rPr>
        <w:t>25</w:t>
      </w:r>
      <w:r>
        <w:rPr>
          <w:rFonts w:ascii="宋体" w:hAnsi="宋体" w:cs="宋体"/>
          <w:snapToGrid w:val="0"/>
          <w:color w:val="auto"/>
          <w:sz w:val="24"/>
          <w:szCs w:val="24"/>
          <w:highlight w:val="none"/>
          <w:u w:val="single"/>
        </w:rPr>
        <w:t xml:space="preserve">% </w:t>
      </w:r>
      <w:r>
        <w:rPr>
          <w:rFonts w:hint="eastAsia" w:ascii="宋体" w:hAnsi="宋体" w:cs="宋体"/>
          <w:strike/>
          <w:snapToGrid w:val="0"/>
          <w:color w:val="auto"/>
          <w:sz w:val="24"/>
          <w:szCs w:val="24"/>
          <w:highlight w:val="none"/>
        </w:rPr>
        <w:t>（</w:t>
      </w:r>
      <w:r>
        <w:rPr>
          <w:rFonts w:ascii="宋体" w:hAnsi="宋体" w:cs="宋体"/>
          <w:strike/>
          <w:snapToGrid w:val="0"/>
          <w:color w:val="auto"/>
          <w:sz w:val="24"/>
          <w:szCs w:val="24"/>
          <w:highlight w:val="none"/>
        </w:rPr>
        <w:t>20%</w:t>
      </w:r>
      <w:r>
        <w:rPr>
          <w:rFonts w:hint="eastAsia" w:ascii="宋体" w:hAnsi="宋体" w:cs="宋体"/>
          <w:strike/>
          <w:snapToGrid w:val="0"/>
          <w:color w:val="auto"/>
          <w:sz w:val="24"/>
          <w:szCs w:val="24"/>
          <w:highlight w:val="none"/>
        </w:rPr>
        <w:t>～</w:t>
      </w:r>
      <w:r>
        <w:rPr>
          <w:rFonts w:ascii="宋体" w:hAnsi="宋体" w:cs="宋体"/>
          <w:strike/>
          <w:snapToGrid w:val="0"/>
          <w:color w:val="auto"/>
          <w:sz w:val="24"/>
          <w:szCs w:val="24"/>
          <w:highlight w:val="none"/>
        </w:rPr>
        <w:t>30%）</w:t>
      </w:r>
      <w:r>
        <w:rPr>
          <w:rFonts w:ascii="宋体" w:hAnsi="宋体" w:cs="宋体"/>
          <w:snapToGrid w:val="0"/>
          <w:color w:val="auto"/>
          <w:sz w:val="24"/>
          <w:szCs w:val="24"/>
          <w:highlight w:val="none"/>
        </w:rPr>
        <w:t>时，发包人同意后按变更单价计算合价后，在该项目合价中扣除；工程量减少在</w:t>
      </w:r>
      <w:r>
        <w:rPr>
          <w:rFonts w:ascii="宋体"/>
          <w:snapToGrid w:val="0"/>
          <w:color w:val="auto"/>
          <w:sz w:val="24"/>
          <w:szCs w:val="24"/>
          <w:highlight w:val="none"/>
        </w:rPr>
        <w:t>15</w:t>
      </w:r>
      <w:r>
        <w:rPr>
          <w:rFonts w:ascii="宋体" w:hAnsi="宋体" w:cs="宋体"/>
          <w:snapToGrid w:val="0"/>
          <w:color w:val="auto"/>
          <w:sz w:val="24"/>
          <w:szCs w:val="24"/>
          <w:highlight w:val="none"/>
        </w:rPr>
        <w:t>%或</w:t>
      </w:r>
      <w:r>
        <w:rPr>
          <w:rFonts w:ascii="宋体"/>
          <w:snapToGrid w:val="0"/>
          <w:color w:val="auto"/>
          <w:sz w:val="24"/>
          <w:szCs w:val="24"/>
          <w:highlight w:val="none"/>
        </w:rPr>
        <w:t>25</w:t>
      </w:r>
      <w:r>
        <w:rPr>
          <w:rFonts w:ascii="宋体" w:hAnsi="宋体" w:cs="宋体"/>
          <w:snapToGrid w:val="0"/>
          <w:color w:val="auto"/>
          <w:sz w:val="24"/>
          <w:szCs w:val="24"/>
          <w:highlight w:val="none"/>
        </w:rPr>
        <w:t>%以内的减少部分工程量，按合同单价计算合价后，在该项目合价中扣除。</w:t>
      </w:r>
    </w:p>
    <w:p w14:paraId="2CEE8630">
      <w:pPr>
        <w:pStyle w:val="32"/>
        <w:keepLines w:val="0"/>
        <w:autoSpaceDE/>
        <w:autoSpaceDN/>
        <w:spacing w:beforeLines="0" w:afterLines="0"/>
        <w:ind w:firstLineChars="0"/>
        <w:textAlignment w:val="baseline"/>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15.4</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变更的估价原则</w:t>
      </w:r>
    </w:p>
    <w:p w14:paraId="7E347482">
      <w:pPr>
        <w:pStyle w:val="30"/>
        <w:autoSpaceDE/>
        <w:autoSpaceDN/>
        <w:adjustRightInd w:val="0"/>
        <w:snapToGrid w:val="0"/>
        <w:spacing w:beforeLines="0" w:afterLines="0" w:line="360" w:lineRule="auto"/>
        <w:ind w:firstLine="0" w:firstLineChars="0"/>
        <w:jc w:val="left"/>
        <w:textAlignment w:val="baseline"/>
        <w:rPr>
          <w:rFonts w:ascii="宋体" w:hAnsi="宋体" w:cs="宋体"/>
          <w:snapToGrid w:val="0"/>
          <w:color w:val="auto"/>
          <w:sz w:val="24"/>
          <w:highlight w:val="none"/>
        </w:rPr>
      </w:pPr>
      <w:r>
        <w:rPr>
          <w:rFonts w:ascii="宋体"/>
          <w:b/>
          <w:snapToGrid w:val="0"/>
          <w:color w:val="auto"/>
          <w:sz w:val="24"/>
          <w:szCs w:val="24"/>
          <w:highlight w:val="none"/>
        </w:rPr>
        <w:t>15.4.3</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1F54B0B1">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）人工预算单价采用水利部发布的《水利工程设计概（估）算编制规定》（水总</w:t>
      </w:r>
      <w:r>
        <w:rPr>
          <w:rFonts w:ascii="宋体" w:hAnsi="宋体" w:cs="宋体"/>
          <w:snapToGrid w:val="0"/>
          <w:color w:val="auto"/>
          <w:sz w:val="24"/>
          <w:szCs w:val="24"/>
          <w:highlight w:val="none"/>
        </w:rPr>
        <w:t>[2014]429号）规定的一般地区引水工程人工预算单价。</w:t>
      </w:r>
    </w:p>
    <w:p w14:paraId="0094E371">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）材料预算价格采用投标期基价投标期基价指</w:t>
      </w:r>
      <w:r>
        <w:rPr>
          <w:rFonts w:ascii="宋体" w:hAnsi="宋体" w:cs="宋体"/>
          <w:snapToGrid w:val="0"/>
          <w:color w:val="auto"/>
          <w:sz w:val="24"/>
          <w:szCs w:val="24"/>
          <w:highlight w:val="none"/>
          <w:u w:val="single"/>
        </w:rPr>
        <w:t xml:space="preserve">浙江省绍兴市建设行政主管部门 </w:t>
      </w:r>
      <w:r>
        <w:rPr>
          <w:rFonts w:hint="eastAsia" w:ascii="宋体" w:hAnsi="宋体" w:cs="宋体"/>
          <w:snapToGrid w:val="0"/>
          <w:color w:val="auto"/>
          <w:sz w:val="24"/>
          <w:szCs w:val="24"/>
          <w:highlight w:val="none"/>
        </w:rPr>
        <w:t>发布的</w:t>
      </w:r>
      <w:r>
        <w:rPr>
          <w:rFonts w:hint="eastAsia" w:ascii="宋体" w:hAnsi="宋体" w:cs="宋体"/>
          <w:snapToGrid w:val="0"/>
          <w:color w:val="auto"/>
          <w:sz w:val="24"/>
          <w:szCs w:val="24"/>
          <w:highlight w:val="none"/>
          <w:u w:val="single"/>
        </w:rPr>
        <w:t>绍兴市</w:t>
      </w:r>
      <w:r>
        <w:rPr>
          <w:rFonts w:ascii="宋体" w:hAnsi="宋体" w:cs="宋体"/>
          <w:snapToGrid w:val="0"/>
          <w:color w:val="auto"/>
          <w:sz w:val="24"/>
          <w:szCs w:val="24"/>
          <w:highlight w:val="none"/>
          <w:u w:val="single"/>
        </w:rPr>
        <w:t>2024年7月建材市场信息价</w:t>
      </w:r>
      <w:r>
        <w:rPr>
          <w:rFonts w:ascii="宋体" w:hAnsi="宋体" w:cs="宋体"/>
          <w:snapToGrid w:val="0"/>
          <w:color w:val="auto"/>
          <w:sz w:val="24"/>
          <w:szCs w:val="24"/>
          <w:highlight w:val="none"/>
        </w:rPr>
        <w:t>中项目所在地信息价（除税价）。</w:t>
      </w:r>
      <w:r>
        <w:rPr>
          <w:rFonts w:hint="eastAsia" w:ascii="宋体" w:hAnsi="宋体" w:cs="宋体"/>
          <w:snapToGrid w:val="0"/>
          <w:color w:val="auto"/>
          <w:sz w:val="24"/>
          <w:szCs w:val="24"/>
          <w:highlight w:val="none"/>
        </w:rPr>
        <w:t>如有缺项材料，则按《浙江造价信息》正刊中项目所在地或附近地区信息价（除税价）；如仍缺项，则参考其他行业发布的信息价；参考其他行业后还缺项，则根据项目实施时的材料市场价由相关部门组织询价确定材料预算价格。绍兴市</w:t>
      </w:r>
      <w:r>
        <w:rPr>
          <w:rFonts w:ascii="宋体" w:hAnsi="宋体" w:cs="宋体"/>
          <w:snapToGrid w:val="0"/>
          <w:color w:val="auto"/>
          <w:sz w:val="24"/>
          <w:szCs w:val="24"/>
          <w:highlight w:val="none"/>
        </w:rPr>
        <w:t>2024年7月建材市场信息价已包含运杂费、采购和保管费，使用时则不因运距等调整材料信息价；如其他信息价已包含运杂费、采购和保管费，使用时则不因运距等调整材料信息价。</w:t>
      </w:r>
    </w:p>
    <w:p w14:paraId="2D00BBD7">
      <w:pPr>
        <w:pStyle w:val="30"/>
        <w:kinsoku/>
        <w:autoSpaceDE w:val="0"/>
        <w:autoSpaceDN w:val="0"/>
        <w:adjustRightInd w:val="0"/>
        <w:snapToGrid w:val="0"/>
        <w:spacing w:before="0" w:beforeLines="0" w:after="0" w:afterLines="0"/>
        <w:ind w:firstLine="480" w:firstLineChars="200"/>
        <w:jc w:val="left"/>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主要材料预算价格超过《水利工程营业税改征增值税计价依据调整办法》（办水总〔</w:t>
      </w:r>
      <w:r>
        <w:rPr>
          <w:rFonts w:ascii="宋体" w:hAnsi="宋体" w:cs="宋体"/>
          <w:snapToGrid w:val="0"/>
          <w:color w:val="auto"/>
          <w:sz w:val="24"/>
          <w:szCs w:val="24"/>
          <w:highlight w:val="none"/>
        </w:rPr>
        <w:t>2016〕132号）规定的基价（不含增值税进项税额）时，按基价进计入工程单价参与取费，预算价与基价的差值以材料补差的形式计算，材料补差列入单价表中，仅计算税金。主要材料预算价格低于基价时，按预算价计入工程单价。主要材料基价见表15.4-1。</w:t>
      </w:r>
    </w:p>
    <w:p w14:paraId="17D3D6C9">
      <w:pPr>
        <w:pStyle w:val="30"/>
        <w:kinsoku/>
        <w:autoSpaceDE w:val="0"/>
        <w:autoSpaceDN w:val="0"/>
        <w:adjustRightInd w:val="0"/>
        <w:snapToGrid w:val="0"/>
        <w:spacing w:before="0" w:beforeLines="0" w:after="0" w:afterLines="0"/>
        <w:ind w:firstLine="422" w:firstLineChars="200"/>
        <w:jc w:val="left"/>
        <w:textAlignment w:val="baseline"/>
        <w:rPr>
          <w:rFonts w:ascii="宋体" w:eastAsia="宋体" w:cs="宋体"/>
          <w:b/>
          <w:bCs/>
          <w:snapToGrid/>
          <w:color w:val="auto"/>
          <w:szCs w:val="21"/>
          <w:highlight w:val="none"/>
          <w:lang w:eastAsia="zh-CN"/>
        </w:rPr>
      </w:pPr>
      <w:r>
        <w:rPr>
          <w:rFonts w:hint="eastAsia" w:ascii="宋体" w:eastAsia="宋体" w:cs="宋体"/>
          <w:b/>
          <w:bCs/>
          <w:snapToGrid/>
          <w:color w:val="auto"/>
          <w:szCs w:val="21"/>
          <w:highlight w:val="none"/>
          <w:lang w:eastAsia="zh-CN"/>
        </w:rPr>
        <w:t>表</w:t>
      </w:r>
      <w:r>
        <w:rPr>
          <w:rFonts w:ascii="宋体" w:eastAsia="宋体" w:cs="宋体"/>
          <w:b/>
          <w:bCs/>
          <w:snapToGrid/>
          <w:color w:val="auto"/>
          <w:szCs w:val="21"/>
          <w:highlight w:val="none"/>
          <w:lang w:eastAsia="zh-CN"/>
        </w:rPr>
        <w:t xml:space="preserve">15.4-1                          </w:t>
      </w:r>
      <w:r>
        <w:rPr>
          <w:rFonts w:hint="eastAsia" w:ascii="宋体" w:eastAsia="宋体" w:cs="宋体"/>
          <w:b/>
          <w:bCs/>
          <w:snapToGrid/>
          <w:color w:val="auto"/>
          <w:szCs w:val="21"/>
          <w:highlight w:val="none"/>
          <w:lang w:eastAsia="zh-CN"/>
        </w:rPr>
        <w:t>主要材料基价表</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011"/>
        <w:gridCol w:w="3706"/>
        <w:gridCol w:w="1168"/>
        <w:gridCol w:w="3238"/>
      </w:tblGrid>
      <w:tr w14:paraId="27FF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4" w:type="pct"/>
            <w:tcBorders>
              <w:tl2br w:val="nil"/>
              <w:tr2bl w:val="nil"/>
            </w:tcBorders>
            <w:noWrap/>
            <w:vAlign w:val="center"/>
          </w:tcPr>
          <w:p w14:paraId="3447E7DE">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序号</w:t>
            </w:r>
          </w:p>
        </w:tc>
        <w:tc>
          <w:tcPr>
            <w:tcW w:w="2030" w:type="pct"/>
            <w:tcBorders>
              <w:tl2br w:val="nil"/>
              <w:tr2bl w:val="nil"/>
            </w:tcBorders>
            <w:noWrap/>
            <w:vAlign w:val="center"/>
          </w:tcPr>
          <w:p w14:paraId="2A9B662F">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材料名称</w:t>
            </w:r>
          </w:p>
        </w:tc>
        <w:tc>
          <w:tcPr>
            <w:tcW w:w="640" w:type="pct"/>
            <w:tcBorders>
              <w:tl2br w:val="nil"/>
              <w:tr2bl w:val="nil"/>
            </w:tcBorders>
            <w:noWrap/>
            <w:vAlign w:val="center"/>
          </w:tcPr>
          <w:p w14:paraId="2A1EABEF">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单位</w:t>
            </w:r>
          </w:p>
        </w:tc>
        <w:tc>
          <w:tcPr>
            <w:tcW w:w="1774" w:type="pct"/>
            <w:tcBorders>
              <w:tl2br w:val="nil"/>
              <w:tr2bl w:val="nil"/>
            </w:tcBorders>
            <w:noWrap/>
            <w:vAlign w:val="center"/>
          </w:tcPr>
          <w:p w14:paraId="3E14E27F">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基价（元）</w:t>
            </w:r>
          </w:p>
        </w:tc>
      </w:tr>
      <w:tr w14:paraId="3561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4" w:type="pct"/>
            <w:tcBorders>
              <w:tl2br w:val="nil"/>
              <w:tr2bl w:val="nil"/>
            </w:tcBorders>
            <w:noWrap/>
            <w:vAlign w:val="center"/>
          </w:tcPr>
          <w:p w14:paraId="09C6DD51">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1</w:t>
            </w:r>
          </w:p>
        </w:tc>
        <w:tc>
          <w:tcPr>
            <w:tcW w:w="2030" w:type="pct"/>
            <w:tcBorders>
              <w:tl2br w:val="nil"/>
              <w:tr2bl w:val="nil"/>
            </w:tcBorders>
            <w:noWrap/>
            <w:vAlign w:val="center"/>
          </w:tcPr>
          <w:p w14:paraId="383A63C0">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柴</w:t>
            </w:r>
            <w:r>
              <w:rPr>
                <w:rFonts w:cs="宋体"/>
                <w:snapToGrid/>
                <w:color w:val="auto"/>
                <w:sz w:val="21"/>
                <w:szCs w:val="21"/>
                <w:highlight w:val="none"/>
                <w:lang w:val="en-GB" w:eastAsia="zh-CN"/>
              </w:rPr>
              <w:t xml:space="preserve">    </w:t>
            </w:r>
            <w:r>
              <w:rPr>
                <w:rFonts w:hint="eastAsia" w:cs="宋体"/>
                <w:snapToGrid/>
                <w:color w:val="auto"/>
                <w:sz w:val="21"/>
                <w:szCs w:val="21"/>
                <w:highlight w:val="none"/>
                <w:lang w:val="en-GB" w:eastAsia="zh-CN"/>
              </w:rPr>
              <w:t>油</w:t>
            </w:r>
          </w:p>
        </w:tc>
        <w:tc>
          <w:tcPr>
            <w:tcW w:w="640" w:type="pct"/>
            <w:tcBorders>
              <w:tl2br w:val="nil"/>
              <w:tr2bl w:val="nil"/>
            </w:tcBorders>
            <w:noWrap/>
            <w:vAlign w:val="center"/>
          </w:tcPr>
          <w:p w14:paraId="6614567F">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t</w:t>
            </w:r>
          </w:p>
        </w:tc>
        <w:tc>
          <w:tcPr>
            <w:tcW w:w="1774" w:type="pct"/>
            <w:tcBorders>
              <w:tl2br w:val="nil"/>
              <w:tr2bl w:val="nil"/>
            </w:tcBorders>
            <w:noWrap/>
            <w:vAlign w:val="center"/>
          </w:tcPr>
          <w:p w14:paraId="54FFD3E2">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2990</w:t>
            </w:r>
          </w:p>
        </w:tc>
      </w:tr>
      <w:tr w14:paraId="3129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4" w:type="pct"/>
            <w:tcBorders>
              <w:tl2br w:val="nil"/>
              <w:tr2bl w:val="nil"/>
            </w:tcBorders>
            <w:noWrap/>
            <w:vAlign w:val="center"/>
          </w:tcPr>
          <w:p w14:paraId="33C2569B">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2</w:t>
            </w:r>
          </w:p>
        </w:tc>
        <w:tc>
          <w:tcPr>
            <w:tcW w:w="2030" w:type="pct"/>
            <w:tcBorders>
              <w:tl2br w:val="nil"/>
              <w:tr2bl w:val="nil"/>
            </w:tcBorders>
            <w:noWrap/>
            <w:vAlign w:val="center"/>
          </w:tcPr>
          <w:p w14:paraId="39597F62">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汽</w:t>
            </w:r>
            <w:r>
              <w:rPr>
                <w:rFonts w:cs="宋体"/>
                <w:snapToGrid/>
                <w:color w:val="auto"/>
                <w:sz w:val="21"/>
                <w:szCs w:val="21"/>
                <w:highlight w:val="none"/>
                <w:lang w:val="en-GB" w:eastAsia="zh-CN"/>
              </w:rPr>
              <w:t xml:space="preserve">    </w:t>
            </w:r>
            <w:r>
              <w:rPr>
                <w:rFonts w:hint="eastAsia" w:cs="宋体"/>
                <w:snapToGrid/>
                <w:color w:val="auto"/>
                <w:sz w:val="21"/>
                <w:szCs w:val="21"/>
                <w:highlight w:val="none"/>
                <w:lang w:val="en-GB" w:eastAsia="zh-CN"/>
              </w:rPr>
              <w:t>油</w:t>
            </w:r>
          </w:p>
        </w:tc>
        <w:tc>
          <w:tcPr>
            <w:tcW w:w="640" w:type="pct"/>
            <w:tcBorders>
              <w:tl2br w:val="nil"/>
              <w:tr2bl w:val="nil"/>
            </w:tcBorders>
            <w:noWrap/>
            <w:vAlign w:val="center"/>
          </w:tcPr>
          <w:p w14:paraId="15636531">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t</w:t>
            </w:r>
          </w:p>
        </w:tc>
        <w:tc>
          <w:tcPr>
            <w:tcW w:w="1774" w:type="pct"/>
            <w:tcBorders>
              <w:tl2br w:val="nil"/>
              <w:tr2bl w:val="nil"/>
            </w:tcBorders>
            <w:noWrap/>
            <w:vAlign w:val="center"/>
          </w:tcPr>
          <w:p w14:paraId="153CB2D8">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3075</w:t>
            </w:r>
          </w:p>
        </w:tc>
      </w:tr>
      <w:tr w14:paraId="2899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4" w:type="pct"/>
            <w:tcBorders>
              <w:tl2br w:val="nil"/>
              <w:tr2bl w:val="nil"/>
            </w:tcBorders>
            <w:noWrap/>
            <w:vAlign w:val="center"/>
          </w:tcPr>
          <w:p w14:paraId="081094C7">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3</w:t>
            </w:r>
          </w:p>
        </w:tc>
        <w:tc>
          <w:tcPr>
            <w:tcW w:w="2030" w:type="pct"/>
            <w:tcBorders>
              <w:tl2br w:val="nil"/>
              <w:tr2bl w:val="nil"/>
            </w:tcBorders>
            <w:noWrap/>
            <w:vAlign w:val="center"/>
          </w:tcPr>
          <w:p w14:paraId="44F551FA">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钢</w:t>
            </w:r>
            <w:r>
              <w:rPr>
                <w:rFonts w:cs="宋体"/>
                <w:snapToGrid/>
                <w:color w:val="auto"/>
                <w:sz w:val="21"/>
                <w:szCs w:val="21"/>
                <w:highlight w:val="none"/>
                <w:lang w:val="en-GB" w:eastAsia="zh-CN"/>
              </w:rPr>
              <w:t xml:space="preserve">    </w:t>
            </w:r>
            <w:r>
              <w:rPr>
                <w:rFonts w:hint="eastAsia" w:cs="宋体"/>
                <w:snapToGrid/>
                <w:color w:val="auto"/>
                <w:sz w:val="21"/>
                <w:szCs w:val="21"/>
                <w:highlight w:val="none"/>
                <w:lang w:val="en-GB" w:eastAsia="zh-CN"/>
              </w:rPr>
              <w:t>筋</w:t>
            </w:r>
          </w:p>
        </w:tc>
        <w:tc>
          <w:tcPr>
            <w:tcW w:w="640" w:type="pct"/>
            <w:tcBorders>
              <w:tl2br w:val="nil"/>
              <w:tr2bl w:val="nil"/>
            </w:tcBorders>
            <w:noWrap/>
            <w:vAlign w:val="center"/>
          </w:tcPr>
          <w:p w14:paraId="6264DE92">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t</w:t>
            </w:r>
          </w:p>
        </w:tc>
        <w:tc>
          <w:tcPr>
            <w:tcW w:w="1774" w:type="pct"/>
            <w:tcBorders>
              <w:tl2br w:val="nil"/>
              <w:tr2bl w:val="nil"/>
            </w:tcBorders>
            <w:noWrap/>
            <w:vAlign w:val="center"/>
          </w:tcPr>
          <w:p w14:paraId="78771324">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2560</w:t>
            </w:r>
          </w:p>
        </w:tc>
      </w:tr>
      <w:tr w14:paraId="5CB0F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4" w:type="pct"/>
            <w:tcBorders>
              <w:tl2br w:val="nil"/>
              <w:tr2bl w:val="nil"/>
            </w:tcBorders>
            <w:noWrap/>
            <w:vAlign w:val="center"/>
          </w:tcPr>
          <w:p w14:paraId="33C2B4DE">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4</w:t>
            </w:r>
          </w:p>
        </w:tc>
        <w:tc>
          <w:tcPr>
            <w:tcW w:w="2030" w:type="pct"/>
            <w:tcBorders>
              <w:tl2br w:val="nil"/>
              <w:tr2bl w:val="nil"/>
            </w:tcBorders>
            <w:noWrap/>
            <w:vAlign w:val="center"/>
          </w:tcPr>
          <w:p w14:paraId="5512B7A0">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水</w:t>
            </w:r>
            <w:r>
              <w:rPr>
                <w:rFonts w:cs="宋体"/>
                <w:snapToGrid/>
                <w:color w:val="auto"/>
                <w:sz w:val="21"/>
                <w:szCs w:val="21"/>
                <w:highlight w:val="none"/>
                <w:lang w:val="en-GB" w:eastAsia="zh-CN"/>
              </w:rPr>
              <w:t xml:space="preserve">    </w:t>
            </w:r>
            <w:r>
              <w:rPr>
                <w:rFonts w:hint="eastAsia" w:cs="宋体"/>
                <w:snapToGrid/>
                <w:color w:val="auto"/>
                <w:sz w:val="21"/>
                <w:szCs w:val="21"/>
                <w:highlight w:val="none"/>
                <w:lang w:val="en-GB" w:eastAsia="zh-CN"/>
              </w:rPr>
              <w:t>泥</w:t>
            </w:r>
          </w:p>
        </w:tc>
        <w:tc>
          <w:tcPr>
            <w:tcW w:w="640" w:type="pct"/>
            <w:tcBorders>
              <w:tl2br w:val="nil"/>
              <w:tr2bl w:val="nil"/>
            </w:tcBorders>
            <w:noWrap/>
            <w:vAlign w:val="center"/>
          </w:tcPr>
          <w:p w14:paraId="4AE6F546">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t</w:t>
            </w:r>
          </w:p>
        </w:tc>
        <w:tc>
          <w:tcPr>
            <w:tcW w:w="1774" w:type="pct"/>
            <w:tcBorders>
              <w:tl2br w:val="nil"/>
              <w:tr2bl w:val="nil"/>
            </w:tcBorders>
            <w:noWrap/>
            <w:vAlign w:val="center"/>
          </w:tcPr>
          <w:p w14:paraId="4585C572">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255</w:t>
            </w:r>
          </w:p>
        </w:tc>
      </w:tr>
      <w:tr w14:paraId="0FDA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4" w:type="pct"/>
            <w:tcBorders>
              <w:tl2br w:val="nil"/>
              <w:tr2bl w:val="nil"/>
            </w:tcBorders>
            <w:noWrap/>
            <w:vAlign w:val="center"/>
          </w:tcPr>
          <w:p w14:paraId="4ECF1E24">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5</w:t>
            </w:r>
          </w:p>
        </w:tc>
        <w:tc>
          <w:tcPr>
            <w:tcW w:w="2030" w:type="pct"/>
            <w:tcBorders>
              <w:tl2br w:val="nil"/>
              <w:tr2bl w:val="nil"/>
            </w:tcBorders>
            <w:noWrap/>
            <w:vAlign w:val="center"/>
          </w:tcPr>
          <w:p w14:paraId="5D5F4FA2">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hint="eastAsia" w:cs="宋体"/>
                <w:snapToGrid/>
                <w:color w:val="auto"/>
                <w:sz w:val="21"/>
                <w:szCs w:val="21"/>
                <w:highlight w:val="none"/>
                <w:lang w:val="en-GB" w:eastAsia="zh-CN"/>
              </w:rPr>
              <w:t>炸</w:t>
            </w:r>
            <w:r>
              <w:rPr>
                <w:rFonts w:cs="宋体"/>
                <w:snapToGrid/>
                <w:color w:val="auto"/>
                <w:sz w:val="21"/>
                <w:szCs w:val="21"/>
                <w:highlight w:val="none"/>
                <w:lang w:val="en-GB" w:eastAsia="zh-CN"/>
              </w:rPr>
              <w:t xml:space="preserve">    </w:t>
            </w:r>
            <w:r>
              <w:rPr>
                <w:rFonts w:hint="eastAsia" w:cs="宋体"/>
                <w:snapToGrid/>
                <w:color w:val="auto"/>
                <w:sz w:val="21"/>
                <w:szCs w:val="21"/>
                <w:highlight w:val="none"/>
                <w:lang w:val="en-GB" w:eastAsia="zh-CN"/>
              </w:rPr>
              <w:t>药</w:t>
            </w:r>
          </w:p>
        </w:tc>
        <w:tc>
          <w:tcPr>
            <w:tcW w:w="640" w:type="pct"/>
            <w:tcBorders>
              <w:tl2br w:val="nil"/>
              <w:tr2bl w:val="nil"/>
            </w:tcBorders>
            <w:noWrap/>
            <w:vAlign w:val="center"/>
          </w:tcPr>
          <w:p w14:paraId="52499A21">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t</w:t>
            </w:r>
          </w:p>
        </w:tc>
        <w:tc>
          <w:tcPr>
            <w:tcW w:w="1774" w:type="pct"/>
            <w:tcBorders>
              <w:tl2br w:val="nil"/>
              <w:tr2bl w:val="nil"/>
            </w:tcBorders>
            <w:noWrap/>
            <w:vAlign w:val="center"/>
          </w:tcPr>
          <w:p w14:paraId="2AE26F30">
            <w:pPr>
              <w:kinsoku/>
              <w:adjustRightInd/>
              <w:snapToGrid/>
              <w:spacing w:beforeLines="0" w:afterLines="0" w:line="0" w:lineRule="atLeast"/>
              <w:ind w:firstLine="0" w:firstLineChars="0"/>
              <w:jc w:val="center"/>
              <w:textAlignment w:val="auto"/>
              <w:rPr>
                <w:rFonts w:cs="宋体"/>
                <w:snapToGrid/>
                <w:color w:val="auto"/>
                <w:sz w:val="21"/>
                <w:szCs w:val="21"/>
                <w:highlight w:val="none"/>
                <w:lang w:val="en-GB" w:eastAsia="zh-CN"/>
              </w:rPr>
            </w:pPr>
            <w:r>
              <w:rPr>
                <w:rFonts w:cs="宋体"/>
                <w:snapToGrid/>
                <w:color w:val="auto"/>
                <w:sz w:val="21"/>
                <w:szCs w:val="21"/>
                <w:highlight w:val="none"/>
                <w:lang w:val="en-GB" w:eastAsia="zh-CN"/>
              </w:rPr>
              <w:t>5150</w:t>
            </w:r>
          </w:p>
        </w:tc>
      </w:tr>
    </w:tbl>
    <w:p w14:paraId="5B4539A2">
      <w:pPr>
        <w:pStyle w:val="30"/>
        <w:autoSpaceDE w:val="0"/>
        <w:autoSpaceDN w:val="0"/>
        <w:adjustRightInd w:val="0"/>
        <w:snapToGrid w:val="0"/>
        <w:spacing w:beforeLines="0" w:afterLines="0" w:line="360" w:lineRule="auto"/>
        <w:ind w:firstLine="480" w:firstLineChars="200"/>
        <w:jc w:val="left"/>
        <w:textAlignment w:val="baseline"/>
        <w:rPr>
          <w:rFonts w:ascii="宋体" w:hAnsi="宋体" w:cs="宋体"/>
          <w:snapToGrid w:val="0"/>
          <w:color w:val="auto"/>
          <w:sz w:val="24"/>
          <w:highlight w:val="none"/>
        </w:rPr>
      </w:pPr>
    </w:p>
    <w:p w14:paraId="36799E9C">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计算变更项目单价时，①施工用风、施工用水、施工用电预算价采用合同报价中相应项目的价格；②混凝土配合比采用经监理批准的本工程试验资料的配合比；③自采砂石料单价采用合同报价中自采砂石料（如有）预算价，外购砂石料单价按本条规定计算。</w:t>
      </w:r>
    </w:p>
    <w:p w14:paraId="43BC865E">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）施工机械台时单价按投标期</w:t>
      </w:r>
      <w:r>
        <w:rPr>
          <w:rFonts w:hint="eastAsia" w:ascii="宋体" w:hAnsi="宋体" w:cs="宋体"/>
          <w:strike/>
          <w:snapToGrid w:val="0"/>
          <w:color w:val="auto"/>
          <w:sz w:val="24"/>
          <w:szCs w:val="24"/>
          <w:highlight w:val="none"/>
        </w:rPr>
        <w:t>浙江省</w:t>
      </w:r>
      <w:r>
        <w:rPr>
          <w:rFonts w:hint="eastAsia" w:ascii="宋体" w:hAnsi="宋体" w:cs="宋体"/>
          <w:snapToGrid w:val="0"/>
          <w:color w:val="auto"/>
          <w:sz w:val="24"/>
          <w:szCs w:val="24"/>
          <w:highlight w:val="none"/>
        </w:rPr>
        <w:t>水利部现行水利水电工程施工机械台</w:t>
      </w:r>
      <w:r>
        <w:rPr>
          <w:rFonts w:hint="eastAsia" w:ascii="宋体" w:hAnsi="宋体" w:cs="宋体"/>
          <w:strike/>
          <w:snapToGrid w:val="0"/>
          <w:color w:val="auto"/>
          <w:sz w:val="24"/>
          <w:szCs w:val="24"/>
          <w:highlight w:val="none"/>
        </w:rPr>
        <w:t>班</w:t>
      </w:r>
      <w:r>
        <w:rPr>
          <w:rFonts w:hint="eastAsia" w:ascii="宋体" w:hAnsi="宋体" w:cs="宋体"/>
          <w:snapToGrid w:val="0"/>
          <w:color w:val="auto"/>
          <w:sz w:val="24"/>
          <w:szCs w:val="24"/>
          <w:highlight w:val="none"/>
        </w:rPr>
        <w:t>时费定额和有关规定计算。相关规定包括水利部发布的《水利工程设计概（估）算编制规定》（水总〔</w:t>
      </w:r>
      <w:r>
        <w:rPr>
          <w:rFonts w:ascii="宋体" w:hAnsi="宋体" w:cs="宋体"/>
          <w:snapToGrid w:val="0"/>
          <w:color w:val="auto"/>
          <w:sz w:val="24"/>
          <w:szCs w:val="24"/>
          <w:highlight w:val="none"/>
        </w:rPr>
        <w:t>2014〕429号）、《水利工程营业税改征增值税计价依据调整办法》（办水总〔2016〕132号）、《水利部办公厅关于调整水利工程计价依据增值税计算标准的通知》（办财务函〔2019〕448号）等文件。</w:t>
      </w:r>
    </w:p>
    <w:p w14:paraId="5E838F08">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4</w:t>
      </w:r>
      <w:r>
        <w:rPr>
          <w:rFonts w:hint="eastAsia" w:ascii="宋体" w:hAnsi="宋体" w:cs="宋体"/>
          <w:snapToGrid w:val="0"/>
          <w:color w:val="auto"/>
          <w:sz w:val="24"/>
          <w:szCs w:val="24"/>
          <w:highlight w:val="none"/>
        </w:rPr>
        <w:t>）定额采用投标期</w:t>
      </w:r>
      <w:r>
        <w:rPr>
          <w:rFonts w:hint="eastAsia" w:ascii="宋体" w:hAnsi="宋体" w:cs="宋体"/>
          <w:strike/>
          <w:snapToGrid w:val="0"/>
          <w:color w:val="auto"/>
          <w:sz w:val="24"/>
          <w:szCs w:val="24"/>
          <w:highlight w:val="none"/>
        </w:rPr>
        <w:t>浙江省</w:t>
      </w:r>
      <w:r>
        <w:rPr>
          <w:rFonts w:hint="eastAsia" w:ascii="宋体" w:hAnsi="宋体" w:cs="宋体"/>
          <w:snapToGrid w:val="0"/>
          <w:color w:val="auto"/>
          <w:sz w:val="24"/>
          <w:szCs w:val="24"/>
          <w:highlight w:val="none"/>
        </w:rPr>
        <w:t>水利部现行水利工程预算定额和有关规定，如</w:t>
      </w:r>
      <w:r>
        <w:rPr>
          <w:rFonts w:hint="eastAsia" w:ascii="宋体" w:hAnsi="宋体" w:cs="宋体"/>
          <w:strike/>
          <w:snapToGrid w:val="0"/>
          <w:color w:val="auto"/>
          <w:sz w:val="24"/>
          <w:szCs w:val="24"/>
          <w:highlight w:val="none"/>
        </w:rPr>
        <w:t>浙江省</w:t>
      </w:r>
      <w:r>
        <w:rPr>
          <w:rFonts w:hint="eastAsia" w:ascii="宋体" w:hAnsi="宋体" w:cs="宋体"/>
          <w:snapToGrid w:val="0"/>
          <w:color w:val="auto"/>
          <w:sz w:val="24"/>
          <w:szCs w:val="24"/>
          <w:highlight w:val="none"/>
        </w:rPr>
        <w:t>水利部水利工程预算定额不能满足计价，采用浙江省水利工程预算定额的定额计价，如仍不能满足计价，采用其他省市水利工程定额、其他相关行业定额的定额含量计价。定额的采用的优先顺序为水利部定额优先、浙江省水利工程定额次优先，然后是其他省市水利工程预算定额，最后是其他行业定额。</w:t>
      </w:r>
    </w:p>
    <w:p w14:paraId="7285E197">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5</w:t>
      </w: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 xml:space="preserve"> 取费费率采用水利部办公印发的《水利工程营业税改征增值税计价依据调整办法》（办水总〔2016〕132号）、《水利部办公厅关于调整水利工程计价依据增值税计算标准的通知》（办财务函〔2019〕448号），按引水工程类别选取费率；对各项弹性区间费率取中间值。由于措施项目清单中已单独计列安全文明施工费，故分类分项工程量清单中各项目的工程单价不应重复包含安全文明施工费，建筑安装工程单价取费费率不应重复计取安全生产措施费。</w:t>
      </w:r>
    </w:p>
    <w:p w14:paraId="2092ED1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6</w:t>
      </w:r>
      <w:r>
        <w:rPr>
          <w:rFonts w:hint="eastAsia" w:ascii="宋体" w:hAnsi="宋体" w:cs="宋体"/>
          <w:snapToGrid w:val="0"/>
          <w:color w:val="auto"/>
          <w:sz w:val="24"/>
          <w:szCs w:val="24"/>
          <w:highlight w:val="none"/>
        </w:rPr>
        <w:t>）上述单价按以下计算的综合优惠率进行优惠。</w:t>
      </w:r>
    </w:p>
    <w:p w14:paraId="738B9ACA">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综合优惠率</w:t>
      </w:r>
      <w:r>
        <w:rPr>
          <w:rFonts w:ascii="宋体" w:hAnsi="宋体" w:cs="宋体"/>
          <w:snapToGrid w:val="0"/>
          <w:color w:val="auto"/>
          <w:sz w:val="24"/>
          <w:szCs w:val="24"/>
          <w:highlight w:val="none"/>
        </w:rPr>
        <w:t>=［</w:t>
      </w:r>
      <w:r>
        <w:rPr>
          <w:rFonts w:ascii="宋体"/>
          <w:snapToGrid w:val="0"/>
          <w:color w:val="auto"/>
          <w:sz w:val="24"/>
          <w:szCs w:val="24"/>
          <w:highlight w:val="none"/>
        </w:rPr>
        <w:t>1</w:t>
      </w:r>
      <w:r>
        <w:rPr>
          <w:rFonts w:ascii="宋体" w:hAnsi="宋体" w:cs="宋体"/>
          <w:snapToGrid w:val="0"/>
          <w:color w:val="auto"/>
          <w:sz w:val="24"/>
          <w:szCs w:val="24"/>
          <w:highlight w:val="none"/>
        </w:rPr>
        <w:t>-（投标报价-招标人审定后造价中不参与竞争部分造价）/（最高投标限价-招标人审定后造价中不参与竞争部分造价）]×l</w:t>
      </w:r>
      <w:r>
        <w:rPr>
          <w:rFonts w:ascii="宋体"/>
          <w:snapToGrid w:val="0"/>
          <w:color w:val="auto"/>
          <w:sz w:val="24"/>
          <w:szCs w:val="24"/>
          <w:highlight w:val="none"/>
        </w:rPr>
        <w:t>00</w:t>
      </w:r>
      <w:r>
        <w:rPr>
          <w:rFonts w:ascii="宋体" w:hAnsi="宋体" w:cs="宋体"/>
          <w:snapToGrid w:val="0"/>
          <w:color w:val="auto"/>
          <w:sz w:val="24"/>
          <w:szCs w:val="24"/>
          <w:highlight w:val="none"/>
        </w:rPr>
        <w:t>%。</w:t>
      </w:r>
    </w:p>
    <w:p w14:paraId="2563FF4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7</w:t>
      </w:r>
      <w:r>
        <w:rPr>
          <w:rFonts w:hint="eastAsia" w:ascii="宋体" w:hAnsi="宋体" w:cs="宋体"/>
          <w:snapToGrid w:val="0"/>
          <w:color w:val="auto"/>
          <w:sz w:val="24"/>
          <w:szCs w:val="24"/>
          <w:highlight w:val="none"/>
        </w:rPr>
        <w:t>）按照上述仍无法组价的，根据市场招标或询价确定。</w:t>
      </w:r>
    </w:p>
    <w:p w14:paraId="5ED228C3">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15.5</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承包人的合理化建议</w:t>
      </w:r>
    </w:p>
    <w:p w14:paraId="7E272C8F">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15.5.2</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承包人实现合理化建议的奖励金额为：</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7F1E5547">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15.8</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暂估价</w:t>
      </w:r>
    </w:p>
    <w:p w14:paraId="5BCE653D">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15.8.1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）发包人和承包人组织招标的暂估价项目：</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；发包人组织招标的暂估价项目：</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lang w:val="en-US" w:eastAsia="zh-CN"/>
        </w:rPr>
        <w:t xml:space="preserve"> </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rPr>
        <w:t>。</w:t>
      </w:r>
    </w:p>
    <w:p w14:paraId="5CF5B819">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）发包人和承包人以招标方式选择暂估价项目供应商或分包人时，双方的权利义务关系：</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55056D30">
      <w:pPr>
        <w:pStyle w:val="4"/>
        <w:autoSpaceDE/>
        <w:autoSpaceDN/>
        <w:adjustRightInd w:val="0"/>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16</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价格调整</w:t>
      </w:r>
    </w:p>
    <w:p w14:paraId="622CF50A">
      <w:pPr>
        <w:pStyle w:val="32"/>
        <w:autoSpaceDE/>
        <w:autoSpaceDN/>
        <w:adjustRightInd/>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16.1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物价波动引起的价格调整</w:t>
      </w:r>
    </w:p>
    <w:p w14:paraId="21D052EF">
      <w:pPr>
        <w:pStyle w:val="37"/>
        <w:snapToGrid w:val="0"/>
        <w:spacing w:beforeLines="0" w:afterLines="0" w:line="360" w:lineRule="auto"/>
        <w:ind w:firstLine="0" w:firstLineChars="0"/>
        <w:jc w:val="left"/>
        <w:rPr>
          <w:rFonts w:ascii="宋体" w:hAnsi="宋体" w:cs="宋体"/>
          <w:snapToGrid w:val="0"/>
          <w:color w:val="auto"/>
          <w:kern w:val="0"/>
          <w:sz w:val="24"/>
          <w:highlight w:val="none"/>
          <w:lang w:val="zh-CN" w:bidi="zh-CN"/>
        </w:rPr>
      </w:pPr>
      <w:r>
        <w:rPr>
          <w:rFonts w:hint="eastAsia" w:ascii="宋体" w:hAnsi="宋体" w:cs="宋体"/>
          <w:snapToGrid w:val="0"/>
          <w:color w:val="auto"/>
          <w:kern w:val="0"/>
          <w:sz w:val="24"/>
          <w:szCs w:val="24"/>
          <w:highlight w:val="none"/>
          <w:lang w:val="zh-CN" w:bidi="zh-CN"/>
        </w:rPr>
        <w:t>物价波动引起的价格调整方式：</w:t>
      </w:r>
      <w:r>
        <w:rPr>
          <w:rFonts w:hint="eastAsia" w:ascii="宋体" w:hAnsi="宋体" w:cs="宋体"/>
          <w:snapToGrid w:val="0"/>
          <w:color w:val="auto"/>
          <w:kern w:val="0"/>
          <w:sz w:val="24"/>
          <w:szCs w:val="24"/>
          <w:highlight w:val="none"/>
          <w:u w:val="single"/>
          <w:lang w:val="zh-CN" w:bidi="zh-CN"/>
        </w:rPr>
        <w:t>采用造价信息调整价格差额</w:t>
      </w:r>
      <w:r>
        <w:rPr>
          <w:rFonts w:hint="eastAsia" w:ascii="宋体" w:hAnsi="宋体" w:cs="宋体"/>
          <w:snapToGrid w:val="0"/>
          <w:color w:val="auto"/>
          <w:kern w:val="0"/>
          <w:sz w:val="24"/>
          <w:szCs w:val="24"/>
          <w:highlight w:val="none"/>
          <w:lang w:val="zh-CN" w:bidi="zh-CN"/>
        </w:rPr>
        <w:t>。</w:t>
      </w:r>
    </w:p>
    <w:p w14:paraId="446CC8AB">
      <w:pPr>
        <w:pStyle w:val="37"/>
        <w:snapToGrid w:val="0"/>
        <w:spacing w:beforeLines="0" w:afterLines="0" w:line="360" w:lineRule="auto"/>
        <w:ind w:firstLine="0" w:firstLineChars="0"/>
        <w:jc w:val="left"/>
        <w:rPr>
          <w:rFonts w:ascii="宋体" w:hAnsi="宋体" w:cs="宋体"/>
          <w:color w:val="auto"/>
          <w:kern w:val="0"/>
          <w:sz w:val="24"/>
          <w:highlight w:val="none"/>
        </w:rPr>
      </w:pPr>
      <w:r>
        <w:rPr>
          <w:rFonts w:ascii="宋体"/>
          <w:b/>
          <w:bCs/>
          <w:color w:val="auto"/>
          <w:kern w:val="0"/>
          <w:sz w:val="24"/>
          <w:szCs w:val="24"/>
          <w:highlight w:val="none"/>
        </w:rPr>
        <w:t>16.1.2</w:t>
      </w:r>
      <w:r>
        <w:rPr>
          <w:rFonts w:hint="eastAsia" w:ascii="宋体"/>
          <w:b/>
          <w:bCs/>
          <w:color w:val="auto"/>
          <w:kern w:val="0"/>
          <w:sz w:val="24"/>
          <w:szCs w:val="24"/>
          <w:highlight w:val="none"/>
          <w:lang w:eastAsia="zh-CN"/>
        </w:rPr>
        <w:t>　</w:t>
      </w:r>
      <w:r>
        <w:rPr>
          <w:rFonts w:hint="eastAsia" w:ascii="宋体" w:hAnsi="宋体" w:cs="宋体"/>
          <w:color w:val="auto"/>
          <w:kern w:val="0"/>
          <w:sz w:val="24"/>
          <w:szCs w:val="24"/>
          <w:highlight w:val="none"/>
        </w:rPr>
        <w:t>约定为：合同执行期间，仅对合同工程的</w:t>
      </w:r>
      <w:r>
        <w:rPr>
          <w:rFonts w:ascii="宋体" w:hAnsi="宋体" w:cs="宋体"/>
          <w:color w:val="auto"/>
          <w:kern w:val="0"/>
          <w:sz w:val="24"/>
          <w:szCs w:val="24"/>
          <w:highlight w:val="none"/>
          <w:u w:val="single"/>
        </w:rPr>
        <w:t xml:space="preserve"> 单价承包部分 </w:t>
      </w:r>
      <w:r>
        <w:rPr>
          <w:rFonts w:hint="eastAsia" w:ascii="宋体" w:hAnsi="宋体" w:cs="宋体"/>
          <w:color w:val="auto"/>
          <w:kern w:val="0"/>
          <w:sz w:val="24"/>
          <w:szCs w:val="24"/>
          <w:highlight w:val="none"/>
        </w:rPr>
        <w:t>进行价格调差。</w:t>
      </w:r>
    </w:p>
    <w:p w14:paraId="0A0EA854">
      <w:pPr>
        <w:pStyle w:val="37"/>
        <w:snapToGrid w:val="0"/>
        <w:spacing w:beforeLines="0" w:afterLines="0"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1</w:t>
      </w:r>
      <w:r>
        <w:rPr>
          <w:rFonts w:hint="eastAsia" w:ascii="宋体" w:hAnsi="宋体" w:cs="宋体"/>
          <w:color w:val="auto"/>
          <w:kern w:val="0"/>
          <w:sz w:val="24"/>
          <w:szCs w:val="24"/>
          <w:highlight w:val="none"/>
        </w:rPr>
        <w:t>）在合同执行期间，人工预算单价</w:t>
      </w:r>
      <w:r>
        <w:rPr>
          <w:rFonts w:hint="eastAsia" w:ascii="宋体" w:hAnsi="宋体" w:cs="宋体"/>
          <w:color w:val="auto"/>
          <w:kern w:val="0"/>
          <w:sz w:val="24"/>
          <w:szCs w:val="24"/>
          <w:highlight w:val="none"/>
          <w:lang w:val="en-US" w:eastAsia="zh-CN"/>
        </w:rPr>
        <w:t>不作</w:t>
      </w:r>
      <w:r>
        <w:rPr>
          <w:rFonts w:hint="eastAsia" w:ascii="宋体" w:hAnsi="宋体" w:cs="宋体"/>
          <w:color w:val="auto"/>
          <w:kern w:val="0"/>
          <w:sz w:val="24"/>
          <w:szCs w:val="24"/>
          <w:highlight w:val="none"/>
        </w:rPr>
        <w:t>调整。</w:t>
      </w:r>
    </w:p>
    <w:p w14:paraId="362479E3">
      <w:pPr>
        <w:pStyle w:val="37"/>
        <w:snapToGrid w:val="0"/>
        <w:spacing w:beforeLines="0" w:afterLines="0"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2</w:t>
      </w:r>
      <w:r>
        <w:rPr>
          <w:rFonts w:hint="eastAsia" w:ascii="宋体" w:hAnsi="宋体" w:cs="宋体"/>
          <w:color w:val="auto"/>
          <w:kern w:val="0"/>
          <w:sz w:val="24"/>
          <w:szCs w:val="24"/>
          <w:highlight w:val="none"/>
        </w:rPr>
        <w:t>）在合同执行期间，</w:t>
      </w:r>
      <w:r>
        <w:rPr>
          <w:rFonts w:ascii="宋体" w:hAnsi="宋体" w:cs="宋体"/>
          <w:color w:val="auto"/>
          <w:spacing w:val="0"/>
          <w:kern w:val="0"/>
          <w:sz w:val="24"/>
          <w:szCs w:val="24"/>
          <w:highlight w:val="none"/>
        </w:rPr>
        <w:t>主要材料</w:t>
      </w:r>
      <w:r>
        <w:rPr>
          <w:rFonts w:hint="eastAsia" w:ascii="宋体" w:hAnsi="宋体" w:cs="宋体"/>
          <w:color w:val="auto"/>
          <w:spacing w:val="0"/>
          <w:kern w:val="0"/>
          <w:sz w:val="24"/>
          <w:szCs w:val="24"/>
          <w:highlight w:val="none"/>
          <w:u w:val="single"/>
        </w:rPr>
        <w:t>钢筋（各型号）、钢材（钢管、钢衬用钢板、钢拱架）、水泥</w:t>
      </w:r>
      <w:r>
        <w:rPr>
          <w:rFonts w:ascii="宋体" w:hAnsi="宋体" w:cs="宋体"/>
          <w:color w:val="auto"/>
          <w:spacing w:val="0"/>
          <w:kern w:val="0"/>
          <w:sz w:val="24"/>
          <w:szCs w:val="24"/>
          <w:highlight w:val="none"/>
        </w:rPr>
        <w:t>上下浮动超过</w:t>
      </w:r>
      <w:r>
        <w:rPr>
          <w:rFonts w:ascii="宋体" w:eastAsia="宋体"/>
          <w:color w:val="auto"/>
          <w:spacing w:val="0"/>
          <w:kern w:val="0"/>
          <w:sz w:val="24"/>
          <w:szCs w:val="24"/>
          <w:highlight w:val="none"/>
          <w:u w:val="single"/>
        </w:rPr>
        <w:t>5</w:t>
      </w:r>
      <w:r>
        <w:rPr>
          <w:rFonts w:ascii="宋体" w:eastAsia="宋体"/>
          <w:color w:val="auto"/>
          <w:spacing w:val="0"/>
          <w:kern w:val="0"/>
          <w:sz w:val="24"/>
          <w:szCs w:val="24"/>
          <w:highlight w:val="none"/>
        </w:rPr>
        <w:t>%</w:t>
      </w:r>
      <w:r>
        <w:rPr>
          <w:rFonts w:ascii="宋体" w:hAnsi="宋体" w:cs="宋体"/>
          <w:color w:val="auto"/>
          <w:spacing w:val="0"/>
          <w:kern w:val="0"/>
          <w:sz w:val="24"/>
          <w:szCs w:val="24"/>
          <w:highlight w:val="none"/>
        </w:rPr>
        <w:t>时应进行价格调整</w:t>
      </w:r>
      <w:r>
        <w:rPr>
          <w:rFonts w:hint="eastAsia" w:ascii="宋体" w:hAnsi="宋体" w:cs="宋体"/>
          <w:color w:val="auto"/>
          <w:spacing w:val="0"/>
          <w:kern w:val="0"/>
          <w:sz w:val="24"/>
          <w:szCs w:val="24"/>
          <w:highlight w:val="none"/>
          <w:lang w:eastAsia="zh-CN"/>
        </w:rPr>
        <w:t>（</w:t>
      </w:r>
      <w:r>
        <w:rPr>
          <w:rFonts w:hint="eastAsia" w:ascii="宋体" w:hAnsi="宋体" w:cs="宋体"/>
          <w:color w:val="auto"/>
          <w:spacing w:val="0"/>
          <w:kern w:val="0"/>
          <w:sz w:val="24"/>
          <w:szCs w:val="24"/>
          <w:highlight w:val="none"/>
          <w:lang w:val="en-US" w:eastAsia="zh-CN"/>
        </w:rPr>
        <w:t xml:space="preserve">其中各型号钢筋以HRB400 </w:t>
      </w:r>
      <w:r>
        <w:rPr>
          <w:rFonts w:hint="eastAsia" w:ascii="宋体" w:hAnsi="宋体" w:cs="宋体"/>
          <w:color w:val="auto"/>
          <w:kern w:val="0"/>
          <w:sz w:val="24"/>
          <w:highlight w:val="none"/>
        </w:rPr>
        <w:t>Φ</w:t>
      </w:r>
      <w:r>
        <w:rPr>
          <w:rFonts w:hint="eastAsia" w:ascii="宋体" w:hAnsi="宋体" w:cs="宋体"/>
          <w:color w:val="auto"/>
          <w:kern w:val="0"/>
          <w:sz w:val="24"/>
          <w:highlight w:val="none"/>
          <w:lang w:val="en-US" w:eastAsia="zh-CN"/>
        </w:rPr>
        <w:t>20，水泥以P</w:t>
      </w:r>
      <w:r>
        <w:rPr>
          <w:rFonts w:hint="eastAsia" w:ascii="宋体" w:hAnsi="宋体" w:cs="宋体"/>
          <w:color w:val="auto"/>
          <w:kern w:val="0"/>
          <w:sz w:val="24"/>
          <w:highlight w:val="none"/>
          <w:vertAlign w:val="subscript"/>
          <w:lang w:val="en-US" w:eastAsia="zh-CN"/>
        </w:rPr>
        <w:t>·</w:t>
      </w:r>
      <w:r>
        <w:rPr>
          <w:rFonts w:hint="eastAsia" w:ascii="宋体" w:hAnsi="宋体" w:cs="宋体"/>
          <w:color w:val="auto"/>
          <w:kern w:val="0"/>
          <w:sz w:val="24"/>
          <w:highlight w:val="none"/>
          <w:lang w:val="en-US" w:eastAsia="zh-CN"/>
        </w:rPr>
        <w:t>O42.5散装水泥为调差幅度计算基准</w:t>
      </w:r>
      <w:r>
        <w:rPr>
          <w:rFonts w:hint="eastAsia" w:ascii="宋体" w:hAnsi="宋体" w:cs="宋体"/>
          <w:color w:val="auto"/>
          <w:spacing w:val="0"/>
          <w:kern w:val="0"/>
          <w:sz w:val="24"/>
          <w:szCs w:val="24"/>
          <w:highlight w:val="none"/>
          <w:lang w:eastAsia="zh-CN"/>
        </w:rPr>
        <w:t>）</w:t>
      </w:r>
      <w:r>
        <w:rPr>
          <w:rFonts w:ascii="宋体" w:hAnsi="宋体" w:cs="宋体"/>
          <w:color w:val="auto"/>
          <w:spacing w:val="0"/>
          <w:kern w:val="0"/>
          <w:sz w:val="24"/>
          <w:szCs w:val="24"/>
          <w:highlight w:val="none"/>
        </w:rPr>
        <w:t>。价格调整按工程进度款结算周期进行，以投标期基价与施工期项目所在地造价管理部门发布的信息价对照计算，对其价格超过</w:t>
      </w:r>
      <w:r>
        <w:rPr>
          <w:rFonts w:ascii="宋体" w:hAnsi="宋体" w:cs="宋体"/>
          <w:color w:val="auto"/>
          <w:spacing w:val="0"/>
          <w:kern w:val="0"/>
          <w:sz w:val="24"/>
          <w:szCs w:val="24"/>
          <w:highlight w:val="none"/>
          <w:u w:val="single"/>
        </w:rPr>
        <w:t xml:space="preserve"> </w:t>
      </w:r>
      <w:r>
        <w:rPr>
          <w:rFonts w:ascii="宋体" w:eastAsia="宋体"/>
          <w:color w:val="auto"/>
          <w:spacing w:val="0"/>
          <w:kern w:val="0"/>
          <w:sz w:val="24"/>
          <w:szCs w:val="24"/>
          <w:highlight w:val="none"/>
          <w:u w:val="single"/>
        </w:rPr>
        <w:t xml:space="preserve">± 5 </w:t>
      </w:r>
      <w:r>
        <w:rPr>
          <w:rFonts w:ascii="宋体" w:eastAsia="宋体"/>
          <w:color w:val="auto"/>
          <w:spacing w:val="0"/>
          <w:kern w:val="0"/>
          <w:sz w:val="24"/>
          <w:szCs w:val="24"/>
          <w:highlight w:val="none"/>
        </w:rPr>
        <w:t xml:space="preserve">% </w:t>
      </w:r>
      <w:r>
        <w:rPr>
          <w:rFonts w:ascii="宋体" w:hAnsi="宋体" w:cs="宋体"/>
          <w:color w:val="auto"/>
          <w:spacing w:val="0"/>
          <w:kern w:val="0"/>
          <w:sz w:val="24"/>
          <w:szCs w:val="24"/>
          <w:highlight w:val="none"/>
        </w:rPr>
        <w:t>部分进行调整（只计材料信息价差价及其税金）。</w:t>
      </w:r>
    </w:p>
    <w:p w14:paraId="63BDFE9E">
      <w:pPr>
        <w:spacing w:before="0" w:beforeLines="0" w:afterLines="0" w:line="360" w:lineRule="auto"/>
        <w:ind w:right="0" w:firstLine="420"/>
        <w:jc w:val="left"/>
        <w:rPr>
          <w:rFonts w:cs="宋体"/>
          <w:color w:val="auto"/>
          <w:highlight w:val="none"/>
          <w:lang w:eastAsia="zh-CN"/>
        </w:rPr>
      </w:pPr>
      <w:r>
        <w:rPr>
          <w:rFonts w:cs="宋体"/>
          <w:color w:val="auto"/>
          <w:spacing w:val="0"/>
          <w:szCs w:val="21"/>
          <w:highlight w:val="none"/>
          <w:lang w:eastAsia="zh-CN"/>
        </w:rPr>
        <w:t>投标期的基价是指</w:t>
      </w:r>
      <w:r>
        <w:rPr>
          <w:rFonts w:hint="eastAsia" w:cs="宋体"/>
          <w:color w:val="auto"/>
          <w:spacing w:val="0"/>
          <w:sz w:val="24"/>
          <w:szCs w:val="24"/>
          <w:highlight w:val="none"/>
          <w:u w:val="single"/>
          <w:lang w:eastAsia="zh-CN"/>
        </w:rPr>
        <w:t>浙江省绍兴市建设行政主管部门</w:t>
      </w:r>
      <w:r>
        <w:rPr>
          <w:rFonts w:cs="宋体"/>
          <w:color w:val="auto"/>
          <w:spacing w:val="0"/>
          <w:szCs w:val="21"/>
          <w:highlight w:val="none"/>
          <w:lang w:eastAsia="zh-CN"/>
        </w:rPr>
        <w:t>发布的</w:t>
      </w:r>
      <w:r>
        <w:rPr>
          <w:rFonts w:cs="宋体"/>
          <w:color w:val="auto"/>
          <w:spacing w:val="0"/>
          <w:sz w:val="24"/>
          <w:szCs w:val="24"/>
          <w:highlight w:val="none"/>
          <w:u w:val="single"/>
          <w:lang w:eastAsia="zh-CN"/>
        </w:rPr>
        <w:t xml:space="preserve"> </w:t>
      </w:r>
      <w:r>
        <w:rPr>
          <w:rFonts w:cs="宋体"/>
          <w:i/>
          <w:iCs/>
          <w:color w:val="auto"/>
          <w:spacing w:val="0"/>
          <w:sz w:val="24"/>
          <w:szCs w:val="24"/>
          <w:highlight w:val="none"/>
          <w:u w:val="single"/>
          <w:lang w:eastAsia="zh-CN"/>
        </w:rPr>
        <w:t xml:space="preserve"> </w:t>
      </w:r>
      <w:r>
        <w:rPr>
          <w:rFonts w:hint="eastAsia" w:cs="宋体"/>
          <w:color w:val="auto"/>
          <w:spacing w:val="0"/>
          <w:sz w:val="24"/>
          <w:szCs w:val="24"/>
          <w:highlight w:val="none"/>
          <w:u w:val="single"/>
          <w:lang w:eastAsia="zh-CN"/>
        </w:rPr>
        <w:t>绍兴市</w:t>
      </w:r>
      <w:r>
        <w:rPr>
          <w:rFonts w:cs="宋体"/>
          <w:color w:val="auto"/>
          <w:spacing w:val="0"/>
          <w:sz w:val="24"/>
          <w:szCs w:val="24"/>
          <w:highlight w:val="none"/>
          <w:u w:val="single"/>
          <w:lang w:eastAsia="zh-CN"/>
        </w:rPr>
        <w:t>2024年7月建材市场信息价</w:t>
      </w:r>
      <w:r>
        <w:rPr>
          <w:rFonts w:cs="宋体"/>
          <w:color w:val="auto"/>
          <w:spacing w:val="0"/>
          <w:sz w:val="24"/>
          <w:szCs w:val="24"/>
          <w:highlight w:val="none"/>
          <w:lang w:eastAsia="zh-CN"/>
        </w:rPr>
        <w:t>中项目所在地信息价。材料数量按当月实际完成的工程量及投标文件单价分析表中的材料含量计算，最终补差材料的数量（工程量清单增减部分除外）不应超过现行</w:t>
      </w:r>
      <w:r>
        <w:rPr>
          <w:rFonts w:hint="eastAsia" w:cs="宋体"/>
          <w:color w:val="auto"/>
          <w:spacing w:val="0"/>
          <w:szCs w:val="21"/>
          <w:highlight w:val="none"/>
          <w:lang w:eastAsia="zh-CN"/>
        </w:rPr>
        <w:t>水利部</w:t>
      </w:r>
      <w:r>
        <w:rPr>
          <w:rFonts w:cs="宋体"/>
          <w:strike/>
          <w:color w:val="auto"/>
          <w:spacing w:val="0"/>
          <w:szCs w:val="21"/>
          <w:highlight w:val="none"/>
          <w:lang w:eastAsia="zh-CN"/>
        </w:rPr>
        <w:t>浙江省</w:t>
      </w:r>
      <w:r>
        <w:rPr>
          <w:rFonts w:cs="宋体"/>
          <w:color w:val="auto"/>
          <w:spacing w:val="0"/>
          <w:szCs w:val="21"/>
          <w:highlight w:val="none"/>
          <w:lang w:eastAsia="zh-CN"/>
        </w:rPr>
        <w:t>水利定额计算的总用量。</w:t>
      </w:r>
    </w:p>
    <w:p w14:paraId="5FFC0170">
      <w:pPr>
        <w:pStyle w:val="37"/>
        <w:snapToGrid w:val="0"/>
        <w:spacing w:beforeLines="0" w:afterLines="0"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3</w:t>
      </w:r>
      <w:r>
        <w:rPr>
          <w:rFonts w:hint="eastAsia" w:ascii="宋体" w:hAnsi="宋体" w:cs="宋体"/>
          <w:color w:val="auto"/>
          <w:kern w:val="0"/>
          <w:sz w:val="24"/>
          <w:szCs w:val="24"/>
          <w:highlight w:val="none"/>
        </w:rPr>
        <w:t>）其他材料的价格按当前的市场价考虑风险系数进入单价，在合同执行期内不作调整，价格风险由承包人自负。</w:t>
      </w:r>
    </w:p>
    <w:p w14:paraId="0505A855">
      <w:pPr>
        <w:pStyle w:val="37"/>
        <w:snapToGrid w:val="0"/>
        <w:spacing w:beforeLines="0" w:afterLines="0"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szCs w:val="24"/>
          <w:highlight w:val="none"/>
        </w:rPr>
        <w:t>（</w:t>
      </w:r>
      <w:r>
        <w:rPr>
          <w:rFonts w:ascii="宋体"/>
          <w:color w:val="auto"/>
          <w:kern w:val="0"/>
          <w:sz w:val="24"/>
          <w:szCs w:val="24"/>
          <w:highlight w:val="none"/>
        </w:rPr>
        <w:t>4</w:t>
      </w:r>
      <w:r>
        <w:rPr>
          <w:rFonts w:hint="eastAsia" w:ascii="宋体" w:hAnsi="宋体" w:cs="宋体"/>
          <w:color w:val="auto"/>
          <w:kern w:val="0"/>
          <w:sz w:val="24"/>
          <w:szCs w:val="24"/>
          <w:highlight w:val="none"/>
        </w:rPr>
        <w:t>）因工期延误产生的人工、材料、施工机械台班等价格变化</w:t>
      </w:r>
    </w:p>
    <w:p w14:paraId="6720650A">
      <w:pPr>
        <w:pStyle w:val="37"/>
        <w:snapToGrid w:val="0"/>
        <w:spacing w:beforeLines="0" w:afterLines="0" w:line="360" w:lineRule="auto"/>
        <w:ind w:firstLine="480" w:firstLineChars="200"/>
        <w:jc w:val="left"/>
        <w:rPr>
          <w:rFonts w:ascii="宋体" w:hAnsi="宋体" w:cs="宋体"/>
          <w:color w:val="auto"/>
          <w:kern w:val="0"/>
          <w:sz w:val="24"/>
          <w:highlight w:val="none"/>
        </w:rPr>
      </w:pPr>
      <w:r>
        <w:rPr>
          <w:rFonts w:ascii="宋体"/>
          <w:color w:val="auto"/>
          <w:kern w:val="0"/>
          <w:sz w:val="24"/>
          <w:szCs w:val="24"/>
          <w:highlight w:val="none"/>
        </w:rPr>
        <w:t>1</w:t>
      </w:r>
      <w:r>
        <w:rPr>
          <w:rFonts w:hint="eastAsia" w:ascii="宋体" w:hAnsi="宋体" w:cs="宋体"/>
          <w:color w:val="auto"/>
          <w:kern w:val="0"/>
          <w:sz w:val="24"/>
          <w:szCs w:val="24"/>
          <w:highlight w:val="none"/>
        </w:rPr>
        <w:t>）因发包方原因或者非承发包双方原因造成工期延误的，延误期间价格上涨造成的价差由发包人承担，价差（正值）计入工程造价；反之，价格下降造成的价差则由承包人收益，价差不计入（负值）工程造价。</w:t>
      </w:r>
    </w:p>
    <w:p w14:paraId="5C34F8E6">
      <w:pPr>
        <w:pStyle w:val="37"/>
        <w:snapToGrid w:val="0"/>
        <w:spacing w:beforeLines="0" w:afterLines="0" w:line="360" w:lineRule="auto"/>
        <w:ind w:firstLine="480" w:firstLineChars="200"/>
        <w:jc w:val="left"/>
        <w:rPr>
          <w:rFonts w:ascii="宋体" w:hAnsi="宋体" w:cs="宋体"/>
          <w:color w:val="auto"/>
          <w:kern w:val="0"/>
          <w:sz w:val="24"/>
          <w:szCs w:val="24"/>
          <w:highlight w:val="none"/>
        </w:rPr>
      </w:pPr>
      <w:r>
        <w:rPr>
          <w:rFonts w:ascii="宋体"/>
          <w:color w:val="auto"/>
          <w:kern w:val="0"/>
          <w:sz w:val="24"/>
          <w:szCs w:val="24"/>
          <w:highlight w:val="none"/>
        </w:rPr>
        <w:t>2</w:t>
      </w:r>
      <w:r>
        <w:rPr>
          <w:rFonts w:hint="eastAsia" w:ascii="宋体" w:hAnsi="宋体" w:cs="宋体"/>
          <w:color w:val="auto"/>
          <w:kern w:val="0"/>
          <w:sz w:val="24"/>
          <w:szCs w:val="24"/>
          <w:highlight w:val="none"/>
        </w:rPr>
        <w:t>）因承包人原因造成工期延误的，延误期间价格上涨造成的价差由承包人承担，价差（正值）不计入工程造价；反之，价格下降造成的价差则由发包人收益，价差计入（负值）工程造价。</w:t>
      </w:r>
    </w:p>
    <w:p w14:paraId="20CBE964">
      <w:pPr>
        <w:pStyle w:val="4"/>
        <w:autoSpaceDE/>
        <w:autoSpaceDN/>
        <w:adjustRightInd w:val="0"/>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17</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计量与支付</w:t>
      </w:r>
    </w:p>
    <w:p w14:paraId="2A849B2E">
      <w:pPr>
        <w:pStyle w:val="32"/>
        <w:autoSpaceDE/>
        <w:autoSpaceDN/>
        <w:adjustRightInd/>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资金监管</w:t>
      </w:r>
    </w:p>
    <w:p w14:paraId="7F8229E4">
      <w:pPr>
        <w:kinsoku/>
        <w:adjustRightInd/>
        <w:spacing w:beforeLines="0" w:afterLines="0"/>
        <w:ind w:firstLine="0" w:firstLineChars="0"/>
        <w:jc w:val="left"/>
        <w:textAlignment w:val="auto"/>
        <w:rPr>
          <w:rFonts w:cs="宋体"/>
          <w:color w:val="auto"/>
          <w:highlight w:val="none"/>
          <w:lang w:eastAsia="zh-CN"/>
        </w:rPr>
      </w:pPr>
      <w:r>
        <w:rPr>
          <w:rFonts w:ascii="宋体" w:hAnsi="Times New Roman" w:eastAsia="宋体" w:cs="Times New Roman"/>
          <w:b/>
          <w:bCs/>
          <w:snapToGrid w:val="0"/>
          <w:color w:val="auto"/>
          <w:szCs w:val="21"/>
          <w:highlight w:val="none"/>
          <w:lang w:eastAsia="zh-CN"/>
        </w:rPr>
        <w:t>17.1.1</w:t>
      </w:r>
      <w:r>
        <w:rPr>
          <w:rFonts w:hint="eastAsia" w:hAnsi="Times New Roman" w:cs="Times New Roman"/>
          <w:b/>
          <w:bCs/>
          <w:snapToGrid w:val="0"/>
          <w:color w:val="auto"/>
          <w:szCs w:val="21"/>
          <w:highlight w:val="none"/>
          <w:lang w:eastAsia="zh-CN"/>
        </w:rPr>
        <w:t>　</w:t>
      </w:r>
      <w:r>
        <w:rPr>
          <w:rFonts w:hint="eastAsia" w:ascii="宋体" w:eastAsia="宋体" w:cs="宋体"/>
          <w:b w:val="0"/>
          <w:snapToGrid w:val="0"/>
          <w:color w:val="auto"/>
          <w:szCs w:val="21"/>
          <w:highlight w:val="none"/>
          <w:lang w:eastAsia="zh-CN"/>
        </w:rPr>
        <w:t>资金支付参照《浙江镜岭水库工程工程资金监管办法（试行）》</w:t>
      </w:r>
      <w:r>
        <w:rPr>
          <w:rFonts w:hint="eastAsia" w:cs="宋体"/>
          <w:b w:val="0"/>
          <w:snapToGrid w:val="0"/>
          <w:color w:val="auto"/>
          <w:szCs w:val="21"/>
          <w:highlight w:val="none"/>
          <w:lang w:val="en-US" w:eastAsia="zh-CN"/>
        </w:rPr>
        <w:t>及</w:t>
      </w:r>
      <w:r>
        <w:rPr>
          <w:rFonts w:hint="eastAsia" w:ascii="宋体" w:eastAsia="宋体" w:cs="宋体"/>
          <w:b w:val="0"/>
          <w:snapToGrid w:val="0"/>
          <w:color w:val="auto"/>
          <w:szCs w:val="21"/>
          <w:highlight w:val="none"/>
          <w:lang w:eastAsia="zh-CN"/>
        </w:rPr>
        <w:t>财政部下发《增发</w:t>
      </w:r>
      <w:r>
        <w:rPr>
          <w:rFonts w:ascii="宋体" w:hAnsi="Times New Roman" w:eastAsia="宋体" w:cs="Times New Roman"/>
          <w:b w:val="0"/>
          <w:snapToGrid w:val="0"/>
          <w:color w:val="auto"/>
          <w:szCs w:val="21"/>
          <w:highlight w:val="none"/>
          <w:lang w:eastAsia="zh-CN"/>
        </w:rPr>
        <w:t>2023</w:t>
      </w:r>
      <w:r>
        <w:rPr>
          <w:rFonts w:hint="eastAsia" w:ascii="宋体" w:eastAsia="宋体" w:cs="宋体"/>
          <w:b w:val="0"/>
          <w:snapToGrid w:val="0"/>
          <w:color w:val="auto"/>
          <w:szCs w:val="21"/>
          <w:highlight w:val="none"/>
          <w:lang w:eastAsia="zh-CN"/>
        </w:rPr>
        <w:t>年国债资金管理办法》等相关规定实施，承包人与发包人需签订《增发国债资金支付三方协议书》（详见附件六），并按要求进行资金支付。</w:t>
      </w:r>
    </w:p>
    <w:p w14:paraId="2AF19819">
      <w:pPr>
        <w:pStyle w:val="32"/>
        <w:autoSpaceDE/>
        <w:autoSpaceDN/>
        <w:adjustRightInd/>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17.2</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预付款</w:t>
      </w:r>
    </w:p>
    <w:p w14:paraId="68A58556">
      <w:pPr>
        <w:pStyle w:val="30"/>
        <w:snapToGrid w:val="0"/>
        <w:spacing w:beforeLines="0" w:afterLines="0" w:line="360" w:lineRule="auto"/>
        <w:ind w:firstLine="0" w:firstLineChars="0"/>
        <w:jc w:val="left"/>
        <w:rPr>
          <w:rFonts w:ascii="宋体"/>
          <w:color w:val="auto"/>
          <w:sz w:val="24"/>
          <w:szCs w:val="24"/>
          <w:highlight w:val="none"/>
        </w:rPr>
      </w:pPr>
      <w:r>
        <w:rPr>
          <w:rFonts w:ascii="宋体"/>
          <w:b/>
          <w:bCs/>
          <w:snapToGrid w:val="0"/>
          <w:color w:val="auto"/>
          <w:kern w:val="0"/>
          <w:sz w:val="24"/>
          <w:szCs w:val="24"/>
          <w:highlight w:val="none"/>
        </w:rPr>
        <w:t>17.2.1</w:t>
      </w:r>
      <w:r>
        <w:rPr>
          <w:rFonts w:hint="eastAsia" w:ascii="宋体"/>
          <w:b/>
          <w:bCs/>
          <w:snapToGrid w:val="0"/>
          <w:color w:val="auto"/>
          <w:kern w:val="0"/>
          <w:sz w:val="24"/>
          <w:szCs w:val="24"/>
          <w:highlight w:val="none"/>
          <w:lang w:eastAsia="zh-CN"/>
        </w:rPr>
        <w:t>　</w:t>
      </w:r>
      <w:r>
        <w:rPr>
          <w:rFonts w:hint="eastAsia" w:ascii="宋体"/>
          <w:snapToGrid w:val="0"/>
          <w:color w:val="auto"/>
          <w:sz w:val="24"/>
          <w:szCs w:val="24"/>
          <w:highlight w:val="none"/>
        </w:rPr>
        <w:t>预付款</w:t>
      </w:r>
    </w:p>
    <w:p w14:paraId="70AF76F3">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1</w:t>
      </w:r>
      <w:r>
        <w:rPr>
          <w:rFonts w:hint="eastAsia" w:ascii="宋体" w:hAnsi="宋体" w:cs="宋体"/>
          <w:snapToGrid w:val="0"/>
          <w:color w:val="auto"/>
          <w:sz w:val="24"/>
          <w:szCs w:val="24"/>
          <w:highlight w:val="none"/>
        </w:rPr>
        <w:t>）工程预付款的总金额为签约合同价（扣除预留金</w:t>
      </w:r>
      <w:r>
        <w:rPr>
          <w:rFonts w:hint="eastAsia" w:ascii="宋体" w:hAnsi="宋体" w:cs="宋体"/>
          <w:snapToGrid w:val="0"/>
          <w:color w:val="auto"/>
          <w:sz w:val="24"/>
          <w:szCs w:val="24"/>
          <w:highlight w:val="none"/>
          <w:lang w:val="en-US" w:eastAsia="zh-CN"/>
        </w:rPr>
        <w:t>及安全生产措施费</w:t>
      </w:r>
      <w:r>
        <w:rPr>
          <w:rFonts w:hint="eastAsia" w:ascii="宋体" w:hAnsi="宋体" w:cs="宋体"/>
          <w:snapToGrid w:val="0"/>
          <w:color w:val="auto"/>
          <w:sz w:val="24"/>
          <w:szCs w:val="24"/>
          <w:highlight w:val="none"/>
        </w:rPr>
        <w:t>后）的</w:t>
      </w:r>
      <w:r>
        <w:rPr>
          <w:rFonts w:hint="eastAsia" w:ascii="宋体" w:hAnsi="宋体" w:cs="宋体"/>
          <w:snapToGrid w:val="0"/>
          <w:color w:val="auto"/>
          <w:sz w:val="24"/>
          <w:szCs w:val="24"/>
          <w:highlight w:val="none"/>
          <w:u w:val="single"/>
          <w:lang w:val="en-US" w:eastAsia="zh-CN"/>
        </w:rPr>
        <w:t xml:space="preserve"> </w:t>
      </w:r>
      <w:r>
        <w:rPr>
          <w:rFonts w:hint="eastAsia" w:ascii="宋体"/>
          <w:snapToGrid w:val="0"/>
          <w:color w:val="auto"/>
          <w:sz w:val="24"/>
          <w:szCs w:val="24"/>
          <w:highlight w:val="none"/>
          <w:u w:val="single"/>
          <w:lang w:eastAsia="zh-CN"/>
        </w:rPr>
        <w:t>3</w:t>
      </w:r>
      <w:r>
        <w:rPr>
          <w:rFonts w:hint="eastAsia" w:ascii="宋体"/>
          <w:snapToGrid w:val="0"/>
          <w:color w:val="auto"/>
          <w:sz w:val="24"/>
          <w:szCs w:val="24"/>
          <w:highlight w:val="none"/>
          <w:u w:val="single"/>
          <w:lang w:val="en-US" w:eastAsia="zh-CN"/>
        </w:rPr>
        <w:t xml:space="preserve">0 </w:t>
      </w:r>
      <w:r>
        <w:rPr>
          <w:rFonts w:ascii="宋体" w:hAnsi="宋体" w:cs="宋体"/>
          <w:snapToGrid w:val="0"/>
          <w:color w:val="auto"/>
          <w:sz w:val="24"/>
          <w:szCs w:val="24"/>
          <w:highlight w:val="none"/>
        </w:rPr>
        <w:t>%，分</w:t>
      </w:r>
      <w:r>
        <w:rPr>
          <w:rFonts w:hint="eastAsia" w:ascii="宋体" w:hAnsi="宋体" w:cs="宋体"/>
          <w:snapToGrid w:val="0"/>
          <w:color w:val="auto"/>
          <w:sz w:val="24"/>
          <w:szCs w:val="24"/>
          <w:highlight w:val="none"/>
          <w:u w:val="single"/>
          <w:lang w:val="en-US" w:eastAsia="zh-CN"/>
        </w:rPr>
        <w:t xml:space="preserve"> </w:t>
      </w:r>
      <w:r>
        <w:rPr>
          <w:rFonts w:hint="eastAsia" w:ascii="宋体"/>
          <w:snapToGrid w:val="0"/>
          <w:color w:val="auto"/>
          <w:sz w:val="24"/>
          <w:szCs w:val="24"/>
          <w:highlight w:val="none"/>
          <w:u w:val="single"/>
          <w:lang w:eastAsia="zh-CN"/>
        </w:rPr>
        <w:t>1</w:t>
      </w:r>
      <w:r>
        <w:rPr>
          <w:rFonts w:hint="eastAsia" w:ascii="宋体"/>
          <w:snapToGrid w:val="0"/>
          <w:color w:val="auto"/>
          <w:sz w:val="24"/>
          <w:szCs w:val="24"/>
          <w:highlight w:val="none"/>
          <w:u w:val="single"/>
          <w:lang w:val="en-US" w:eastAsia="zh-CN"/>
        </w:rPr>
        <w:t xml:space="preserve"> </w:t>
      </w:r>
      <w:r>
        <w:rPr>
          <w:rFonts w:hint="eastAsia" w:ascii="宋体" w:hAnsi="宋体" w:cs="宋体"/>
          <w:snapToGrid w:val="0"/>
          <w:color w:val="auto"/>
          <w:sz w:val="24"/>
          <w:szCs w:val="24"/>
          <w:highlight w:val="none"/>
        </w:rPr>
        <w:t>次支付给承包人。</w:t>
      </w:r>
      <w:r>
        <w:rPr>
          <w:rFonts w:hint="eastAsia" w:ascii="宋体" w:hAnsi="宋体" w:cs="宋体"/>
          <w:snapToGrid w:val="0"/>
          <w:color w:val="auto"/>
          <w:sz w:val="24"/>
          <w:szCs w:val="24"/>
          <w:highlight w:val="none"/>
          <w:lang w:val="en-US" w:eastAsia="zh-CN"/>
        </w:rPr>
        <w:t>工程预付款的付款时间为：</w:t>
      </w:r>
      <w:r>
        <w:rPr>
          <w:rFonts w:ascii="宋体" w:hAnsi="宋体" w:cs="宋体"/>
          <w:snapToGrid w:val="0"/>
          <w:color w:val="auto"/>
          <w:sz w:val="24"/>
          <w:szCs w:val="24"/>
          <w:highlight w:val="none"/>
          <w:u w:val="single"/>
        </w:rPr>
        <w:t>付款时间应在合同协议书签订后，由承包人提出书面申请，并经监理人出具付款证书报送发包人批准后</w:t>
      </w:r>
      <w:r>
        <w:rPr>
          <w:rFonts w:ascii="宋体"/>
          <w:snapToGrid w:val="0"/>
          <w:color w:val="auto"/>
          <w:sz w:val="24"/>
          <w:szCs w:val="24"/>
          <w:highlight w:val="none"/>
          <w:u w:val="single"/>
        </w:rPr>
        <w:t>30</w:t>
      </w:r>
      <w:r>
        <w:rPr>
          <w:rFonts w:hint="eastAsia" w:ascii="宋体" w:hAnsi="宋体" w:cs="宋体"/>
          <w:snapToGrid w:val="0"/>
          <w:color w:val="auto"/>
          <w:sz w:val="24"/>
          <w:szCs w:val="24"/>
          <w:highlight w:val="none"/>
          <w:u w:val="single"/>
        </w:rPr>
        <w:t>天内予以支付</w:t>
      </w:r>
      <w:r>
        <w:rPr>
          <w:rFonts w:hint="eastAsia" w:ascii="宋体" w:hAnsi="宋体" w:cs="宋体"/>
          <w:snapToGrid w:val="0"/>
          <w:color w:val="auto"/>
          <w:sz w:val="24"/>
          <w:szCs w:val="24"/>
          <w:highlight w:val="none"/>
        </w:rPr>
        <w:t>。</w:t>
      </w:r>
    </w:p>
    <w:p w14:paraId="64C4FC49">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2）工程材料预付款的额度和预付办法约定为：</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0D8758F0">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3）在本合同协议书生效后，每笔预付款支付前，承包人应向发包人提交与预付款等额的经发包人认可的预付款担保，预付款担保期限自预付款担保开立之日起至预付款全额扣回后30天。预付款担保格式、要求参</w:t>
      </w:r>
      <w:r>
        <w:rPr>
          <w:rFonts w:hint="eastAsia" w:ascii="宋体" w:hAnsi="宋体" w:cs="宋体"/>
          <w:snapToGrid w:val="0"/>
          <w:color w:val="auto"/>
          <w:sz w:val="24"/>
          <w:szCs w:val="24"/>
          <w:highlight w:val="none"/>
          <w:lang w:val="en-US" w:eastAsia="zh-CN"/>
        </w:rPr>
        <w:t>照</w:t>
      </w:r>
      <w:r>
        <w:rPr>
          <w:rFonts w:ascii="宋体" w:hAnsi="宋体" w:cs="宋体"/>
          <w:snapToGrid w:val="0"/>
          <w:color w:val="auto"/>
          <w:sz w:val="24"/>
          <w:szCs w:val="24"/>
          <w:highlight w:val="none"/>
        </w:rPr>
        <w:t>附件五。</w:t>
      </w:r>
    </w:p>
    <w:p w14:paraId="76C15C6A">
      <w:pPr>
        <w:pStyle w:val="30"/>
        <w:snapToGrid w:val="0"/>
        <w:spacing w:beforeLines="0" w:afterLines="0" w:line="360" w:lineRule="auto"/>
        <w:ind w:firstLine="0" w:firstLineChars="0"/>
        <w:jc w:val="left"/>
        <w:rPr>
          <w:rFonts w:ascii="宋体"/>
          <w:snapToGrid w:val="0"/>
          <w:color w:val="auto"/>
          <w:sz w:val="24"/>
          <w:highlight w:val="none"/>
        </w:rPr>
      </w:pPr>
      <w:r>
        <w:rPr>
          <w:rFonts w:ascii="宋体"/>
          <w:b/>
          <w:bCs/>
          <w:snapToGrid w:val="0"/>
          <w:color w:val="auto"/>
          <w:kern w:val="0"/>
          <w:sz w:val="24"/>
          <w:szCs w:val="24"/>
          <w:highlight w:val="none"/>
        </w:rPr>
        <w:t>17.2.3</w:t>
      </w:r>
      <w:r>
        <w:rPr>
          <w:rFonts w:hint="eastAsia" w:ascii="宋体"/>
          <w:b/>
          <w:bCs/>
          <w:snapToGrid w:val="0"/>
          <w:color w:val="auto"/>
          <w:kern w:val="0"/>
          <w:sz w:val="24"/>
          <w:szCs w:val="24"/>
          <w:highlight w:val="none"/>
          <w:lang w:eastAsia="zh-CN"/>
        </w:rPr>
        <w:t>　</w:t>
      </w:r>
      <w:r>
        <w:rPr>
          <w:rFonts w:hint="eastAsia" w:ascii="宋体"/>
          <w:snapToGrid w:val="0"/>
          <w:color w:val="auto"/>
          <w:sz w:val="24"/>
          <w:szCs w:val="24"/>
          <w:highlight w:val="none"/>
        </w:rPr>
        <w:t>预付款的扣回与还清</w:t>
      </w:r>
    </w:p>
    <w:p w14:paraId="2B60DF06">
      <w:pPr>
        <w:pStyle w:val="30"/>
        <w:spacing w:beforeLines="0" w:afterLines="0" w:line="360" w:lineRule="auto"/>
        <w:ind w:firstLine="480" w:firstLineChars="200"/>
        <w:jc w:val="left"/>
        <w:rPr>
          <w:rFonts w:ascii="宋体" w:hAnsi="宋体" w:cs="宋体"/>
          <w:color w:val="auto"/>
          <w:sz w:val="24"/>
          <w:szCs w:val="24"/>
          <w:highlight w:val="none"/>
        </w:rPr>
      </w:pPr>
      <w:r>
        <w:rPr>
          <w:rFonts w:hint="eastAsia" w:ascii="宋体" w:hAnsi="宋体" w:cs="宋体"/>
          <w:snapToGrid w:val="0"/>
          <w:color w:val="auto"/>
          <w:sz w:val="24"/>
          <w:szCs w:val="24"/>
          <w:highlight w:val="none"/>
          <w:u w:val="single"/>
        </w:rPr>
        <w:t>（</w:t>
      </w:r>
      <w:r>
        <w:rPr>
          <w:rFonts w:ascii="宋体"/>
          <w:snapToGrid w:val="0"/>
          <w:color w:val="auto"/>
          <w:sz w:val="24"/>
          <w:szCs w:val="24"/>
          <w:highlight w:val="none"/>
          <w:u w:val="single"/>
        </w:rPr>
        <w:t>1</w:t>
      </w:r>
      <w:r>
        <w:rPr>
          <w:rFonts w:hint="eastAsia" w:ascii="宋体" w:hAnsi="宋体" w:cs="宋体"/>
          <w:snapToGrid w:val="0"/>
          <w:color w:val="auto"/>
          <w:sz w:val="24"/>
          <w:szCs w:val="24"/>
          <w:highlight w:val="none"/>
          <w:u w:val="single"/>
        </w:rPr>
        <w:t>）工程预付款在合同累计完成金额达到签约合同价（</w:t>
      </w:r>
      <w:r>
        <w:rPr>
          <w:rFonts w:hint="eastAsia" w:ascii="宋体" w:hAnsi="宋体" w:cs="宋体"/>
          <w:snapToGrid w:val="0"/>
          <w:color w:val="auto"/>
          <w:sz w:val="24"/>
          <w:szCs w:val="24"/>
          <w:highlight w:val="none"/>
        </w:rPr>
        <w:t>扣除预留金</w:t>
      </w:r>
      <w:r>
        <w:rPr>
          <w:rFonts w:hint="eastAsia" w:ascii="宋体" w:hAnsi="宋体" w:cs="宋体"/>
          <w:snapToGrid w:val="0"/>
          <w:color w:val="auto"/>
          <w:sz w:val="24"/>
          <w:szCs w:val="24"/>
          <w:highlight w:val="none"/>
          <w:lang w:val="en-US" w:eastAsia="zh-CN"/>
        </w:rPr>
        <w:t>及安全生产措施费</w:t>
      </w:r>
      <w:r>
        <w:rPr>
          <w:rFonts w:hint="eastAsia" w:ascii="宋体" w:hAnsi="宋体" w:cs="宋体"/>
          <w:snapToGrid w:val="0"/>
          <w:color w:val="auto"/>
          <w:sz w:val="24"/>
          <w:szCs w:val="24"/>
          <w:highlight w:val="none"/>
        </w:rPr>
        <w:t>后</w:t>
      </w:r>
      <w:r>
        <w:rPr>
          <w:rFonts w:hint="eastAsia" w:ascii="宋体" w:hAnsi="宋体" w:cs="宋体"/>
          <w:snapToGrid w:val="0"/>
          <w:color w:val="auto"/>
          <w:sz w:val="24"/>
          <w:szCs w:val="24"/>
          <w:highlight w:val="none"/>
          <w:u w:val="single"/>
        </w:rPr>
        <w:t>）的</w:t>
      </w:r>
      <w:r>
        <w:rPr>
          <w:rFonts w:ascii="宋体" w:hAnsi="宋体" w:cs="宋体"/>
          <w:snapToGrid w:val="0"/>
          <w:color w:val="auto"/>
          <w:sz w:val="24"/>
          <w:szCs w:val="24"/>
          <w:highlight w:val="none"/>
          <w:u w:val="single"/>
        </w:rPr>
        <w:t xml:space="preserve"> </w:t>
      </w:r>
      <w:r>
        <w:rPr>
          <w:rFonts w:hint="eastAsia" w:ascii="宋体"/>
          <w:snapToGrid w:val="0"/>
          <w:color w:val="auto"/>
          <w:sz w:val="24"/>
          <w:szCs w:val="24"/>
          <w:highlight w:val="none"/>
          <w:u w:val="single"/>
          <w:lang w:eastAsia="zh-CN"/>
        </w:rPr>
        <w:t>1</w:t>
      </w:r>
      <w:r>
        <w:rPr>
          <w:rFonts w:hint="eastAsia" w:ascii="宋体"/>
          <w:snapToGrid w:val="0"/>
          <w:color w:val="auto"/>
          <w:sz w:val="24"/>
          <w:szCs w:val="24"/>
          <w:highlight w:val="none"/>
          <w:u w:val="single"/>
          <w:lang w:val="en-US" w:eastAsia="zh-CN"/>
        </w:rPr>
        <w:t>5</w:t>
      </w:r>
      <w:r>
        <w:rPr>
          <w:rFonts w:ascii="宋体" w:hAnsi="宋体" w:cs="宋体"/>
          <w:snapToGrid w:val="0"/>
          <w:color w:val="auto"/>
          <w:sz w:val="24"/>
          <w:szCs w:val="24"/>
          <w:highlight w:val="none"/>
          <w:u w:val="single"/>
        </w:rPr>
        <w:t xml:space="preserve"> %时开始扣款，直至合同累计完成金额达到签约合同价（</w:t>
      </w:r>
      <w:r>
        <w:rPr>
          <w:rFonts w:hint="eastAsia" w:ascii="宋体" w:hAnsi="宋体" w:cs="宋体"/>
          <w:snapToGrid w:val="0"/>
          <w:color w:val="auto"/>
          <w:sz w:val="24"/>
          <w:szCs w:val="24"/>
          <w:highlight w:val="none"/>
        </w:rPr>
        <w:t>扣除预留金</w:t>
      </w:r>
      <w:r>
        <w:rPr>
          <w:rFonts w:hint="eastAsia" w:ascii="宋体" w:hAnsi="宋体" w:cs="宋体"/>
          <w:snapToGrid w:val="0"/>
          <w:color w:val="auto"/>
          <w:sz w:val="24"/>
          <w:szCs w:val="24"/>
          <w:highlight w:val="none"/>
          <w:lang w:val="en-US" w:eastAsia="zh-CN"/>
        </w:rPr>
        <w:t>及安全生产措施费</w:t>
      </w:r>
      <w:r>
        <w:rPr>
          <w:rFonts w:hint="eastAsia" w:ascii="宋体" w:hAnsi="宋体" w:cs="宋体"/>
          <w:snapToGrid w:val="0"/>
          <w:color w:val="auto"/>
          <w:sz w:val="24"/>
          <w:szCs w:val="24"/>
          <w:highlight w:val="none"/>
        </w:rPr>
        <w:t>后</w:t>
      </w:r>
      <w:r>
        <w:rPr>
          <w:rFonts w:ascii="宋体" w:hAnsi="宋体" w:cs="宋体"/>
          <w:snapToGrid w:val="0"/>
          <w:color w:val="auto"/>
          <w:sz w:val="24"/>
          <w:szCs w:val="24"/>
          <w:highlight w:val="none"/>
          <w:u w:val="single"/>
        </w:rPr>
        <w:t>）的</w:t>
      </w:r>
      <w:r>
        <w:rPr>
          <w:rFonts w:ascii="宋体"/>
          <w:snapToGrid w:val="0"/>
          <w:color w:val="auto"/>
          <w:sz w:val="24"/>
          <w:szCs w:val="24"/>
          <w:highlight w:val="none"/>
          <w:u w:val="single"/>
        </w:rPr>
        <w:t>70</w:t>
      </w:r>
      <w:r>
        <w:rPr>
          <w:rFonts w:ascii="宋体" w:hAnsi="宋体" w:cs="宋体"/>
          <w:snapToGrid w:val="0"/>
          <w:color w:val="auto"/>
          <w:sz w:val="24"/>
          <w:szCs w:val="24"/>
          <w:highlight w:val="none"/>
          <w:u w:val="single"/>
        </w:rPr>
        <w:t>%时全部扣清</w:t>
      </w:r>
      <w:r>
        <w:rPr>
          <w:rFonts w:hint="eastAsia" w:ascii="宋体" w:hAnsi="宋体" w:cs="宋体"/>
          <w:color w:val="auto"/>
          <w:sz w:val="24"/>
          <w:szCs w:val="24"/>
          <w:highlight w:val="none"/>
        </w:rPr>
        <w:t>。</w:t>
      </w:r>
    </w:p>
    <w:p w14:paraId="562AB4E8">
      <w:pPr>
        <w:pStyle w:val="30"/>
        <w:spacing w:beforeLines="0" w:afterLines="0" w:line="360" w:lineRule="auto"/>
        <w:ind w:firstLine="480" w:firstLineChars="200"/>
        <w:jc w:val="center"/>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QUOTE </w:instrText>
      </w:r>
      <w:r>
        <w:rPr>
          <w:rFonts w:ascii="宋体"/>
          <w:color w:val="auto"/>
          <w:sz w:val="24"/>
          <w:szCs w:val="24"/>
          <w:highlight w:val="none"/>
        </w:rPr>
        <w:pict>
          <v:shape id="_x0000_i1025" o:spt="75" type="#_x0000_t75" style="height:46.1pt;width:167.05pt;" filled="f" o:preferrelative="t" stroked="f" coordsize="21600,21600" equationxml="&lt;">
            <v:path/>
            <v:fill on="f" focussize="0,0"/>
            <v:stroke on="f" joinstyle="miter"/>
            <v:imagedata r:id="rId20" chromakey="#FFFFFF" o:title=""/>
            <o:lock v:ext="edit" aspectratio="t"/>
            <w10:wrap type="none"/>
            <w10:anchorlock/>
          </v:shape>
        </w:pict>
      </w:r>
      <w:r>
        <w:rPr>
          <w:rFonts w:ascii="宋体" w:hAnsi="宋体"/>
          <w:color w:val="auto"/>
          <w:sz w:val="24"/>
          <w:szCs w:val="24"/>
          <w:highlight w:val="none"/>
        </w:rPr>
        <w:fldChar w:fldCharType="separate"/>
      </w:r>
      <w:r>
        <w:rPr>
          <w:rFonts w:ascii="宋体"/>
          <w:color w:val="auto"/>
          <w:sz w:val="24"/>
          <w:szCs w:val="24"/>
          <w:highlight w:val="none"/>
        </w:rPr>
        <w:pict>
          <v:shape id="_x0000_i1026" o:spt="75" type="#_x0000_t75" style="height:36.4pt;width:132pt;" filled="f" o:preferrelative="t" stroked="f" coordsize="21600,21600" equationxml="&lt;">
            <v:path/>
            <v:fill on="f" focussize="0,0"/>
            <v:stroke on="f"/>
            <v:imagedata r:id="rId20" chromakey="#FFFFFF" o:title=""/>
            <o:lock v:ext="edit" aspectratio="t"/>
            <w10:wrap type="none"/>
            <w10:anchorlock/>
          </v:shape>
        </w:pict>
      </w:r>
      <w:r>
        <w:rPr>
          <w:rFonts w:ascii="宋体" w:hAnsi="宋体"/>
          <w:color w:val="auto"/>
          <w:sz w:val="24"/>
          <w:szCs w:val="24"/>
          <w:highlight w:val="none"/>
        </w:rPr>
        <w:fldChar w:fldCharType="end"/>
      </w:r>
    </w:p>
    <w:p w14:paraId="628BF2D2">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式中</w:t>
      </w:r>
      <w:r>
        <w:rPr>
          <w:rFonts w:cs="宋体"/>
          <w:color w:val="auto"/>
          <w:szCs w:val="21"/>
          <w:highlight w:val="none"/>
          <w:lang w:eastAsia="zh-CN"/>
        </w:rPr>
        <w:t>R</w:t>
      </w:r>
      <w:r>
        <w:rPr>
          <w:rFonts w:hint="eastAsia" w:cs="宋体"/>
          <w:color w:val="auto"/>
          <w:szCs w:val="21"/>
          <w:highlight w:val="none"/>
          <w:lang w:eastAsia="zh-CN"/>
        </w:rPr>
        <w:t>-</w:t>
      </w:r>
      <w:r>
        <w:rPr>
          <w:rFonts w:cs="宋体"/>
          <w:color w:val="auto"/>
          <w:szCs w:val="21"/>
          <w:highlight w:val="none"/>
          <w:lang w:eastAsia="zh-CN"/>
        </w:rPr>
        <w:t>每次进度付款中累计扣回的金额；</w:t>
      </w:r>
    </w:p>
    <w:p w14:paraId="1883694C">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A</w:t>
      </w:r>
      <w:r>
        <w:rPr>
          <w:rFonts w:hint="eastAsia" w:cs="宋体"/>
          <w:color w:val="auto"/>
          <w:szCs w:val="21"/>
          <w:highlight w:val="none"/>
          <w:lang w:eastAsia="zh-CN"/>
        </w:rPr>
        <w:t>-</w:t>
      </w:r>
      <w:r>
        <w:rPr>
          <w:rFonts w:cs="宋体"/>
          <w:color w:val="auto"/>
          <w:szCs w:val="21"/>
          <w:highlight w:val="none"/>
          <w:lang w:eastAsia="zh-CN"/>
        </w:rPr>
        <w:t>工程预付款总金额；</w:t>
      </w:r>
    </w:p>
    <w:p w14:paraId="31170E4A">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S</w:t>
      </w:r>
      <w:r>
        <w:rPr>
          <w:rFonts w:hint="eastAsia" w:cs="宋体"/>
          <w:color w:val="auto"/>
          <w:szCs w:val="21"/>
          <w:highlight w:val="none"/>
          <w:lang w:eastAsia="zh-CN"/>
        </w:rPr>
        <w:t>-</w:t>
      </w:r>
      <w:r>
        <w:rPr>
          <w:rFonts w:cs="宋体"/>
          <w:color w:val="auto"/>
          <w:szCs w:val="21"/>
          <w:highlight w:val="none"/>
          <w:lang w:eastAsia="zh-CN"/>
        </w:rPr>
        <w:t>签约合同价；</w:t>
      </w:r>
    </w:p>
    <w:p w14:paraId="32881991">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C</w:t>
      </w:r>
      <w:r>
        <w:rPr>
          <w:rFonts w:hint="eastAsia" w:cs="宋体"/>
          <w:color w:val="auto"/>
          <w:szCs w:val="21"/>
          <w:highlight w:val="none"/>
          <w:lang w:eastAsia="zh-CN"/>
        </w:rPr>
        <w:t>-</w:t>
      </w:r>
      <w:r>
        <w:rPr>
          <w:rFonts w:cs="宋体"/>
          <w:color w:val="auto"/>
          <w:szCs w:val="21"/>
          <w:highlight w:val="none"/>
          <w:lang w:eastAsia="zh-CN"/>
        </w:rPr>
        <w:t>合同累计完成金额；</w:t>
      </w:r>
    </w:p>
    <w:p w14:paraId="52427E1F">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F</w:t>
      </w:r>
      <w:r>
        <w:rPr>
          <w:rFonts w:cs="宋体"/>
          <w:color w:val="auto"/>
          <w:szCs w:val="21"/>
          <w:highlight w:val="none"/>
          <w:vertAlign w:val="subscript"/>
          <w:lang w:eastAsia="zh-CN"/>
        </w:rPr>
        <w:t>1</w:t>
      </w:r>
      <w:r>
        <w:rPr>
          <w:rFonts w:hint="eastAsia" w:cs="宋体"/>
          <w:color w:val="auto"/>
          <w:szCs w:val="21"/>
          <w:highlight w:val="none"/>
          <w:lang w:eastAsia="zh-CN"/>
        </w:rPr>
        <w:t>-开始扣款时合同累计完成金额达到签约合同价的比例；</w:t>
      </w:r>
    </w:p>
    <w:p w14:paraId="7B990447">
      <w:pPr>
        <w:kinsoku/>
        <w:spacing w:beforeLines="0" w:afterLines="0"/>
        <w:ind w:firstLine="420"/>
        <w:jc w:val="left"/>
        <w:rPr>
          <w:rFonts w:cs="宋体"/>
          <w:color w:val="auto"/>
          <w:szCs w:val="21"/>
          <w:highlight w:val="none"/>
          <w:lang w:eastAsia="zh-CN"/>
        </w:rPr>
      </w:pPr>
      <w:r>
        <w:rPr>
          <w:rFonts w:cs="宋体"/>
          <w:color w:val="auto"/>
          <w:szCs w:val="21"/>
          <w:highlight w:val="none"/>
          <w:lang w:eastAsia="zh-CN"/>
        </w:rPr>
        <w:t>F</w:t>
      </w:r>
      <w:r>
        <w:rPr>
          <w:rFonts w:cs="宋体"/>
          <w:color w:val="auto"/>
          <w:szCs w:val="21"/>
          <w:highlight w:val="none"/>
          <w:vertAlign w:val="subscript"/>
          <w:lang w:eastAsia="zh-CN"/>
        </w:rPr>
        <w:t>2</w:t>
      </w:r>
      <w:r>
        <w:rPr>
          <w:rFonts w:hint="eastAsia" w:cs="宋体"/>
          <w:color w:val="auto"/>
          <w:szCs w:val="21"/>
          <w:highlight w:val="none"/>
          <w:lang w:eastAsia="zh-CN"/>
        </w:rPr>
        <w:t>-全部扣清时合同累计完成金额达到签约合同价的比例。</w:t>
      </w:r>
    </w:p>
    <w:p w14:paraId="2466E738">
      <w:pPr>
        <w:kinsoku/>
        <w:spacing w:beforeLines="0" w:afterLines="0"/>
        <w:ind w:firstLine="420"/>
        <w:jc w:val="left"/>
        <w:rPr>
          <w:rFonts w:cs="宋体"/>
          <w:color w:val="auto"/>
          <w:szCs w:val="21"/>
          <w:highlight w:val="none"/>
          <w:lang w:eastAsia="zh-CN"/>
        </w:rPr>
      </w:pPr>
      <w:r>
        <w:rPr>
          <w:rFonts w:hint="eastAsia" w:cs="宋体"/>
          <w:color w:val="auto"/>
          <w:szCs w:val="21"/>
          <w:highlight w:val="none"/>
          <w:lang w:eastAsia="zh-CN"/>
        </w:rPr>
        <w:t>上述合同累计完成金额均指价格调整前未扣质量保证金的金额。</w:t>
      </w:r>
    </w:p>
    <w:p w14:paraId="6BCEDEEB">
      <w:pPr>
        <w:kinsoku/>
        <w:spacing w:beforeLines="0" w:afterLines="0"/>
        <w:ind w:firstLine="420"/>
        <w:jc w:val="left"/>
        <w:rPr>
          <w:color w:val="auto"/>
          <w:highlight w:val="none"/>
          <w:lang w:eastAsia="zh-CN"/>
        </w:rPr>
      </w:pPr>
      <w:r>
        <w:rPr>
          <w:rFonts w:hint="eastAsia" w:cs="宋体"/>
          <w:color w:val="auto"/>
          <w:szCs w:val="21"/>
          <w:highlight w:val="none"/>
          <w:lang w:eastAsia="zh-CN"/>
        </w:rPr>
        <w:t>（</w:t>
      </w:r>
      <w:r>
        <w:rPr>
          <w:rFonts w:ascii="宋体" w:hAnsi="Times New Roman" w:cs="Times New Roman"/>
          <w:color w:val="auto"/>
          <w:szCs w:val="21"/>
          <w:highlight w:val="none"/>
          <w:lang w:eastAsia="zh-CN"/>
        </w:rPr>
        <w:t>2</w:t>
      </w:r>
      <w:r>
        <w:rPr>
          <w:rFonts w:hint="eastAsia" w:cs="宋体"/>
          <w:color w:val="auto"/>
          <w:szCs w:val="21"/>
          <w:highlight w:val="none"/>
          <w:lang w:eastAsia="zh-CN"/>
        </w:rPr>
        <w:t>）工程材料预付款的扣回与还清约定为：</w:t>
      </w:r>
      <w:r>
        <w:rPr>
          <w:rFonts w:cs="宋体"/>
          <w:color w:val="auto"/>
          <w:szCs w:val="21"/>
          <w:highlight w:val="none"/>
          <w:u w:val="single"/>
          <w:lang w:eastAsia="zh-CN"/>
        </w:rPr>
        <w:t xml:space="preserve">  /</w:t>
      </w:r>
      <w:r>
        <w:rPr>
          <w:rFonts w:hint="eastAsia" w:cs="宋体"/>
          <w:color w:val="auto"/>
          <w:szCs w:val="21"/>
          <w:highlight w:val="none"/>
          <w:u w:val="single"/>
          <w:lang w:val="en-US" w:eastAsia="zh-CN"/>
        </w:rPr>
        <w:t xml:space="preserve"> </w:t>
      </w:r>
      <w:r>
        <w:rPr>
          <w:rFonts w:cs="宋体"/>
          <w:color w:val="auto"/>
          <w:szCs w:val="21"/>
          <w:highlight w:val="none"/>
          <w:u w:val="single"/>
          <w:lang w:eastAsia="zh-CN"/>
        </w:rPr>
        <w:t xml:space="preserve"> </w:t>
      </w:r>
      <w:r>
        <w:rPr>
          <w:rFonts w:hint="eastAsia" w:cs="宋体"/>
          <w:color w:val="auto"/>
          <w:szCs w:val="21"/>
          <w:highlight w:val="none"/>
          <w:lang w:eastAsia="zh-CN"/>
        </w:rPr>
        <w:t>。</w:t>
      </w:r>
    </w:p>
    <w:p w14:paraId="656C09CD">
      <w:pPr>
        <w:pStyle w:val="32"/>
        <w:autoSpaceDE/>
        <w:autoSpaceDN/>
        <w:adjustRightInd/>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17.3</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工程进度付款</w:t>
      </w:r>
    </w:p>
    <w:p w14:paraId="19D851AA">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17.3.2</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承包人在每个付款周期末向监理人提交进度付款申请单的份数：</w:t>
      </w:r>
      <w:r>
        <w:rPr>
          <w:rFonts w:hint="eastAsia" w:ascii="宋体"/>
          <w:snapToGrid w:val="0"/>
          <w:color w:val="auto"/>
          <w:sz w:val="24"/>
          <w:szCs w:val="24"/>
          <w:highlight w:val="none"/>
          <w:u w:val="single"/>
          <w:lang w:eastAsia="zh-CN"/>
        </w:rPr>
        <w:t>6</w:t>
      </w:r>
      <w:r>
        <w:rPr>
          <w:rFonts w:hint="eastAsia" w:ascii="宋体" w:hAnsi="宋体" w:cs="宋体"/>
          <w:snapToGrid w:val="0"/>
          <w:color w:val="auto"/>
          <w:sz w:val="24"/>
          <w:szCs w:val="24"/>
          <w:highlight w:val="none"/>
        </w:rPr>
        <w:t>份。</w:t>
      </w:r>
    </w:p>
    <w:p w14:paraId="5EA187C8">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进度付款申请单应包括下列内容：</w:t>
      </w:r>
    </w:p>
    <w:p w14:paraId="20E99F68">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l）截至本次付款周期末已实施工程的价款。</w:t>
      </w:r>
    </w:p>
    <w:p w14:paraId="4259791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）根据第</w:t>
      </w:r>
      <w:r>
        <w:rPr>
          <w:rFonts w:ascii="宋体"/>
          <w:snapToGrid w:val="0"/>
          <w:color w:val="auto"/>
          <w:sz w:val="24"/>
          <w:szCs w:val="24"/>
          <w:highlight w:val="none"/>
        </w:rPr>
        <w:t>15</w:t>
      </w:r>
      <w:r>
        <w:rPr>
          <w:rFonts w:hint="eastAsia" w:ascii="宋体" w:hAnsi="宋体" w:cs="宋体"/>
          <w:snapToGrid w:val="0"/>
          <w:color w:val="auto"/>
          <w:sz w:val="24"/>
          <w:szCs w:val="24"/>
          <w:highlight w:val="none"/>
        </w:rPr>
        <w:t>条应增加和扣减的变更金额。</w:t>
      </w:r>
    </w:p>
    <w:p w14:paraId="53D5438A">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3</w:t>
      </w:r>
      <w:r>
        <w:rPr>
          <w:rFonts w:hint="eastAsia" w:ascii="宋体" w:hAnsi="宋体" w:cs="宋体"/>
          <w:snapToGrid w:val="0"/>
          <w:color w:val="auto"/>
          <w:sz w:val="24"/>
          <w:szCs w:val="24"/>
          <w:highlight w:val="none"/>
        </w:rPr>
        <w:t>）根据通用条款第</w:t>
      </w:r>
      <w:r>
        <w:rPr>
          <w:rFonts w:ascii="宋体"/>
          <w:snapToGrid w:val="0"/>
          <w:color w:val="auto"/>
          <w:sz w:val="24"/>
          <w:szCs w:val="24"/>
          <w:highlight w:val="none"/>
        </w:rPr>
        <w:t>23</w:t>
      </w:r>
      <w:r>
        <w:rPr>
          <w:rFonts w:hint="eastAsia" w:ascii="宋体" w:hAnsi="宋体" w:cs="宋体"/>
          <w:snapToGrid w:val="0"/>
          <w:color w:val="auto"/>
          <w:sz w:val="24"/>
          <w:szCs w:val="24"/>
          <w:highlight w:val="none"/>
        </w:rPr>
        <w:t>条应增加和扣减的索赔金额。</w:t>
      </w:r>
    </w:p>
    <w:p w14:paraId="67AC4845">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4</w:t>
      </w:r>
      <w:r>
        <w:rPr>
          <w:rFonts w:hint="eastAsia" w:ascii="宋体" w:hAnsi="宋体" w:cs="宋体"/>
          <w:snapToGrid w:val="0"/>
          <w:color w:val="auto"/>
          <w:sz w:val="24"/>
          <w:szCs w:val="24"/>
          <w:highlight w:val="none"/>
        </w:rPr>
        <w:t>）根据第</w:t>
      </w:r>
      <w:r>
        <w:rPr>
          <w:rFonts w:ascii="宋体"/>
          <w:snapToGrid w:val="0"/>
          <w:color w:val="auto"/>
          <w:sz w:val="24"/>
          <w:szCs w:val="24"/>
          <w:highlight w:val="none"/>
        </w:rPr>
        <w:t>17</w:t>
      </w:r>
      <w:r>
        <w:rPr>
          <w:rFonts w:ascii="宋体" w:hAnsi="宋体" w:cs="宋体"/>
          <w:snapToGrid w:val="0"/>
          <w:color w:val="auto"/>
          <w:sz w:val="24"/>
          <w:szCs w:val="24"/>
          <w:highlight w:val="none"/>
        </w:rPr>
        <w:t>.</w:t>
      </w:r>
      <w:r>
        <w:rPr>
          <w:rFonts w:ascii="宋体"/>
          <w:snapToGrid w:val="0"/>
          <w:color w:val="auto"/>
          <w:sz w:val="24"/>
          <w:szCs w:val="24"/>
          <w:highlight w:val="none"/>
        </w:rPr>
        <w:t>2</w:t>
      </w:r>
      <w:r>
        <w:rPr>
          <w:rFonts w:hint="eastAsia" w:ascii="宋体" w:hAnsi="宋体" w:cs="宋体"/>
          <w:snapToGrid w:val="0"/>
          <w:color w:val="auto"/>
          <w:sz w:val="24"/>
          <w:szCs w:val="24"/>
          <w:highlight w:val="none"/>
        </w:rPr>
        <w:t>款约定应支付的预付款和扣减的返还预付款。</w:t>
      </w:r>
    </w:p>
    <w:p w14:paraId="54F0DCFD">
      <w:pPr>
        <w:pStyle w:val="30"/>
        <w:snapToGrid w:val="0"/>
        <w:spacing w:beforeLines="0" w:afterLines="0" w:line="360" w:lineRule="auto"/>
        <w:ind w:firstLine="480" w:firstLineChars="200"/>
        <w:jc w:val="left"/>
        <w:rPr>
          <w:rFonts w:ascii="宋体" w:hAnsi="宋体" w:cs="宋体"/>
          <w:snapToGrid w:val="0"/>
          <w:color w:val="auto"/>
          <w:sz w:val="24"/>
          <w:highlight w:val="none"/>
          <w:u w:val="singl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5</w:t>
      </w:r>
      <w:r>
        <w:rPr>
          <w:rFonts w:hint="eastAsia" w:ascii="宋体" w:hAnsi="宋体" w:cs="宋体"/>
          <w:snapToGrid w:val="0"/>
          <w:color w:val="auto"/>
          <w:sz w:val="24"/>
          <w:szCs w:val="24"/>
          <w:highlight w:val="none"/>
        </w:rPr>
        <w:t>）根据合同应增加和扣减的其他金额。</w:t>
      </w:r>
    </w:p>
    <w:p w14:paraId="3252B5C9">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17.3.3</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进度付款证书和支付时间</w:t>
      </w:r>
    </w:p>
    <w:p w14:paraId="08A61B61">
      <w:pPr>
        <w:numPr>
          <w:ilvl w:val="0"/>
          <w:numId w:val="0"/>
        </w:numPr>
        <w:kinsoku/>
        <w:spacing w:beforeLines="0" w:afterLines="0"/>
        <w:ind w:firstLine="420"/>
        <w:jc w:val="left"/>
        <w:rPr>
          <w:rFonts w:cs="宋体"/>
          <w:color w:val="auto"/>
          <w:szCs w:val="21"/>
          <w:highlight w:val="none"/>
          <w:lang w:eastAsia="zh-CN"/>
        </w:rPr>
      </w:pPr>
      <w:r>
        <w:rPr>
          <w:rFonts w:ascii="宋体" w:hAnsi="宋体" w:eastAsia="宋体" w:cs="宋体"/>
          <w:snapToGrid w:val="0"/>
          <w:color w:val="auto"/>
          <w:sz w:val="24"/>
          <w:szCs w:val="21"/>
          <w:highlight w:val="none"/>
          <w:lang w:val="en-US" w:eastAsia="zh-CN" w:bidi="ar-SA"/>
        </w:rPr>
        <w:t>（1）</w:t>
      </w:r>
      <w:r>
        <w:rPr>
          <w:rFonts w:hint="eastAsia" w:ascii="宋体" w:cs="宋体"/>
          <w:snapToGrid w:val="0"/>
          <w:color w:val="auto"/>
          <w:kern w:val="0"/>
          <w:szCs w:val="21"/>
          <w:highlight w:val="none"/>
          <w:lang w:eastAsia="zh-CN"/>
        </w:rPr>
        <w:t>细化为：本合同付款周期为月，承包人应在每月</w:t>
      </w:r>
      <w:r>
        <w:rPr>
          <w:rFonts w:hint="eastAsia" w:cs="宋体"/>
          <w:snapToGrid w:val="0"/>
          <w:color w:val="auto"/>
          <w:kern w:val="0"/>
          <w:szCs w:val="21"/>
          <w:highlight w:val="none"/>
          <w:lang w:val="en-US" w:eastAsia="zh-CN"/>
        </w:rPr>
        <w:t>15</w:t>
      </w:r>
      <w:r>
        <w:rPr>
          <w:rFonts w:hint="eastAsia" w:ascii="宋体" w:cs="宋体"/>
          <w:snapToGrid w:val="0"/>
          <w:color w:val="auto"/>
          <w:kern w:val="0"/>
          <w:szCs w:val="21"/>
          <w:highlight w:val="none"/>
          <w:lang w:eastAsia="zh-CN"/>
        </w:rPr>
        <w:t>日前将进度付款申请单提交监理人。工程进度款按经审核通过的实际完成款项的</w:t>
      </w:r>
      <w:r>
        <w:rPr>
          <w:rFonts w:ascii="宋体" w:hAnsi="Times New Roman" w:cs="Times New Roman"/>
          <w:snapToGrid w:val="0"/>
          <w:color w:val="auto"/>
          <w:kern w:val="0"/>
          <w:szCs w:val="21"/>
          <w:highlight w:val="none"/>
          <w:u w:val="single"/>
          <w:lang w:eastAsia="zh-CN"/>
        </w:rPr>
        <w:t>85</w:t>
      </w:r>
      <w:r>
        <w:rPr>
          <w:rFonts w:ascii="宋体" w:cs="宋体"/>
          <w:snapToGrid w:val="0"/>
          <w:color w:val="auto"/>
          <w:kern w:val="0"/>
          <w:szCs w:val="21"/>
          <w:highlight w:val="none"/>
          <w:u w:val="single"/>
          <w:lang w:eastAsia="zh-CN"/>
        </w:rPr>
        <w:t>%</w:t>
      </w:r>
      <w:r>
        <w:rPr>
          <w:rFonts w:hint="eastAsia" w:ascii="宋体" w:cs="宋体"/>
          <w:snapToGrid w:val="0"/>
          <w:color w:val="auto"/>
          <w:kern w:val="0"/>
          <w:szCs w:val="21"/>
          <w:highlight w:val="none"/>
          <w:lang w:eastAsia="zh-CN"/>
        </w:rPr>
        <w:t>进行支付，其余</w:t>
      </w:r>
      <w:r>
        <w:rPr>
          <w:rFonts w:ascii="宋体" w:hAnsi="Times New Roman" w:cs="Times New Roman"/>
          <w:snapToGrid w:val="0"/>
          <w:color w:val="auto"/>
          <w:kern w:val="0"/>
          <w:szCs w:val="21"/>
          <w:highlight w:val="none"/>
          <w:u w:val="single"/>
          <w:lang w:eastAsia="zh-CN"/>
        </w:rPr>
        <w:t>15</w:t>
      </w:r>
      <w:r>
        <w:rPr>
          <w:rFonts w:ascii="宋体" w:cs="宋体"/>
          <w:snapToGrid w:val="0"/>
          <w:color w:val="auto"/>
          <w:kern w:val="0"/>
          <w:szCs w:val="21"/>
          <w:highlight w:val="none"/>
          <w:u w:val="single"/>
          <w:lang w:eastAsia="zh-CN"/>
        </w:rPr>
        <w:t xml:space="preserve">% </w:t>
      </w:r>
      <w:r>
        <w:rPr>
          <w:rFonts w:hint="eastAsia" w:ascii="宋体" w:cs="宋体"/>
          <w:snapToGrid w:val="0"/>
          <w:color w:val="auto"/>
          <w:kern w:val="0"/>
          <w:szCs w:val="21"/>
          <w:highlight w:val="none"/>
          <w:lang w:eastAsia="zh-CN"/>
        </w:rPr>
        <w:t>作为工程结算暂扣款，待工程完工验收合格后累计付至经审核通过的实际完成款项的</w:t>
      </w:r>
      <w:r>
        <w:rPr>
          <w:rFonts w:ascii="宋体" w:hAnsi="Times New Roman" w:cs="Times New Roman"/>
          <w:snapToGrid w:val="0"/>
          <w:color w:val="auto"/>
          <w:kern w:val="0"/>
          <w:szCs w:val="21"/>
          <w:highlight w:val="none"/>
          <w:u w:val="single"/>
          <w:lang w:eastAsia="zh-CN"/>
        </w:rPr>
        <w:t>90</w:t>
      </w:r>
      <w:r>
        <w:rPr>
          <w:rFonts w:ascii="宋体" w:cs="宋体"/>
          <w:snapToGrid w:val="0"/>
          <w:color w:val="auto"/>
          <w:kern w:val="0"/>
          <w:szCs w:val="21"/>
          <w:highlight w:val="none"/>
          <w:u w:val="single"/>
          <w:lang w:eastAsia="zh-CN"/>
        </w:rPr>
        <w:t xml:space="preserve"> %</w:t>
      </w:r>
      <w:r>
        <w:rPr>
          <w:rFonts w:hint="eastAsia" w:ascii="宋体" w:cs="宋体"/>
          <w:snapToGrid w:val="0"/>
          <w:color w:val="auto"/>
          <w:kern w:val="0"/>
          <w:szCs w:val="21"/>
          <w:highlight w:val="none"/>
          <w:lang w:eastAsia="zh-CN"/>
        </w:rPr>
        <w:t>，完工结算审计（或审价）后且档案资料</w:t>
      </w:r>
      <w:r>
        <w:rPr>
          <w:rFonts w:hint="eastAsia" w:cs="宋体"/>
          <w:snapToGrid w:val="0"/>
          <w:color w:val="auto"/>
          <w:kern w:val="0"/>
          <w:szCs w:val="21"/>
          <w:highlight w:val="none"/>
          <w:lang w:val="en-US" w:eastAsia="zh-CN"/>
        </w:rPr>
        <w:t>验收合格</w:t>
      </w:r>
      <w:r>
        <w:rPr>
          <w:rFonts w:hint="eastAsia" w:ascii="宋体" w:cs="宋体"/>
          <w:snapToGrid w:val="0"/>
          <w:color w:val="auto"/>
          <w:kern w:val="0"/>
          <w:szCs w:val="21"/>
          <w:highlight w:val="none"/>
          <w:lang w:eastAsia="zh-CN"/>
        </w:rPr>
        <w:t>提交后累计支付至工程结算审定价款的</w:t>
      </w:r>
      <w:r>
        <w:rPr>
          <w:rFonts w:ascii="宋体" w:hAnsi="Times New Roman" w:cs="Times New Roman"/>
          <w:snapToGrid w:val="0"/>
          <w:color w:val="auto"/>
          <w:kern w:val="0"/>
          <w:szCs w:val="21"/>
          <w:highlight w:val="none"/>
          <w:u w:val="single"/>
          <w:lang w:eastAsia="zh-CN"/>
        </w:rPr>
        <w:t>98</w:t>
      </w:r>
      <w:r>
        <w:rPr>
          <w:rFonts w:ascii="宋体" w:cs="宋体"/>
          <w:snapToGrid w:val="0"/>
          <w:color w:val="auto"/>
          <w:kern w:val="0"/>
          <w:szCs w:val="21"/>
          <w:highlight w:val="none"/>
          <w:u w:val="single"/>
          <w:lang w:eastAsia="zh-CN"/>
        </w:rPr>
        <w:t>.</w:t>
      </w:r>
      <w:r>
        <w:rPr>
          <w:rFonts w:ascii="宋体" w:hAnsi="Times New Roman" w:cs="Times New Roman"/>
          <w:snapToGrid w:val="0"/>
          <w:color w:val="auto"/>
          <w:kern w:val="0"/>
          <w:szCs w:val="21"/>
          <w:highlight w:val="none"/>
          <w:u w:val="single"/>
          <w:lang w:eastAsia="zh-CN"/>
        </w:rPr>
        <w:t>5</w:t>
      </w:r>
      <w:r>
        <w:rPr>
          <w:rFonts w:ascii="宋体" w:cs="宋体"/>
          <w:snapToGrid w:val="0"/>
          <w:color w:val="auto"/>
          <w:kern w:val="0"/>
          <w:szCs w:val="21"/>
          <w:highlight w:val="none"/>
          <w:u w:val="single"/>
          <w:lang w:eastAsia="zh-CN"/>
        </w:rPr>
        <w:t>%</w:t>
      </w:r>
      <w:r>
        <w:rPr>
          <w:rFonts w:hint="eastAsia" w:ascii="宋体" w:cs="宋体"/>
          <w:snapToGrid w:val="0"/>
          <w:color w:val="auto"/>
          <w:kern w:val="0"/>
          <w:szCs w:val="21"/>
          <w:highlight w:val="none"/>
          <w:u w:val="single"/>
          <w:lang w:eastAsia="zh-CN"/>
        </w:rPr>
        <w:t>（扣留</w:t>
      </w:r>
      <w:r>
        <w:rPr>
          <w:rFonts w:hint="eastAsia" w:cs="宋体"/>
          <w:snapToGrid w:val="0"/>
          <w:color w:val="auto"/>
          <w:kern w:val="0"/>
          <w:szCs w:val="21"/>
          <w:highlight w:val="none"/>
          <w:u w:val="single"/>
          <w:lang w:val="en-US" w:eastAsia="zh-CN"/>
        </w:rPr>
        <w:t>15</w:t>
      </w:r>
      <w:r>
        <w:rPr>
          <w:rFonts w:hint="eastAsia" w:ascii="宋体" w:cs="宋体"/>
          <w:snapToGrid w:val="0"/>
          <w:color w:val="auto"/>
          <w:kern w:val="0"/>
          <w:szCs w:val="21"/>
          <w:highlight w:val="none"/>
          <w:u w:val="single"/>
          <w:lang w:eastAsia="zh-CN"/>
        </w:rPr>
        <w:t>0万元的评奖保证金或提供</w:t>
      </w:r>
      <w:r>
        <w:rPr>
          <w:rFonts w:hint="eastAsia" w:cs="宋体"/>
          <w:snapToGrid w:val="0"/>
          <w:color w:val="auto"/>
          <w:kern w:val="0"/>
          <w:szCs w:val="21"/>
          <w:highlight w:val="none"/>
          <w:u w:val="single"/>
          <w:lang w:val="en-US" w:eastAsia="zh-CN"/>
        </w:rPr>
        <w:t>150</w:t>
      </w:r>
      <w:r>
        <w:rPr>
          <w:rFonts w:hint="eastAsia" w:ascii="宋体" w:cs="宋体"/>
          <w:snapToGrid w:val="0"/>
          <w:color w:val="auto"/>
          <w:kern w:val="0"/>
          <w:szCs w:val="21"/>
          <w:highlight w:val="none"/>
          <w:u w:val="single"/>
          <w:lang w:eastAsia="zh-CN"/>
        </w:rPr>
        <w:t>万元的评奖保证金保函</w:t>
      </w:r>
      <w:r>
        <w:rPr>
          <w:rFonts w:hint="eastAsia" w:cs="宋体"/>
          <w:snapToGrid w:val="0"/>
          <w:color w:val="auto"/>
          <w:kern w:val="0"/>
          <w:szCs w:val="21"/>
          <w:highlight w:val="none"/>
          <w:u w:val="single"/>
          <w:lang w:eastAsia="zh-CN"/>
        </w:rPr>
        <w:t>，</w:t>
      </w:r>
      <w:r>
        <w:rPr>
          <w:rFonts w:hint="eastAsia" w:cs="宋体"/>
          <w:snapToGrid w:val="0"/>
          <w:color w:val="auto"/>
          <w:kern w:val="0"/>
          <w:szCs w:val="21"/>
          <w:highlight w:val="none"/>
          <w:u w:val="single"/>
          <w:lang w:val="en-US" w:eastAsia="zh-CN"/>
        </w:rPr>
        <w:t>评奖保证金待评出省部级奖项后28天内退还。如在合同约定的期限内未获得省部级奖项的，评奖保证金不予退还。</w:t>
      </w:r>
      <w:r>
        <w:rPr>
          <w:rFonts w:hint="eastAsia" w:ascii="宋体" w:cs="宋体"/>
          <w:snapToGrid w:val="0"/>
          <w:color w:val="auto"/>
          <w:kern w:val="0"/>
          <w:szCs w:val="21"/>
          <w:highlight w:val="none"/>
          <w:u w:val="single"/>
          <w:lang w:eastAsia="zh-CN"/>
        </w:rPr>
        <w:t>）</w:t>
      </w:r>
      <w:r>
        <w:rPr>
          <w:rFonts w:hint="eastAsia" w:ascii="宋体" w:cs="宋体"/>
          <w:snapToGrid w:val="0"/>
          <w:color w:val="auto"/>
          <w:kern w:val="0"/>
          <w:szCs w:val="21"/>
          <w:highlight w:val="none"/>
          <w:lang w:eastAsia="zh-CN"/>
        </w:rPr>
        <w:t>，剩余</w:t>
      </w:r>
      <w:r>
        <w:rPr>
          <w:rFonts w:ascii="宋体" w:hAnsi="Times New Roman" w:cs="Times New Roman"/>
          <w:snapToGrid w:val="0"/>
          <w:color w:val="auto"/>
          <w:kern w:val="0"/>
          <w:szCs w:val="21"/>
          <w:highlight w:val="none"/>
          <w:u w:val="single"/>
          <w:lang w:eastAsia="zh-CN"/>
        </w:rPr>
        <w:t>1</w:t>
      </w:r>
      <w:r>
        <w:rPr>
          <w:rFonts w:ascii="宋体" w:cs="宋体"/>
          <w:snapToGrid w:val="0"/>
          <w:color w:val="auto"/>
          <w:kern w:val="0"/>
          <w:szCs w:val="21"/>
          <w:highlight w:val="none"/>
          <w:u w:val="single"/>
          <w:lang w:eastAsia="zh-CN"/>
        </w:rPr>
        <w:t>.</w:t>
      </w:r>
      <w:r>
        <w:rPr>
          <w:rFonts w:ascii="宋体" w:hAnsi="Times New Roman" w:cs="Times New Roman"/>
          <w:snapToGrid w:val="0"/>
          <w:color w:val="auto"/>
          <w:kern w:val="0"/>
          <w:szCs w:val="21"/>
          <w:highlight w:val="none"/>
          <w:u w:val="single"/>
          <w:lang w:eastAsia="zh-CN"/>
        </w:rPr>
        <w:t>5</w:t>
      </w:r>
      <w:r>
        <w:rPr>
          <w:rFonts w:ascii="宋体" w:cs="宋体"/>
          <w:snapToGrid w:val="0"/>
          <w:color w:val="auto"/>
          <w:kern w:val="0"/>
          <w:szCs w:val="21"/>
          <w:highlight w:val="none"/>
          <w:u w:val="single"/>
          <w:lang w:eastAsia="zh-CN"/>
        </w:rPr>
        <w:t xml:space="preserve"> %</w:t>
      </w:r>
      <w:r>
        <w:rPr>
          <w:rFonts w:hint="eastAsia" w:ascii="宋体" w:cs="宋体"/>
          <w:snapToGrid w:val="0"/>
          <w:color w:val="auto"/>
          <w:kern w:val="0"/>
          <w:szCs w:val="21"/>
          <w:highlight w:val="none"/>
          <w:lang w:eastAsia="zh-CN"/>
        </w:rPr>
        <w:t>作为质量保证金（即本章第</w:t>
      </w:r>
      <w:r>
        <w:rPr>
          <w:rFonts w:ascii="宋体" w:hAnsi="Times New Roman" w:cs="Times New Roman"/>
          <w:snapToGrid w:val="0"/>
          <w:color w:val="auto"/>
          <w:kern w:val="0"/>
          <w:szCs w:val="21"/>
          <w:highlight w:val="none"/>
          <w:lang w:eastAsia="zh-CN"/>
        </w:rPr>
        <w:t>17</w:t>
      </w:r>
      <w:r>
        <w:rPr>
          <w:rFonts w:ascii="宋体" w:cs="宋体"/>
          <w:snapToGrid w:val="0"/>
          <w:color w:val="auto"/>
          <w:kern w:val="0"/>
          <w:szCs w:val="21"/>
          <w:highlight w:val="none"/>
          <w:lang w:eastAsia="zh-CN"/>
        </w:rPr>
        <w:t>.</w:t>
      </w:r>
      <w:r>
        <w:rPr>
          <w:rFonts w:ascii="宋体" w:hAnsi="Times New Roman" w:cs="Times New Roman"/>
          <w:snapToGrid w:val="0"/>
          <w:color w:val="auto"/>
          <w:kern w:val="0"/>
          <w:szCs w:val="21"/>
          <w:highlight w:val="none"/>
          <w:lang w:eastAsia="zh-CN"/>
        </w:rPr>
        <w:t>4</w:t>
      </w:r>
      <w:r>
        <w:rPr>
          <w:rFonts w:ascii="宋体" w:cs="宋体"/>
          <w:snapToGrid w:val="0"/>
          <w:color w:val="auto"/>
          <w:kern w:val="0"/>
          <w:szCs w:val="21"/>
          <w:highlight w:val="none"/>
          <w:lang w:eastAsia="zh-CN"/>
        </w:rPr>
        <w:t>.</w:t>
      </w:r>
      <w:r>
        <w:rPr>
          <w:rFonts w:ascii="宋体" w:hAnsi="Times New Roman" w:cs="Times New Roman"/>
          <w:snapToGrid w:val="0"/>
          <w:color w:val="auto"/>
          <w:kern w:val="0"/>
          <w:szCs w:val="21"/>
          <w:highlight w:val="none"/>
          <w:lang w:eastAsia="zh-CN"/>
        </w:rPr>
        <w:t>1</w:t>
      </w:r>
      <w:r>
        <w:rPr>
          <w:rFonts w:hint="eastAsia" w:ascii="宋体" w:cs="宋体"/>
          <w:snapToGrid w:val="0"/>
          <w:color w:val="auto"/>
          <w:kern w:val="0"/>
          <w:szCs w:val="21"/>
          <w:highlight w:val="none"/>
          <w:lang w:eastAsia="zh-CN"/>
        </w:rPr>
        <w:t>项的质量保证金）。以上款项均不计息</w:t>
      </w:r>
      <w:r>
        <w:rPr>
          <w:rFonts w:ascii="宋体" w:cs="宋体"/>
          <w:snapToGrid w:val="0"/>
          <w:color w:val="auto"/>
          <w:kern w:val="0"/>
          <w:szCs w:val="21"/>
          <w:highlight w:val="none"/>
          <w:lang w:eastAsia="zh-CN"/>
        </w:rPr>
        <w:t>,付款前需提供正规增值税发票。</w:t>
      </w:r>
    </w:p>
    <w:p w14:paraId="604F91C0">
      <w:pPr>
        <w:numPr>
          <w:ilvl w:val="0"/>
          <w:numId w:val="0"/>
        </w:numPr>
        <w:kinsoku/>
        <w:spacing w:beforeLines="0" w:afterLines="0"/>
        <w:ind w:firstLine="420"/>
        <w:jc w:val="left"/>
        <w:rPr>
          <w:rFonts w:cs="宋体"/>
          <w:color w:val="auto"/>
          <w:szCs w:val="21"/>
          <w:highlight w:val="none"/>
          <w:lang w:eastAsia="zh-CN"/>
        </w:rPr>
      </w:pPr>
      <w:r>
        <w:rPr>
          <w:rFonts w:ascii="宋体" w:hAnsi="宋体" w:eastAsia="宋体" w:cs="宋体"/>
          <w:snapToGrid w:val="0"/>
          <w:color w:val="auto"/>
          <w:sz w:val="24"/>
          <w:szCs w:val="21"/>
          <w:highlight w:val="none"/>
          <w:lang w:val="en-US" w:eastAsia="zh-CN" w:bidi="ar-SA"/>
        </w:rPr>
        <w:t>（2）</w:t>
      </w:r>
      <w:r>
        <w:rPr>
          <w:rFonts w:hint="eastAsia" w:ascii="宋体" w:cs="宋体"/>
          <w:snapToGrid w:val="0"/>
          <w:color w:val="auto"/>
          <w:kern w:val="0"/>
          <w:szCs w:val="21"/>
          <w:highlight w:val="none"/>
          <w:lang w:eastAsia="zh-CN"/>
        </w:rPr>
        <w:t>安全生产措施费：开工后</w:t>
      </w:r>
      <w:r>
        <w:rPr>
          <w:rFonts w:ascii="宋体" w:cs="宋体"/>
          <w:snapToGrid w:val="0"/>
          <w:color w:val="auto"/>
          <w:kern w:val="0"/>
          <w:szCs w:val="21"/>
          <w:highlight w:val="none"/>
          <w:lang w:eastAsia="zh-CN"/>
        </w:rPr>
        <w:t>1个月内，支付安全生产措施费总价的50%作为安全生产措施费首付款</w:t>
      </w:r>
      <w:r>
        <w:rPr>
          <w:rFonts w:hint="eastAsia" w:cs="宋体"/>
          <w:snapToGrid w:val="0"/>
          <w:color w:val="auto"/>
          <w:kern w:val="0"/>
          <w:szCs w:val="21"/>
          <w:highlight w:val="none"/>
          <w:lang w:eastAsia="zh-CN"/>
        </w:rPr>
        <w:t>，</w:t>
      </w:r>
      <w:r>
        <w:rPr>
          <w:rFonts w:hint="eastAsia" w:cs="宋体"/>
          <w:snapToGrid w:val="0"/>
          <w:color w:val="auto"/>
          <w:kern w:val="0"/>
          <w:szCs w:val="21"/>
          <w:highlight w:val="none"/>
          <w:lang w:val="en-US" w:eastAsia="zh-CN"/>
        </w:rPr>
        <w:t>剩余安全生产措施费待实际完成工程款项达到总工程款项的50%后按比例随各周期进度款支付，安全生产措施费专款专用</w:t>
      </w:r>
      <w:r>
        <w:rPr>
          <w:rFonts w:ascii="宋体" w:cs="宋体"/>
          <w:snapToGrid w:val="0"/>
          <w:color w:val="auto"/>
          <w:kern w:val="0"/>
          <w:szCs w:val="21"/>
          <w:highlight w:val="none"/>
          <w:lang w:eastAsia="zh-CN"/>
        </w:rPr>
        <w:t>。</w:t>
      </w:r>
    </w:p>
    <w:p w14:paraId="029D1C72">
      <w:pPr>
        <w:pStyle w:val="30"/>
        <w:snapToGrid w:val="0"/>
        <w:spacing w:beforeLines="0" w:afterLines="0" w:line="360" w:lineRule="auto"/>
        <w:ind w:firstLine="480" w:firstLineChars="200"/>
        <w:jc w:val="left"/>
        <w:rPr>
          <w:rFonts w:ascii="宋体"/>
          <w:snapToGrid w:val="0"/>
          <w:color w:val="auto"/>
          <w:sz w:val="24"/>
          <w:highlight w:val="none"/>
        </w:rPr>
      </w:pPr>
      <w:r>
        <w:rPr>
          <w:rFonts w:hint="eastAsia" w:ascii="宋体"/>
          <w:snapToGrid w:val="0"/>
          <w:color w:val="auto"/>
          <w:sz w:val="24"/>
          <w:szCs w:val="24"/>
          <w:highlight w:val="none"/>
        </w:rPr>
        <w:t>安全文明施工费的使用范围按国家、浙江省、绍兴市有关规定执行。安全文明施工费的使用，由承包人提出方案和预算，经监理审核，发包人批准后按方案实施进度支付。</w:t>
      </w:r>
    </w:p>
    <w:p w14:paraId="440FE4AD">
      <w:pPr>
        <w:numPr>
          <w:ilvl w:val="0"/>
          <w:numId w:val="0"/>
        </w:numPr>
        <w:kinsoku/>
        <w:spacing w:beforeLines="0" w:afterLines="0"/>
        <w:ind w:firstLine="420"/>
        <w:jc w:val="left"/>
        <w:rPr>
          <w:rFonts w:ascii="宋体" w:cs="宋体"/>
          <w:snapToGrid w:val="0"/>
          <w:color w:val="auto"/>
          <w:kern w:val="0"/>
          <w:szCs w:val="21"/>
          <w:highlight w:val="none"/>
          <w:lang w:eastAsia="zh-CN"/>
        </w:rPr>
      </w:pPr>
      <w:r>
        <w:rPr>
          <w:rFonts w:ascii="宋体" w:hAnsi="宋体" w:eastAsia="宋体" w:cs="宋体"/>
          <w:snapToGrid w:val="0"/>
          <w:color w:val="auto"/>
          <w:sz w:val="24"/>
          <w:szCs w:val="21"/>
          <w:highlight w:val="none"/>
          <w:lang w:val="en-US" w:eastAsia="zh-CN" w:bidi="ar-SA"/>
        </w:rPr>
        <w:t>（3）</w:t>
      </w:r>
      <w:r>
        <w:rPr>
          <w:rFonts w:hint="eastAsia" w:ascii="宋体" w:cs="宋体"/>
          <w:snapToGrid w:val="0"/>
          <w:color w:val="auto"/>
          <w:kern w:val="0"/>
          <w:szCs w:val="21"/>
          <w:highlight w:val="none"/>
          <w:lang w:eastAsia="zh-CN"/>
        </w:rPr>
        <w:t>本标段的复垦保证金由发包人缴纳，发包人在工程进度款中等额扣除。发包人从第一次工程进度款开始扣除，每次扣除的复垦保证金不超过当月进度款的</w:t>
      </w:r>
      <w:r>
        <w:rPr>
          <w:rFonts w:ascii="宋体" w:cs="宋体"/>
          <w:snapToGrid w:val="0"/>
          <w:color w:val="auto"/>
          <w:kern w:val="0"/>
          <w:szCs w:val="21"/>
          <w:highlight w:val="none"/>
          <w:lang w:eastAsia="zh-CN"/>
        </w:rPr>
        <w:t>20%，扣完为止。复垦项目经验收合格，发包人收到</w:t>
      </w:r>
      <w:r>
        <w:rPr>
          <w:rFonts w:hint="eastAsia" w:cs="宋体"/>
          <w:snapToGrid w:val="0"/>
          <w:color w:val="auto"/>
          <w:kern w:val="0"/>
          <w:szCs w:val="21"/>
          <w:highlight w:val="none"/>
          <w:lang w:val="en-US" w:eastAsia="zh-CN"/>
        </w:rPr>
        <w:t>相应的</w:t>
      </w:r>
      <w:r>
        <w:rPr>
          <w:rFonts w:ascii="宋体" w:cs="宋体"/>
          <w:snapToGrid w:val="0"/>
          <w:color w:val="auto"/>
          <w:kern w:val="0"/>
          <w:szCs w:val="21"/>
          <w:highlight w:val="none"/>
          <w:lang w:eastAsia="zh-CN"/>
        </w:rPr>
        <w:t>复垦保证金后一次性无息退还本标段扣除的复垦保证金。</w:t>
      </w:r>
    </w:p>
    <w:p w14:paraId="2D0F6B68">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17.4</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质量保证金</w:t>
      </w:r>
    </w:p>
    <w:p w14:paraId="21ECA87B">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b/>
          <w:snapToGrid w:val="0"/>
          <w:color w:val="auto"/>
          <w:sz w:val="24"/>
          <w:szCs w:val="24"/>
          <w:highlight w:val="none"/>
        </w:rPr>
        <w:t>17.4.1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质量保证金总额为完工结算价款总额的</w:t>
      </w:r>
      <w:r>
        <w:rPr>
          <w:rFonts w:ascii="宋体"/>
          <w:snapToGrid w:val="0"/>
          <w:color w:val="auto"/>
          <w:sz w:val="24"/>
          <w:szCs w:val="24"/>
          <w:highlight w:val="none"/>
          <w:u w:val="single"/>
        </w:rPr>
        <w:t xml:space="preserve"> 1.5 </w:t>
      </w:r>
      <w:r>
        <w:rPr>
          <w:rFonts w:ascii="宋体" w:hAnsi="宋体" w:cs="宋体"/>
          <w:snapToGrid w:val="0"/>
          <w:color w:val="auto"/>
          <w:sz w:val="24"/>
          <w:szCs w:val="24"/>
          <w:highlight w:val="none"/>
        </w:rPr>
        <w:t>%。</w:t>
      </w:r>
      <w:r>
        <w:rPr>
          <w:rFonts w:hAnsi="宋体" w:cs="宋体"/>
          <w:i/>
          <w:iCs/>
          <w:strike/>
          <w:color w:val="auto"/>
          <w:szCs w:val="25"/>
          <w:highlight w:val="none"/>
        </w:rPr>
        <w:t>（不得超过</w:t>
      </w:r>
      <w:r>
        <w:rPr>
          <w:rFonts w:hAnsi="Times New Roman" w:cs="Times New Roman"/>
          <w:i/>
          <w:iCs/>
          <w:strike/>
          <w:color w:val="auto"/>
          <w:szCs w:val="24"/>
          <w:highlight w:val="none"/>
        </w:rPr>
        <w:t>1.5%</w:t>
      </w:r>
      <w:r>
        <w:rPr>
          <w:rFonts w:hAnsi="宋体" w:cs="宋体"/>
          <w:i/>
          <w:iCs/>
          <w:strike/>
          <w:color w:val="auto"/>
          <w:szCs w:val="25"/>
          <w:highlight w:val="none"/>
        </w:rPr>
        <w:t>）</w:t>
      </w:r>
      <w:r>
        <w:rPr>
          <w:rFonts w:hAnsi="宋体" w:cs="宋体"/>
          <w:strike/>
          <w:color w:val="auto"/>
          <w:szCs w:val="24"/>
          <w:highlight w:val="none"/>
        </w:rPr>
        <w:t>。</w:t>
      </w:r>
    </w:p>
    <w:p w14:paraId="62DF2111">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17.5</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完工结算</w:t>
      </w:r>
    </w:p>
    <w:p w14:paraId="68C73A1D">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b/>
          <w:snapToGrid w:val="0"/>
          <w:color w:val="auto"/>
          <w:sz w:val="24"/>
          <w:szCs w:val="24"/>
          <w:highlight w:val="none"/>
        </w:rPr>
        <w:t>17.5.1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完工付款申请单</w:t>
      </w:r>
    </w:p>
    <w:p w14:paraId="27B2D4E6">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rPr>
      </w:pPr>
      <w:r>
        <w:rPr>
          <w:rFonts w:hint="eastAsia" w:ascii="宋体"/>
          <w:snapToGrid w:val="0"/>
          <w:color w:val="auto"/>
          <w:sz w:val="24"/>
          <w:szCs w:val="24"/>
          <w:highlight w:val="none"/>
        </w:rPr>
        <w:t>（1）</w:t>
      </w:r>
      <w:r>
        <w:rPr>
          <w:rFonts w:hint="eastAsia" w:ascii="宋体" w:hAnsi="宋体" w:cs="宋体"/>
          <w:snapToGrid w:val="0"/>
          <w:color w:val="auto"/>
          <w:sz w:val="24"/>
          <w:szCs w:val="24"/>
          <w:highlight w:val="none"/>
        </w:rPr>
        <w:t>承包人应提交完工付款申请单一式</w:t>
      </w:r>
      <w:r>
        <w:rPr>
          <w:rFonts w:ascii="宋体"/>
          <w:snapToGrid w:val="0"/>
          <w:color w:val="auto"/>
          <w:sz w:val="24"/>
          <w:szCs w:val="24"/>
          <w:highlight w:val="none"/>
          <w:u w:val="single"/>
        </w:rPr>
        <w:t xml:space="preserve">  </w:t>
      </w:r>
      <w:r>
        <w:rPr>
          <w:rFonts w:hint="eastAsia" w:ascii="宋体"/>
          <w:snapToGrid w:val="0"/>
          <w:color w:val="auto"/>
          <w:sz w:val="24"/>
          <w:szCs w:val="24"/>
          <w:highlight w:val="none"/>
          <w:u w:val="single"/>
          <w:lang w:eastAsia="zh-CN"/>
        </w:rPr>
        <w:t>6</w:t>
      </w:r>
      <w:r>
        <w:rPr>
          <w:rFonts w:ascii="宋体"/>
          <w:snapToGrid w:val="0"/>
          <w:color w:val="auto"/>
          <w:sz w:val="24"/>
          <w:szCs w:val="24"/>
          <w:highlight w:val="none"/>
          <w:u w:val="single"/>
        </w:rPr>
        <w:t xml:space="preserve">  </w:t>
      </w:r>
      <w:r>
        <w:rPr>
          <w:rFonts w:hint="eastAsia" w:ascii="宋体" w:hAnsi="宋体" w:cs="宋体"/>
          <w:snapToGrid w:val="0"/>
          <w:color w:val="auto"/>
          <w:sz w:val="24"/>
          <w:szCs w:val="24"/>
          <w:highlight w:val="none"/>
        </w:rPr>
        <w:t>份。</w:t>
      </w:r>
    </w:p>
    <w:p w14:paraId="23D405E6">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2）承包人应合理编制竣工结算送审材料，凡发生完工结算总金额审定净核增、净核减超过送审额5%以上部分追加收费的由承包人承担，追加收费由发包人在支付工程款时扣回。工程结算审核追加收费=超过送审额5%以外的净核减额、净核增额×5%（若送审时浙江省相关收费标准有所调整，则以送审时标准为依据，追加收费部分全部由承包人承担）。</w:t>
      </w:r>
    </w:p>
    <w:p w14:paraId="12F21599">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17.6</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最终结清</w:t>
      </w:r>
    </w:p>
    <w:p w14:paraId="7F0E5886">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17.6.1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最终结清申请单</w:t>
      </w:r>
    </w:p>
    <w:p w14:paraId="512A3985">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snapToGrid w:val="0"/>
          <w:color w:val="auto"/>
          <w:sz w:val="24"/>
          <w:szCs w:val="24"/>
          <w:highlight w:val="none"/>
        </w:rPr>
        <w:t>（1）</w:t>
      </w:r>
      <w:r>
        <w:rPr>
          <w:rFonts w:hint="eastAsia" w:ascii="宋体" w:hAnsi="宋体" w:cs="宋体"/>
          <w:snapToGrid w:val="0"/>
          <w:color w:val="auto"/>
          <w:sz w:val="24"/>
          <w:szCs w:val="24"/>
          <w:highlight w:val="none"/>
        </w:rPr>
        <w:t>承包人应提交最终结清申请单一式</w:t>
      </w:r>
      <w:r>
        <w:rPr>
          <w:rFonts w:ascii="宋体"/>
          <w:snapToGrid w:val="0"/>
          <w:color w:val="auto"/>
          <w:sz w:val="24"/>
          <w:szCs w:val="24"/>
          <w:highlight w:val="none"/>
          <w:u w:val="single"/>
        </w:rPr>
        <w:t xml:space="preserve">  </w:t>
      </w:r>
      <w:r>
        <w:rPr>
          <w:rFonts w:hint="eastAsia" w:ascii="宋体"/>
          <w:snapToGrid w:val="0"/>
          <w:color w:val="auto"/>
          <w:sz w:val="24"/>
          <w:szCs w:val="24"/>
          <w:highlight w:val="none"/>
          <w:u w:val="single"/>
          <w:lang w:eastAsia="zh-CN"/>
        </w:rPr>
        <w:t>6</w:t>
      </w:r>
      <w:r>
        <w:rPr>
          <w:rFonts w:ascii="宋体"/>
          <w:snapToGrid w:val="0"/>
          <w:color w:val="auto"/>
          <w:sz w:val="24"/>
          <w:szCs w:val="24"/>
          <w:highlight w:val="none"/>
          <w:u w:val="single"/>
        </w:rPr>
        <w:t xml:space="preserve">  </w:t>
      </w:r>
      <w:r>
        <w:rPr>
          <w:rFonts w:hint="eastAsia" w:ascii="宋体" w:hAnsi="宋体" w:cs="宋体"/>
          <w:snapToGrid w:val="0"/>
          <w:color w:val="auto"/>
          <w:sz w:val="24"/>
          <w:szCs w:val="24"/>
          <w:highlight w:val="none"/>
        </w:rPr>
        <w:t>份。</w:t>
      </w:r>
    </w:p>
    <w:p w14:paraId="00296F76">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17.7</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竣工财务决算</w:t>
      </w:r>
    </w:p>
    <w:p w14:paraId="3BA50627">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承包人应为竣工财务决算编制提供的资料：</w:t>
      </w:r>
      <w:r>
        <w:rPr>
          <w:rFonts w:ascii="宋体" w:hAnsi="宋体" w:cs="宋体"/>
          <w:snapToGrid w:val="0"/>
          <w:color w:val="auto"/>
          <w:sz w:val="24"/>
          <w:szCs w:val="24"/>
          <w:highlight w:val="none"/>
          <w:u w:val="single"/>
        </w:rPr>
        <w:t xml:space="preserve">  财务决算所需的一切资料  </w:t>
      </w:r>
      <w:r>
        <w:rPr>
          <w:rFonts w:hint="eastAsia" w:ascii="宋体" w:hAnsi="宋体" w:cs="宋体"/>
          <w:snapToGrid w:val="0"/>
          <w:color w:val="auto"/>
          <w:sz w:val="24"/>
          <w:szCs w:val="24"/>
          <w:highlight w:val="none"/>
        </w:rPr>
        <w:t>。</w:t>
      </w:r>
    </w:p>
    <w:p w14:paraId="2B64B45A">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18</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工程验收</w:t>
      </w:r>
    </w:p>
    <w:p w14:paraId="3C740F43">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验收工作分类</w:t>
      </w:r>
    </w:p>
    <w:p w14:paraId="6921BBA7">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本工程法人验收包括：</w:t>
      </w:r>
      <w:r>
        <w:rPr>
          <w:rFonts w:ascii="宋体" w:hAnsi="宋体" w:cs="宋体"/>
          <w:snapToGrid w:val="0"/>
          <w:color w:val="auto"/>
          <w:sz w:val="24"/>
          <w:szCs w:val="24"/>
          <w:highlight w:val="none"/>
        </w:rPr>
        <w:t xml:space="preserve"> </w:t>
      </w:r>
      <w:r>
        <w:rPr>
          <w:rFonts w:hint="eastAsia" w:ascii="宋体" w:hAnsi="宋体" w:cs="宋体"/>
          <w:snapToGrid w:val="0"/>
          <w:color w:val="auto"/>
          <w:sz w:val="24"/>
          <w:szCs w:val="24"/>
          <w:highlight w:val="none"/>
          <w:u w:val="single"/>
        </w:rPr>
        <w:t>分部工程验收、单位工程验收、合同工程完工验收等</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rPr>
        <w:t>；政府验收包括：</w:t>
      </w:r>
      <w:r>
        <w:rPr>
          <w:rFonts w:ascii="宋体" w:hAnsi="宋体" w:cs="宋体"/>
          <w:snapToGrid w:val="0"/>
          <w:color w:val="auto"/>
          <w:sz w:val="24"/>
          <w:szCs w:val="24"/>
          <w:highlight w:val="none"/>
          <w:u w:val="single"/>
        </w:rPr>
        <w:t xml:space="preserve"> 竣工验收 </w:t>
      </w:r>
      <w:r>
        <w:rPr>
          <w:rFonts w:hint="eastAsia" w:ascii="宋体" w:hAnsi="宋体" w:cs="宋体"/>
          <w:snapToGrid w:val="0"/>
          <w:color w:val="auto"/>
          <w:sz w:val="24"/>
          <w:szCs w:val="24"/>
          <w:highlight w:val="none"/>
        </w:rPr>
        <w:t>。验收条件为</w:t>
      </w:r>
      <w:r>
        <w:rPr>
          <w:rFonts w:hint="eastAsia" w:ascii="宋体" w:hAnsi="宋体" w:cs="宋体"/>
          <w:snapToGrid w:val="0"/>
          <w:color w:val="auto"/>
          <w:sz w:val="24"/>
          <w:szCs w:val="24"/>
          <w:highlight w:val="none"/>
          <w:u w:val="single"/>
        </w:rPr>
        <w:t>：按《水利水电建设工程验收规程》（</w:t>
      </w:r>
      <w:r>
        <w:rPr>
          <w:rFonts w:ascii="宋体" w:hAnsi="宋体" w:cs="宋体"/>
          <w:snapToGrid w:val="0"/>
          <w:color w:val="auto"/>
          <w:sz w:val="24"/>
          <w:szCs w:val="24"/>
          <w:highlight w:val="none"/>
          <w:u w:val="single"/>
        </w:rPr>
        <w:t>SL223-2008）执行</w:t>
      </w:r>
      <w:r>
        <w:rPr>
          <w:rFonts w:hint="eastAsia" w:ascii="宋体" w:hAnsi="宋体" w:cs="宋体"/>
          <w:snapToGrid w:val="0"/>
          <w:color w:val="auto"/>
          <w:sz w:val="24"/>
          <w:szCs w:val="24"/>
          <w:highlight w:val="none"/>
        </w:rPr>
        <w:t>，验收程序为</w:t>
      </w:r>
      <w:r>
        <w:rPr>
          <w:rFonts w:hint="eastAsia" w:ascii="宋体" w:hAnsi="宋体" w:cs="宋体"/>
          <w:snapToGrid w:val="0"/>
          <w:color w:val="auto"/>
          <w:sz w:val="24"/>
          <w:szCs w:val="24"/>
          <w:highlight w:val="none"/>
          <w:u w:val="single"/>
        </w:rPr>
        <w:t>：按《水利水电建设工程验收规程》（</w:t>
      </w:r>
      <w:r>
        <w:rPr>
          <w:rFonts w:ascii="宋体" w:hAnsi="宋体" w:cs="宋体"/>
          <w:snapToGrid w:val="0"/>
          <w:color w:val="auto"/>
          <w:sz w:val="24"/>
          <w:szCs w:val="24"/>
          <w:highlight w:val="none"/>
          <w:u w:val="single"/>
        </w:rPr>
        <w:t xml:space="preserve">SL223-2008）执行 </w:t>
      </w:r>
      <w:r>
        <w:rPr>
          <w:rFonts w:hint="eastAsia" w:ascii="宋体" w:hAnsi="宋体" w:cs="宋体"/>
          <w:snapToGrid w:val="0"/>
          <w:color w:val="auto"/>
          <w:sz w:val="24"/>
          <w:szCs w:val="24"/>
          <w:highlight w:val="none"/>
        </w:rPr>
        <w:t>。</w:t>
      </w:r>
    </w:p>
    <w:p w14:paraId="3A247E7A">
      <w:pPr>
        <w:pStyle w:val="32"/>
        <w:autoSpaceDE/>
        <w:autoSpaceDN/>
        <w:spacing w:beforeLines="0" w:afterLines="0"/>
        <w:ind w:firstLineChars="0"/>
        <w:outlineLvl w:val="9"/>
        <w:rPr>
          <w:rFonts w:ascii="宋体" w:hAnsi="楷体" w:eastAsia="宋体" w:cs="楷体"/>
          <w:bCs/>
          <w:snapToGrid w:val="0"/>
          <w:color w:val="auto"/>
          <w:spacing w:val="0"/>
          <w:highlight w:val="none"/>
        </w:rPr>
      </w:pPr>
      <w:r>
        <w:rPr>
          <w:rFonts w:ascii="宋体" w:eastAsia="宋体"/>
          <w:snapToGrid w:val="0"/>
          <w:color w:val="auto"/>
          <w:sz w:val="24"/>
          <w:szCs w:val="24"/>
          <w:highlight w:val="none"/>
        </w:rPr>
        <w:t>18.2</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分部工程验收</w:t>
      </w:r>
    </w:p>
    <w:p w14:paraId="70EC2FA8">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18.2.2</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本工程由监理人主持的分部工程验收在监理合同中约定，其余由发包人主持。</w:t>
      </w:r>
    </w:p>
    <w:p w14:paraId="4534B45E">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18.3</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单位工程验收</w:t>
      </w:r>
    </w:p>
    <w:p w14:paraId="28D02098">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18.3.4</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提前投入使用的单位工程包括：</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2F53AD44">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18.5</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阶段验收</w:t>
      </w:r>
    </w:p>
    <w:p w14:paraId="3E404613">
      <w:pPr>
        <w:kinsoku/>
        <w:spacing w:beforeLines="0" w:afterLines="0"/>
        <w:ind w:firstLine="0" w:firstLineChars="0"/>
        <w:jc w:val="left"/>
        <w:rPr>
          <w:rFonts w:cs="宋体"/>
          <w:color w:val="auto"/>
          <w:kern w:val="2"/>
          <w:szCs w:val="21"/>
          <w:highlight w:val="none"/>
          <w:lang w:eastAsia="zh-CN"/>
        </w:rPr>
      </w:pPr>
      <w:r>
        <w:rPr>
          <w:rFonts w:ascii="宋体" w:hAnsi="Times New Roman" w:eastAsia="宋体" w:cs="Times New Roman"/>
          <w:b/>
          <w:snapToGrid w:val="0"/>
          <w:color w:val="auto"/>
          <w:kern w:val="2"/>
          <w:szCs w:val="21"/>
          <w:highlight w:val="none"/>
          <w:lang w:eastAsia="zh-CN"/>
        </w:rPr>
        <w:t>18.5.1</w:t>
      </w:r>
      <w:r>
        <w:rPr>
          <w:rFonts w:hint="eastAsia" w:hAnsi="Times New Roman" w:cs="Times New Roman"/>
          <w:b/>
          <w:snapToGrid w:val="0"/>
          <w:color w:val="auto"/>
          <w:kern w:val="2"/>
          <w:szCs w:val="21"/>
          <w:highlight w:val="none"/>
          <w:lang w:eastAsia="zh-CN"/>
        </w:rPr>
        <w:t>　</w:t>
      </w:r>
      <w:r>
        <w:rPr>
          <w:rFonts w:hint="eastAsia" w:ascii="宋体" w:eastAsia="宋体" w:cs="宋体"/>
          <w:b w:val="0"/>
          <w:snapToGrid w:val="0"/>
          <w:color w:val="auto"/>
          <w:kern w:val="2"/>
          <w:szCs w:val="21"/>
          <w:highlight w:val="none"/>
          <w:lang w:eastAsia="zh-CN"/>
        </w:rPr>
        <w:t>本合同工程阶段验收类别包括</w:t>
      </w:r>
      <w:r>
        <w:rPr>
          <w:rFonts w:hint="eastAsia" w:ascii="宋体" w:eastAsia="宋体" w:cs="宋体"/>
          <w:b w:val="0"/>
          <w:snapToGrid w:val="0"/>
          <w:color w:val="auto"/>
          <w:kern w:val="2"/>
          <w:szCs w:val="21"/>
          <w:highlight w:val="none"/>
          <w:u w:val="single"/>
          <w:lang w:eastAsia="zh-CN"/>
        </w:rPr>
        <w:t>：</w:t>
      </w:r>
      <w:r>
        <w:rPr>
          <w:rFonts w:ascii="宋体" w:eastAsia="宋体" w:cs="宋体"/>
          <w:b w:val="0"/>
          <w:snapToGrid w:val="0"/>
          <w:color w:val="auto"/>
          <w:kern w:val="2"/>
          <w:szCs w:val="21"/>
          <w:highlight w:val="none"/>
          <w:u w:val="single"/>
          <w:lang w:eastAsia="zh-CN"/>
        </w:rPr>
        <w:t xml:space="preserve"> 按《水利水电建设工程验收规程》（SL223-2008）或现行的有效的文件执行 </w:t>
      </w:r>
      <w:r>
        <w:rPr>
          <w:rFonts w:hint="eastAsia" w:ascii="宋体" w:eastAsia="宋体" w:cs="宋体"/>
          <w:b w:val="0"/>
          <w:snapToGrid w:val="0"/>
          <w:color w:val="auto"/>
          <w:kern w:val="2"/>
          <w:szCs w:val="21"/>
          <w:highlight w:val="none"/>
          <w:lang w:eastAsia="zh-CN"/>
        </w:rPr>
        <w:t>。</w:t>
      </w:r>
    </w:p>
    <w:p w14:paraId="2B6F3064">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18.6</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专项验收</w:t>
      </w:r>
    </w:p>
    <w:p w14:paraId="2CB3F1E2">
      <w:pPr>
        <w:kinsoku/>
        <w:spacing w:beforeLines="0" w:afterLines="0"/>
        <w:ind w:firstLine="0" w:firstLineChars="0"/>
        <w:jc w:val="left"/>
        <w:rPr>
          <w:rFonts w:cs="宋体"/>
          <w:color w:val="auto"/>
          <w:kern w:val="2"/>
          <w:szCs w:val="21"/>
          <w:highlight w:val="none"/>
          <w:lang w:eastAsia="zh-CN"/>
        </w:rPr>
      </w:pPr>
      <w:r>
        <w:rPr>
          <w:rFonts w:ascii="宋体" w:hAnsi="Times New Roman" w:eastAsia="宋体" w:cs="Times New Roman"/>
          <w:b/>
          <w:snapToGrid w:val="0"/>
          <w:color w:val="auto"/>
          <w:kern w:val="2"/>
          <w:szCs w:val="21"/>
          <w:highlight w:val="none"/>
          <w:lang w:eastAsia="zh-CN"/>
        </w:rPr>
        <w:t>18.6.2</w:t>
      </w:r>
      <w:r>
        <w:rPr>
          <w:rFonts w:hint="eastAsia" w:hAnsi="Times New Roman" w:cs="Times New Roman"/>
          <w:b/>
          <w:snapToGrid w:val="0"/>
          <w:color w:val="auto"/>
          <w:kern w:val="2"/>
          <w:szCs w:val="21"/>
          <w:highlight w:val="none"/>
          <w:lang w:eastAsia="zh-CN"/>
        </w:rPr>
        <w:t>　</w:t>
      </w:r>
      <w:r>
        <w:rPr>
          <w:rFonts w:hint="eastAsia" w:ascii="宋体" w:eastAsia="宋体" w:cs="宋体"/>
          <w:b w:val="0"/>
          <w:snapToGrid w:val="0"/>
          <w:color w:val="auto"/>
          <w:kern w:val="2"/>
          <w:szCs w:val="21"/>
          <w:highlight w:val="none"/>
          <w:lang w:eastAsia="zh-CN"/>
        </w:rPr>
        <w:t>本合同工程专项验收类别包括</w:t>
      </w:r>
      <w:r>
        <w:rPr>
          <w:rFonts w:hint="eastAsia" w:ascii="宋体" w:eastAsia="宋体" w:cs="宋体"/>
          <w:b w:val="0"/>
          <w:snapToGrid w:val="0"/>
          <w:color w:val="auto"/>
          <w:kern w:val="2"/>
          <w:szCs w:val="21"/>
          <w:highlight w:val="none"/>
          <w:u w:val="single"/>
          <w:lang w:eastAsia="zh-CN"/>
        </w:rPr>
        <w:t>：</w:t>
      </w:r>
      <w:r>
        <w:rPr>
          <w:rFonts w:ascii="宋体" w:eastAsia="宋体" w:cs="宋体"/>
          <w:b w:val="0"/>
          <w:snapToGrid w:val="0"/>
          <w:color w:val="auto"/>
          <w:kern w:val="2"/>
          <w:szCs w:val="21"/>
          <w:highlight w:val="none"/>
          <w:u w:val="single"/>
          <w:lang w:eastAsia="zh-CN"/>
        </w:rPr>
        <w:t xml:space="preserve"> 按《水利水电建设工程验收规程》（SL223-2008）或现行的有效的文件执行 </w:t>
      </w:r>
      <w:r>
        <w:rPr>
          <w:rFonts w:hint="eastAsia" w:ascii="宋体" w:eastAsia="宋体" w:cs="宋体"/>
          <w:b w:val="0"/>
          <w:snapToGrid w:val="0"/>
          <w:color w:val="auto"/>
          <w:kern w:val="2"/>
          <w:szCs w:val="21"/>
          <w:highlight w:val="none"/>
          <w:lang w:eastAsia="zh-CN"/>
        </w:rPr>
        <w:t>。</w:t>
      </w:r>
    </w:p>
    <w:p w14:paraId="4828E112">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18.7</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竣工验收</w:t>
      </w:r>
    </w:p>
    <w:p w14:paraId="68DFC0CD">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18.7.3</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本工程</w:t>
      </w:r>
      <w:r>
        <w:rPr>
          <w:rFonts w:ascii="宋体" w:hAnsi="宋体" w:cs="宋体"/>
          <w:snapToGrid w:val="0"/>
          <w:color w:val="auto"/>
          <w:sz w:val="24"/>
          <w:szCs w:val="24"/>
          <w:highlight w:val="none"/>
          <w:u w:val="single"/>
        </w:rPr>
        <w:t xml:space="preserve"> 需要 </w:t>
      </w:r>
      <w:r>
        <w:rPr>
          <w:rFonts w:hint="eastAsia" w:ascii="宋体" w:hAnsi="宋体" w:cs="宋体"/>
          <w:snapToGrid w:val="0"/>
          <w:color w:val="auto"/>
          <w:sz w:val="24"/>
          <w:szCs w:val="24"/>
          <w:highlight w:val="none"/>
        </w:rPr>
        <w:t>（需要、不需要）竣工验收技术鉴定。</w:t>
      </w:r>
    </w:p>
    <w:p w14:paraId="5C64CCFF">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18.8</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施工期运行</w:t>
      </w:r>
    </w:p>
    <w:p w14:paraId="4945B95E">
      <w:pPr>
        <w:pStyle w:val="30"/>
        <w:snapToGrid w:val="0"/>
        <w:spacing w:beforeLines="0" w:afterLines="0" w:line="360" w:lineRule="auto"/>
        <w:ind w:firstLine="0" w:firstLineChars="0"/>
        <w:jc w:val="left"/>
        <w:rPr>
          <w:rFonts w:ascii="宋体" w:hAnsi="宋体" w:cs="宋体"/>
          <w:snapToGrid w:val="0"/>
          <w:color w:val="auto"/>
          <w:sz w:val="24"/>
          <w:highlight w:val="none"/>
        </w:rPr>
      </w:pPr>
      <w:r>
        <w:rPr>
          <w:rFonts w:ascii="宋体"/>
          <w:b/>
          <w:snapToGrid w:val="0"/>
          <w:color w:val="auto"/>
          <w:sz w:val="24"/>
          <w:szCs w:val="24"/>
          <w:highlight w:val="none"/>
        </w:rPr>
        <w:t>18.8.1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需要在施工期运行的单位工程或工程设备为：</w:t>
      </w:r>
      <w:r>
        <w:rPr>
          <w:rFonts w:ascii="宋体" w:hAnsi="宋体" w:cs="宋体"/>
          <w:snapToGrid w:val="0"/>
          <w:color w:val="auto"/>
          <w:sz w:val="24"/>
          <w:szCs w:val="24"/>
          <w:highlight w:val="none"/>
          <w:u w:val="single"/>
        </w:rPr>
        <w:t xml:space="preserve">  /  </w:t>
      </w:r>
      <w:r>
        <w:rPr>
          <w:rFonts w:hint="eastAsia" w:ascii="宋体" w:hAnsi="宋体" w:cs="宋体"/>
          <w:snapToGrid w:val="0"/>
          <w:color w:val="auto"/>
          <w:sz w:val="24"/>
          <w:szCs w:val="24"/>
          <w:highlight w:val="none"/>
        </w:rPr>
        <w:t>。</w:t>
      </w:r>
    </w:p>
    <w:p w14:paraId="74965FD5">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18.9</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试运行</w:t>
      </w:r>
    </w:p>
    <w:p w14:paraId="64DB5BDA">
      <w:pPr>
        <w:pStyle w:val="30"/>
        <w:snapToGrid w:val="0"/>
        <w:spacing w:beforeLines="0" w:afterLines="0" w:line="360" w:lineRule="auto"/>
        <w:ind w:firstLine="0" w:firstLineChars="0"/>
        <w:jc w:val="left"/>
        <w:rPr>
          <w:rFonts w:ascii="宋体" w:hAnsi="宋体" w:cs="宋体"/>
          <w:snapToGrid w:val="0"/>
          <w:color w:val="auto"/>
          <w:sz w:val="24"/>
          <w:szCs w:val="24"/>
          <w:highlight w:val="none"/>
        </w:rPr>
      </w:pPr>
      <w:r>
        <w:rPr>
          <w:rFonts w:ascii="宋体"/>
          <w:b/>
          <w:snapToGrid w:val="0"/>
          <w:color w:val="auto"/>
          <w:sz w:val="24"/>
          <w:szCs w:val="24"/>
          <w:highlight w:val="none"/>
        </w:rPr>
        <w:t>18.9.1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试运行的组织：</w:t>
      </w:r>
      <w:r>
        <w:rPr>
          <w:rFonts w:hint="eastAsia" w:ascii="宋体" w:hAnsi="宋体" w:cs="宋体"/>
          <w:snapToGrid w:val="0"/>
          <w:color w:val="auto"/>
          <w:sz w:val="24"/>
          <w:szCs w:val="24"/>
          <w:highlight w:val="none"/>
          <w:u w:val="single"/>
        </w:rPr>
        <w:t>发包人</w:t>
      </w:r>
      <w:r>
        <w:rPr>
          <w:rFonts w:ascii="宋体" w:hAnsi="宋体" w:cs="宋体"/>
          <w:snapToGrid w:val="0"/>
          <w:color w:val="auto"/>
          <w:sz w:val="24"/>
          <w:szCs w:val="24"/>
          <w:highlight w:val="none"/>
        </w:rPr>
        <w:t xml:space="preserve"> ；费用承担：</w:t>
      </w:r>
      <w:r>
        <w:rPr>
          <w:rFonts w:hint="eastAsia" w:ascii="宋体" w:hAnsi="宋体" w:cs="宋体"/>
          <w:snapToGrid w:val="0"/>
          <w:color w:val="auto"/>
          <w:sz w:val="24"/>
          <w:szCs w:val="24"/>
          <w:highlight w:val="none"/>
          <w:u w:val="single"/>
        </w:rPr>
        <w:t>承包人承担</w:t>
      </w:r>
      <w:r>
        <w:rPr>
          <w:rFonts w:hint="eastAsia" w:ascii="宋体" w:hAnsi="宋体" w:cs="宋体"/>
          <w:snapToGrid w:val="0"/>
          <w:color w:val="auto"/>
          <w:sz w:val="24"/>
          <w:szCs w:val="24"/>
          <w:highlight w:val="none"/>
        </w:rPr>
        <w:t>。</w:t>
      </w:r>
    </w:p>
    <w:p w14:paraId="6892245B">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19</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缺陷责任与保修责任</w:t>
      </w:r>
    </w:p>
    <w:p w14:paraId="6A78B4F8">
      <w:pPr>
        <w:pStyle w:val="32"/>
        <w:autoSpaceDE/>
        <w:autoSpaceDN/>
        <w:spacing w:beforeLines="0" w:afterLines="0"/>
        <w:ind w:firstLineChars="0"/>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19.1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缺陷责任期（工程质量保修期）的起算时间</w:t>
      </w:r>
    </w:p>
    <w:p w14:paraId="30F0BDFE">
      <w:pPr>
        <w:kinsoku/>
        <w:spacing w:beforeLines="0" w:afterLines="0"/>
        <w:ind w:firstLine="420"/>
        <w:rPr>
          <w:rFonts w:cs="宋体"/>
          <w:color w:val="auto"/>
          <w:kern w:val="2"/>
          <w:szCs w:val="21"/>
          <w:highlight w:val="none"/>
          <w:lang w:eastAsia="zh-CN"/>
        </w:rPr>
      </w:pPr>
      <w:r>
        <w:rPr>
          <w:rFonts w:hint="eastAsia" w:ascii="宋体" w:eastAsia="宋体" w:cs="宋体"/>
          <w:b w:val="0"/>
          <w:snapToGrid w:val="0"/>
          <w:color w:val="auto"/>
          <w:kern w:val="2"/>
          <w:szCs w:val="21"/>
          <w:highlight w:val="none"/>
          <w:lang w:eastAsia="zh-CN"/>
        </w:rPr>
        <w:t>本工程缺陷责任期（工程质量保修期）计算如下：</w:t>
      </w:r>
      <w:r>
        <w:rPr>
          <w:rFonts w:hint="eastAsia" w:ascii="宋体" w:eastAsia="宋体" w:cs="宋体"/>
          <w:b w:val="0"/>
          <w:snapToGrid w:val="0"/>
          <w:color w:val="auto"/>
          <w:kern w:val="2"/>
          <w:szCs w:val="21"/>
          <w:highlight w:val="none"/>
          <w:u w:val="single"/>
          <w:lang w:eastAsia="zh-CN"/>
        </w:rPr>
        <w:t>自工程接</w:t>
      </w:r>
      <w:r>
        <w:rPr>
          <w:rFonts w:hint="eastAsia" w:cs="宋体"/>
          <w:b w:val="0"/>
          <w:snapToGrid w:val="0"/>
          <w:color w:val="auto"/>
          <w:kern w:val="2"/>
          <w:szCs w:val="21"/>
          <w:highlight w:val="none"/>
          <w:u w:val="single"/>
          <w:lang w:val="en-US" w:eastAsia="zh-CN"/>
        </w:rPr>
        <w:t>收</w:t>
      </w:r>
      <w:r>
        <w:rPr>
          <w:rFonts w:hint="eastAsia" w:ascii="宋体" w:eastAsia="宋体" w:cs="宋体"/>
          <w:b w:val="0"/>
          <w:snapToGrid w:val="0"/>
          <w:color w:val="auto"/>
          <w:kern w:val="2"/>
          <w:szCs w:val="21"/>
          <w:highlight w:val="none"/>
          <w:u w:val="single"/>
          <w:lang w:eastAsia="zh-CN"/>
        </w:rPr>
        <w:t>证书中写明的全部工程完工日开始算起（发包人提前验收并签发接受证书的单位工程和部分工程，若未投入正常使用，其保修期亦按全部工程的完工日开始起算）</w:t>
      </w:r>
      <w:r>
        <w:rPr>
          <w:rFonts w:hint="eastAsia" w:ascii="宋体" w:eastAsia="宋体" w:cs="宋体"/>
          <w:b w:val="0"/>
          <w:snapToGrid w:val="0"/>
          <w:color w:val="auto"/>
          <w:kern w:val="2"/>
          <w:szCs w:val="21"/>
          <w:highlight w:val="none"/>
          <w:lang w:eastAsia="zh-CN"/>
        </w:rPr>
        <w:t>。</w:t>
      </w:r>
    </w:p>
    <w:p w14:paraId="6F7E65BD">
      <w:pPr>
        <w:pStyle w:val="30"/>
        <w:snapToGrid w:val="0"/>
        <w:spacing w:beforeLines="0" w:afterLines="0" w:line="360" w:lineRule="auto"/>
        <w:ind w:firstLine="480" w:firstLineChars="200"/>
        <w:jc w:val="left"/>
        <w:rPr>
          <w:rFonts w:ascii="宋体"/>
          <w:color w:val="auto"/>
          <w:sz w:val="24"/>
          <w:highlight w:val="none"/>
        </w:rPr>
      </w:pPr>
      <w:r>
        <w:rPr>
          <w:rFonts w:hint="eastAsia" w:ascii="宋体" w:hAnsi="宋体" w:cs="宋体"/>
          <w:snapToGrid w:val="0"/>
          <w:color w:val="auto"/>
          <w:sz w:val="24"/>
          <w:szCs w:val="24"/>
          <w:highlight w:val="none"/>
        </w:rPr>
        <w:t>本工程缺陷责任期（工程质量保修期）为</w:t>
      </w:r>
      <w:r>
        <w:rPr>
          <w:rFonts w:ascii="宋体" w:hAnsi="宋体" w:cs="宋体"/>
          <w:snapToGrid w:val="0"/>
          <w:color w:val="auto"/>
          <w:sz w:val="24"/>
          <w:szCs w:val="24"/>
          <w:highlight w:val="none"/>
        </w:rPr>
        <w:t xml:space="preserve"> </w:t>
      </w:r>
      <w:r>
        <w:rPr>
          <w:rFonts w:ascii="宋体"/>
          <w:snapToGrid w:val="0"/>
          <w:color w:val="auto"/>
          <w:sz w:val="24"/>
          <w:szCs w:val="24"/>
          <w:highlight w:val="none"/>
          <w:u w:val="single"/>
        </w:rPr>
        <w:t xml:space="preserve"> 2  </w:t>
      </w:r>
      <w:r>
        <w:rPr>
          <w:rFonts w:hint="eastAsia" w:ascii="宋体" w:hAnsi="宋体" w:cs="宋体"/>
          <w:snapToGrid w:val="0"/>
          <w:color w:val="auto"/>
          <w:sz w:val="24"/>
          <w:szCs w:val="24"/>
          <w:highlight w:val="none"/>
        </w:rPr>
        <w:t>年。</w:t>
      </w:r>
    </w:p>
    <w:p w14:paraId="7AE10ABC">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20</w:t>
      </w:r>
      <w:r>
        <w:rPr>
          <w:rFonts w:hint="eastAsia" w:cs="宋体"/>
          <w:bCs/>
          <w:snapToGrid w:val="0"/>
          <w:color w:val="auto"/>
          <w:spacing w:val="0"/>
          <w:sz w:val="24"/>
          <w:szCs w:val="24"/>
          <w:highlight w:val="none"/>
          <w:lang w:val="en-US" w:eastAsia="zh-CN"/>
        </w:rPr>
        <w:t>　</w:t>
      </w:r>
      <w:r>
        <w:rPr>
          <w:rFonts w:hint="eastAsia" w:ascii="宋体" w:hAnsi="宋体" w:cs="宋体"/>
          <w:bCs/>
          <w:color w:val="auto"/>
          <w:sz w:val="24"/>
          <w:szCs w:val="24"/>
          <w:highlight w:val="none"/>
        </w:rPr>
        <w:t>保险</w:t>
      </w:r>
    </w:p>
    <w:p w14:paraId="1B854B7B">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20.1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建筑安装工程保险</w:t>
      </w:r>
    </w:p>
    <w:p w14:paraId="69C63D79">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建筑工程一切险和（或）安装工程一切险投保人：</w:t>
      </w:r>
      <w:r>
        <w:rPr>
          <w:rFonts w:ascii="宋体" w:hAnsi="宋体" w:cs="宋体"/>
          <w:snapToGrid w:val="0"/>
          <w:color w:val="auto"/>
          <w:sz w:val="24"/>
          <w:szCs w:val="24"/>
          <w:highlight w:val="none"/>
        </w:rPr>
        <w:t xml:space="preserve"> </w:t>
      </w:r>
      <w:r>
        <w:rPr>
          <w:rFonts w:hint="eastAsia" w:ascii="宋体" w:hAnsi="宋体" w:cs="宋体"/>
          <w:snapToGrid w:val="0"/>
          <w:color w:val="auto"/>
          <w:sz w:val="24"/>
          <w:szCs w:val="24"/>
          <w:highlight w:val="none"/>
          <w:u w:val="single"/>
        </w:rPr>
        <w:t>由承包人以发包人和承包人的名义投保。</w:t>
      </w:r>
    </w:p>
    <w:p w14:paraId="67D9A3E4">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投保内容：</w:t>
      </w:r>
      <w:r>
        <w:rPr>
          <w:rFonts w:hint="eastAsia" w:ascii="宋体" w:hAnsi="宋体" w:cs="宋体"/>
          <w:snapToGrid w:val="0"/>
          <w:color w:val="auto"/>
          <w:sz w:val="24"/>
          <w:szCs w:val="24"/>
          <w:highlight w:val="none"/>
          <w:u w:val="single"/>
        </w:rPr>
        <w:t>为本合同工程的永久工程、临时工程和设备及已运至施工工地用于永久工程的材料和设备。</w:t>
      </w:r>
    </w:p>
    <w:p w14:paraId="7F80A3B8">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保险金额、保险费率和保险期限：</w:t>
      </w:r>
      <w:r>
        <w:rPr>
          <w:rFonts w:hint="eastAsia" w:ascii="宋体" w:hAnsi="宋体" w:cs="宋体"/>
          <w:snapToGrid w:val="0"/>
          <w:color w:val="auto"/>
          <w:sz w:val="24"/>
          <w:szCs w:val="24"/>
          <w:highlight w:val="none"/>
          <w:u w:val="single"/>
        </w:rPr>
        <w:t>保险金额按保险人规定，保险费率由承包人与保险人协商确定，保险期限自开工日起至本合同工程签发缺陷责任终止证书止（即合同工期＋缺陷责任期）。</w:t>
      </w:r>
    </w:p>
    <w:p w14:paraId="78DE2BF3">
      <w:pPr>
        <w:pStyle w:val="32"/>
        <w:autoSpaceDE/>
        <w:autoSpaceDN/>
        <w:spacing w:beforeLines="0" w:afterLines="0"/>
        <w:ind w:firstLineChars="0"/>
        <w:jc w:val="both"/>
        <w:outlineLvl w:val="9"/>
        <w:rPr>
          <w:rFonts w:ascii="宋体" w:hAnsi="楷体" w:eastAsia="宋体" w:cs="楷体"/>
          <w:bCs/>
          <w:snapToGrid w:val="0"/>
          <w:color w:val="auto"/>
          <w:spacing w:val="0"/>
          <w:highlight w:val="none"/>
        </w:rPr>
      </w:pPr>
      <w:r>
        <w:rPr>
          <w:rFonts w:ascii="宋体" w:eastAsia="宋体"/>
          <w:snapToGrid w:val="0"/>
          <w:color w:val="auto"/>
          <w:sz w:val="24"/>
          <w:szCs w:val="24"/>
          <w:highlight w:val="none"/>
        </w:rPr>
        <w:t>20.4</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第三者责任险</w:t>
      </w:r>
    </w:p>
    <w:p w14:paraId="4557420D">
      <w:pPr>
        <w:pStyle w:val="30"/>
        <w:snapToGrid w:val="0"/>
        <w:spacing w:beforeLines="0" w:afterLines="0" w:line="360" w:lineRule="auto"/>
        <w:ind w:firstLine="0" w:firstLineChars="0"/>
        <w:rPr>
          <w:rFonts w:ascii="宋体" w:hAnsi="宋体" w:cs="宋体"/>
          <w:snapToGrid w:val="0"/>
          <w:color w:val="auto"/>
          <w:sz w:val="24"/>
          <w:szCs w:val="24"/>
          <w:highlight w:val="none"/>
          <w:u w:val="single"/>
        </w:rPr>
      </w:pPr>
      <w:r>
        <w:rPr>
          <w:rFonts w:ascii="宋体"/>
          <w:b/>
          <w:snapToGrid w:val="0"/>
          <w:color w:val="auto"/>
          <w:sz w:val="24"/>
          <w:szCs w:val="24"/>
          <w:highlight w:val="none"/>
        </w:rPr>
        <w:t>20.4.2</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第三者责任险保险费率：</w:t>
      </w:r>
      <w:r>
        <w:rPr>
          <w:rFonts w:hint="eastAsia" w:ascii="宋体" w:hAnsi="宋体" w:cs="宋体"/>
          <w:snapToGrid w:val="0"/>
          <w:color w:val="auto"/>
          <w:sz w:val="24"/>
          <w:highlight w:val="none"/>
        </w:rPr>
        <w:t>由承包人以发包人和承包人的名义投保</w:t>
      </w:r>
      <w:r>
        <w:rPr>
          <w:rFonts w:hint="eastAsia" w:ascii="宋体" w:hAnsi="宋体" w:cs="宋体"/>
          <w:snapToGrid w:val="0"/>
          <w:color w:val="auto"/>
          <w:sz w:val="24"/>
          <w:highlight w:val="none"/>
          <w:lang w:eastAsia="zh-CN"/>
        </w:rPr>
        <w:t>，</w:t>
      </w:r>
      <w:r>
        <w:rPr>
          <w:rFonts w:hint="eastAsia" w:ascii="宋体" w:hAnsi="宋体" w:cs="宋体"/>
          <w:snapToGrid w:val="0"/>
          <w:color w:val="auto"/>
          <w:sz w:val="24"/>
          <w:highlight w:val="none"/>
          <w:lang w:val="en-US" w:eastAsia="zh-CN"/>
        </w:rPr>
        <w:t>保险费率</w:t>
      </w:r>
      <w:r>
        <w:rPr>
          <w:rFonts w:hint="eastAsia" w:ascii="宋体" w:hAnsi="宋体" w:cs="宋体"/>
          <w:snapToGrid w:val="0"/>
          <w:color w:val="auto"/>
          <w:sz w:val="24"/>
          <w:szCs w:val="24"/>
          <w:highlight w:val="none"/>
          <w:u w:val="single"/>
        </w:rPr>
        <w:t>由承包人与保险人协商确定</w:t>
      </w:r>
      <w:r>
        <w:rPr>
          <w:rFonts w:hint="eastAsia" w:ascii="宋体" w:hAnsi="宋体" w:cs="宋体"/>
          <w:snapToGrid w:val="0"/>
          <w:color w:val="auto"/>
          <w:sz w:val="24"/>
          <w:szCs w:val="24"/>
          <w:highlight w:val="none"/>
        </w:rPr>
        <w:t>；第三者责任险保险金额：</w:t>
      </w:r>
      <w:r>
        <w:rPr>
          <w:rFonts w:hint="eastAsia" w:ascii="宋体" w:hAnsi="宋体" w:cs="宋体"/>
          <w:snapToGrid w:val="0"/>
          <w:color w:val="auto"/>
          <w:sz w:val="24"/>
          <w:szCs w:val="24"/>
          <w:highlight w:val="none"/>
          <w:u w:val="single"/>
        </w:rPr>
        <w:t>不低于</w:t>
      </w:r>
      <w:r>
        <w:rPr>
          <w:rFonts w:hint="eastAsia" w:ascii="宋体"/>
          <w:snapToGrid w:val="0"/>
          <w:color w:val="auto"/>
          <w:sz w:val="24"/>
          <w:szCs w:val="24"/>
          <w:highlight w:val="none"/>
          <w:u w:val="single"/>
          <w:lang w:eastAsia="zh-CN"/>
        </w:rPr>
        <w:t>1</w:t>
      </w:r>
      <w:r>
        <w:rPr>
          <w:rFonts w:hint="eastAsia" w:ascii="宋体"/>
          <w:snapToGrid w:val="0"/>
          <w:color w:val="auto"/>
          <w:sz w:val="24"/>
          <w:szCs w:val="24"/>
          <w:highlight w:val="none"/>
          <w:u w:val="single"/>
          <w:lang w:val="en-US" w:eastAsia="zh-CN"/>
        </w:rPr>
        <w:t>0</w:t>
      </w:r>
      <w:r>
        <w:rPr>
          <w:rFonts w:ascii="宋体"/>
          <w:snapToGrid w:val="0"/>
          <w:color w:val="auto"/>
          <w:sz w:val="24"/>
          <w:szCs w:val="24"/>
          <w:highlight w:val="none"/>
          <w:u w:val="single"/>
        </w:rPr>
        <w:t>00</w:t>
      </w:r>
      <w:r>
        <w:rPr>
          <w:rFonts w:hint="eastAsia" w:ascii="宋体" w:hAnsi="宋体" w:cs="宋体"/>
          <w:snapToGrid w:val="0"/>
          <w:color w:val="auto"/>
          <w:sz w:val="24"/>
          <w:szCs w:val="24"/>
          <w:highlight w:val="none"/>
          <w:u w:val="single"/>
        </w:rPr>
        <w:t>万元</w:t>
      </w:r>
      <w:r>
        <w:rPr>
          <w:rFonts w:ascii="宋体" w:hAnsi="宋体" w:cs="宋体"/>
          <w:snapToGrid w:val="0"/>
          <w:color w:val="auto"/>
          <w:sz w:val="24"/>
          <w:szCs w:val="24"/>
          <w:highlight w:val="none"/>
          <w:u w:val="single"/>
        </w:rPr>
        <w:t>/年，事故次数不限（不计免赔额）。</w:t>
      </w:r>
    </w:p>
    <w:p w14:paraId="4E582F9F">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20.5</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其他保险</w:t>
      </w:r>
    </w:p>
    <w:p w14:paraId="76CAB93A">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需要投保的其他内容：</w:t>
      </w:r>
      <w:r>
        <w:rPr>
          <w:rFonts w:ascii="宋体" w:hAnsi="宋体" w:cs="宋体"/>
          <w:snapToGrid w:val="0"/>
          <w:color w:val="auto"/>
          <w:sz w:val="24"/>
          <w:szCs w:val="24"/>
          <w:highlight w:val="none"/>
          <w:u w:val="single"/>
        </w:rPr>
        <w:t>承包人应严格按照浙江省、绍兴市相关规定投保农民工工伤保险，同时还应投保意外伤害险</w:t>
      </w:r>
      <w:r>
        <w:rPr>
          <w:rFonts w:hint="eastAsia" w:ascii="宋体" w:hAnsi="宋体" w:cs="宋体"/>
          <w:snapToGrid w:val="0"/>
          <w:color w:val="auto"/>
          <w:sz w:val="24"/>
          <w:szCs w:val="24"/>
          <w:highlight w:val="none"/>
          <w:u w:val="single"/>
          <w:lang w:val="en-US" w:eastAsia="zh-CN"/>
        </w:rPr>
        <w:t>、</w:t>
      </w:r>
      <w:r>
        <w:rPr>
          <w:rFonts w:ascii="宋体" w:hAnsi="宋体" w:cs="宋体"/>
          <w:snapToGrid w:val="0"/>
          <w:color w:val="auto"/>
          <w:sz w:val="24"/>
          <w:szCs w:val="24"/>
          <w:highlight w:val="none"/>
          <w:u w:val="single"/>
        </w:rPr>
        <w:t xml:space="preserve">安全生产责任险，并将投保证明材料及时报发包人（监理人） </w:t>
      </w:r>
      <w:r>
        <w:rPr>
          <w:rFonts w:hint="eastAsia" w:ascii="宋体" w:hAnsi="宋体" w:cs="宋体"/>
          <w:snapToGrid w:val="0"/>
          <w:color w:val="auto"/>
          <w:sz w:val="24"/>
          <w:szCs w:val="24"/>
          <w:highlight w:val="none"/>
        </w:rPr>
        <w:t>。</w:t>
      </w:r>
    </w:p>
    <w:p w14:paraId="4A39AD96">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保险金额、保险费率和保险期限：</w:t>
      </w:r>
      <w:r>
        <w:rPr>
          <w:rFonts w:ascii="宋体" w:hAnsi="宋体" w:cs="宋体"/>
          <w:snapToGrid w:val="0"/>
          <w:color w:val="auto"/>
          <w:sz w:val="24"/>
          <w:szCs w:val="24"/>
          <w:highlight w:val="none"/>
          <w:u w:val="single"/>
        </w:rPr>
        <w:t>保险金额按保险人规定，保险费率由承包人与保险人协商确定，</w:t>
      </w:r>
      <w:r>
        <w:rPr>
          <w:rFonts w:hint="eastAsia" w:ascii="宋体" w:hAnsi="宋体" w:cs="宋体"/>
          <w:snapToGrid w:val="0"/>
          <w:color w:val="auto"/>
          <w:sz w:val="24"/>
          <w:szCs w:val="24"/>
          <w:highlight w:val="none"/>
          <w:u w:val="single"/>
        </w:rPr>
        <w:t>承包人应在工程开工之前完成投保，</w:t>
      </w:r>
      <w:r>
        <w:rPr>
          <w:rFonts w:ascii="宋体" w:hAnsi="宋体" w:cs="宋体"/>
          <w:snapToGrid w:val="0"/>
          <w:color w:val="auto"/>
          <w:sz w:val="24"/>
          <w:szCs w:val="24"/>
          <w:highlight w:val="none"/>
          <w:u w:val="single"/>
        </w:rPr>
        <w:t xml:space="preserve">保险期限自开工日起至本合同工程签发缺陷责任终止证书止（即合同工期＋缺陷责任期） </w:t>
      </w:r>
      <w:r>
        <w:rPr>
          <w:rFonts w:hint="eastAsia" w:ascii="宋体" w:hAnsi="宋体" w:cs="宋体"/>
          <w:snapToGrid w:val="0"/>
          <w:color w:val="auto"/>
          <w:sz w:val="24"/>
          <w:szCs w:val="24"/>
          <w:highlight w:val="none"/>
        </w:rPr>
        <w:t>。</w:t>
      </w:r>
    </w:p>
    <w:p w14:paraId="7C33CED7">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20.6</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对各项保险的一般要求</w:t>
      </w:r>
    </w:p>
    <w:p w14:paraId="584B5D7B">
      <w:pPr>
        <w:pStyle w:val="30"/>
        <w:snapToGrid w:val="0"/>
        <w:spacing w:beforeLines="0" w:afterLines="0" w:line="360" w:lineRule="auto"/>
        <w:ind w:firstLine="0" w:firstLineChars="0"/>
        <w:rPr>
          <w:rFonts w:ascii="宋体" w:hAnsi="宋体" w:cs="宋体"/>
          <w:snapToGrid w:val="0"/>
          <w:color w:val="auto"/>
          <w:sz w:val="24"/>
          <w:highlight w:val="none"/>
        </w:rPr>
      </w:pPr>
      <w:r>
        <w:rPr>
          <w:rFonts w:ascii="宋体"/>
          <w:b/>
          <w:snapToGrid w:val="0"/>
          <w:color w:val="auto"/>
          <w:sz w:val="24"/>
          <w:szCs w:val="24"/>
          <w:highlight w:val="none"/>
        </w:rPr>
        <w:t>20.6.1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保险凭证</w:t>
      </w:r>
    </w:p>
    <w:p w14:paraId="453881AB">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承包人提交保险凭证的期限：</w:t>
      </w:r>
      <w:r>
        <w:rPr>
          <w:rFonts w:hint="eastAsia" w:ascii="宋体" w:hAnsi="宋体" w:cs="宋体"/>
          <w:snapToGrid w:val="0"/>
          <w:color w:val="auto"/>
          <w:sz w:val="24"/>
          <w:szCs w:val="24"/>
          <w:highlight w:val="none"/>
          <w:u w:val="single"/>
        </w:rPr>
        <w:t>保险手续办理完毕后</w:t>
      </w:r>
      <w:r>
        <w:rPr>
          <w:rFonts w:ascii="宋体" w:hAnsi="宋体" w:cs="宋体"/>
          <w:snapToGrid w:val="0"/>
          <w:color w:val="auto"/>
          <w:sz w:val="24"/>
          <w:szCs w:val="24"/>
          <w:highlight w:val="none"/>
          <w:u w:val="single"/>
        </w:rPr>
        <w:t>14天内提交。</w:t>
      </w:r>
    </w:p>
    <w:p w14:paraId="691589DA">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保险条件：</w:t>
      </w:r>
      <w:r>
        <w:rPr>
          <w:rFonts w:hint="eastAsia" w:ascii="宋体" w:hAnsi="宋体" w:cs="宋体"/>
          <w:snapToGrid w:val="0"/>
          <w:color w:val="auto"/>
          <w:sz w:val="24"/>
          <w:szCs w:val="24"/>
          <w:highlight w:val="none"/>
          <w:u w:val="single"/>
        </w:rPr>
        <w:t>满足合同条款的规定</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rPr>
        <w:t>。</w:t>
      </w:r>
    </w:p>
    <w:p w14:paraId="0E204497">
      <w:pPr>
        <w:pStyle w:val="30"/>
        <w:snapToGrid w:val="0"/>
        <w:spacing w:beforeLines="0" w:afterLines="0" w:line="360" w:lineRule="auto"/>
        <w:ind w:firstLine="0" w:firstLineChars="0"/>
        <w:rPr>
          <w:rFonts w:ascii="宋体" w:hAnsi="宋体" w:cs="宋体"/>
          <w:snapToGrid w:val="0"/>
          <w:color w:val="auto"/>
          <w:sz w:val="24"/>
          <w:highlight w:val="none"/>
        </w:rPr>
      </w:pPr>
      <w:r>
        <w:rPr>
          <w:rFonts w:ascii="宋体"/>
          <w:b/>
          <w:snapToGrid w:val="0"/>
          <w:color w:val="auto"/>
          <w:sz w:val="24"/>
          <w:szCs w:val="24"/>
          <w:highlight w:val="none"/>
        </w:rPr>
        <w:t>20.6.4</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保险金不足的补偿</w:t>
      </w:r>
    </w:p>
    <w:p w14:paraId="44923D45">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承包人负责补偿的范围与金额：</w:t>
      </w:r>
      <w:r>
        <w:rPr>
          <w:rFonts w:hint="eastAsia" w:ascii="宋体" w:hAnsi="宋体" w:cs="宋体"/>
          <w:snapToGrid w:val="0"/>
          <w:color w:val="auto"/>
          <w:sz w:val="24"/>
          <w:szCs w:val="24"/>
          <w:highlight w:val="none"/>
          <w:u w:val="single"/>
        </w:rPr>
        <w:t>免赔额部分及保险金不足的补偿均由承包人负责</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rPr>
        <w:t>。</w:t>
      </w:r>
    </w:p>
    <w:p w14:paraId="3EE89FCC">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u w:val="single"/>
        </w:rPr>
      </w:pPr>
      <w:r>
        <w:rPr>
          <w:rFonts w:hint="eastAsia" w:ascii="宋体" w:hAnsi="宋体" w:cs="宋体"/>
          <w:snapToGrid w:val="0"/>
          <w:color w:val="auto"/>
          <w:sz w:val="24"/>
          <w:szCs w:val="24"/>
          <w:highlight w:val="none"/>
        </w:rPr>
        <w:t>发包人负责补偿的范围与金额：</w:t>
      </w:r>
      <w:r>
        <w:rPr>
          <w:rFonts w:hint="eastAsia" w:ascii="宋体" w:hAnsi="宋体" w:cs="宋体"/>
          <w:snapToGrid w:val="0"/>
          <w:color w:val="auto"/>
          <w:sz w:val="24"/>
          <w:szCs w:val="24"/>
          <w:highlight w:val="none"/>
          <w:u w:val="single"/>
        </w:rPr>
        <w:t>由于本工程一切保险均由承包人负责投保，其费用均列入报价，故发包人不承担保险金不足的补偿</w:t>
      </w:r>
      <w:r>
        <w:rPr>
          <w:rFonts w:ascii="宋体" w:hAnsi="宋体" w:cs="宋体"/>
          <w:snapToGrid w:val="0"/>
          <w:color w:val="auto"/>
          <w:sz w:val="24"/>
          <w:szCs w:val="24"/>
          <w:highlight w:val="none"/>
          <w:u w:val="single"/>
        </w:rPr>
        <w:t xml:space="preserve"> </w:t>
      </w:r>
      <w:r>
        <w:rPr>
          <w:rFonts w:hint="eastAsia" w:ascii="宋体" w:hAnsi="宋体" w:cs="宋体"/>
          <w:snapToGrid w:val="0"/>
          <w:color w:val="auto"/>
          <w:sz w:val="24"/>
          <w:szCs w:val="24"/>
          <w:highlight w:val="none"/>
          <w:u w:val="single"/>
        </w:rPr>
        <w:t>。</w:t>
      </w:r>
    </w:p>
    <w:p w14:paraId="4A11543B">
      <w:pPr>
        <w:pStyle w:val="30"/>
        <w:snapToGrid w:val="0"/>
        <w:spacing w:beforeLines="0" w:afterLines="0" w:line="360" w:lineRule="auto"/>
        <w:ind w:firstLine="480" w:firstLineChars="200"/>
        <w:jc w:val="left"/>
        <w:rPr>
          <w:rFonts w:hint="eastAsia" w:ascii="宋体" w:hAnsi="宋体" w:cs="宋体"/>
          <w:snapToGrid w:val="0"/>
          <w:color w:val="auto"/>
          <w:sz w:val="24"/>
          <w:szCs w:val="24"/>
          <w:highlight w:val="none"/>
          <w:u w:val="single"/>
        </w:rPr>
      </w:pPr>
      <w:r>
        <w:rPr>
          <w:rFonts w:hint="eastAsia" w:ascii="宋体" w:hAnsi="宋体" w:cs="宋体"/>
          <w:snapToGrid w:val="0"/>
          <w:color w:val="auto"/>
          <w:sz w:val="24"/>
          <w:szCs w:val="24"/>
          <w:highlight w:val="none"/>
        </w:rPr>
        <w:t>承包人购买保险须经发包人同意并备案。</w:t>
      </w:r>
    </w:p>
    <w:p w14:paraId="0235F490">
      <w:pPr>
        <w:pStyle w:val="4"/>
        <w:kinsoku/>
        <w:spacing w:before="0" w:beforeLines="0" w:afterLines="0"/>
        <w:ind w:left="1"/>
        <w:outlineLvl w:val="2"/>
        <w:rPr>
          <w:rFonts w:cs="宋体"/>
          <w:b/>
          <w:bCs/>
          <w:color w:val="auto"/>
          <w:spacing w:val="0"/>
          <w:sz w:val="24"/>
          <w:szCs w:val="24"/>
          <w:highlight w:val="none"/>
          <w:lang w:eastAsia="zh-CN"/>
        </w:rPr>
      </w:pPr>
      <w:r>
        <w:rPr>
          <w:rFonts w:hint="eastAsia" w:ascii="宋体" w:hAnsi="宋体" w:eastAsia="宋体" w:cs="宋体"/>
          <w:b/>
          <w:bCs/>
          <w:color w:val="auto"/>
          <w:spacing w:val="0"/>
          <w:sz w:val="24"/>
          <w:szCs w:val="24"/>
          <w:highlight w:val="none"/>
          <w:lang w:eastAsia="zh-CN"/>
        </w:rPr>
        <w:t>22</w:t>
      </w:r>
      <w:r>
        <w:rPr>
          <w:rFonts w:hint="eastAsia" w:cs="宋体"/>
          <w:b/>
          <w:bCs/>
          <w:color w:val="auto"/>
          <w:spacing w:val="0"/>
          <w:sz w:val="24"/>
          <w:szCs w:val="24"/>
          <w:highlight w:val="none"/>
          <w:lang w:eastAsia="zh-CN"/>
        </w:rPr>
        <w:t>　</w:t>
      </w:r>
      <w:r>
        <w:rPr>
          <w:rFonts w:cs="宋体"/>
          <w:b/>
          <w:bCs/>
          <w:color w:val="auto"/>
          <w:spacing w:val="0"/>
          <w:sz w:val="24"/>
          <w:szCs w:val="24"/>
          <w:highlight w:val="none"/>
          <w:lang w:eastAsia="zh-CN"/>
        </w:rPr>
        <w:t>违约</w:t>
      </w:r>
    </w:p>
    <w:p w14:paraId="038856FD">
      <w:pPr>
        <w:pStyle w:val="30"/>
        <w:snapToGrid w:val="0"/>
        <w:spacing w:beforeLines="0" w:afterLines="0" w:line="360" w:lineRule="auto"/>
        <w:ind w:firstLine="0" w:firstLineChars="0"/>
        <w:jc w:val="both"/>
        <w:rPr>
          <w:rFonts w:ascii="宋体" w:hAnsi="宋体" w:cs="宋体"/>
          <w:b/>
          <w:color w:val="auto"/>
          <w:kern w:val="0"/>
          <w:sz w:val="24"/>
          <w:szCs w:val="24"/>
          <w:highlight w:val="none"/>
        </w:rPr>
      </w:pPr>
      <w:r>
        <w:rPr>
          <w:rFonts w:ascii="宋体" w:eastAsia="宋体"/>
          <w:b/>
          <w:snapToGrid w:val="0"/>
          <w:color w:val="auto"/>
          <w:kern w:val="0"/>
          <w:sz w:val="24"/>
          <w:szCs w:val="24"/>
          <w:highlight w:val="none"/>
        </w:rPr>
        <w:t>22.1</w:t>
      </w:r>
      <w:r>
        <w:rPr>
          <w:rFonts w:hint="eastAsia" w:ascii="宋体"/>
          <w:b/>
          <w:snapToGrid w:val="0"/>
          <w:color w:val="auto"/>
          <w:kern w:val="0"/>
          <w:sz w:val="24"/>
          <w:szCs w:val="24"/>
          <w:highlight w:val="none"/>
          <w:lang w:eastAsia="zh-CN"/>
        </w:rPr>
        <w:t>　</w:t>
      </w:r>
      <w:r>
        <w:rPr>
          <w:rFonts w:hint="eastAsia" w:ascii="宋体" w:hAnsi="楷体" w:eastAsia="宋体" w:cs="楷体"/>
          <w:b/>
          <w:bCs/>
          <w:snapToGrid w:val="0"/>
          <w:color w:val="auto"/>
          <w:spacing w:val="0"/>
          <w:kern w:val="0"/>
          <w:sz w:val="24"/>
          <w:szCs w:val="24"/>
          <w:highlight w:val="none"/>
        </w:rPr>
        <w:t>承包人违约</w:t>
      </w:r>
    </w:p>
    <w:p w14:paraId="56B1546B">
      <w:pPr>
        <w:pStyle w:val="30"/>
        <w:snapToGrid w:val="0"/>
        <w:spacing w:beforeLines="0" w:afterLines="0" w:line="360" w:lineRule="auto"/>
        <w:ind w:firstLine="0" w:firstLineChars="0"/>
        <w:rPr>
          <w:rFonts w:ascii="宋体" w:hAnsi="宋体" w:cs="宋体"/>
          <w:snapToGrid w:val="0"/>
          <w:color w:val="auto"/>
          <w:sz w:val="24"/>
          <w:highlight w:val="none"/>
        </w:rPr>
      </w:pPr>
      <w:r>
        <w:rPr>
          <w:rFonts w:ascii="宋体"/>
          <w:b/>
          <w:snapToGrid w:val="0"/>
          <w:color w:val="auto"/>
          <w:sz w:val="24"/>
          <w:szCs w:val="24"/>
          <w:highlight w:val="none"/>
        </w:rPr>
        <w:t>22.1.1</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承包人违约的情形</w:t>
      </w:r>
    </w:p>
    <w:p w14:paraId="6D80544C">
      <w:pPr>
        <w:pStyle w:val="30"/>
        <w:snapToGrid w:val="0"/>
        <w:spacing w:beforeLines="0" w:afterLines="0" w:line="360" w:lineRule="auto"/>
        <w:ind w:firstLine="480" w:firstLineChars="200"/>
        <w:rPr>
          <w:rFonts w:ascii="宋体" w:hAnsi="宋体" w:cs="宋体"/>
          <w:snapToGrid w:val="0"/>
          <w:color w:val="auto"/>
          <w:sz w:val="24"/>
          <w:highlight w:val="none"/>
        </w:rPr>
      </w:pPr>
      <w:r>
        <w:rPr>
          <w:rFonts w:hint="eastAsia" w:ascii="宋体" w:hAnsi="宋体" w:cs="宋体"/>
          <w:snapToGrid w:val="0"/>
          <w:color w:val="auto"/>
          <w:sz w:val="24"/>
          <w:szCs w:val="24"/>
          <w:highlight w:val="none"/>
        </w:rPr>
        <w:t>本项增加：</w:t>
      </w:r>
    </w:p>
    <w:p w14:paraId="6404639F">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8）</w:t>
      </w:r>
      <w:r>
        <w:rPr>
          <w:rFonts w:hint="eastAsia" w:ascii="宋体" w:hAnsi="宋体" w:cs="宋体"/>
          <w:snapToGrid w:val="0"/>
          <w:color w:val="auto"/>
          <w:sz w:val="24"/>
          <w:szCs w:val="24"/>
          <w:highlight w:val="none"/>
          <w:lang w:val="en-US" w:eastAsia="zh-CN"/>
        </w:rPr>
        <w:t>承包人的文明标化工地建设不满足</w:t>
      </w:r>
      <w:r>
        <w:rPr>
          <w:rFonts w:ascii="宋体" w:hAnsi="宋体" w:cs="宋体"/>
          <w:snapToGrid w:val="0"/>
          <w:color w:val="auto"/>
          <w:sz w:val="24"/>
          <w:szCs w:val="24"/>
          <w:highlight w:val="none"/>
        </w:rPr>
        <w:t>招标文件的要求。</w:t>
      </w:r>
    </w:p>
    <w:p w14:paraId="27BE50C3">
      <w:pPr>
        <w:kinsoku/>
        <w:ind w:firstLine="0"/>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snapToGrid w:val="0"/>
          <w:color w:val="auto"/>
          <w:sz w:val="24"/>
          <w:szCs w:val="24"/>
          <w:highlight w:val="none"/>
        </w:rPr>
        <w:t>9</w:t>
      </w:r>
      <w:r>
        <w:rPr>
          <w:rFonts w:hint="eastAsia" w:ascii="宋体" w:hAnsi="宋体" w:cs="宋体"/>
          <w:snapToGrid w:val="0"/>
          <w:color w:val="auto"/>
          <w:sz w:val="24"/>
          <w:szCs w:val="24"/>
          <w:highlight w:val="none"/>
        </w:rPr>
        <w:t>）连续二个月未完成监理人批准的施工月度计划。</w:t>
      </w:r>
    </w:p>
    <w:p w14:paraId="2669ECEF">
      <w:pPr>
        <w:kinsoku/>
        <w:ind w:firstLine="0"/>
        <w:rPr>
          <w:rFonts w:hint="eastAsia" w:cs="宋体"/>
          <w:color w:val="auto"/>
          <w:highlight w:val="none"/>
          <w:lang w:val="en-US" w:eastAsia="zh-CN"/>
        </w:rPr>
      </w:pPr>
      <w:r>
        <w:rPr>
          <w:rFonts w:hint="eastAsia" w:cs="宋体"/>
          <w:color w:val="auto"/>
          <w:highlight w:val="none"/>
          <w:lang w:eastAsia="zh-CN"/>
        </w:rPr>
        <w:t>（</w:t>
      </w:r>
      <w:r>
        <w:rPr>
          <w:rFonts w:hint="eastAsia" w:cs="宋体"/>
          <w:color w:val="auto"/>
          <w:highlight w:val="none"/>
          <w:lang w:val="en-US" w:eastAsia="zh-CN"/>
        </w:rPr>
        <w:t>10</w:t>
      </w:r>
      <w:r>
        <w:rPr>
          <w:rFonts w:hint="eastAsia" w:cs="宋体"/>
          <w:color w:val="auto"/>
          <w:highlight w:val="none"/>
          <w:lang w:eastAsia="zh-CN"/>
        </w:rPr>
        <w:t>）</w:t>
      </w:r>
      <w:r>
        <w:rPr>
          <w:rFonts w:hint="eastAsia" w:cs="宋体"/>
          <w:color w:val="auto"/>
          <w:highlight w:val="none"/>
          <w:lang w:val="en-US" w:eastAsia="zh-CN"/>
        </w:rPr>
        <w:t>承包人在投标文件中承诺的项目管理人员的配备和专业配置、施工总平面布置、施工进度计划、施工质量的控制、安全生产管理体系及保证措施、施工设备和检测仪器的投入、安全、文明施工及标化建设、水土保持和环境保护措施，且符合第三章第4.3节《技术评分标准表》“良好”或“优秀”标准，但在实际未按投标文件兑现承诺。</w:t>
      </w:r>
    </w:p>
    <w:p w14:paraId="473F4334">
      <w:pPr>
        <w:kinsoku/>
        <w:spacing w:beforeLines="0" w:afterLines="0"/>
        <w:ind w:firstLine="0" w:firstLineChars="0"/>
        <w:rPr>
          <w:rFonts w:cs="宋体"/>
          <w:color w:val="auto"/>
          <w:kern w:val="2"/>
          <w:szCs w:val="21"/>
          <w:highlight w:val="none"/>
          <w:lang w:eastAsia="zh-CN"/>
        </w:rPr>
      </w:pPr>
      <w:r>
        <w:rPr>
          <w:rFonts w:ascii="宋体" w:hAnsi="Times New Roman" w:cs="Times New Roman"/>
          <w:b/>
          <w:snapToGrid w:val="0"/>
          <w:color w:val="auto"/>
          <w:kern w:val="2"/>
          <w:szCs w:val="21"/>
          <w:highlight w:val="none"/>
          <w:lang w:eastAsia="zh-CN"/>
        </w:rPr>
        <w:t>22.1.2</w:t>
      </w:r>
      <w:r>
        <w:rPr>
          <w:rFonts w:hint="eastAsia" w:hAnsi="Times New Roman" w:cs="Times New Roman"/>
          <w:b/>
          <w:snapToGrid w:val="0"/>
          <w:color w:val="auto"/>
          <w:kern w:val="2"/>
          <w:szCs w:val="21"/>
          <w:highlight w:val="none"/>
          <w:lang w:eastAsia="zh-CN"/>
        </w:rPr>
        <w:t>　</w:t>
      </w:r>
      <w:r>
        <w:rPr>
          <w:rFonts w:hint="eastAsia" w:ascii="宋体" w:cs="宋体"/>
          <w:snapToGrid w:val="0"/>
          <w:color w:val="auto"/>
          <w:kern w:val="2"/>
          <w:szCs w:val="21"/>
          <w:highlight w:val="none"/>
          <w:lang w:eastAsia="zh-CN"/>
        </w:rPr>
        <w:t>对承包人违约的处理</w:t>
      </w:r>
    </w:p>
    <w:p w14:paraId="775369F2">
      <w:pPr>
        <w:pStyle w:val="30"/>
        <w:snapToGrid w:val="0"/>
        <w:spacing w:beforeLines="0" w:afterLines="0" w:line="360" w:lineRule="auto"/>
        <w:ind w:firstLine="480" w:firstLineChars="200"/>
        <w:jc w:val="both"/>
        <w:rPr>
          <w:rFonts w:ascii="宋体" w:hAnsi="宋体" w:cs="宋体"/>
          <w:snapToGrid w:val="0"/>
          <w:color w:val="auto"/>
          <w:sz w:val="24"/>
          <w:highlight w:val="none"/>
        </w:rPr>
      </w:pPr>
      <w:r>
        <w:rPr>
          <w:rFonts w:hint="eastAsia" w:ascii="宋体" w:hAnsi="宋体" w:cs="宋体"/>
          <w:snapToGrid w:val="0"/>
          <w:color w:val="auto"/>
          <w:sz w:val="24"/>
          <w:szCs w:val="24"/>
          <w:highlight w:val="none"/>
        </w:rPr>
        <w:t>本项增加：</w:t>
      </w:r>
    </w:p>
    <w:p w14:paraId="70FD1F2E">
      <w:pPr>
        <w:pStyle w:val="30"/>
        <w:numPr>
          <w:ilvl w:val="0"/>
          <w:numId w:val="0"/>
        </w:numPr>
        <w:snapToGrid w:val="0"/>
        <w:spacing w:beforeLines="0" w:afterLines="0" w:line="360" w:lineRule="auto"/>
        <w:ind w:firstLine="480" w:firstLineChars="200"/>
        <w:jc w:val="both"/>
        <w:rPr>
          <w:rFonts w:hint="eastAsia" w:ascii="宋体" w:hAnsi="宋体" w:cs="宋体"/>
          <w:snapToGrid w:val="0"/>
          <w:color w:val="auto"/>
          <w:sz w:val="24"/>
          <w:szCs w:val="24"/>
          <w:highlight w:val="none"/>
        </w:rPr>
      </w:pPr>
      <w:r>
        <w:rPr>
          <w:rFonts w:hint="eastAsia" w:ascii="宋体" w:hAnsi="宋体" w:eastAsia="宋体" w:cs="宋体"/>
          <w:snapToGrid w:val="0"/>
          <w:color w:val="auto"/>
          <w:kern w:val="2"/>
          <w:sz w:val="24"/>
          <w:szCs w:val="24"/>
          <w:highlight w:val="none"/>
          <w:lang w:val="en-US" w:eastAsia="zh-CN" w:bidi="ar-SA"/>
        </w:rPr>
        <w:t>（4）</w:t>
      </w:r>
      <w:r>
        <w:rPr>
          <w:rFonts w:hint="eastAsia" w:ascii="宋体" w:hAnsi="宋体" w:cs="宋体"/>
          <w:snapToGrid w:val="0"/>
          <w:color w:val="auto"/>
          <w:sz w:val="24"/>
          <w:szCs w:val="24"/>
          <w:highlight w:val="none"/>
        </w:rPr>
        <w:t>承包人发生第</w:t>
      </w:r>
      <w:r>
        <w:rPr>
          <w:rFonts w:ascii="宋体"/>
          <w:snapToGrid w:val="0"/>
          <w:color w:val="auto"/>
          <w:sz w:val="24"/>
          <w:szCs w:val="24"/>
          <w:highlight w:val="none"/>
        </w:rPr>
        <w:t>22.1.1</w:t>
      </w:r>
      <w:r>
        <w:rPr>
          <w:rFonts w:hint="eastAsia" w:ascii="宋体"/>
          <w:snapToGrid w:val="0"/>
          <w:color w:val="auto"/>
          <w:sz w:val="24"/>
          <w:szCs w:val="24"/>
          <w:highlight w:val="none"/>
        </w:rPr>
        <w:t>（8）</w:t>
      </w:r>
      <w:r>
        <w:rPr>
          <w:rFonts w:hint="eastAsia" w:ascii="宋体" w:hAnsi="宋体" w:cs="宋体"/>
          <w:snapToGrid w:val="0"/>
          <w:color w:val="auto"/>
          <w:sz w:val="24"/>
          <w:szCs w:val="24"/>
          <w:highlight w:val="none"/>
        </w:rPr>
        <w:t>目约定的违约情形时，若发现问题且情节较轻，发包人第一次警告，并限期整改，情节较重的，处以</w:t>
      </w:r>
      <w:r>
        <w:rPr>
          <w:rFonts w:ascii="宋体"/>
          <w:snapToGrid w:val="0"/>
          <w:color w:val="auto"/>
          <w:sz w:val="24"/>
          <w:szCs w:val="24"/>
          <w:highlight w:val="none"/>
        </w:rPr>
        <w:t>1000</w:t>
      </w:r>
      <w:r>
        <w:rPr>
          <w:rFonts w:hint="eastAsia" w:ascii="宋体" w:hAnsi="宋体" w:cs="宋体"/>
          <w:snapToGrid w:val="0"/>
          <w:color w:val="auto"/>
          <w:sz w:val="24"/>
          <w:szCs w:val="24"/>
          <w:highlight w:val="none"/>
        </w:rPr>
        <w:t>至</w:t>
      </w:r>
      <w:r>
        <w:rPr>
          <w:rFonts w:ascii="宋体"/>
          <w:snapToGrid w:val="0"/>
          <w:color w:val="auto"/>
          <w:sz w:val="24"/>
          <w:szCs w:val="24"/>
          <w:highlight w:val="none"/>
        </w:rPr>
        <w:t>5000</w:t>
      </w:r>
      <w:r>
        <w:rPr>
          <w:rFonts w:hint="eastAsia" w:ascii="宋体" w:hAnsi="宋体" w:cs="宋体"/>
          <w:snapToGrid w:val="0"/>
          <w:color w:val="auto"/>
          <w:sz w:val="24"/>
          <w:szCs w:val="24"/>
          <w:highlight w:val="none"/>
        </w:rPr>
        <w:t>元违约金；被二次发现问题，处以</w:t>
      </w:r>
      <w:r>
        <w:rPr>
          <w:rFonts w:ascii="宋体"/>
          <w:snapToGrid w:val="0"/>
          <w:color w:val="auto"/>
          <w:sz w:val="24"/>
          <w:szCs w:val="24"/>
          <w:highlight w:val="none"/>
        </w:rPr>
        <w:t>5000</w:t>
      </w:r>
      <w:r>
        <w:rPr>
          <w:rFonts w:hint="eastAsia" w:ascii="宋体" w:hAnsi="宋体" w:cs="宋体"/>
          <w:snapToGrid w:val="0"/>
          <w:color w:val="auto"/>
          <w:sz w:val="24"/>
          <w:szCs w:val="24"/>
          <w:highlight w:val="none"/>
        </w:rPr>
        <w:t>元整的违约金，若再次发生，违约金加倍。若由于施工不文明、不安全等被媒体曝光或被</w:t>
      </w:r>
      <w:r>
        <w:rPr>
          <w:rFonts w:hint="eastAsia" w:ascii="宋体" w:hAnsi="宋体" w:cs="宋体"/>
          <w:snapToGrid w:val="0"/>
          <w:color w:val="auto"/>
          <w:sz w:val="24"/>
          <w:szCs w:val="24"/>
          <w:highlight w:val="none"/>
          <w:lang w:val="en-US" w:eastAsia="zh-CN"/>
        </w:rPr>
        <w:t>发包人检查通报，</w:t>
      </w:r>
      <w:r>
        <w:rPr>
          <w:rFonts w:hint="eastAsia" w:ascii="宋体" w:hAnsi="宋体" w:cs="宋体"/>
          <w:snapToGrid w:val="0"/>
          <w:color w:val="auto"/>
          <w:sz w:val="24"/>
          <w:szCs w:val="24"/>
          <w:highlight w:val="none"/>
        </w:rPr>
        <w:t>每次处以</w:t>
      </w:r>
      <w:r>
        <w:rPr>
          <w:rFonts w:ascii="宋体"/>
          <w:snapToGrid w:val="0"/>
          <w:color w:val="auto"/>
          <w:sz w:val="24"/>
          <w:szCs w:val="24"/>
          <w:highlight w:val="none"/>
        </w:rPr>
        <w:t>10000</w:t>
      </w:r>
      <w:r>
        <w:rPr>
          <w:rFonts w:hint="eastAsia" w:ascii="宋体" w:hAnsi="宋体" w:cs="宋体"/>
          <w:snapToGrid w:val="0"/>
          <w:color w:val="auto"/>
          <w:sz w:val="24"/>
          <w:szCs w:val="24"/>
          <w:highlight w:val="none"/>
        </w:rPr>
        <w:t>元违约金</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lang w:val="en-US" w:eastAsia="zh-CN"/>
        </w:rPr>
        <w:t>被</w:t>
      </w:r>
      <w:r>
        <w:rPr>
          <w:rFonts w:hint="eastAsia" w:ascii="宋体" w:hAnsi="宋体" w:cs="宋体"/>
          <w:snapToGrid w:val="0"/>
          <w:color w:val="auto"/>
          <w:sz w:val="24"/>
          <w:szCs w:val="24"/>
          <w:highlight w:val="none"/>
        </w:rPr>
        <w:t>有关行政管理部门检查通报，每次处以</w:t>
      </w:r>
      <w:r>
        <w:rPr>
          <w:rFonts w:hint="eastAsia" w:ascii="宋体" w:hAnsi="宋体" w:cs="宋体"/>
          <w:snapToGrid w:val="0"/>
          <w:color w:val="auto"/>
          <w:sz w:val="24"/>
          <w:szCs w:val="24"/>
          <w:highlight w:val="none"/>
          <w:lang w:val="en-US" w:eastAsia="zh-CN"/>
        </w:rPr>
        <w:t>10000-</w:t>
      </w:r>
      <w:r>
        <w:rPr>
          <w:rFonts w:ascii="宋体"/>
          <w:snapToGrid w:val="0"/>
          <w:color w:val="auto"/>
          <w:sz w:val="24"/>
          <w:szCs w:val="24"/>
          <w:highlight w:val="none"/>
        </w:rPr>
        <w:t>1</w:t>
      </w:r>
      <w:r>
        <w:rPr>
          <w:rFonts w:hint="eastAsia" w:ascii="宋体"/>
          <w:snapToGrid w:val="0"/>
          <w:color w:val="auto"/>
          <w:sz w:val="24"/>
          <w:szCs w:val="24"/>
          <w:highlight w:val="none"/>
          <w:lang w:val="en-US" w:eastAsia="zh-CN"/>
        </w:rPr>
        <w:t>0</w:t>
      </w:r>
      <w:r>
        <w:rPr>
          <w:rFonts w:ascii="宋体"/>
          <w:snapToGrid w:val="0"/>
          <w:color w:val="auto"/>
          <w:sz w:val="24"/>
          <w:szCs w:val="24"/>
          <w:highlight w:val="none"/>
        </w:rPr>
        <w:t>0000</w:t>
      </w:r>
      <w:r>
        <w:rPr>
          <w:rFonts w:hint="eastAsia" w:ascii="宋体" w:hAnsi="宋体" w:cs="宋体"/>
          <w:snapToGrid w:val="0"/>
          <w:color w:val="auto"/>
          <w:sz w:val="24"/>
          <w:szCs w:val="24"/>
          <w:highlight w:val="none"/>
        </w:rPr>
        <w:t>元违约金。</w:t>
      </w:r>
    </w:p>
    <w:p w14:paraId="2530BB76">
      <w:pPr>
        <w:kinsoku/>
        <w:ind w:firstLine="0"/>
        <w:rPr>
          <w:rFonts w:hint="eastAsia" w:cs="宋体"/>
          <w:color w:val="auto"/>
          <w:highlight w:val="none"/>
          <w:lang w:val="en-US" w:eastAsia="zh-CN"/>
        </w:rPr>
      </w:pPr>
      <w:r>
        <w:rPr>
          <w:rFonts w:hint="eastAsia" w:cs="宋体"/>
          <w:color w:val="auto"/>
          <w:highlight w:val="none"/>
          <w:lang w:val="en-US" w:eastAsia="zh-CN"/>
        </w:rPr>
        <w:t>经文明标化工地检查组检查未达到文明标化工地标准的，每次处以违约金1000-10000元，从工程结算款中扣除，承包人不得以此影响施工期安全文明措施安排。最终未获评省级水利文明标化工地的，违约金按完工结算审计价的0.1%计，在完工结算时扣除。两种违约金分别计算，分别扣除。</w:t>
      </w:r>
    </w:p>
    <w:p w14:paraId="02102A66">
      <w:pPr>
        <w:pStyle w:val="30"/>
        <w:snapToGrid w:val="0"/>
        <w:spacing w:beforeLines="0" w:afterLines="0" w:line="360" w:lineRule="auto"/>
        <w:ind w:firstLine="480" w:firstLineChars="200"/>
        <w:jc w:val="both"/>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r>
        <w:rPr>
          <w:rFonts w:ascii="宋体"/>
          <w:snapToGrid w:val="0"/>
          <w:color w:val="auto"/>
          <w:sz w:val="24"/>
          <w:szCs w:val="24"/>
          <w:highlight w:val="none"/>
        </w:rPr>
        <w:t>5</w:t>
      </w:r>
      <w:r>
        <w:rPr>
          <w:rFonts w:hint="eastAsia" w:ascii="宋体" w:hAnsi="宋体" w:cs="宋体"/>
          <w:snapToGrid w:val="0"/>
          <w:color w:val="auto"/>
          <w:sz w:val="24"/>
          <w:szCs w:val="24"/>
          <w:highlight w:val="none"/>
        </w:rPr>
        <w:t>）承包人发生第</w:t>
      </w:r>
      <w:r>
        <w:rPr>
          <w:rFonts w:ascii="宋体"/>
          <w:snapToGrid w:val="0"/>
          <w:color w:val="auto"/>
          <w:sz w:val="24"/>
          <w:szCs w:val="24"/>
          <w:highlight w:val="none"/>
        </w:rPr>
        <w:t>22</w:t>
      </w:r>
      <w:r>
        <w:rPr>
          <w:rFonts w:ascii="宋体" w:hAnsi="宋体" w:cs="宋体"/>
          <w:snapToGrid w:val="0"/>
          <w:color w:val="auto"/>
          <w:sz w:val="24"/>
          <w:szCs w:val="24"/>
          <w:highlight w:val="none"/>
        </w:rPr>
        <w:t>.</w:t>
      </w:r>
      <w:r>
        <w:rPr>
          <w:rFonts w:ascii="宋体"/>
          <w:snapToGrid w:val="0"/>
          <w:color w:val="auto"/>
          <w:sz w:val="24"/>
          <w:szCs w:val="24"/>
          <w:highlight w:val="none"/>
        </w:rPr>
        <w:t>1</w:t>
      </w:r>
      <w:r>
        <w:rPr>
          <w:rFonts w:ascii="宋体" w:hAnsi="宋体" w:cs="宋体"/>
          <w:snapToGrid w:val="0"/>
          <w:color w:val="auto"/>
          <w:sz w:val="24"/>
          <w:szCs w:val="24"/>
          <w:highlight w:val="none"/>
        </w:rPr>
        <w:t>.</w:t>
      </w:r>
      <w:r>
        <w:rPr>
          <w:rFonts w:ascii="宋体"/>
          <w:snapToGrid w:val="0"/>
          <w:color w:val="auto"/>
          <w:sz w:val="24"/>
          <w:szCs w:val="24"/>
          <w:highlight w:val="none"/>
        </w:rPr>
        <w:t>1</w:t>
      </w:r>
      <w:r>
        <w:rPr>
          <w:rFonts w:ascii="宋体" w:hAnsi="宋体" w:cs="宋体"/>
          <w:snapToGrid w:val="0"/>
          <w:color w:val="auto"/>
          <w:sz w:val="24"/>
          <w:szCs w:val="24"/>
          <w:highlight w:val="none"/>
        </w:rPr>
        <w:t>（</w:t>
      </w:r>
      <w:r>
        <w:rPr>
          <w:rFonts w:ascii="宋体"/>
          <w:snapToGrid w:val="0"/>
          <w:color w:val="auto"/>
          <w:sz w:val="24"/>
          <w:szCs w:val="24"/>
          <w:highlight w:val="none"/>
        </w:rPr>
        <w:t>9</w:t>
      </w:r>
      <w:r>
        <w:rPr>
          <w:rFonts w:hint="eastAsia" w:ascii="宋体" w:hAnsi="宋体" w:cs="宋体"/>
          <w:snapToGrid w:val="0"/>
          <w:color w:val="auto"/>
          <w:sz w:val="24"/>
          <w:szCs w:val="24"/>
          <w:highlight w:val="none"/>
        </w:rPr>
        <w:t>）目约定的情形时，发包人按照不良行为记录上报市级、省级水行政主管部门。</w:t>
      </w:r>
    </w:p>
    <w:p w14:paraId="3004A96F">
      <w:pPr>
        <w:kinsoku/>
        <w:ind w:firstLine="0"/>
        <w:rPr>
          <w:rFonts w:hint="eastAsia"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6</w:t>
      </w:r>
      <w:r>
        <w:rPr>
          <w:rFonts w:hint="eastAsia" w:cs="宋体"/>
          <w:color w:val="auto"/>
          <w:highlight w:val="none"/>
          <w:lang w:eastAsia="zh-CN"/>
        </w:rPr>
        <w:t>）</w:t>
      </w:r>
      <w:r>
        <w:rPr>
          <w:rFonts w:cs="宋体"/>
          <w:color w:val="auto"/>
          <w:highlight w:val="none"/>
          <w:lang w:eastAsia="zh-CN"/>
        </w:rPr>
        <w:t>承包人发生第</w:t>
      </w:r>
      <w:r>
        <w:rPr>
          <w:rFonts w:hAnsi="Times New Roman" w:cs="Times New Roman"/>
          <w:color w:val="auto"/>
          <w:highlight w:val="none"/>
          <w:lang w:eastAsia="zh-CN"/>
        </w:rPr>
        <w:t>22.1.1</w:t>
      </w:r>
      <w:r>
        <w:rPr>
          <w:rFonts w:cs="宋体"/>
          <w:color w:val="auto"/>
          <w:highlight w:val="none"/>
          <w:lang w:eastAsia="zh-CN"/>
        </w:rPr>
        <w:t>（</w:t>
      </w:r>
      <w:r>
        <w:rPr>
          <w:rFonts w:hint="eastAsia" w:cs="宋体"/>
          <w:color w:val="auto"/>
          <w:highlight w:val="none"/>
          <w:lang w:val="en-US" w:eastAsia="zh-CN"/>
        </w:rPr>
        <w:t>10</w:t>
      </w:r>
      <w:r>
        <w:rPr>
          <w:rFonts w:cs="宋体"/>
          <w:color w:val="auto"/>
          <w:highlight w:val="none"/>
          <w:lang w:eastAsia="zh-CN"/>
        </w:rPr>
        <w:t>）目约定的违约情况时，发包人</w:t>
      </w:r>
      <w:r>
        <w:rPr>
          <w:rFonts w:hint="eastAsia" w:cs="宋体"/>
          <w:color w:val="auto"/>
          <w:highlight w:val="none"/>
          <w:lang w:val="en-US" w:eastAsia="zh-CN"/>
        </w:rPr>
        <w:t>有权根据本标段整体履约配合情况综合考虑，按每缺少1项10万元扣除违约金，其中：钢模台车按80万元/台扣除违约金，凿岩台车按320万元/台扣除违约金</w:t>
      </w:r>
      <w:r>
        <w:rPr>
          <w:rFonts w:cs="宋体"/>
          <w:color w:val="auto"/>
          <w:highlight w:val="none"/>
          <w:lang w:eastAsia="zh-CN"/>
        </w:rPr>
        <w:t>。</w:t>
      </w:r>
    </w:p>
    <w:p w14:paraId="0FA1FEC1">
      <w:pPr>
        <w:kinsoku/>
        <w:spacing w:beforeLines="0" w:afterLines="0"/>
        <w:ind w:firstLine="420"/>
        <w:rPr>
          <w:rFonts w:cs="宋体"/>
          <w:color w:val="auto"/>
          <w:szCs w:val="21"/>
          <w:highlight w:val="none"/>
          <w:lang w:eastAsia="zh-CN"/>
        </w:rPr>
      </w:pPr>
      <w:r>
        <w:rPr>
          <w:rFonts w:hint="eastAsia" w:ascii="宋体" w:cs="宋体"/>
          <w:snapToGrid w:val="0"/>
          <w:color w:val="auto"/>
          <w:kern w:val="0"/>
          <w:szCs w:val="21"/>
          <w:highlight w:val="none"/>
          <w:lang w:eastAsia="zh-CN"/>
        </w:rPr>
        <w:t>（</w:t>
      </w:r>
      <w:r>
        <w:rPr>
          <w:rFonts w:hint="eastAsia" w:cs="宋体"/>
          <w:snapToGrid w:val="0"/>
          <w:color w:val="auto"/>
          <w:kern w:val="0"/>
          <w:szCs w:val="21"/>
          <w:highlight w:val="none"/>
          <w:lang w:val="en-US" w:eastAsia="zh-CN"/>
        </w:rPr>
        <w:t>7</w:t>
      </w:r>
      <w:r>
        <w:rPr>
          <w:rFonts w:hint="eastAsia" w:ascii="宋体" w:cs="宋体"/>
          <w:snapToGrid w:val="0"/>
          <w:color w:val="auto"/>
          <w:kern w:val="0"/>
          <w:szCs w:val="21"/>
          <w:highlight w:val="none"/>
          <w:lang w:eastAsia="zh-CN"/>
        </w:rPr>
        <w:t>）项目管理：</w:t>
      </w:r>
    </w:p>
    <w:p w14:paraId="4344A3FC">
      <w:pPr>
        <w:kinsoku/>
        <w:spacing w:beforeLines="0" w:afterLines="0"/>
        <w:ind w:firstLine="420"/>
        <w:rPr>
          <w:rFonts w:cs="宋体"/>
          <w:color w:val="auto"/>
          <w:kern w:val="2"/>
          <w:szCs w:val="21"/>
          <w:highlight w:val="none"/>
          <w:lang w:eastAsia="zh-CN"/>
        </w:rPr>
      </w:pPr>
      <w:r>
        <w:rPr>
          <w:rFonts w:ascii="宋体" w:cs="宋体"/>
          <w:snapToGrid w:val="0"/>
          <w:color w:val="auto"/>
          <w:kern w:val="2"/>
          <w:szCs w:val="21"/>
          <w:highlight w:val="none"/>
          <w:lang w:eastAsia="zh-CN"/>
        </w:rPr>
        <w:t>1</w:t>
      </w:r>
      <w:r>
        <w:rPr>
          <w:rFonts w:hint="eastAsia" w:ascii="宋体" w:cs="宋体"/>
          <w:snapToGrid w:val="0"/>
          <w:color w:val="auto"/>
          <w:kern w:val="2"/>
          <w:szCs w:val="21"/>
          <w:highlight w:val="none"/>
          <w:lang w:eastAsia="zh-CN"/>
        </w:rPr>
        <w:t>）质量管理体系、规章制度及岗位责任制度不完善的，处以</w:t>
      </w:r>
      <w:r>
        <w:rPr>
          <w:rFonts w:hint="eastAsia" w:cs="宋体"/>
          <w:snapToGrid w:val="0"/>
          <w:color w:val="auto"/>
          <w:kern w:val="2"/>
          <w:szCs w:val="21"/>
          <w:highlight w:val="none"/>
          <w:lang w:val="en-US" w:eastAsia="zh-CN"/>
        </w:rPr>
        <w:t>1000-</w:t>
      </w:r>
      <w:r>
        <w:rPr>
          <w:rFonts w:ascii="宋体" w:cs="宋体"/>
          <w:snapToGrid w:val="0"/>
          <w:color w:val="auto"/>
          <w:kern w:val="2"/>
          <w:szCs w:val="21"/>
          <w:highlight w:val="none"/>
          <w:lang w:eastAsia="zh-CN"/>
        </w:rPr>
        <w:t>10000元/次的违约金。</w:t>
      </w:r>
    </w:p>
    <w:p w14:paraId="46B3789A">
      <w:pPr>
        <w:kinsoku/>
        <w:spacing w:beforeLines="0" w:afterLines="0"/>
        <w:ind w:firstLine="420"/>
        <w:rPr>
          <w:rFonts w:cs="宋体"/>
          <w:color w:val="auto"/>
          <w:kern w:val="2"/>
          <w:szCs w:val="21"/>
          <w:highlight w:val="none"/>
          <w:lang w:eastAsia="zh-CN"/>
        </w:rPr>
      </w:pPr>
      <w:r>
        <w:rPr>
          <w:rFonts w:ascii="宋体" w:cs="宋体"/>
          <w:snapToGrid w:val="0"/>
          <w:color w:val="auto"/>
          <w:kern w:val="2"/>
          <w:szCs w:val="21"/>
          <w:highlight w:val="none"/>
          <w:lang w:eastAsia="zh-CN"/>
        </w:rPr>
        <w:t>2</w:t>
      </w:r>
      <w:r>
        <w:rPr>
          <w:rFonts w:hint="eastAsia" w:ascii="宋体" w:cs="宋体"/>
          <w:snapToGrid w:val="0"/>
          <w:color w:val="auto"/>
          <w:kern w:val="2"/>
          <w:szCs w:val="21"/>
          <w:highlight w:val="none"/>
          <w:lang w:eastAsia="zh-CN"/>
        </w:rPr>
        <w:t>）施工组织设计不完善、专项施工方案未有针对性、实施措施不具体、资料不齐全的，处以</w:t>
      </w:r>
      <w:r>
        <w:rPr>
          <w:rFonts w:hint="eastAsia" w:cs="宋体"/>
          <w:snapToGrid w:val="0"/>
          <w:color w:val="auto"/>
          <w:kern w:val="2"/>
          <w:szCs w:val="21"/>
          <w:highlight w:val="none"/>
          <w:lang w:val="en-US" w:eastAsia="zh-CN"/>
        </w:rPr>
        <w:t>1000-10000</w:t>
      </w:r>
      <w:r>
        <w:rPr>
          <w:rFonts w:hint="eastAsia" w:ascii="宋体" w:cs="宋体"/>
          <w:snapToGrid w:val="0"/>
          <w:color w:val="auto"/>
          <w:kern w:val="2"/>
          <w:szCs w:val="21"/>
          <w:highlight w:val="none"/>
          <w:lang w:eastAsia="zh-CN"/>
        </w:rPr>
        <w:t>元</w:t>
      </w:r>
      <w:r>
        <w:rPr>
          <w:rFonts w:ascii="宋体" w:cs="宋体"/>
          <w:snapToGrid w:val="0"/>
          <w:color w:val="auto"/>
          <w:kern w:val="2"/>
          <w:szCs w:val="21"/>
          <w:highlight w:val="none"/>
          <w:lang w:eastAsia="zh-CN"/>
        </w:rPr>
        <w:t>/项的违约金。</w:t>
      </w:r>
    </w:p>
    <w:p w14:paraId="5622400A">
      <w:pPr>
        <w:kinsoku/>
        <w:spacing w:beforeLines="0" w:afterLines="0"/>
        <w:ind w:firstLine="420"/>
        <w:rPr>
          <w:rFonts w:cs="宋体"/>
          <w:color w:val="auto"/>
          <w:kern w:val="2"/>
          <w:szCs w:val="21"/>
          <w:highlight w:val="none"/>
          <w:lang w:eastAsia="zh-CN"/>
        </w:rPr>
      </w:pPr>
      <w:r>
        <w:rPr>
          <w:rFonts w:hint="eastAsia" w:cs="宋体"/>
          <w:snapToGrid w:val="0"/>
          <w:color w:val="auto"/>
          <w:kern w:val="2"/>
          <w:szCs w:val="21"/>
          <w:highlight w:val="none"/>
          <w:lang w:val="en-US" w:eastAsia="zh-CN"/>
        </w:rPr>
        <w:t>3</w:t>
      </w:r>
      <w:r>
        <w:rPr>
          <w:rFonts w:hint="eastAsia" w:ascii="宋体" w:cs="宋体"/>
          <w:snapToGrid w:val="0"/>
          <w:color w:val="auto"/>
          <w:kern w:val="2"/>
          <w:szCs w:val="21"/>
          <w:highlight w:val="none"/>
          <w:lang w:eastAsia="zh-CN"/>
        </w:rPr>
        <w:t>）未对新进施工人员进行教育培训而直接上岗的，处以</w:t>
      </w:r>
      <w:r>
        <w:rPr>
          <w:rFonts w:ascii="宋体" w:cs="宋体"/>
          <w:snapToGrid w:val="0"/>
          <w:color w:val="auto"/>
          <w:kern w:val="2"/>
          <w:szCs w:val="21"/>
          <w:highlight w:val="none"/>
          <w:lang w:eastAsia="zh-CN"/>
        </w:rPr>
        <w:t>1000元/人次的违约金。</w:t>
      </w:r>
    </w:p>
    <w:p w14:paraId="1CB5BF80">
      <w:pPr>
        <w:kinsoku/>
        <w:spacing w:beforeLines="0" w:afterLines="0"/>
        <w:ind w:firstLine="420"/>
        <w:rPr>
          <w:rFonts w:cs="宋体"/>
          <w:color w:val="auto"/>
          <w:kern w:val="2"/>
          <w:szCs w:val="21"/>
          <w:highlight w:val="none"/>
          <w:lang w:eastAsia="zh-CN"/>
        </w:rPr>
      </w:pPr>
      <w:r>
        <w:rPr>
          <w:rFonts w:hint="eastAsia" w:cs="宋体"/>
          <w:snapToGrid w:val="0"/>
          <w:color w:val="auto"/>
          <w:kern w:val="2"/>
          <w:szCs w:val="21"/>
          <w:highlight w:val="none"/>
          <w:lang w:val="en-US" w:eastAsia="zh-CN"/>
        </w:rPr>
        <w:t>4</w:t>
      </w:r>
      <w:r>
        <w:rPr>
          <w:rFonts w:hint="eastAsia" w:ascii="宋体" w:cs="宋体"/>
          <w:snapToGrid w:val="0"/>
          <w:color w:val="auto"/>
          <w:kern w:val="2"/>
          <w:szCs w:val="21"/>
          <w:highlight w:val="none"/>
          <w:lang w:eastAsia="zh-CN"/>
        </w:rPr>
        <w:t>）各施工队伍间若出现打架现象，发包人将视情节严重程度每次处以</w:t>
      </w:r>
      <w:r>
        <w:rPr>
          <w:rFonts w:ascii="宋体" w:cs="宋体"/>
          <w:snapToGrid w:val="0"/>
          <w:color w:val="auto"/>
          <w:kern w:val="2"/>
          <w:szCs w:val="21"/>
          <w:highlight w:val="none"/>
          <w:lang w:eastAsia="zh-CN"/>
        </w:rPr>
        <w:t>5000</w:t>
      </w:r>
      <w:r>
        <w:rPr>
          <w:rFonts w:hint="eastAsia" w:ascii="宋体" w:cs="宋体"/>
          <w:snapToGrid w:val="0"/>
          <w:color w:val="auto"/>
          <w:kern w:val="2"/>
          <w:szCs w:val="21"/>
          <w:highlight w:val="none"/>
          <w:lang w:eastAsia="zh-CN"/>
        </w:rPr>
        <w:t>—</w:t>
      </w:r>
      <w:r>
        <w:rPr>
          <w:rFonts w:ascii="宋体" w:cs="宋体"/>
          <w:snapToGrid w:val="0"/>
          <w:color w:val="auto"/>
          <w:kern w:val="2"/>
          <w:szCs w:val="21"/>
          <w:highlight w:val="none"/>
          <w:lang w:eastAsia="zh-CN"/>
        </w:rPr>
        <w:t>20000元的违约金，造成恶劣影响的，可要求更换施工队伍。</w:t>
      </w:r>
    </w:p>
    <w:p w14:paraId="2DF88693">
      <w:pPr>
        <w:kinsoku/>
        <w:spacing w:beforeLines="0" w:afterLines="0"/>
        <w:ind w:firstLine="420"/>
        <w:rPr>
          <w:rFonts w:cs="宋体"/>
          <w:color w:val="auto"/>
          <w:kern w:val="2"/>
          <w:szCs w:val="21"/>
          <w:highlight w:val="none"/>
          <w:lang w:eastAsia="zh-CN"/>
        </w:rPr>
      </w:pPr>
      <w:r>
        <w:rPr>
          <w:rFonts w:hint="eastAsia" w:cs="宋体"/>
          <w:snapToGrid w:val="0"/>
          <w:color w:val="auto"/>
          <w:kern w:val="2"/>
          <w:szCs w:val="21"/>
          <w:highlight w:val="none"/>
          <w:lang w:val="en-US" w:eastAsia="zh-CN"/>
        </w:rPr>
        <w:t>5</w:t>
      </w:r>
      <w:r>
        <w:rPr>
          <w:rFonts w:hint="eastAsia" w:ascii="宋体" w:cs="宋体"/>
          <w:snapToGrid w:val="0"/>
          <w:color w:val="auto"/>
          <w:kern w:val="2"/>
          <w:szCs w:val="21"/>
          <w:highlight w:val="none"/>
          <w:lang w:eastAsia="zh-CN"/>
        </w:rPr>
        <w:t>）承包人不得拖欠民工工资，若承包人未执行绍兴市有关农民工工资的文件或规定，所造成的一切后果均由承包人承担。</w:t>
      </w:r>
    </w:p>
    <w:p w14:paraId="4FEF1FC5">
      <w:pPr>
        <w:kinsoku/>
        <w:spacing w:beforeLines="0" w:afterLines="0"/>
        <w:ind w:firstLine="420"/>
        <w:jc w:val="left"/>
        <w:rPr>
          <w:rFonts w:cs="宋体"/>
          <w:color w:val="auto"/>
          <w:szCs w:val="21"/>
          <w:highlight w:val="none"/>
          <w:lang w:eastAsia="zh-CN"/>
        </w:rPr>
      </w:pPr>
      <w:r>
        <w:rPr>
          <w:rFonts w:hint="eastAsia" w:ascii="宋体" w:cs="宋体"/>
          <w:snapToGrid w:val="0"/>
          <w:color w:val="auto"/>
          <w:kern w:val="0"/>
          <w:szCs w:val="21"/>
          <w:highlight w:val="none"/>
          <w:lang w:eastAsia="zh-CN"/>
        </w:rPr>
        <w:t>（</w:t>
      </w:r>
      <w:r>
        <w:rPr>
          <w:rFonts w:hint="eastAsia" w:cs="宋体"/>
          <w:snapToGrid w:val="0"/>
          <w:color w:val="auto"/>
          <w:kern w:val="0"/>
          <w:szCs w:val="21"/>
          <w:highlight w:val="none"/>
          <w:lang w:val="en-US" w:eastAsia="zh-CN"/>
        </w:rPr>
        <w:t>8</w:t>
      </w:r>
      <w:r>
        <w:rPr>
          <w:rFonts w:hint="eastAsia" w:ascii="宋体" w:cs="宋体"/>
          <w:snapToGrid w:val="0"/>
          <w:color w:val="auto"/>
          <w:kern w:val="0"/>
          <w:szCs w:val="21"/>
          <w:highlight w:val="none"/>
          <w:lang w:eastAsia="zh-CN"/>
        </w:rPr>
        <w:t>）质量管理：</w:t>
      </w:r>
    </w:p>
    <w:p w14:paraId="542ADA8B">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1</w:t>
      </w:r>
      <w:r>
        <w:rPr>
          <w:rFonts w:hint="eastAsia" w:ascii="宋体" w:cs="宋体"/>
          <w:snapToGrid w:val="0"/>
          <w:color w:val="auto"/>
          <w:kern w:val="0"/>
          <w:szCs w:val="21"/>
          <w:highlight w:val="none"/>
          <w:lang w:eastAsia="zh-CN"/>
        </w:rPr>
        <w:t>）承包人必须严格按照已确认的设计图纸、施工技术方案及工程施工验收规范等精心组织施工，严格把好每道工序的质量关，并无条件的接受发包人及发包人委托的监理人对施工质量的监督和管理，确保工程质量达到质量目标。若发包人或监理工程师检查发现质量问题，在发出整改通知书后承包人无条件返工、整改、采取相应的补救、修复措施直至验收合格，由此追加的费用和延误的工期均由承包人负责。在书面整改通知或口头整改通知的时间内未整改的，每延迟整改一天处以</w:t>
      </w:r>
      <w:r>
        <w:rPr>
          <w:rFonts w:hint="eastAsia" w:cs="宋体"/>
          <w:snapToGrid w:val="0"/>
          <w:color w:val="auto"/>
          <w:kern w:val="0"/>
          <w:szCs w:val="21"/>
          <w:highlight w:val="none"/>
          <w:lang w:val="en-US" w:eastAsia="zh-CN"/>
        </w:rPr>
        <w:t>1000-</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元/项/天违约金；未执行监理报验程序而进行下道工序的处以</w:t>
      </w:r>
      <w:r>
        <w:rPr>
          <w:rFonts w:hint="eastAsia" w:cs="宋体"/>
          <w:snapToGrid w:val="0"/>
          <w:color w:val="auto"/>
          <w:kern w:val="0"/>
          <w:szCs w:val="21"/>
          <w:highlight w:val="none"/>
          <w:lang w:val="en-US" w:eastAsia="zh-CN"/>
        </w:rPr>
        <w:t>2000-</w:t>
      </w:r>
      <w:r>
        <w:rPr>
          <w:rFonts w:ascii="宋体" w:hAnsi="Times New Roman" w:cs="Times New Roman"/>
          <w:snapToGrid w:val="0"/>
          <w:color w:val="auto"/>
          <w:kern w:val="0"/>
          <w:szCs w:val="21"/>
          <w:highlight w:val="none"/>
          <w:lang w:eastAsia="zh-CN"/>
        </w:rPr>
        <w:t>20000</w:t>
      </w:r>
      <w:r>
        <w:rPr>
          <w:rFonts w:hint="eastAsia" w:ascii="宋体" w:cs="宋体"/>
          <w:snapToGrid w:val="0"/>
          <w:color w:val="auto"/>
          <w:kern w:val="0"/>
          <w:szCs w:val="21"/>
          <w:highlight w:val="none"/>
          <w:lang w:eastAsia="zh-CN"/>
        </w:rPr>
        <w:t>元</w:t>
      </w:r>
      <w:r>
        <w:rPr>
          <w:rFonts w:ascii="宋体" w:cs="宋体"/>
          <w:snapToGrid w:val="0"/>
          <w:color w:val="auto"/>
          <w:kern w:val="0"/>
          <w:szCs w:val="21"/>
          <w:highlight w:val="none"/>
          <w:lang w:eastAsia="zh-CN"/>
        </w:rPr>
        <w:t>/次违约金；在施工过程中发现偷工减料现象、使用不合格或以次充好的材料处以</w:t>
      </w:r>
      <w:r>
        <w:rPr>
          <w:rFonts w:hint="eastAsia" w:cs="宋体"/>
          <w:snapToGrid w:val="0"/>
          <w:color w:val="auto"/>
          <w:kern w:val="0"/>
          <w:szCs w:val="21"/>
          <w:highlight w:val="none"/>
          <w:lang w:val="en-US" w:eastAsia="zh-CN"/>
        </w:rPr>
        <w:t>2000-</w:t>
      </w:r>
      <w:r>
        <w:rPr>
          <w:rFonts w:ascii="宋体" w:hAnsi="Times New Roman" w:cs="Times New Roman"/>
          <w:snapToGrid w:val="0"/>
          <w:color w:val="auto"/>
          <w:kern w:val="0"/>
          <w:szCs w:val="21"/>
          <w:highlight w:val="none"/>
          <w:lang w:eastAsia="zh-CN"/>
        </w:rPr>
        <w:t>20000</w:t>
      </w:r>
      <w:r>
        <w:rPr>
          <w:rFonts w:ascii="宋体" w:cs="宋体"/>
          <w:snapToGrid w:val="0"/>
          <w:color w:val="auto"/>
          <w:kern w:val="0"/>
          <w:szCs w:val="21"/>
          <w:highlight w:val="none"/>
          <w:lang w:eastAsia="zh-CN"/>
        </w:rPr>
        <w:t>元/次违约金；经主管部门检查（包括发包人组织的检查）发现的明显质量问题，处以</w:t>
      </w:r>
      <w:r>
        <w:rPr>
          <w:rFonts w:hint="eastAsia" w:cs="宋体"/>
          <w:snapToGrid w:val="0"/>
          <w:color w:val="auto"/>
          <w:kern w:val="0"/>
          <w:szCs w:val="21"/>
          <w:highlight w:val="none"/>
          <w:lang w:val="en-US" w:eastAsia="zh-CN"/>
        </w:rPr>
        <w:t>2000-</w:t>
      </w:r>
      <w:r>
        <w:rPr>
          <w:rFonts w:ascii="宋体" w:hAnsi="Times New Roman" w:cs="Times New Roman"/>
          <w:snapToGrid w:val="0"/>
          <w:color w:val="auto"/>
          <w:kern w:val="0"/>
          <w:szCs w:val="21"/>
          <w:highlight w:val="none"/>
          <w:lang w:eastAsia="zh-CN"/>
        </w:rPr>
        <w:t>20000</w:t>
      </w:r>
      <w:r>
        <w:rPr>
          <w:rFonts w:ascii="宋体" w:cs="宋体"/>
          <w:snapToGrid w:val="0"/>
          <w:color w:val="auto"/>
          <w:kern w:val="0"/>
          <w:szCs w:val="21"/>
          <w:highlight w:val="none"/>
          <w:lang w:eastAsia="zh-CN"/>
        </w:rPr>
        <w:t>元/项违约金；连续发现或屡教不改的予以加倍重罚。以上违约金从当月应付工程款（进度款）中扣除。</w:t>
      </w:r>
    </w:p>
    <w:p w14:paraId="31A4D66A">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2</w:t>
      </w:r>
      <w:r>
        <w:rPr>
          <w:rFonts w:hint="eastAsia" w:ascii="宋体" w:cs="宋体"/>
          <w:snapToGrid w:val="0"/>
          <w:color w:val="auto"/>
          <w:kern w:val="0"/>
          <w:szCs w:val="21"/>
          <w:highlight w:val="none"/>
          <w:lang w:eastAsia="zh-CN"/>
        </w:rPr>
        <w:t>）分部分项工程施工前未对相关班组进行技术交底的，处以</w:t>
      </w:r>
      <w:r>
        <w:rPr>
          <w:rFonts w:hint="eastAsia" w:cs="宋体"/>
          <w:snapToGrid w:val="0"/>
          <w:color w:val="auto"/>
          <w:kern w:val="0"/>
          <w:szCs w:val="21"/>
          <w:highlight w:val="none"/>
          <w:lang w:val="en-US" w:eastAsia="zh-CN"/>
        </w:rPr>
        <w:t>1000-</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元/次的违约金。</w:t>
      </w:r>
    </w:p>
    <w:p w14:paraId="60B7420B">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3</w:t>
      </w:r>
      <w:r>
        <w:rPr>
          <w:rFonts w:hint="eastAsia" w:ascii="宋体" w:cs="宋体"/>
          <w:snapToGrid w:val="0"/>
          <w:color w:val="auto"/>
          <w:kern w:val="0"/>
          <w:szCs w:val="21"/>
          <w:highlight w:val="none"/>
          <w:lang w:eastAsia="zh-CN"/>
        </w:rPr>
        <w:t>）进场材料、设备未告知监理人员见证的，处以</w:t>
      </w:r>
      <w:r>
        <w:rPr>
          <w:rFonts w:hint="eastAsia" w:cs="宋体"/>
          <w:snapToGrid w:val="0"/>
          <w:color w:val="auto"/>
          <w:kern w:val="0"/>
          <w:szCs w:val="21"/>
          <w:highlight w:val="none"/>
          <w:lang w:val="en-US" w:eastAsia="zh-CN"/>
        </w:rPr>
        <w:t>1000-</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元/次的违约金。</w:t>
      </w:r>
    </w:p>
    <w:p w14:paraId="39EC33D5">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4</w:t>
      </w:r>
      <w:r>
        <w:rPr>
          <w:rFonts w:hint="eastAsia" w:ascii="宋体" w:cs="宋体"/>
          <w:snapToGrid w:val="0"/>
          <w:color w:val="auto"/>
          <w:kern w:val="0"/>
          <w:szCs w:val="21"/>
          <w:highlight w:val="none"/>
          <w:lang w:eastAsia="zh-CN"/>
        </w:rPr>
        <w:t>）未经发包人同意，承包人擅自变更施工方案的，每发现一次处以</w:t>
      </w:r>
      <w:r>
        <w:rPr>
          <w:rFonts w:ascii="宋体" w:cs="宋体"/>
          <w:snapToGrid w:val="0"/>
          <w:color w:val="auto"/>
          <w:kern w:val="0"/>
          <w:szCs w:val="21"/>
          <w:highlight w:val="none"/>
          <w:lang w:eastAsia="zh-CN"/>
        </w:rPr>
        <w:t>50000元/次的违约金，由此发生的损失或事故，由承包人负责并承担损失。</w:t>
      </w:r>
    </w:p>
    <w:p w14:paraId="39DEF1A9">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5</w:t>
      </w:r>
      <w:r>
        <w:rPr>
          <w:rFonts w:hint="eastAsia" w:ascii="宋体" w:cs="宋体"/>
          <w:snapToGrid w:val="0"/>
          <w:color w:val="auto"/>
          <w:kern w:val="0"/>
          <w:szCs w:val="21"/>
          <w:highlight w:val="none"/>
          <w:lang w:eastAsia="zh-CN"/>
        </w:rPr>
        <w:t>）因不可抗力因素或天气原因等造成工地现场文明施工或工程质量遭到损坏的，经发包人或监理人管理人员要求后未及时做出有效保护和补救措施的，处以</w:t>
      </w:r>
      <w:r>
        <w:rPr>
          <w:rFonts w:hint="eastAsia" w:hAnsi="Times New Roman" w:cs="Times New Roman"/>
          <w:snapToGrid w:val="0"/>
          <w:color w:val="auto"/>
          <w:kern w:val="0"/>
          <w:szCs w:val="21"/>
          <w:highlight w:val="none"/>
          <w:lang w:val="en-US" w:eastAsia="zh-CN"/>
        </w:rPr>
        <w:t>2</w:t>
      </w:r>
      <w:r>
        <w:rPr>
          <w:rFonts w:ascii="宋体" w:hAnsi="Times New Roman" w:cs="Times New Roman"/>
          <w:snapToGrid w:val="0"/>
          <w:color w:val="auto"/>
          <w:kern w:val="0"/>
          <w:szCs w:val="21"/>
          <w:highlight w:val="none"/>
          <w:lang w:eastAsia="zh-CN"/>
        </w:rPr>
        <w:t>000</w:t>
      </w:r>
      <w:r>
        <w:rPr>
          <w:rFonts w:ascii="宋体" w:cs="宋体"/>
          <w:snapToGrid w:val="0"/>
          <w:color w:val="auto"/>
          <w:kern w:val="0"/>
          <w:szCs w:val="21"/>
          <w:highlight w:val="none"/>
          <w:lang w:eastAsia="zh-CN"/>
        </w:rPr>
        <w:t>元/项/次违约金。</w:t>
      </w:r>
    </w:p>
    <w:p w14:paraId="44EB52D7">
      <w:pPr>
        <w:kinsoku/>
        <w:spacing w:beforeLines="0" w:afterLines="0"/>
        <w:ind w:firstLine="420"/>
        <w:jc w:val="left"/>
        <w:rPr>
          <w:rFonts w:cs="宋体"/>
          <w:color w:val="auto"/>
          <w:szCs w:val="21"/>
          <w:highlight w:val="none"/>
          <w:lang w:eastAsia="zh-CN"/>
        </w:rPr>
      </w:pPr>
      <w:r>
        <w:rPr>
          <w:rFonts w:hint="eastAsia" w:ascii="宋体" w:cs="宋体"/>
          <w:snapToGrid w:val="0"/>
          <w:color w:val="auto"/>
          <w:kern w:val="0"/>
          <w:szCs w:val="21"/>
          <w:highlight w:val="none"/>
          <w:lang w:eastAsia="zh-CN"/>
        </w:rPr>
        <w:t>（</w:t>
      </w:r>
      <w:r>
        <w:rPr>
          <w:rFonts w:hint="eastAsia" w:cs="宋体"/>
          <w:snapToGrid w:val="0"/>
          <w:color w:val="auto"/>
          <w:kern w:val="0"/>
          <w:szCs w:val="21"/>
          <w:highlight w:val="none"/>
          <w:lang w:val="en-US" w:eastAsia="zh-CN"/>
        </w:rPr>
        <w:t>9</w:t>
      </w:r>
      <w:r>
        <w:rPr>
          <w:rFonts w:hint="eastAsia" w:ascii="宋体" w:cs="宋体"/>
          <w:snapToGrid w:val="0"/>
          <w:color w:val="auto"/>
          <w:kern w:val="0"/>
          <w:szCs w:val="21"/>
          <w:highlight w:val="none"/>
          <w:lang w:eastAsia="zh-CN"/>
        </w:rPr>
        <w:t>）安全文明施工：</w:t>
      </w:r>
    </w:p>
    <w:p w14:paraId="073FFC3B">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1</w:t>
      </w:r>
      <w:r>
        <w:rPr>
          <w:rFonts w:hint="eastAsia" w:ascii="宋体" w:cs="宋体"/>
          <w:snapToGrid w:val="0"/>
          <w:color w:val="auto"/>
          <w:kern w:val="0"/>
          <w:szCs w:val="21"/>
          <w:highlight w:val="none"/>
          <w:lang w:eastAsia="zh-CN"/>
        </w:rPr>
        <w:t>）安全管理体系、规章制度及岗位责任制度不完善，安保体系不完善，安全管理人员未按要求配备到位，安全</w:t>
      </w:r>
      <w:r>
        <w:rPr>
          <w:rFonts w:hint="eastAsia" w:cs="宋体"/>
          <w:snapToGrid w:val="0"/>
          <w:color w:val="auto"/>
          <w:kern w:val="0"/>
          <w:szCs w:val="21"/>
          <w:highlight w:val="none"/>
          <w:lang w:val="en-US" w:eastAsia="zh-CN"/>
        </w:rPr>
        <w:t>台账</w:t>
      </w:r>
      <w:r>
        <w:rPr>
          <w:rFonts w:hint="eastAsia" w:ascii="宋体" w:cs="宋体"/>
          <w:snapToGrid w:val="0"/>
          <w:color w:val="auto"/>
          <w:kern w:val="0"/>
          <w:szCs w:val="21"/>
          <w:highlight w:val="none"/>
          <w:lang w:eastAsia="zh-CN"/>
        </w:rPr>
        <w:t>资料不齐备或要求整改不到位的，处以</w:t>
      </w:r>
      <w:r>
        <w:rPr>
          <w:rFonts w:hint="eastAsia" w:cs="宋体"/>
          <w:snapToGrid w:val="0"/>
          <w:color w:val="auto"/>
          <w:kern w:val="0"/>
          <w:szCs w:val="21"/>
          <w:highlight w:val="none"/>
          <w:lang w:val="en-US" w:eastAsia="zh-CN"/>
        </w:rPr>
        <w:t>1000-</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元/项的违约金，对发包人、监理人及上级主管部门发出的安全方面的整改单，未按规定要求和规定时间落实整改的，处以</w:t>
      </w:r>
      <w:r>
        <w:rPr>
          <w:rFonts w:ascii="宋体" w:hAnsi="Times New Roman" w:cs="Times New Roman"/>
          <w:snapToGrid w:val="0"/>
          <w:color w:val="auto"/>
          <w:kern w:val="0"/>
          <w:szCs w:val="21"/>
          <w:highlight w:val="none"/>
          <w:lang w:eastAsia="zh-CN"/>
        </w:rPr>
        <w:t>4000</w:t>
      </w:r>
      <w:r>
        <w:rPr>
          <w:rFonts w:hint="eastAsia" w:ascii="宋体" w:cs="宋体"/>
          <w:snapToGrid w:val="0"/>
          <w:color w:val="auto"/>
          <w:kern w:val="0"/>
          <w:szCs w:val="21"/>
          <w:highlight w:val="none"/>
          <w:lang w:eastAsia="zh-CN"/>
        </w:rPr>
        <w:t>元</w:t>
      </w:r>
      <w:r>
        <w:rPr>
          <w:rFonts w:ascii="宋体" w:cs="宋体"/>
          <w:snapToGrid w:val="0"/>
          <w:color w:val="auto"/>
          <w:kern w:val="0"/>
          <w:szCs w:val="21"/>
          <w:highlight w:val="none"/>
          <w:lang w:eastAsia="zh-CN"/>
        </w:rPr>
        <w:t>/项/次的违约金。</w:t>
      </w:r>
    </w:p>
    <w:p w14:paraId="1FE88ABF">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2</w:t>
      </w:r>
      <w:r>
        <w:rPr>
          <w:rFonts w:hint="eastAsia" w:ascii="宋体" w:cs="宋体"/>
          <w:snapToGrid w:val="0"/>
          <w:color w:val="auto"/>
          <w:kern w:val="0"/>
          <w:szCs w:val="21"/>
          <w:highlight w:val="none"/>
          <w:lang w:eastAsia="zh-CN"/>
        </w:rPr>
        <w:t>）安全检查发现安全隐患未及时整改或整改不到位的处以</w:t>
      </w:r>
      <w:r>
        <w:rPr>
          <w:rFonts w:hint="eastAsia" w:cs="宋体"/>
          <w:snapToGrid w:val="0"/>
          <w:color w:val="auto"/>
          <w:kern w:val="0"/>
          <w:szCs w:val="21"/>
          <w:highlight w:val="none"/>
          <w:lang w:val="en-US" w:eastAsia="zh-CN"/>
        </w:rPr>
        <w:t>1000-</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元/项/次的违约金，拒不整改的处以</w:t>
      </w:r>
      <w:r>
        <w:rPr>
          <w:rFonts w:ascii="宋体" w:hAnsi="Times New Roman" w:cs="Times New Roman"/>
          <w:snapToGrid w:val="0"/>
          <w:color w:val="auto"/>
          <w:kern w:val="0"/>
          <w:szCs w:val="21"/>
          <w:highlight w:val="none"/>
          <w:lang w:eastAsia="zh-CN"/>
        </w:rPr>
        <w:t>20000</w:t>
      </w:r>
      <w:r>
        <w:rPr>
          <w:rFonts w:ascii="宋体" w:cs="宋体"/>
          <w:snapToGrid w:val="0"/>
          <w:color w:val="auto"/>
          <w:kern w:val="0"/>
          <w:szCs w:val="21"/>
          <w:highlight w:val="none"/>
          <w:lang w:eastAsia="zh-CN"/>
        </w:rPr>
        <w:t>元/项/次的违约金。</w:t>
      </w:r>
    </w:p>
    <w:p w14:paraId="1CE3A511">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3</w:t>
      </w:r>
      <w:r>
        <w:rPr>
          <w:rFonts w:hint="eastAsia" w:ascii="宋体" w:cs="宋体"/>
          <w:snapToGrid w:val="0"/>
          <w:color w:val="auto"/>
          <w:kern w:val="0"/>
          <w:szCs w:val="21"/>
          <w:highlight w:val="none"/>
          <w:lang w:eastAsia="zh-CN"/>
        </w:rPr>
        <w:t>）安全管理人员无故缺席集中安全活动的（如例会、安全检查等）处以</w:t>
      </w:r>
      <w:r>
        <w:rPr>
          <w:rFonts w:hint="eastAsia" w:hAnsi="Times New Roman" w:cs="Times New Roman"/>
          <w:snapToGrid w:val="0"/>
          <w:color w:val="auto"/>
          <w:kern w:val="0"/>
          <w:szCs w:val="21"/>
          <w:highlight w:val="none"/>
          <w:lang w:val="en-US" w:eastAsia="zh-CN"/>
        </w:rPr>
        <w:t>1</w:t>
      </w:r>
      <w:r>
        <w:rPr>
          <w:rFonts w:ascii="宋体" w:hAnsi="Times New Roman" w:cs="Times New Roman"/>
          <w:snapToGrid w:val="0"/>
          <w:color w:val="auto"/>
          <w:kern w:val="0"/>
          <w:szCs w:val="21"/>
          <w:highlight w:val="none"/>
          <w:lang w:eastAsia="zh-CN"/>
        </w:rPr>
        <w:t>000</w:t>
      </w:r>
      <w:r>
        <w:rPr>
          <w:rFonts w:ascii="宋体" w:cs="宋体"/>
          <w:snapToGrid w:val="0"/>
          <w:color w:val="auto"/>
          <w:kern w:val="0"/>
          <w:szCs w:val="21"/>
          <w:highlight w:val="none"/>
          <w:lang w:eastAsia="zh-CN"/>
        </w:rPr>
        <w:t>元/次/人的违约金。</w:t>
      </w:r>
    </w:p>
    <w:p w14:paraId="6D7C8C22">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4</w:t>
      </w:r>
      <w:r>
        <w:rPr>
          <w:rFonts w:hint="eastAsia" w:ascii="宋体" w:cs="宋体"/>
          <w:snapToGrid w:val="0"/>
          <w:color w:val="auto"/>
          <w:kern w:val="0"/>
          <w:szCs w:val="21"/>
          <w:highlight w:val="none"/>
          <w:lang w:eastAsia="zh-CN"/>
        </w:rPr>
        <w:t>）施工过程中经主管部门检查（包括发包人组织的检查）安全、文明、环境保护、水保施工不合格，每出现一次不合格，发包人向承包人处以</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元/次违约金，如整改后仍达不到要求，发包人将视情况予以加倍处罚。承包人应无条件进行整改直至合格。发包人或其委托的监理人员，发现现场施工人员未佩戴安全帽施工的，处以</w:t>
      </w:r>
      <w:r>
        <w:rPr>
          <w:rFonts w:hint="eastAsia" w:hAnsi="Times New Roman" w:cs="Times New Roman"/>
          <w:snapToGrid w:val="0"/>
          <w:color w:val="auto"/>
          <w:kern w:val="0"/>
          <w:szCs w:val="21"/>
          <w:highlight w:val="none"/>
          <w:lang w:val="en-US" w:eastAsia="zh-CN"/>
        </w:rPr>
        <w:t>1</w:t>
      </w:r>
      <w:r>
        <w:rPr>
          <w:rFonts w:ascii="宋体" w:hAnsi="Times New Roman" w:cs="Times New Roman"/>
          <w:snapToGrid w:val="0"/>
          <w:color w:val="auto"/>
          <w:kern w:val="0"/>
          <w:szCs w:val="21"/>
          <w:highlight w:val="none"/>
          <w:lang w:eastAsia="zh-CN"/>
        </w:rPr>
        <w:t>00</w:t>
      </w:r>
      <w:r>
        <w:rPr>
          <w:rFonts w:ascii="宋体" w:cs="宋体"/>
          <w:snapToGrid w:val="0"/>
          <w:color w:val="auto"/>
          <w:kern w:val="0"/>
          <w:szCs w:val="21"/>
          <w:highlight w:val="none"/>
          <w:lang w:eastAsia="zh-CN"/>
        </w:rPr>
        <w:t>元/人/次的违约金。</w:t>
      </w:r>
    </w:p>
    <w:p w14:paraId="0572E9E6">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5</w:t>
      </w:r>
      <w:r>
        <w:rPr>
          <w:rFonts w:hint="eastAsia" w:ascii="宋体" w:cs="宋体"/>
          <w:snapToGrid w:val="0"/>
          <w:color w:val="auto"/>
          <w:kern w:val="0"/>
          <w:szCs w:val="21"/>
          <w:highlight w:val="none"/>
          <w:lang w:eastAsia="zh-CN"/>
        </w:rPr>
        <w:t>）因施工人员违规操作发生安全事故的，视所造成的经济损失处以</w:t>
      </w:r>
      <w:r>
        <w:rPr>
          <w:rFonts w:ascii="宋体" w:cs="宋体"/>
          <w:snapToGrid w:val="0"/>
          <w:color w:val="auto"/>
          <w:kern w:val="0"/>
          <w:szCs w:val="21"/>
          <w:highlight w:val="none"/>
          <w:lang w:eastAsia="zh-CN"/>
        </w:rPr>
        <w:t>5000-20000元/次违约金。</w:t>
      </w:r>
    </w:p>
    <w:p w14:paraId="72B9B3D2">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6</w:t>
      </w:r>
      <w:r>
        <w:rPr>
          <w:rFonts w:hint="eastAsia" w:ascii="宋体" w:cs="宋体"/>
          <w:snapToGrid w:val="0"/>
          <w:color w:val="auto"/>
          <w:kern w:val="0"/>
          <w:szCs w:val="21"/>
          <w:highlight w:val="none"/>
          <w:lang w:eastAsia="zh-CN"/>
        </w:rPr>
        <w:t>）发生安全事故迟报或者隐瞒不报的，视情节严重程度处以</w:t>
      </w:r>
      <w:r>
        <w:rPr>
          <w:rFonts w:ascii="宋体" w:cs="宋体"/>
          <w:snapToGrid w:val="0"/>
          <w:color w:val="auto"/>
          <w:kern w:val="0"/>
          <w:szCs w:val="21"/>
          <w:highlight w:val="none"/>
          <w:lang w:eastAsia="zh-CN"/>
        </w:rPr>
        <w:t>5000-20000元/次违约金。</w:t>
      </w:r>
    </w:p>
    <w:p w14:paraId="7FEC20EC">
      <w:pPr>
        <w:kinsoku/>
        <w:spacing w:beforeLines="0" w:afterLines="0"/>
        <w:ind w:firstLine="420"/>
        <w:jc w:val="left"/>
        <w:rPr>
          <w:rFonts w:cs="宋体"/>
          <w:color w:val="auto"/>
          <w:szCs w:val="21"/>
          <w:highlight w:val="none"/>
          <w:lang w:eastAsia="zh-CN"/>
        </w:rPr>
      </w:pPr>
      <w:r>
        <w:rPr>
          <w:rFonts w:hint="eastAsia" w:ascii="宋体" w:cs="宋体"/>
          <w:snapToGrid w:val="0"/>
          <w:color w:val="auto"/>
          <w:kern w:val="0"/>
          <w:szCs w:val="21"/>
          <w:highlight w:val="none"/>
          <w:lang w:eastAsia="zh-CN"/>
        </w:rPr>
        <w:t>（</w:t>
      </w:r>
      <w:r>
        <w:rPr>
          <w:rFonts w:hint="eastAsia" w:cs="宋体"/>
          <w:snapToGrid w:val="0"/>
          <w:color w:val="auto"/>
          <w:kern w:val="0"/>
          <w:szCs w:val="21"/>
          <w:highlight w:val="none"/>
          <w:lang w:val="en-US" w:eastAsia="zh-CN"/>
        </w:rPr>
        <w:t>10</w:t>
      </w:r>
      <w:r>
        <w:rPr>
          <w:rFonts w:hint="eastAsia" w:ascii="宋体" w:cs="宋体"/>
          <w:snapToGrid w:val="0"/>
          <w:color w:val="auto"/>
          <w:kern w:val="0"/>
          <w:szCs w:val="21"/>
          <w:highlight w:val="none"/>
          <w:lang w:eastAsia="zh-CN"/>
        </w:rPr>
        <w:t>）施工进度：</w:t>
      </w:r>
    </w:p>
    <w:p w14:paraId="019111C5">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1</w:t>
      </w:r>
      <w:r>
        <w:rPr>
          <w:rFonts w:hint="eastAsia" w:ascii="宋体" w:cs="宋体"/>
          <w:snapToGrid w:val="0"/>
          <w:color w:val="auto"/>
          <w:kern w:val="0"/>
          <w:szCs w:val="21"/>
          <w:highlight w:val="none"/>
          <w:lang w:eastAsia="zh-CN"/>
        </w:rPr>
        <w:t>）承包方应积极配合发包方对工程项目的进度要求，编制工程总进度计划，上报监理并经审核确定后才可施工。承包方应根据计划时间节点综合考虑、合理安排人员、</w:t>
      </w:r>
      <w:r>
        <w:rPr>
          <w:rFonts w:ascii="宋体" w:cs="宋体"/>
          <w:snapToGrid w:val="0"/>
          <w:color w:val="auto"/>
          <w:kern w:val="0"/>
          <w:szCs w:val="21"/>
          <w:highlight w:val="none"/>
          <w:lang w:eastAsia="zh-CN"/>
        </w:rPr>
        <w:t>设备、材料等。</w:t>
      </w:r>
    </w:p>
    <w:p w14:paraId="6C5A49CA">
      <w:pPr>
        <w:kinsoku/>
        <w:spacing w:beforeLines="0" w:afterLines="0"/>
        <w:ind w:firstLine="420"/>
        <w:jc w:val="left"/>
        <w:rPr>
          <w:rFonts w:cs="宋体"/>
          <w:color w:val="auto"/>
          <w:szCs w:val="21"/>
          <w:highlight w:val="none"/>
          <w:lang w:eastAsia="zh-CN"/>
        </w:rPr>
      </w:pPr>
      <w:r>
        <w:rPr>
          <w:rFonts w:ascii="宋体" w:hAnsi="Times New Roman" w:cs="Times New Roman"/>
          <w:snapToGrid w:val="0"/>
          <w:color w:val="auto"/>
          <w:kern w:val="0"/>
          <w:szCs w:val="21"/>
          <w:highlight w:val="none"/>
          <w:lang w:eastAsia="zh-CN"/>
        </w:rPr>
        <w:t>2</w:t>
      </w:r>
      <w:r>
        <w:rPr>
          <w:rFonts w:hint="eastAsia" w:ascii="宋体" w:cs="宋体"/>
          <w:snapToGrid w:val="0"/>
          <w:color w:val="auto"/>
          <w:kern w:val="0"/>
          <w:szCs w:val="21"/>
          <w:highlight w:val="none"/>
          <w:lang w:eastAsia="zh-CN"/>
        </w:rPr>
        <w:t>）承包人项目班子主要管理人员不配合现场发包人和监理人员对进度要求的，按</w:t>
      </w:r>
      <w:r>
        <w:rPr>
          <w:rFonts w:hint="eastAsia" w:cs="宋体"/>
          <w:snapToGrid w:val="0"/>
          <w:color w:val="auto"/>
          <w:kern w:val="0"/>
          <w:szCs w:val="21"/>
          <w:highlight w:val="none"/>
          <w:lang w:val="en-US" w:eastAsia="zh-CN"/>
        </w:rPr>
        <w:t>1000-</w:t>
      </w:r>
      <w:r>
        <w:rPr>
          <w:rFonts w:ascii="宋体" w:hAnsi="Times New Roman" w:cs="Times New Roman"/>
          <w:snapToGrid w:val="0"/>
          <w:color w:val="auto"/>
          <w:kern w:val="0"/>
          <w:szCs w:val="21"/>
          <w:highlight w:val="none"/>
          <w:lang w:eastAsia="zh-CN"/>
        </w:rPr>
        <w:t>10000</w:t>
      </w:r>
      <w:r>
        <w:rPr>
          <w:rFonts w:ascii="宋体" w:cs="宋体"/>
          <w:snapToGrid w:val="0"/>
          <w:color w:val="auto"/>
          <w:kern w:val="0"/>
          <w:szCs w:val="21"/>
          <w:highlight w:val="none"/>
          <w:lang w:eastAsia="zh-CN"/>
        </w:rPr>
        <w:t>元/人/次处以违约金，并有权要求撤换人员，承包人必须无条件执行。</w:t>
      </w:r>
    </w:p>
    <w:p w14:paraId="4E3A8E2A">
      <w:pPr>
        <w:kinsoku/>
        <w:spacing w:beforeLines="0" w:afterLines="0"/>
        <w:ind w:firstLine="420"/>
        <w:jc w:val="left"/>
        <w:rPr>
          <w:rFonts w:cs="宋体"/>
          <w:color w:val="auto"/>
          <w:highlight w:val="none"/>
          <w:lang w:eastAsia="zh-CN"/>
        </w:rPr>
      </w:pPr>
      <w:r>
        <w:rPr>
          <w:rFonts w:hint="eastAsia" w:ascii="宋体" w:cs="宋体"/>
          <w:snapToGrid w:val="0"/>
          <w:color w:val="auto"/>
          <w:kern w:val="0"/>
          <w:szCs w:val="21"/>
          <w:highlight w:val="none"/>
          <w:lang w:eastAsia="zh-CN"/>
        </w:rPr>
        <w:t>（</w:t>
      </w:r>
      <w:r>
        <w:rPr>
          <w:rFonts w:ascii="宋体" w:hAnsi="Times New Roman" w:cs="Times New Roman"/>
          <w:snapToGrid w:val="0"/>
          <w:color w:val="auto"/>
          <w:kern w:val="0"/>
          <w:szCs w:val="21"/>
          <w:highlight w:val="none"/>
          <w:lang w:eastAsia="zh-CN"/>
        </w:rPr>
        <w:t>1</w:t>
      </w:r>
      <w:r>
        <w:rPr>
          <w:rFonts w:hint="eastAsia" w:hAnsi="Times New Roman" w:cs="Times New Roman"/>
          <w:snapToGrid w:val="0"/>
          <w:color w:val="auto"/>
          <w:kern w:val="0"/>
          <w:szCs w:val="21"/>
          <w:highlight w:val="none"/>
          <w:lang w:val="en-US" w:eastAsia="zh-CN"/>
        </w:rPr>
        <w:t>1</w:t>
      </w:r>
      <w:r>
        <w:rPr>
          <w:rFonts w:hint="eastAsia" w:ascii="宋体" w:cs="宋体"/>
          <w:snapToGrid w:val="0"/>
          <w:color w:val="auto"/>
          <w:kern w:val="0"/>
          <w:szCs w:val="21"/>
          <w:highlight w:val="none"/>
          <w:lang w:eastAsia="zh-CN"/>
        </w:rPr>
        <w:t>）如承包人在项目实施过程中有严重违反合同情形，经发包人查证后有权终止合同，并追究其经济损失和法律责任。</w:t>
      </w:r>
    </w:p>
    <w:p w14:paraId="0D622154">
      <w:pPr>
        <w:pStyle w:val="4"/>
        <w:spacing w:beforeLines="0" w:afterLines="0"/>
        <w:outlineLvl w:val="2"/>
        <w:rPr>
          <w:rFonts w:ascii="宋体" w:hAnsi="宋体" w:cs="宋体"/>
          <w:bCs/>
          <w:color w:val="auto"/>
          <w:sz w:val="24"/>
          <w:szCs w:val="24"/>
          <w:highlight w:val="none"/>
        </w:rPr>
      </w:pPr>
      <w:r>
        <w:rPr>
          <w:rFonts w:hint="eastAsia" w:ascii="宋体" w:eastAsia="宋体" w:cs="宋体"/>
          <w:bCs/>
          <w:snapToGrid w:val="0"/>
          <w:color w:val="auto"/>
          <w:spacing w:val="0"/>
          <w:sz w:val="24"/>
          <w:szCs w:val="24"/>
          <w:highlight w:val="none"/>
        </w:rPr>
        <w:t>24</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rPr>
        <w:t>争议的解决</w:t>
      </w:r>
    </w:p>
    <w:p w14:paraId="33E4A0C1">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24.1</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争议的解决方式</w:t>
      </w:r>
    </w:p>
    <w:p w14:paraId="148AAF82">
      <w:pPr>
        <w:pStyle w:val="30"/>
        <w:widowControl/>
        <w:snapToGrid w:val="0"/>
        <w:spacing w:beforeLines="0" w:afterLines="0" w:line="360" w:lineRule="auto"/>
        <w:ind w:firstLine="480" w:firstLineChars="200"/>
        <w:jc w:val="left"/>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合同当事人友好协商解决不成、不愿提请争议评审或不接受争议评审组意见的，约定的合同争议解决方式：</w:t>
      </w:r>
      <w:r>
        <w:rPr>
          <w:rFonts w:hint="eastAsia" w:ascii="宋体" w:hAnsi="宋体" w:cs="宋体"/>
          <w:snapToGrid w:val="0"/>
          <w:color w:val="auto"/>
          <w:sz w:val="24"/>
          <w:szCs w:val="24"/>
          <w:highlight w:val="none"/>
          <w:u w:val="single"/>
          <w:lang w:val="zh-CN"/>
        </w:rPr>
        <w:t>提起诉讼，提起诉讼机构为本工程</w:t>
      </w:r>
      <w:r>
        <w:rPr>
          <w:rFonts w:hint="eastAsia" w:ascii="宋体" w:hAnsi="宋体" w:cs="宋体"/>
          <w:snapToGrid w:val="0"/>
          <w:color w:val="auto"/>
          <w:sz w:val="24"/>
          <w:szCs w:val="24"/>
          <w:highlight w:val="none"/>
          <w:u w:val="single"/>
          <w:lang w:val="en-US" w:eastAsia="zh-CN"/>
        </w:rPr>
        <w:t>所在地有管辖权的人民法院</w:t>
      </w:r>
      <w:r>
        <w:rPr>
          <w:rFonts w:ascii="宋体" w:hAnsi="宋体" w:cs="宋体"/>
          <w:snapToGrid w:val="0"/>
          <w:color w:val="auto"/>
          <w:sz w:val="24"/>
          <w:szCs w:val="24"/>
          <w:highlight w:val="none"/>
          <w:u w:val="single"/>
        </w:rPr>
        <w:t>。</w:t>
      </w:r>
    </w:p>
    <w:p w14:paraId="7E3A859A">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24.2</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友好解决</w:t>
      </w:r>
    </w:p>
    <w:p w14:paraId="03830016">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补充：合同当事人可以就争议请第三方进行调解，调解达成协议的，经双方签字并盖章后作为合同补充文件，双方均应遵照执行。</w:t>
      </w:r>
    </w:p>
    <w:p w14:paraId="4E65FF23">
      <w:pPr>
        <w:pStyle w:val="32"/>
        <w:autoSpaceDE/>
        <w:autoSpaceDN/>
        <w:spacing w:beforeLines="0" w:afterLines="0"/>
        <w:ind w:firstLineChars="0"/>
        <w:jc w:val="both"/>
        <w:outlineLvl w:val="9"/>
        <w:rPr>
          <w:rFonts w:ascii="宋体" w:hAnsi="宋体" w:eastAsia="宋体" w:cs="宋体"/>
          <w:color w:val="auto"/>
          <w:sz w:val="24"/>
          <w:szCs w:val="24"/>
          <w:highlight w:val="none"/>
        </w:rPr>
      </w:pPr>
      <w:r>
        <w:rPr>
          <w:rFonts w:ascii="宋体" w:eastAsia="宋体"/>
          <w:snapToGrid w:val="0"/>
          <w:color w:val="auto"/>
          <w:sz w:val="24"/>
          <w:szCs w:val="24"/>
          <w:highlight w:val="none"/>
        </w:rPr>
        <w:t>24.3</w:t>
      </w:r>
      <w:r>
        <w:rPr>
          <w:rFonts w:hint="eastAsia" w:ascii="宋体" w:eastAsia="宋体"/>
          <w:snapToGrid w:val="0"/>
          <w:color w:val="auto"/>
          <w:sz w:val="24"/>
          <w:szCs w:val="24"/>
          <w:highlight w:val="none"/>
          <w:lang w:eastAsia="zh-CN"/>
        </w:rPr>
        <w:t>　</w:t>
      </w:r>
      <w:r>
        <w:rPr>
          <w:rFonts w:hint="eastAsia" w:ascii="宋体" w:hAnsi="楷体" w:eastAsia="宋体" w:cs="楷体"/>
          <w:bCs/>
          <w:snapToGrid w:val="0"/>
          <w:color w:val="auto"/>
          <w:spacing w:val="0"/>
          <w:sz w:val="24"/>
          <w:szCs w:val="24"/>
          <w:highlight w:val="none"/>
        </w:rPr>
        <w:t>争议评审</w:t>
      </w:r>
    </w:p>
    <w:p w14:paraId="5BFC2999">
      <w:pPr>
        <w:pStyle w:val="30"/>
        <w:widowControl/>
        <w:snapToGrid w:val="0"/>
        <w:spacing w:beforeLines="0" w:afterLines="0" w:line="360" w:lineRule="auto"/>
        <w:ind w:firstLine="0" w:firstLineChars="0"/>
        <w:jc w:val="both"/>
        <w:rPr>
          <w:rFonts w:ascii="宋体" w:hAnsi="宋体" w:cs="宋体"/>
          <w:snapToGrid w:val="0"/>
          <w:color w:val="auto"/>
          <w:sz w:val="24"/>
          <w:highlight w:val="none"/>
        </w:rPr>
      </w:pPr>
      <w:r>
        <w:rPr>
          <w:rFonts w:ascii="宋体"/>
          <w:b/>
          <w:snapToGrid w:val="0"/>
          <w:color w:val="auto"/>
          <w:sz w:val="24"/>
          <w:szCs w:val="24"/>
          <w:highlight w:val="none"/>
        </w:rPr>
        <w:t>24.3.7</w:t>
      </w:r>
      <w:r>
        <w:rPr>
          <w:rFonts w:hint="eastAsia" w:ascii="宋体"/>
          <w:b/>
          <w:snapToGrid w:val="0"/>
          <w:color w:val="auto"/>
          <w:sz w:val="24"/>
          <w:szCs w:val="24"/>
          <w:highlight w:val="none"/>
          <w:lang w:eastAsia="zh-CN"/>
        </w:rPr>
        <w:t>　</w:t>
      </w:r>
      <w:r>
        <w:rPr>
          <w:rFonts w:hint="eastAsia" w:ascii="宋体" w:hAnsi="宋体" w:cs="宋体"/>
          <w:snapToGrid w:val="0"/>
          <w:color w:val="auto"/>
          <w:sz w:val="24"/>
          <w:szCs w:val="24"/>
          <w:highlight w:val="none"/>
        </w:rPr>
        <w:t>补充：发包人或承包人不接受评审意见，可请省水行政主管部门进行调解。</w:t>
      </w:r>
    </w:p>
    <w:p w14:paraId="7D4C3FAE">
      <w:pPr>
        <w:pStyle w:val="30"/>
        <w:widowControl/>
        <w:autoSpaceDE w:val="0"/>
        <w:autoSpaceDN w:val="0"/>
        <w:adjustRightInd w:val="0"/>
        <w:snapToGrid w:val="0"/>
        <w:spacing w:beforeLines="0" w:afterLines="0" w:line="360" w:lineRule="auto"/>
        <w:ind w:firstLine="482" w:firstLineChars="200"/>
        <w:jc w:val="left"/>
        <w:textAlignment w:val="baseline"/>
        <w:rPr>
          <w:rFonts w:ascii="宋体" w:hAnsi="宋体" w:cs="宋体"/>
          <w:b/>
          <w:bCs/>
          <w:snapToGrid w:val="0"/>
          <w:color w:val="auto"/>
          <w:kern w:val="0"/>
          <w:sz w:val="24"/>
          <w:highlight w:val="none"/>
          <w:lang w:val="zh-CN" w:bidi="zh-CN"/>
        </w:rPr>
      </w:pPr>
      <w:r>
        <w:rPr>
          <w:rFonts w:hint="eastAsia" w:ascii="宋体" w:hAnsi="宋体" w:cs="宋体"/>
          <w:b/>
          <w:bCs/>
          <w:snapToGrid w:val="0"/>
          <w:color w:val="auto"/>
          <w:kern w:val="0"/>
          <w:sz w:val="24"/>
          <w:szCs w:val="24"/>
          <w:highlight w:val="none"/>
          <w:lang w:val="zh-CN" w:bidi="zh-CN"/>
        </w:rPr>
        <w:t>通用合同条款补充：</w:t>
      </w:r>
    </w:p>
    <w:p w14:paraId="04E45B6B">
      <w:pPr>
        <w:pStyle w:val="4"/>
        <w:spacing w:beforeLines="0" w:afterLines="0"/>
        <w:outlineLvl w:val="2"/>
        <w:rPr>
          <w:rFonts w:ascii="宋体" w:hAnsi="宋体" w:cs="宋体"/>
          <w:bCs/>
          <w:color w:val="auto"/>
          <w:sz w:val="24"/>
          <w:szCs w:val="24"/>
          <w:highlight w:val="none"/>
          <w:lang w:val="zh-CN"/>
        </w:rPr>
      </w:pPr>
      <w:r>
        <w:rPr>
          <w:rFonts w:hint="eastAsia" w:ascii="宋体" w:eastAsia="宋体" w:cs="宋体"/>
          <w:bCs/>
          <w:snapToGrid w:val="0"/>
          <w:color w:val="auto"/>
          <w:spacing w:val="0"/>
          <w:sz w:val="24"/>
          <w:szCs w:val="24"/>
          <w:highlight w:val="none"/>
        </w:rPr>
        <w:t>25</w:t>
      </w:r>
      <w:r>
        <w:rPr>
          <w:rFonts w:hint="eastAsia" w:cs="宋体"/>
          <w:bCs/>
          <w:snapToGrid w:val="0"/>
          <w:color w:val="auto"/>
          <w:spacing w:val="0"/>
          <w:sz w:val="24"/>
          <w:szCs w:val="24"/>
          <w:highlight w:val="none"/>
          <w:lang w:eastAsia="zh-CN"/>
        </w:rPr>
        <w:t>　</w:t>
      </w:r>
      <w:r>
        <w:rPr>
          <w:rFonts w:hint="eastAsia" w:ascii="宋体" w:hAnsi="宋体" w:cs="宋体"/>
          <w:bCs/>
          <w:color w:val="auto"/>
          <w:sz w:val="24"/>
          <w:szCs w:val="24"/>
          <w:highlight w:val="none"/>
          <w:lang w:val="zh-CN"/>
        </w:rPr>
        <w:t>合同类型</w:t>
      </w:r>
    </w:p>
    <w:p w14:paraId="1F76F8AE">
      <w:pPr>
        <w:pStyle w:val="30"/>
        <w:snapToGrid w:val="0"/>
        <w:spacing w:beforeLines="0" w:afterLines="0" w:line="360" w:lineRule="auto"/>
        <w:ind w:firstLine="480" w:firstLineChars="200"/>
        <w:jc w:val="left"/>
        <w:rPr>
          <w:rFonts w:ascii="宋体" w:hAnsi="宋体" w:cs="宋体"/>
          <w:snapToGrid w:val="0"/>
          <w:color w:val="auto"/>
          <w:sz w:val="24"/>
          <w:highlight w:val="none"/>
          <w:lang w:val="zh-CN"/>
        </w:rPr>
      </w:pPr>
      <w:r>
        <w:rPr>
          <w:rFonts w:hint="eastAsia" w:ascii="宋体" w:hAnsi="宋体" w:cs="宋体"/>
          <w:snapToGrid w:val="0"/>
          <w:color w:val="auto"/>
          <w:sz w:val="24"/>
          <w:szCs w:val="24"/>
          <w:highlight w:val="none"/>
          <w:lang w:val="zh-CN"/>
        </w:rPr>
        <w:t>本工程分类分项工程量清单计价表及措施项目清单计价表中，凡由发包人提供实物工程量的分类分项工程清单项目均采用单价承包，在合同执行期内，除合同另有约定外单价不变，工程量按实调整；凡以“项”、“元”等为单位没有实物工程量的分类分项工程项目，除另有约定外均采用分项总价承包，在合同执行期内不作调整。</w:t>
      </w:r>
    </w:p>
    <w:p w14:paraId="1ECEF25C">
      <w:pPr>
        <w:pStyle w:val="30"/>
        <w:snapToGrid w:val="0"/>
        <w:spacing w:beforeLines="0" w:afterLines="0" w:line="360" w:lineRule="auto"/>
        <w:ind w:firstLine="480" w:firstLineChars="200"/>
        <w:jc w:val="left"/>
        <w:rPr>
          <w:rFonts w:ascii="宋体" w:hAnsi="宋体" w:cs="宋体"/>
          <w:snapToGrid w:val="0"/>
          <w:color w:val="auto"/>
          <w:sz w:val="24"/>
          <w:highlight w:val="none"/>
          <w:lang w:val="zh-CN"/>
        </w:rPr>
      </w:pPr>
      <w:r>
        <w:rPr>
          <w:rFonts w:hint="eastAsia" w:ascii="宋体" w:hAnsi="宋体" w:cs="宋体"/>
          <w:snapToGrid w:val="0"/>
          <w:color w:val="auto"/>
          <w:sz w:val="24"/>
          <w:szCs w:val="24"/>
          <w:highlight w:val="none"/>
          <w:lang w:val="zh-CN"/>
        </w:rPr>
        <w:t>本合同包含的风险范围：</w:t>
      </w:r>
    </w:p>
    <w:p w14:paraId="0C0386D1">
      <w:pPr>
        <w:pStyle w:val="30"/>
        <w:snapToGrid w:val="0"/>
        <w:spacing w:beforeLines="0" w:afterLines="0" w:line="360" w:lineRule="auto"/>
        <w:ind w:firstLine="480" w:firstLineChars="200"/>
        <w:jc w:val="left"/>
        <w:rPr>
          <w:rFonts w:ascii="宋体" w:hAnsi="宋体" w:cs="宋体"/>
          <w:snapToGrid w:val="0"/>
          <w:color w:val="auto"/>
          <w:sz w:val="24"/>
          <w:highlight w:val="none"/>
          <w:lang w:val="zh-CN"/>
        </w:rPr>
      </w:pPr>
      <w:r>
        <w:rPr>
          <w:rFonts w:ascii="宋体" w:hAnsi="宋体" w:cs="宋体"/>
          <w:snapToGrid w:val="0"/>
          <w:color w:val="auto"/>
          <w:sz w:val="24"/>
          <w:szCs w:val="24"/>
          <w:highlight w:val="none"/>
          <w:lang w:val="zh-CN"/>
        </w:rPr>
        <w:t>a.定额标准、费率及相关政策规范（强制性文件及本合同另行约定的除外）调整。</w:t>
      </w:r>
    </w:p>
    <w:p w14:paraId="0016D02A">
      <w:pPr>
        <w:pStyle w:val="30"/>
        <w:snapToGrid w:val="0"/>
        <w:spacing w:beforeLines="0" w:afterLines="0" w:line="360" w:lineRule="auto"/>
        <w:ind w:firstLine="480" w:firstLineChars="200"/>
        <w:jc w:val="left"/>
        <w:rPr>
          <w:rFonts w:ascii="宋体" w:hAnsi="宋体" w:cs="宋体"/>
          <w:snapToGrid w:val="0"/>
          <w:color w:val="auto"/>
          <w:sz w:val="24"/>
          <w:highlight w:val="none"/>
          <w:lang w:val="zh-CN"/>
        </w:rPr>
      </w:pPr>
      <w:r>
        <w:rPr>
          <w:rFonts w:ascii="宋体" w:hAnsi="宋体" w:cs="宋体"/>
          <w:snapToGrid w:val="0"/>
          <w:color w:val="auto"/>
          <w:sz w:val="24"/>
          <w:szCs w:val="24"/>
          <w:highlight w:val="none"/>
          <w:lang w:val="zh-CN"/>
        </w:rPr>
        <w:t>b.国家政策变化以及一个有经验的承包人可以或应该能预见的风险。</w:t>
      </w:r>
    </w:p>
    <w:p w14:paraId="4A34F42D">
      <w:pPr>
        <w:pStyle w:val="30"/>
        <w:snapToGrid w:val="0"/>
        <w:spacing w:beforeLines="0" w:afterLines="0" w:line="360" w:lineRule="auto"/>
        <w:ind w:firstLine="480" w:firstLineChars="200"/>
        <w:jc w:val="left"/>
        <w:rPr>
          <w:rFonts w:ascii="宋体" w:hAnsi="宋体" w:cs="宋体"/>
          <w:snapToGrid w:val="0"/>
          <w:color w:val="auto"/>
          <w:sz w:val="24"/>
          <w:highlight w:val="none"/>
          <w:lang w:val="zh-CN"/>
        </w:rPr>
      </w:pPr>
      <w:r>
        <w:rPr>
          <w:rFonts w:ascii="宋体" w:hAnsi="宋体" w:cs="宋体"/>
          <w:snapToGrid w:val="0"/>
          <w:color w:val="auto"/>
          <w:sz w:val="24"/>
          <w:szCs w:val="24"/>
          <w:highlight w:val="none"/>
          <w:lang w:val="zh-CN"/>
        </w:rPr>
        <w:t>c.现行预算定额或计价规范未描述到，但又是完成分项工程必须有的工作内容，均应包括在报价内。</w:t>
      </w:r>
    </w:p>
    <w:p w14:paraId="01A1B6A5">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ascii="宋体" w:hAnsi="宋体" w:cs="宋体"/>
          <w:snapToGrid w:val="0"/>
          <w:color w:val="auto"/>
          <w:sz w:val="24"/>
          <w:szCs w:val="24"/>
          <w:highlight w:val="none"/>
        </w:rPr>
        <w:t>d.施工期间非连续8小时停水、停电引起的费用增加。</w:t>
      </w:r>
    </w:p>
    <w:p w14:paraId="55A2D594">
      <w:pPr>
        <w:pStyle w:val="30"/>
        <w:widowControl/>
        <w:autoSpaceDE/>
        <w:autoSpaceDN/>
        <w:adjustRightInd w:val="0"/>
        <w:snapToGrid w:val="0"/>
        <w:spacing w:beforeLines="0" w:afterLines="0" w:line="360" w:lineRule="auto"/>
        <w:ind w:firstLine="0" w:firstLineChars="0"/>
        <w:jc w:val="both"/>
        <w:textAlignment w:val="baseline"/>
        <w:rPr>
          <w:rFonts w:ascii="宋体" w:hAnsi="宋体" w:cs="宋体"/>
          <w:b/>
          <w:bCs/>
          <w:snapToGrid w:val="0"/>
          <w:color w:val="auto"/>
          <w:kern w:val="0"/>
          <w:sz w:val="24"/>
          <w:szCs w:val="24"/>
          <w:highlight w:val="none"/>
          <w:lang w:val="zh-CN" w:bidi="zh-CN"/>
        </w:rPr>
      </w:pPr>
      <w:r>
        <w:rPr>
          <w:rFonts w:ascii="宋体" w:eastAsia="宋体"/>
          <w:b/>
          <w:snapToGrid w:val="0"/>
          <w:color w:val="auto"/>
          <w:kern w:val="0"/>
          <w:sz w:val="24"/>
          <w:szCs w:val="24"/>
          <w:highlight w:val="none"/>
          <w:lang w:val="zh-CN"/>
        </w:rPr>
        <w:t>25.2</w:t>
      </w:r>
      <w:r>
        <w:rPr>
          <w:rFonts w:hint="eastAsia" w:ascii="宋体"/>
          <w:b/>
          <w:snapToGrid w:val="0"/>
          <w:color w:val="auto"/>
          <w:kern w:val="0"/>
          <w:sz w:val="24"/>
          <w:szCs w:val="24"/>
          <w:highlight w:val="none"/>
          <w:lang w:val="zh-CN"/>
        </w:rPr>
        <w:t>　</w:t>
      </w:r>
      <w:r>
        <w:rPr>
          <w:rFonts w:hint="eastAsia" w:ascii="宋体" w:hAnsi="楷体" w:eastAsia="宋体" w:cs="楷体"/>
          <w:b/>
          <w:bCs/>
          <w:snapToGrid w:val="0"/>
          <w:color w:val="auto"/>
          <w:spacing w:val="0"/>
          <w:kern w:val="0"/>
          <w:sz w:val="24"/>
          <w:szCs w:val="24"/>
          <w:highlight w:val="none"/>
          <w:lang w:val="zh-CN"/>
        </w:rPr>
        <w:t>安全施工费</w:t>
      </w:r>
    </w:p>
    <w:p w14:paraId="001F7977">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安全施工费实行标外管理，其使用管理办法按国家和省有关规定执行。</w:t>
      </w:r>
    </w:p>
    <w:p w14:paraId="643F0152">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“安全施工费”的使用范围详见《浙江省水利水电工程设计概（预）算编制规定（</w:t>
      </w:r>
      <w:r>
        <w:rPr>
          <w:rFonts w:ascii="宋体" w:hAnsi="宋体" w:cs="宋体"/>
          <w:snapToGrid w:val="0"/>
          <w:color w:val="auto"/>
          <w:sz w:val="24"/>
          <w:szCs w:val="24"/>
          <w:highlight w:val="none"/>
        </w:rPr>
        <w:t>2021</w:t>
      </w:r>
      <w:r>
        <w:rPr>
          <w:rFonts w:hint="eastAsia" w:ascii="宋体" w:hAnsi="宋体" w:cs="宋体"/>
          <w:snapToGrid w:val="0"/>
          <w:color w:val="auto"/>
          <w:sz w:val="24"/>
          <w:szCs w:val="24"/>
          <w:highlight w:val="none"/>
        </w:rPr>
        <w:t>）》附录</w:t>
      </w:r>
      <w:r>
        <w:rPr>
          <w:rFonts w:ascii="宋体"/>
          <w:snapToGrid w:val="0"/>
          <w:color w:val="auto"/>
          <w:sz w:val="24"/>
          <w:szCs w:val="24"/>
          <w:highlight w:val="none"/>
        </w:rPr>
        <w:t>8</w:t>
      </w:r>
      <w:r>
        <w:rPr>
          <w:rFonts w:hint="eastAsia" w:ascii="宋体" w:hAnsi="宋体" w:cs="宋体"/>
          <w:snapToGrid w:val="0"/>
          <w:color w:val="auto"/>
          <w:sz w:val="24"/>
          <w:szCs w:val="24"/>
          <w:highlight w:val="none"/>
        </w:rPr>
        <w:t>规定。</w:t>
      </w:r>
    </w:p>
    <w:p w14:paraId="7FA8B4BE">
      <w:pPr>
        <w:pStyle w:val="30"/>
        <w:snapToGrid w:val="0"/>
        <w:spacing w:beforeLines="0" w:afterLines="0" w:line="360" w:lineRule="auto"/>
        <w:ind w:firstLine="480" w:firstLineChars="200"/>
        <w:jc w:val="left"/>
        <w:rPr>
          <w:rFonts w:ascii="宋体" w:hAnsi="宋体" w:cs="宋体"/>
          <w:snapToGrid w:val="0"/>
          <w:color w:val="auto"/>
          <w:sz w:val="24"/>
          <w:highlight w:val="none"/>
        </w:rPr>
      </w:pPr>
      <w:r>
        <w:rPr>
          <w:rFonts w:hint="eastAsia" w:ascii="宋体" w:hAnsi="宋体" w:cs="宋体"/>
          <w:snapToGrid w:val="0"/>
          <w:color w:val="auto"/>
          <w:sz w:val="24"/>
          <w:szCs w:val="24"/>
          <w:highlight w:val="none"/>
        </w:rPr>
        <w:t>工程监理单位对施工单位落实安全生产情况进行现场监理。监理单位发现施工单位未落实施工组织设计及专项施工方案中安全生产和文明施工措施的，有权责令其整改；对施工单位拒不整改或未按期限要求完成整改的，则施工单位构成违约，建设单位将处以</w:t>
      </w:r>
      <w:r>
        <w:rPr>
          <w:rFonts w:hint="eastAsia" w:ascii="宋体" w:hAnsi="宋体" w:cs="宋体"/>
          <w:snapToGrid w:val="0"/>
          <w:color w:val="auto"/>
          <w:sz w:val="24"/>
          <w:szCs w:val="24"/>
          <w:highlight w:val="none"/>
          <w:lang w:val="en-US" w:eastAsia="zh-CN"/>
        </w:rPr>
        <w:t>1000-1</w:t>
      </w:r>
      <w:r>
        <w:rPr>
          <w:rFonts w:ascii="宋体" w:hAnsi="宋体" w:cs="宋体"/>
          <w:snapToGrid w:val="0"/>
          <w:color w:val="auto"/>
          <w:sz w:val="24"/>
          <w:szCs w:val="24"/>
          <w:highlight w:val="none"/>
        </w:rPr>
        <w:t>0000</w:t>
      </w:r>
      <w:r>
        <w:rPr>
          <w:rFonts w:hint="eastAsia" w:ascii="宋体" w:hAnsi="宋体" w:cs="宋体"/>
          <w:snapToGrid w:val="0"/>
          <w:color w:val="auto"/>
          <w:sz w:val="24"/>
          <w:szCs w:val="24"/>
          <w:highlight w:val="none"/>
        </w:rPr>
        <w:t>元</w:t>
      </w:r>
      <w:r>
        <w:rPr>
          <w:rFonts w:ascii="宋体" w:hAnsi="宋体" w:cs="宋体"/>
          <w:snapToGrid w:val="0"/>
          <w:color w:val="auto"/>
          <w:sz w:val="24"/>
          <w:szCs w:val="24"/>
          <w:highlight w:val="none"/>
        </w:rPr>
        <w:t>/次的违约金，必要时责令其暂停施工。</w:t>
      </w:r>
    </w:p>
    <w:p w14:paraId="0A3CEAA9">
      <w:pPr>
        <w:pStyle w:val="30"/>
        <w:widowControl/>
        <w:autoSpaceDE/>
        <w:autoSpaceDN/>
        <w:adjustRightInd w:val="0"/>
        <w:snapToGrid w:val="0"/>
        <w:spacing w:beforeLines="0" w:afterLines="0" w:line="360" w:lineRule="auto"/>
        <w:ind w:firstLine="0" w:firstLineChars="0"/>
        <w:jc w:val="both"/>
        <w:textAlignment w:val="baseline"/>
        <w:rPr>
          <w:rFonts w:ascii="宋体" w:hAnsi="宋体" w:cs="宋体"/>
          <w:b/>
          <w:bCs/>
          <w:snapToGrid w:val="0"/>
          <w:color w:val="auto"/>
          <w:kern w:val="0"/>
          <w:sz w:val="24"/>
          <w:szCs w:val="24"/>
          <w:highlight w:val="none"/>
          <w:lang w:val="zh-CN" w:bidi="zh-CN"/>
        </w:rPr>
      </w:pPr>
      <w:r>
        <w:rPr>
          <w:rFonts w:ascii="宋体" w:eastAsia="宋体"/>
          <w:b/>
          <w:snapToGrid w:val="0"/>
          <w:color w:val="auto"/>
          <w:kern w:val="0"/>
          <w:sz w:val="24"/>
          <w:szCs w:val="24"/>
          <w:highlight w:val="none"/>
          <w:lang w:val="zh-CN"/>
        </w:rPr>
        <w:t>25.3</w:t>
      </w:r>
      <w:r>
        <w:rPr>
          <w:rFonts w:hint="eastAsia" w:ascii="宋体"/>
          <w:b/>
          <w:snapToGrid w:val="0"/>
          <w:color w:val="auto"/>
          <w:kern w:val="0"/>
          <w:sz w:val="24"/>
          <w:szCs w:val="24"/>
          <w:highlight w:val="none"/>
          <w:lang w:val="en-US" w:eastAsia="zh-CN"/>
        </w:rPr>
        <w:t>　</w:t>
      </w:r>
      <w:r>
        <w:rPr>
          <w:rFonts w:hint="eastAsia" w:ascii="宋体" w:hAnsi="楷体" w:eastAsia="宋体" w:cs="楷体"/>
          <w:b/>
          <w:bCs/>
          <w:snapToGrid w:val="0"/>
          <w:color w:val="auto"/>
          <w:spacing w:val="0"/>
          <w:kern w:val="0"/>
          <w:sz w:val="24"/>
          <w:szCs w:val="24"/>
          <w:highlight w:val="none"/>
          <w:lang w:val="zh-CN"/>
        </w:rPr>
        <w:t>工程保险费（工程一切险和第三者责任险）</w:t>
      </w:r>
    </w:p>
    <w:p w14:paraId="1D9BB98B">
      <w:pPr>
        <w:snapToGrid w:val="0"/>
        <w:spacing w:line="360" w:lineRule="auto"/>
        <w:ind w:firstLineChars="200"/>
        <w:rPr>
          <w:rFonts w:ascii="Times New Roman" w:hAnsi="Times New Roman" w:cs="Times New Roman"/>
          <w:snapToGrid/>
          <w:color w:val="auto"/>
          <w:sz w:val="24"/>
          <w:szCs w:val="24"/>
          <w:highlight w:val="none"/>
        </w:rPr>
      </w:pPr>
      <w:r>
        <w:rPr>
          <w:rFonts w:hint="default" w:ascii="Times New Roman" w:hAnsi="Times New Roman" w:cs="Times New Roman"/>
          <w:snapToGrid/>
          <w:color w:val="auto"/>
          <w:sz w:val="24"/>
          <w:szCs w:val="24"/>
          <w:highlight w:val="none"/>
        </w:rPr>
        <w:t>发包人按承包人提交的保险费付款凭证按实支付，但最高不超过投标报价中所列的保险费用。</w:t>
      </w:r>
    </w:p>
    <w:p w14:paraId="66B99C99">
      <w:pPr>
        <w:pStyle w:val="4"/>
        <w:widowControl w:val="0"/>
        <w:autoSpaceDE/>
        <w:autoSpaceDN/>
        <w:adjustRightInd w:val="0"/>
        <w:snapToGrid w:val="0"/>
        <w:spacing w:beforeLines="0" w:afterLines="0" w:line="360" w:lineRule="auto"/>
        <w:jc w:val="both"/>
        <w:textAlignment w:val="baseline"/>
        <w:outlineLvl w:val="2"/>
        <w:rPr>
          <w:rFonts w:ascii="宋体" w:hAnsi="宋体" w:cs="宋体"/>
          <w:b/>
          <w:bCs/>
          <w:snapToGrid w:val="0"/>
          <w:color w:val="auto"/>
          <w:kern w:val="0"/>
          <w:sz w:val="24"/>
          <w:szCs w:val="24"/>
          <w:highlight w:val="none"/>
          <w:lang w:val="zh-CN" w:bidi="zh-CN"/>
        </w:rPr>
      </w:pPr>
      <w:r>
        <w:rPr>
          <w:rFonts w:hint="eastAsia" w:ascii="宋体" w:eastAsia="宋体" w:cs="宋体"/>
          <w:b/>
          <w:bCs/>
          <w:snapToGrid w:val="0"/>
          <w:color w:val="auto"/>
          <w:spacing w:val="0"/>
          <w:kern w:val="0"/>
          <w:sz w:val="24"/>
          <w:szCs w:val="24"/>
          <w:highlight w:val="none"/>
          <w:lang w:val="zh-CN"/>
        </w:rPr>
        <w:t>26</w:t>
      </w:r>
      <w:r>
        <w:rPr>
          <w:rFonts w:hint="eastAsia" w:cs="宋体"/>
          <w:b/>
          <w:bCs/>
          <w:snapToGrid w:val="0"/>
          <w:color w:val="auto"/>
          <w:kern w:val="0"/>
          <w:sz w:val="24"/>
          <w:szCs w:val="24"/>
          <w:highlight w:val="none"/>
          <w:lang w:val="zh-CN" w:bidi="zh-CN"/>
        </w:rPr>
        <w:t>　</w:t>
      </w:r>
      <w:r>
        <w:rPr>
          <w:rFonts w:ascii="宋体" w:hAnsi="宋体" w:cs="宋体"/>
          <w:b/>
          <w:bCs/>
          <w:snapToGrid w:val="0"/>
          <w:color w:val="auto"/>
          <w:kern w:val="0"/>
          <w:sz w:val="24"/>
          <w:szCs w:val="24"/>
          <w:highlight w:val="none"/>
          <w:lang w:val="zh-CN" w:bidi="zh-CN"/>
        </w:rPr>
        <w:t>双方约定的其他条款</w:t>
      </w:r>
    </w:p>
    <w:p w14:paraId="01C993E7">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　遇重大施工技术问题，承包人应组织行业专家召开专题会议及时解决。相关费用计入措施费用，发包人不另行支付。</w:t>
      </w:r>
    </w:p>
    <w:p w14:paraId="2D4CFBA0">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26.2　本工程完工后严禁“三拖”（拖完工验收、拖完工资料、拖工程移交），否则发包人有权依据监理人出具的鉴定结论书，自行组织有关部门验收，并提出修改意见。承包人必须严格按要求整改，并承担整改费用；如承包人拒绝按发包人提出来的要求整改，发包人有权另请他人整改，由此发生整改费用从未付工程款中扣除，不足部分发包人有权向承包人追偿。当验收通过后具备交付使用条件时，承包人不得以任何借口拒绝移交工程，否则，发包人有权强行使用，由此发生的一切后果，由承包人负责。</w:t>
      </w:r>
    </w:p>
    <w:p w14:paraId="39D74DC2">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26.3　项目部建设应必须按浙江省标化工地的相关要求进行实施，具体方案实施前应报发包人和监理人同意，上述临建设施在完工后应无偿移交给发包人或者应发包人要求无偿拆除并清理现场。</w:t>
      </w:r>
    </w:p>
    <w:p w14:paraId="6D8DB5A1">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26.4　承包人必须在工程所在地的发包人战略合作银行开设工程项目专户和农民工工资专户。</w:t>
      </w:r>
    </w:p>
    <w:p w14:paraId="45D5AECE">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w:t>
      </w:r>
      <w:r>
        <w:rPr>
          <w:rFonts w:hint="eastAsia" w:ascii="宋体"/>
          <w:b w:val="0"/>
          <w:bCs w:val="0"/>
          <w:snapToGrid w:val="0"/>
          <w:color w:val="auto"/>
          <w:kern w:val="0"/>
          <w:sz w:val="24"/>
          <w:szCs w:val="24"/>
          <w:highlight w:val="none"/>
          <w:lang w:val="en-US" w:eastAsia="zh-CN"/>
        </w:rPr>
        <w:t>5</w:t>
      </w:r>
      <w:r>
        <w:rPr>
          <w:rFonts w:hint="eastAsia" w:ascii="宋体"/>
          <w:b w:val="0"/>
          <w:bCs w:val="0"/>
          <w:snapToGrid w:val="0"/>
          <w:color w:val="auto"/>
          <w:kern w:val="0"/>
          <w:sz w:val="24"/>
          <w:szCs w:val="24"/>
          <w:highlight w:val="none"/>
          <w:lang w:val="zh-CN"/>
        </w:rPr>
        <w:t>　在施工过程中，承包人应充分考虑沿线管线拆除引起的</w:t>
      </w:r>
      <w:r>
        <w:rPr>
          <w:rFonts w:hint="eastAsia" w:ascii="宋体"/>
          <w:b w:val="0"/>
          <w:bCs w:val="0"/>
          <w:snapToGrid w:val="0"/>
          <w:color w:val="auto"/>
          <w:kern w:val="0"/>
          <w:sz w:val="24"/>
          <w:szCs w:val="24"/>
          <w:highlight w:val="none"/>
          <w:lang w:val="en-US" w:eastAsia="zh-CN"/>
        </w:rPr>
        <w:t>工期</w:t>
      </w:r>
      <w:r>
        <w:rPr>
          <w:rFonts w:hint="eastAsia" w:ascii="宋体"/>
          <w:b w:val="0"/>
          <w:bCs w:val="0"/>
          <w:snapToGrid w:val="0"/>
          <w:color w:val="auto"/>
          <w:kern w:val="0"/>
          <w:sz w:val="24"/>
          <w:szCs w:val="24"/>
          <w:highlight w:val="none"/>
          <w:lang w:val="zh-CN"/>
        </w:rPr>
        <w:t>延误，若产生工期延误的不得向发包人提出索赔。</w:t>
      </w:r>
    </w:p>
    <w:p w14:paraId="636756CE">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w:t>
      </w:r>
      <w:r>
        <w:rPr>
          <w:rFonts w:hint="eastAsia" w:ascii="宋体"/>
          <w:b w:val="0"/>
          <w:bCs w:val="0"/>
          <w:snapToGrid w:val="0"/>
          <w:color w:val="auto"/>
          <w:kern w:val="0"/>
          <w:sz w:val="24"/>
          <w:szCs w:val="24"/>
          <w:highlight w:val="none"/>
          <w:lang w:val="en-US" w:eastAsia="zh-CN"/>
        </w:rPr>
        <w:t>6</w:t>
      </w:r>
      <w:r>
        <w:rPr>
          <w:rFonts w:hint="eastAsia" w:ascii="宋体"/>
          <w:b w:val="0"/>
          <w:bCs w:val="0"/>
          <w:snapToGrid w:val="0"/>
          <w:color w:val="auto"/>
          <w:kern w:val="0"/>
          <w:sz w:val="24"/>
          <w:szCs w:val="24"/>
          <w:highlight w:val="none"/>
          <w:lang w:val="zh-CN"/>
        </w:rPr>
        <w:t>　洞挖期间，承包人应配至少1名地质工程师，及时掌握工作面的地质条件变化，配合围岩类别判定，指导施工。</w:t>
      </w:r>
    </w:p>
    <w:p w14:paraId="10995168">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w:t>
      </w:r>
      <w:r>
        <w:rPr>
          <w:rFonts w:hint="eastAsia" w:ascii="宋体"/>
          <w:b w:val="0"/>
          <w:bCs w:val="0"/>
          <w:snapToGrid w:val="0"/>
          <w:color w:val="auto"/>
          <w:kern w:val="0"/>
          <w:sz w:val="24"/>
          <w:szCs w:val="24"/>
          <w:highlight w:val="none"/>
          <w:lang w:val="en-US" w:eastAsia="zh-CN"/>
        </w:rPr>
        <w:t>7</w:t>
      </w:r>
      <w:r>
        <w:rPr>
          <w:rFonts w:hint="eastAsia" w:ascii="宋体"/>
          <w:b w:val="0"/>
          <w:bCs w:val="0"/>
          <w:snapToGrid w:val="0"/>
          <w:color w:val="auto"/>
          <w:kern w:val="0"/>
          <w:sz w:val="24"/>
          <w:szCs w:val="24"/>
          <w:highlight w:val="none"/>
          <w:lang w:val="zh-CN"/>
        </w:rPr>
        <w:t>　隧洞衬砌施工前，应对隧洞进行清污清洗，清污清洗应按照发包人审查通过后的洞内清污方案实施，清污清洗后满足相关部门验收要求。</w:t>
      </w:r>
    </w:p>
    <w:p w14:paraId="32EB3114">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w:t>
      </w:r>
      <w:r>
        <w:rPr>
          <w:rFonts w:hint="eastAsia" w:ascii="宋体"/>
          <w:b w:val="0"/>
          <w:bCs w:val="0"/>
          <w:snapToGrid w:val="0"/>
          <w:color w:val="auto"/>
          <w:kern w:val="0"/>
          <w:sz w:val="24"/>
          <w:szCs w:val="24"/>
          <w:highlight w:val="none"/>
          <w:lang w:val="en-US" w:eastAsia="zh-CN"/>
        </w:rPr>
        <w:t>8</w:t>
      </w:r>
      <w:r>
        <w:rPr>
          <w:rFonts w:hint="eastAsia" w:ascii="宋体"/>
          <w:b w:val="0"/>
          <w:bCs w:val="0"/>
          <w:snapToGrid w:val="0"/>
          <w:color w:val="auto"/>
          <w:kern w:val="0"/>
          <w:sz w:val="24"/>
          <w:szCs w:val="24"/>
          <w:highlight w:val="none"/>
          <w:lang w:val="zh-CN"/>
        </w:rPr>
        <w:t>　本项目所有开挖料除自用以外，均应运至临时弃渣场，承包人不得自行处置。否则，除没收所得外，每次处以10万元违约金，违约金在进度款中扣除。涉嫌犯罪的，移送司法机关追究刑事责任。</w:t>
      </w:r>
    </w:p>
    <w:p w14:paraId="414B89B6">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w:t>
      </w:r>
      <w:r>
        <w:rPr>
          <w:rFonts w:hint="eastAsia" w:ascii="宋体"/>
          <w:b w:val="0"/>
          <w:bCs w:val="0"/>
          <w:snapToGrid w:val="0"/>
          <w:color w:val="auto"/>
          <w:kern w:val="0"/>
          <w:sz w:val="24"/>
          <w:szCs w:val="24"/>
          <w:highlight w:val="none"/>
          <w:lang w:val="en-US" w:eastAsia="zh-CN"/>
        </w:rPr>
        <w:t>9</w:t>
      </w:r>
      <w:r>
        <w:rPr>
          <w:rFonts w:hint="eastAsia" w:ascii="宋体"/>
          <w:b w:val="0"/>
          <w:bCs w:val="0"/>
          <w:snapToGrid w:val="0"/>
          <w:color w:val="auto"/>
          <w:kern w:val="0"/>
          <w:sz w:val="24"/>
          <w:szCs w:val="24"/>
          <w:highlight w:val="none"/>
          <w:lang w:val="zh-CN"/>
        </w:rPr>
        <w:t>　零星政策处理由承包人自行负责，承包人需妥善处理好与周边群众的关系。同时对于施工可能造成对周边房屋、公共设施造成不利影响的，应专门对此进行专项施工研究并落实，在施工报价时应充分考虑由此可能造成的成本增加，中标后发包人不再以任何形式对此予以补偿，由于施工原因造成的对周边环境、公共设施等造成破坏的，由承包人自行负责修复并消除不利影响，并承担相关费用。</w:t>
      </w:r>
    </w:p>
    <w:p w14:paraId="4893DE54">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0</w:t>
      </w:r>
      <w:r>
        <w:rPr>
          <w:rFonts w:hint="eastAsia" w:ascii="宋体"/>
          <w:b w:val="0"/>
          <w:bCs w:val="0"/>
          <w:snapToGrid w:val="0"/>
          <w:color w:val="auto"/>
          <w:kern w:val="0"/>
          <w:sz w:val="24"/>
          <w:szCs w:val="24"/>
          <w:highlight w:val="none"/>
          <w:lang w:val="zh-CN"/>
        </w:rPr>
        <w:t>　开工后所涉及到的各类手续由承包人负责办理，需要发包人提供相应材料的，由发包人负责提供。如因承包人不及时办理相应手续而造成的工期延误，由承包人自行负责。</w:t>
      </w:r>
    </w:p>
    <w:p w14:paraId="58072DF4">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1</w:t>
      </w:r>
      <w:r>
        <w:rPr>
          <w:rFonts w:hint="eastAsia" w:ascii="宋体"/>
          <w:b w:val="0"/>
          <w:bCs w:val="0"/>
          <w:snapToGrid w:val="0"/>
          <w:color w:val="auto"/>
          <w:kern w:val="0"/>
          <w:sz w:val="24"/>
          <w:szCs w:val="24"/>
          <w:highlight w:val="none"/>
          <w:lang w:val="zh-CN"/>
        </w:rPr>
        <w:t>　为保持工地持续文明标化程度，发包人将会同监理人每月对工地文明标化情况进行考核，对其中出现的问题以书面整改通知单的形式下达给承包人，承包人必须在7天内完成相应整改并书面反馈整改落实情况，发包人及监理人根据整改落实情况进行复查，如未达到整改要求，则当月工程款中将扣除</w:t>
      </w:r>
      <w:r>
        <w:rPr>
          <w:rFonts w:hint="eastAsia" w:ascii="宋体"/>
          <w:b w:val="0"/>
          <w:bCs w:val="0"/>
          <w:snapToGrid w:val="0"/>
          <w:color w:val="auto"/>
          <w:kern w:val="0"/>
          <w:sz w:val="24"/>
          <w:szCs w:val="24"/>
          <w:highlight w:val="none"/>
          <w:lang w:val="en-US" w:eastAsia="zh-CN"/>
        </w:rPr>
        <w:t>1000-10000</w:t>
      </w:r>
      <w:r>
        <w:rPr>
          <w:rFonts w:hint="eastAsia" w:ascii="宋体"/>
          <w:b w:val="0"/>
          <w:bCs w:val="0"/>
          <w:snapToGrid w:val="0"/>
          <w:color w:val="auto"/>
          <w:kern w:val="0"/>
          <w:sz w:val="24"/>
          <w:szCs w:val="24"/>
          <w:highlight w:val="none"/>
          <w:lang w:val="zh-CN"/>
        </w:rPr>
        <w:t>元违约金。</w:t>
      </w:r>
    </w:p>
    <w:p w14:paraId="77853249">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2</w:t>
      </w:r>
      <w:r>
        <w:rPr>
          <w:rFonts w:hint="eastAsia" w:ascii="宋体"/>
          <w:b w:val="0"/>
          <w:bCs w:val="0"/>
          <w:snapToGrid w:val="0"/>
          <w:color w:val="auto"/>
          <w:kern w:val="0"/>
          <w:sz w:val="24"/>
          <w:szCs w:val="24"/>
          <w:highlight w:val="none"/>
          <w:lang w:val="zh-CN"/>
        </w:rPr>
        <w:t>　承包人运输车辆应执行《绍兴市工程建设重点领域货运车辆超限超载源头监管实施办法》绍治超办【2016】7号文及绍兴市水利局关于超限超载的等相关文件，并且签订《工程建设项目规范运输合同》《工程建设项目治超源头监管合同》等相关合同。</w:t>
      </w:r>
      <w:r>
        <w:rPr>
          <w:rFonts w:hint="eastAsia" w:ascii="宋体" w:hAnsi="宋体" w:cs="宋体"/>
          <w:snapToGrid w:val="0"/>
          <w:color w:val="auto"/>
          <w:sz w:val="24"/>
          <w:szCs w:val="24"/>
          <w:highlight w:val="none"/>
          <w:lang w:val="en-US" w:eastAsia="zh-CN"/>
        </w:rPr>
        <w:t>同时渣土车辆视频监控系统应该具备如下功能：①具备综合管理平台接入以下各种功能，并综合管理调度；②所有车辆应该安装GPS/北斗定位系统，平台应具备实时监控渣土倾倒情况、在非指定地点倾倒时报警、行驶轨迹追踪、历史记录查询等功能。优先采用北斗系统；③所有车辆能对驾驶员人脸识别与后台比对，具备驾驶员排班和中途更换驾驶员报警；④对驾驶员异常驾驶行为上报，包括但不仅限疲劳驾驶，闯红灯等危险行为；⑤车后方安装摄像头，实时监控渣土车遗漏情况并上报平台。</w:t>
      </w:r>
    </w:p>
    <w:p w14:paraId="05E6BB7F">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3</w:t>
      </w:r>
      <w:r>
        <w:rPr>
          <w:rFonts w:hint="eastAsia" w:ascii="宋体"/>
          <w:b w:val="0"/>
          <w:bCs w:val="0"/>
          <w:snapToGrid w:val="0"/>
          <w:color w:val="auto"/>
          <w:kern w:val="0"/>
          <w:sz w:val="24"/>
          <w:szCs w:val="24"/>
          <w:highlight w:val="none"/>
          <w:lang w:val="zh-CN"/>
        </w:rPr>
        <w:t>　承包人需提交电子档案，根据发包人档案数字化需求做好相关工作。</w:t>
      </w:r>
    </w:p>
    <w:p w14:paraId="1125CD53">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4</w:t>
      </w:r>
      <w:r>
        <w:rPr>
          <w:rFonts w:hint="eastAsia" w:ascii="宋体"/>
          <w:b w:val="0"/>
          <w:bCs w:val="0"/>
          <w:snapToGrid w:val="0"/>
          <w:color w:val="auto"/>
          <w:kern w:val="0"/>
          <w:sz w:val="24"/>
          <w:szCs w:val="24"/>
          <w:highlight w:val="none"/>
          <w:lang w:val="zh-CN"/>
        </w:rPr>
        <w:t>　承包人不得拖欠农民工工资，项目实施过程中必须符合《浙江省工程建设领域农民工工资保证金管理实施细则》（浙人社发[2022]13号）以及国家、省、市主管部门发布的最新文件要求。</w:t>
      </w:r>
    </w:p>
    <w:p w14:paraId="3BA66F15">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5</w:t>
      </w:r>
      <w:r>
        <w:rPr>
          <w:rFonts w:hint="eastAsia" w:ascii="宋体"/>
          <w:b w:val="0"/>
          <w:bCs w:val="0"/>
          <w:snapToGrid w:val="0"/>
          <w:color w:val="auto"/>
          <w:kern w:val="0"/>
          <w:sz w:val="24"/>
          <w:szCs w:val="24"/>
          <w:highlight w:val="none"/>
          <w:lang w:val="zh-CN"/>
        </w:rPr>
        <w:t>　工程量清单中的暂估价项目，按变更组价原则组价，工程量按实结算。</w:t>
      </w:r>
    </w:p>
    <w:p w14:paraId="604AAF08">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6</w:t>
      </w:r>
      <w:r>
        <w:rPr>
          <w:rFonts w:hint="eastAsia" w:ascii="宋体"/>
          <w:b w:val="0"/>
          <w:bCs w:val="0"/>
          <w:snapToGrid w:val="0"/>
          <w:color w:val="auto"/>
          <w:kern w:val="0"/>
          <w:sz w:val="24"/>
          <w:szCs w:val="24"/>
          <w:highlight w:val="none"/>
          <w:lang w:val="zh-CN"/>
        </w:rPr>
        <w:t>　若涉及柴油动力移动源的，根据《绍兴市柴油动力移动源排气污染防治办法》，应符合低排放要求。</w:t>
      </w:r>
    </w:p>
    <w:p w14:paraId="11D10549">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7</w:t>
      </w:r>
      <w:r>
        <w:rPr>
          <w:rFonts w:hint="eastAsia" w:ascii="宋体"/>
          <w:b w:val="0"/>
          <w:bCs w:val="0"/>
          <w:snapToGrid w:val="0"/>
          <w:color w:val="auto"/>
          <w:kern w:val="0"/>
          <w:sz w:val="24"/>
          <w:szCs w:val="24"/>
          <w:highlight w:val="none"/>
          <w:lang w:val="zh-CN"/>
        </w:rPr>
        <w:t>　工程施工当中的所有专项验收、中间结构验收、竣工验收、例会、专题会议等，项目负责人必须按时到现场参加，未参加的并且未经过书面同意请假的，处以2000元/次的违约金。</w:t>
      </w:r>
    </w:p>
    <w:p w14:paraId="50BE55F4">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26.1</w:t>
      </w:r>
      <w:r>
        <w:rPr>
          <w:rFonts w:hint="eastAsia" w:ascii="宋体"/>
          <w:b w:val="0"/>
          <w:bCs w:val="0"/>
          <w:snapToGrid w:val="0"/>
          <w:color w:val="auto"/>
          <w:kern w:val="0"/>
          <w:sz w:val="24"/>
          <w:szCs w:val="24"/>
          <w:highlight w:val="none"/>
          <w:lang w:val="en-US" w:eastAsia="zh-CN"/>
        </w:rPr>
        <w:t>8</w:t>
      </w:r>
      <w:r>
        <w:rPr>
          <w:rFonts w:hint="eastAsia" w:ascii="宋体"/>
          <w:b w:val="0"/>
          <w:bCs w:val="0"/>
          <w:snapToGrid w:val="0"/>
          <w:color w:val="auto"/>
          <w:kern w:val="0"/>
          <w:sz w:val="24"/>
          <w:szCs w:val="24"/>
          <w:highlight w:val="none"/>
          <w:lang w:val="zh-CN"/>
        </w:rPr>
        <w:t>　对于发包人、监理人及有关部门下发的通知、书面指示、会议纪要、函等文件，承包人不得拒绝签收，并在规定时间内予以书面回复或响应，违反上述要求的，视情节轻重，处以</w:t>
      </w:r>
      <w:r>
        <w:rPr>
          <w:rFonts w:hint="eastAsia" w:ascii="宋体"/>
          <w:b w:val="0"/>
          <w:bCs w:val="0"/>
          <w:snapToGrid w:val="0"/>
          <w:color w:val="auto"/>
          <w:kern w:val="0"/>
          <w:sz w:val="24"/>
          <w:szCs w:val="24"/>
          <w:highlight w:val="none"/>
          <w:lang w:val="en-US" w:eastAsia="zh-CN"/>
        </w:rPr>
        <w:t>1</w:t>
      </w:r>
      <w:r>
        <w:rPr>
          <w:rFonts w:hint="eastAsia" w:ascii="宋体"/>
          <w:b w:val="0"/>
          <w:bCs w:val="0"/>
          <w:snapToGrid w:val="0"/>
          <w:color w:val="auto"/>
          <w:kern w:val="0"/>
          <w:sz w:val="24"/>
          <w:szCs w:val="24"/>
          <w:highlight w:val="none"/>
          <w:lang w:val="zh-CN"/>
        </w:rPr>
        <w:t>000-</w:t>
      </w:r>
      <w:r>
        <w:rPr>
          <w:rFonts w:hint="eastAsia" w:ascii="宋体"/>
          <w:b w:val="0"/>
          <w:bCs w:val="0"/>
          <w:snapToGrid w:val="0"/>
          <w:color w:val="auto"/>
          <w:kern w:val="0"/>
          <w:sz w:val="24"/>
          <w:szCs w:val="24"/>
          <w:highlight w:val="none"/>
          <w:lang w:val="en-US" w:eastAsia="zh-CN"/>
        </w:rPr>
        <w:t>5</w:t>
      </w:r>
      <w:r>
        <w:rPr>
          <w:rFonts w:hint="eastAsia" w:ascii="宋体"/>
          <w:b w:val="0"/>
          <w:bCs w:val="0"/>
          <w:snapToGrid w:val="0"/>
          <w:color w:val="auto"/>
          <w:kern w:val="0"/>
          <w:sz w:val="24"/>
          <w:szCs w:val="24"/>
          <w:highlight w:val="none"/>
          <w:lang w:val="zh-CN"/>
        </w:rPr>
        <w:t>000元/次的违约金。</w:t>
      </w:r>
    </w:p>
    <w:p w14:paraId="292CB0DD">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w:t>
      </w:r>
      <w:r>
        <w:rPr>
          <w:rFonts w:hint="eastAsia" w:ascii="宋体"/>
          <w:b w:val="0"/>
          <w:bCs w:val="0"/>
          <w:snapToGrid w:val="0"/>
          <w:color w:val="auto"/>
          <w:kern w:val="0"/>
          <w:sz w:val="24"/>
          <w:szCs w:val="24"/>
          <w:highlight w:val="none"/>
          <w:lang w:val="en-US" w:eastAsia="zh-CN"/>
        </w:rPr>
        <w:t>19</w:t>
      </w:r>
      <w:r>
        <w:rPr>
          <w:rFonts w:hint="eastAsia" w:ascii="宋体"/>
          <w:b w:val="0"/>
          <w:bCs w:val="0"/>
          <w:snapToGrid w:val="0"/>
          <w:color w:val="auto"/>
          <w:kern w:val="0"/>
          <w:sz w:val="24"/>
          <w:szCs w:val="24"/>
          <w:highlight w:val="none"/>
          <w:lang w:val="zh-CN"/>
        </w:rPr>
        <w:t>　隧洞试运行、技术联络会等相关费用计入投标报价中，发包人不另行支付。</w:t>
      </w:r>
    </w:p>
    <w:p w14:paraId="5F0E8B18">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26.2</w:t>
      </w:r>
      <w:r>
        <w:rPr>
          <w:rFonts w:hint="eastAsia" w:ascii="宋体"/>
          <w:b w:val="0"/>
          <w:bCs w:val="0"/>
          <w:snapToGrid w:val="0"/>
          <w:color w:val="auto"/>
          <w:kern w:val="0"/>
          <w:sz w:val="24"/>
          <w:szCs w:val="24"/>
          <w:highlight w:val="none"/>
          <w:lang w:val="en-US" w:eastAsia="zh-CN"/>
        </w:rPr>
        <w:t>0</w:t>
      </w:r>
      <w:r>
        <w:rPr>
          <w:rFonts w:hint="eastAsia" w:ascii="宋体"/>
          <w:b w:val="0"/>
          <w:bCs w:val="0"/>
          <w:snapToGrid w:val="0"/>
          <w:color w:val="auto"/>
          <w:kern w:val="0"/>
          <w:sz w:val="24"/>
          <w:szCs w:val="24"/>
          <w:highlight w:val="none"/>
          <w:lang w:val="zh-CN"/>
        </w:rPr>
        <w:t>　承包人根据现场情况自行安排施工临时用水，并承担用电用水接入点至施工现场的一切费用。必要时，发包人可协调相关接水的工作，由此产生的费用由承包人承担。承包人做好自备发电设备发电保证正常施工，费用已包含在投标报价中，发包人不另行支付。</w:t>
      </w:r>
    </w:p>
    <w:p w14:paraId="59F0010F">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26.2</w:t>
      </w:r>
      <w:r>
        <w:rPr>
          <w:rFonts w:hint="eastAsia" w:ascii="宋体"/>
          <w:b w:val="0"/>
          <w:bCs w:val="0"/>
          <w:snapToGrid w:val="0"/>
          <w:color w:val="auto"/>
          <w:kern w:val="0"/>
          <w:sz w:val="24"/>
          <w:szCs w:val="24"/>
          <w:highlight w:val="none"/>
          <w:lang w:val="en-US" w:eastAsia="zh-CN"/>
        </w:rPr>
        <w:t>1</w:t>
      </w:r>
      <w:r>
        <w:rPr>
          <w:rFonts w:hint="eastAsia" w:ascii="宋体"/>
          <w:b w:val="0"/>
          <w:bCs w:val="0"/>
          <w:snapToGrid w:val="0"/>
          <w:color w:val="auto"/>
          <w:kern w:val="0"/>
          <w:sz w:val="24"/>
          <w:szCs w:val="24"/>
          <w:highlight w:val="none"/>
          <w:lang w:val="zh-CN"/>
        </w:rPr>
        <w:t>　隧洞清污、渣土清运、赔偿、复耕等，承包人应积极主动进行处理解决，并承担所用费用。如果上述问题承包人在发包人规定时间内未妥善处理解决，发包人有权单独或委托其他单位进行处理，发生的全部费用从承包人工程款中抵扣，承包人应无条件接受。</w:t>
      </w:r>
    </w:p>
    <w:p w14:paraId="0F663F4B">
      <w:pPr>
        <w:pStyle w:val="30"/>
        <w:autoSpaceDE/>
        <w:autoSpaceDN/>
        <w:adjustRightInd w:val="0"/>
        <w:snapToGrid w:val="0"/>
        <w:spacing w:beforeLines="0" w:afterLines="0" w:line="360" w:lineRule="auto"/>
        <w:ind w:firstLine="0" w:firstLineChars="0"/>
        <w:textAlignment w:val="baseline"/>
        <w:rPr>
          <w:rFonts w:hint="eastAsia" w:ascii="宋体"/>
          <w:b w:val="0"/>
          <w:bCs w:val="0"/>
          <w:strike w:val="0"/>
          <w:snapToGrid w:val="0"/>
          <w:color w:val="auto"/>
          <w:kern w:val="0"/>
          <w:sz w:val="24"/>
          <w:szCs w:val="24"/>
          <w:highlight w:val="none"/>
          <w:lang w:val="zh-CN"/>
        </w:rPr>
      </w:pPr>
      <w:r>
        <w:rPr>
          <w:rFonts w:hint="eastAsia" w:ascii="宋体"/>
          <w:b w:val="0"/>
          <w:bCs w:val="0"/>
          <w:strike w:val="0"/>
          <w:snapToGrid w:val="0"/>
          <w:color w:val="auto"/>
          <w:kern w:val="0"/>
          <w:sz w:val="24"/>
          <w:szCs w:val="24"/>
          <w:highlight w:val="none"/>
          <w:lang w:val="zh-CN"/>
        </w:rPr>
        <w:t>26.2</w:t>
      </w:r>
      <w:r>
        <w:rPr>
          <w:rFonts w:hint="eastAsia" w:ascii="宋体"/>
          <w:b w:val="0"/>
          <w:bCs w:val="0"/>
          <w:strike w:val="0"/>
          <w:snapToGrid w:val="0"/>
          <w:color w:val="auto"/>
          <w:kern w:val="0"/>
          <w:sz w:val="24"/>
          <w:szCs w:val="24"/>
          <w:highlight w:val="none"/>
          <w:lang w:val="en-US" w:eastAsia="zh-CN"/>
        </w:rPr>
        <w:t>2</w:t>
      </w:r>
      <w:r>
        <w:rPr>
          <w:rFonts w:hint="eastAsia" w:ascii="宋体"/>
          <w:b w:val="0"/>
          <w:bCs w:val="0"/>
          <w:strike w:val="0"/>
          <w:snapToGrid w:val="0"/>
          <w:color w:val="auto"/>
          <w:kern w:val="0"/>
          <w:sz w:val="24"/>
          <w:szCs w:val="24"/>
          <w:highlight w:val="none"/>
          <w:lang w:val="zh-CN"/>
        </w:rPr>
        <w:t>　若发生违反合同相关要求的行为,视情节轻重，对承包人处以2000-10000元/次违约金。</w:t>
      </w:r>
    </w:p>
    <w:p w14:paraId="1C693D60">
      <w:pPr>
        <w:pStyle w:val="30"/>
        <w:autoSpaceDE/>
        <w:autoSpaceDN/>
        <w:adjustRightInd w:val="0"/>
        <w:snapToGrid w:val="0"/>
        <w:spacing w:beforeLines="0" w:afterLines="0" w:line="360" w:lineRule="auto"/>
        <w:ind w:firstLine="0" w:firstLineChars="0"/>
        <w:textAlignment w:val="baseline"/>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26.2</w:t>
      </w:r>
      <w:r>
        <w:rPr>
          <w:rFonts w:hint="eastAsia" w:ascii="宋体"/>
          <w:b w:val="0"/>
          <w:bCs w:val="0"/>
          <w:snapToGrid w:val="0"/>
          <w:color w:val="auto"/>
          <w:kern w:val="0"/>
          <w:sz w:val="24"/>
          <w:szCs w:val="24"/>
          <w:highlight w:val="none"/>
          <w:lang w:val="en-US" w:eastAsia="zh-CN"/>
        </w:rPr>
        <w:t>3</w:t>
      </w:r>
      <w:r>
        <w:rPr>
          <w:rFonts w:hint="eastAsia" w:ascii="宋体"/>
          <w:b w:val="0"/>
          <w:bCs w:val="0"/>
          <w:snapToGrid w:val="0"/>
          <w:color w:val="auto"/>
          <w:kern w:val="0"/>
          <w:sz w:val="24"/>
          <w:szCs w:val="24"/>
          <w:highlight w:val="none"/>
          <w:lang w:val="zh-CN"/>
        </w:rPr>
        <w:t>　承包人隧洞洞挖超挖范围不能超出150mm（超挖厚度按径向计算），超挖超出上限范围必须按要求整改后方可验收，验收合格后方可进行下一道工序施工，超挖超填费用由承包人承担，发包人不再另行支付，因不可预见地质原因引起的超挖按第七章8.6.6条执行。</w:t>
      </w:r>
    </w:p>
    <w:p w14:paraId="71233EEF">
      <w:pPr>
        <w:pStyle w:val="30"/>
        <w:spacing w:line="360" w:lineRule="auto"/>
        <w:ind w:firstLine="0" w:firstLineChars="0"/>
        <w:rPr>
          <w:rFonts w:hint="eastAsia" w:ascii="宋体"/>
          <w:b w:val="0"/>
          <w:bCs w:val="0"/>
          <w:snapToGrid w:val="0"/>
          <w:color w:val="auto"/>
          <w:kern w:val="0"/>
          <w:sz w:val="24"/>
          <w:szCs w:val="24"/>
          <w:highlight w:val="none"/>
          <w:lang w:val="zh-CN"/>
        </w:rPr>
      </w:pPr>
      <w:r>
        <w:rPr>
          <w:rFonts w:hint="eastAsia" w:ascii="宋体"/>
          <w:b w:val="0"/>
          <w:bCs w:val="0"/>
          <w:snapToGrid w:val="0"/>
          <w:color w:val="auto"/>
          <w:kern w:val="0"/>
          <w:sz w:val="24"/>
          <w:szCs w:val="24"/>
          <w:highlight w:val="none"/>
          <w:lang w:val="zh-CN"/>
        </w:rPr>
        <w:t>26.2</w:t>
      </w:r>
      <w:r>
        <w:rPr>
          <w:rFonts w:hint="eastAsia" w:ascii="宋体"/>
          <w:b w:val="0"/>
          <w:bCs w:val="0"/>
          <w:snapToGrid w:val="0"/>
          <w:color w:val="auto"/>
          <w:kern w:val="0"/>
          <w:sz w:val="24"/>
          <w:szCs w:val="24"/>
          <w:highlight w:val="none"/>
          <w:lang w:val="en-US" w:eastAsia="zh-CN"/>
        </w:rPr>
        <w:t>4</w:t>
      </w:r>
      <w:r>
        <w:rPr>
          <w:rFonts w:hint="eastAsia" w:ascii="宋体"/>
          <w:b w:val="0"/>
          <w:bCs w:val="0"/>
          <w:snapToGrid w:val="0"/>
          <w:color w:val="auto"/>
          <w:kern w:val="0"/>
          <w:sz w:val="24"/>
          <w:szCs w:val="24"/>
          <w:highlight w:val="none"/>
          <w:lang w:val="zh-CN"/>
        </w:rPr>
        <w:t xml:space="preserve">  本标段范围内所有需复垦的土地在工程完工验收合格后6个月内完成土地复垦工作且验收合格，给予承包人1万元/亩复垦奖励，面积按实际验收合格的土地面积计算。</w:t>
      </w:r>
    </w:p>
    <w:p w14:paraId="7780EE19">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26.2</w:t>
      </w:r>
      <w:r>
        <w:rPr>
          <w:rFonts w:hint="eastAsia" w:hAnsi="Microsoft JhengHei" w:cs="Microsoft JhengHei"/>
          <w:color w:val="auto"/>
          <w:sz w:val="24"/>
          <w:highlight w:val="none"/>
          <w:lang w:val="en-US" w:eastAsia="zh-CN" w:bidi="zh-CN"/>
        </w:rPr>
        <w:t>5</w:t>
      </w:r>
      <w:r>
        <w:rPr>
          <w:rFonts w:hint="eastAsia" w:hAnsi="Microsoft JhengHei" w:cs="Microsoft JhengHei"/>
          <w:color w:val="auto"/>
          <w:sz w:val="24"/>
          <w:highlight w:val="none"/>
          <w:lang w:eastAsia="zh-CN" w:bidi="zh-CN"/>
        </w:rPr>
        <w:t xml:space="preserve">  承包人未按合同约定履行义务，造成工程质量低下、进度迟缓、管理混乱，发包人有权终止合同，没收履约保证金，并赔偿发包人因此造成的一切经济损失、依法承担相应的法律责任。对工程实施中出现的质量问题承包人按照发包人的要求无条件地进行限期整改，达到质量要求。因整改造成工期延误、经济损失等均由承包人承担一切责任。</w:t>
      </w:r>
    </w:p>
    <w:p w14:paraId="20CE964E">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26.2</w:t>
      </w:r>
      <w:r>
        <w:rPr>
          <w:rFonts w:hint="eastAsia" w:hAnsi="Microsoft JhengHei" w:cs="Microsoft JhengHei"/>
          <w:color w:val="auto"/>
          <w:sz w:val="24"/>
          <w:highlight w:val="none"/>
          <w:lang w:val="en-US" w:eastAsia="zh-CN" w:bidi="zh-CN"/>
        </w:rPr>
        <w:t>6</w:t>
      </w:r>
      <w:r>
        <w:rPr>
          <w:rFonts w:hint="eastAsia" w:hAnsi="Microsoft JhengHei" w:cs="Microsoft JhengHei"/>
          <w:color w:val="auto"/>
          <w:sz w:val="24"/>
          <w:highlight w:val="none"/>
          <w:lang w:eastAsia="zh-CN" w:bidi="zh-CN"/>
        </w:rPr>
        <w:t xml:space="preserve">  承包人必须按期如实支付工人的劳动工资，发包人有权监督承包人对于工人工资的发放。</w:t>
      </w:r>
    </w:p>
    <w:p w14:paraId="1D4FEF31">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w:t>
      </w:r>
      <w:r>
        <w:rPr>
          <w:rFonts w:hint="eastAsia" w:hAnsi="Microsoft JhengHei" w:cs="Microsoft JhengHei"/>
          <w:color w:val="auto"/>
          <w:sz w:val="24"/>
          <w:highlight w:val="none"/>
          <w:lang w:val="en-US" w:eastAsia="zh-CN" w:bidi="zh-CN"/>
        </w:rPr>
        <w:t>27</w:t>
      </w:r>
      <w:r>
        <w:rPr>
          <w:rFonts w:hint="eastAsia" w:hAnsi="Microsoft JhengHei" w:cs="Microsoft JhengHei"/>
          <w:color w:val="auto"/>
          <w:sz w:val="24"/>
          <w:highlight w:val="none"/>
          <w:lang w:eastAsia="zh-CN" w:bidi="zh-CN"/>
        </w:rPr>
        <w:t xml:space="preserve">  承包人完成与周边其他在建工程的衔接工作须服从业主的统一安排。</w:t>
      </w:r>
    </w:p>
    <w:p w14:paraId="32C23065">
      <w:pPr>
        <w:pStyle w:val="30"/>
        <w:spacing w:line="360" w:lineRule="auto"/>
        <w:ind w:firstLine="0" w:firstLineChars="0"/>
        <w:rPr>
          <w:rFonts w:hint="default" w:hAnsi="Microsoft JhengHei" w:cs="Microsoft JhengHei"/>
          <w:color w:val="auto"/>
          <w:sz w:val="24"/>
          <w:highlight w:val="none"/>
          <w:lang w:val="en-US" w:eastAsia="zh-CN" w:bidi="zh-CN"/>
        </w:rPr>
      </w:pPr>
      <w:r>
        <w:rPr>
          <w:rFonts w:hint="eastAsia" w:hAnsi="Microsoft JhengHei" w:cs="Microsoft JhengHei"/>
          <w:color w:val="auto"/>
          <w:sz w:val="24"/>
          <w:highlight w:val="none"/>
          <w:lang w:val="en-US" w:eastAsia="zh-CN" w:bidi="zh-CN"/>
        </w:rPr>
        <w:t>26.28  投标人中标后，发包人有权对清单报价数据进行一致性检查、不平衡报价分析等清标措施。对于发现异常投标报价的，发包人有权要求承包人在投标总价不变的基础上合理调整清单报价。</w:t>
      </w:r>
    </w:p>
    <w:p w14:paraId="451FC03A">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w:t>
      </w:r>
      <w:r>
        <w:rPr>
          <w:rFonts w:hint="eastAsia" w:hAnsi="Microsoft JhengHei" w:cs="Microsoft JhengHei"/>
          <w:color w:val="auto"/>
          <w:sz w:val="24"/>
          <w:highlight w:val="none"/>
          <w:lang w:val="en-US" w:eastAsia="zh-CN" w:bidi="zh-CN"/>
        </w:rPr>
        <w:t>29</w:t>
      </w:r>
      <w:r>
        <w:rPr>
          <w:rFonts w:hint="eastAsia" w:hAnsi="Microsoft JhengHei" w:cs="Microsoft JhengHei"/>
          <w:color w:val="auto"/>
          <w:sz w:val="24"/>
          <w:highlight w:val="none"/>
          <w:lang w:eastAsia="zh-CN" w:bidi="zh-CN"/>
        </w:rPr>
        <w:t xml:space="preserve">  立功竞赛</w:t>
      </w:r>
    </w:p>
    <w:p w14:paraId="625D7B78">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w:t>
      </w:r>
      <w:r>
        <w:rPr>
          <w:rFonts w:hint="eastAsia" w:hAnsi="Microsoft JhengHei" w:cs="Microsoft JhengHei"/>
          <w:color w:val="auto"/>
          <w:sz w:val="24"/>
          <w:highlight w:val="none"/>
          <w:lang w:val="en-US" w:eastAsia="zh-CN" w:bidi="zh-CN"/>
        </w:rPr>
        <w:t>29</w:t>
      </w:r>
      <w:r>
        <w:rPr>
          <w:rFonts w:hint="eastAsia" w:hAnsi="Microsoft JhengHei" w:cs="Microsoft JhengHei"/>
          <w:color w:val="auto"/>
          <w:sz w:val="24"/>
          <w:highlight w:val="none"/>
          <w:lang w:eastAsia="zh-CN" w:bidi="zh-CN"/>
        </w:rPr>
        <w:t>.1为加快推进浙江镜岭水库工程建设，本工程建设开展立功竞赛活动。根据工程特点及建设实际，设立浙江镜岭水库工程立功竞赛基金，由各标段施工单位共同出资，每标段施工单位出资25万元。竞赛基金账户的全部资金用于奖励施工优胜单位，严格实行专款专用。竞赛基金由业主单位设立专账进行核算和管理。各标段施工单位自收到通知之日起15个工作日内将出资额划入业主单位指定账户。立功竞赛结束后，奖励资金结余部分将按出资比例全部退还至各相关单位，竞赛基金账户资金清零。</w:t>
      </w:r>
    </w:p>
    <w:p w14:paraId="25390EB3">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w:t>
      </w:r>
      <w:r>
        <w:rPr>
          <w:rFonts w:hint="eastAsia" w:hAnsi="Microsoft JhengHei" w:cs="Microsoft JhengHei"/>
          <w:color w:val="auto"/>
          <w:sz w:val="24"/>
          <w:highlight w:val="none"/>
          <w:lang w:val="en-US" w:eastAsia="zh-CN" w:bidi="zh-CN"/>
        </w:rPr>
        <w:t>29</w:t>
      </w:r>
      <w:r>
        <w:rPr>
          <w:rFonts w:hint="eastAsia" w:hAnsi="Microsoft JhengHei" w:cs="Microsoft JhengHei"/>
          <w:color w:val="auto"/>
          <w:sz w:val="24"/>
          <w:highlight w:val="none"/>
          <w:lang w:eastAsia="zh-CN" w:bidi="zh-CN"/>
        </w:rPr>
        <w:t>.2竞赛内容</w:t>
      </w:r>
    </w:p>
    <w:p w14:paraId="30ABBE97">
      <w:pPr>
        <w:kinsoku/>
        <w:spacing w:beforeLines="0" w:afterLines="0"/>
        <w:ind w:firstLine="0" w:firstLineChars="0"/>
        <w:rPr>
          <w:rFonts w:ascii="Times New Roman"/>
          <w:snapToGrid/>
          <w:color w:val="auto"/>
          <w:kern w:val="2"/>
          <w:sz w:val="24"/>
          <w:szCs w:val="24"/>
          <w:highlight w:val="none"/>
        </w:rPr>
      </w:pPr>
      <w:r>
        <w:rPr>
          <w:rFonts w:hint="eastAsia" w:ascii="Times New Roman"/>
          <w:snapToGrid/>
          <w:color w:val="auto"/>
          <w:kern w:val="2"/>
          <w:sz w:val="24"/>
          <w:szCs w:val="24"/>
          <w:highlight w:val="none"/>
        </w:rPr>
        <w:t>以“比质量、比安全、比进度、比文明、比廉洁、比责任”为主要内容</w:t>
      </w:r>
      <w:r>
        <w:rPr>
          <w:rFonts w:hint="eastAsia" w:ascii="Times New Roman"/>
          <w:snapToGrid/>
          <w:color w:val="auto"/>
          <w:kern w:val="2"/>
          <w:sz w:val="24"/>
          <w:szCs w:val="24"/>
          <w:highlight w:val="none"/>
          <w:lang w:eastAsia="zh-CN"/>
        </w:rPr>
        <w:t>。</w:t>
      </w:r>
    </w:p>
    <w:p w14:paraId="56FFA0F2">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w:t>
      </w:r>
      <w:r>
        <w:rPr>
          <w:rFonts w:hint="eastAsia" w:hAnsi="Microsoft JhengHei" w:cs="Microsoft JhengHei"/>
          <w:color w:val="auto"/>
          <w:sz w:val="24"/>
          <w:highlight w:val="none"/>
          <w:lang w:val="en-US" w:eastAsia="zh-CN" w:bidi="zh-CN"/>
        </w:rPr>
        <w:t>29</w:t>
      </w:r>
      <w:r>
        <w:rPr>
          <w:rFonts w:hint="eastAsia" w:hAnsi="Microsoft JhengHei" w:cs="Microsoft JhengHei"/>
          <w:color w:val="auto"/>
          <w:sz w:val="24"/>
          <w:highlight w:val="none"/>
          <w:lang w:eastAsia="zh-CN" w:bidi="zh-CN"/>
        </w:rPr>
        <w:t>.3考评和奖罚</w:t>
      </w:r>
    </w:p>
    <w:p w14:paraId="38F6F75A">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（一）考评：</w:t>
      </w:r>
    </w:p>
    <w:p w14:paraId="137FA20E">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1、考评分为季度和年度考评。</w:t>
      </w:r>
    </w:p>
    <w:p w14:paraId="34C445C3">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2、施工单位考评：每季度末月18日前，各施工单位将自评表报所属监理单位；当月20日前，监理部将复评结果报建设单位。活动组织单位在每季度末月22日前组织考评并公布考评结果。</w:t>
      </w:r>
    </w:p>
    <w:p w14:paraId="29349284">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3、年度考评不单独进行，以当年各季度考评得分综合计算作为该年度考评得分。其中：</w:t>
      </w:r>
    </w:p>
    <w:p w14:paraId="1840836F">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（1）年度考评共4个季度的，前两个季度的得分各占20%，后两个季度的得分各占30%。</w:t>
      </w:r>
    </w:p>
    <w:p w14:paraId="3C039710">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（2）年度考评共3个季度的，其前两个季度的得分各占30%，最后一个季度的得分占40%。</w:t>
      </w:r>
    </w:p>
    <w:p w14:paraId="29D9DB96">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（3）年度考评共2个季度的，其第一个季度的得分占40%，第二个季度的得分占60%。</w:t>
      </w:r>
    </w:p>
    <w:p w14:paraId="093A036D">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（4）年度考评共1个季度的，其这一个季度的得分占100%。</w:t>
      </w:r>
    </w:p>
    <w:p w14:paraId="5436F083">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（二）奖惩：</w:t>
      </w:r>
    </w:p>
    <w:p w14:paraId="16B885D8">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1、施工单位：综合得分在90分及以上的为达标单位，90分以下的为不达标单位。季度达标单位，第一名奖励5万元，第二名奖励3万元，第三名奖励1万元，并同时授予季度优胜单位锦旗；年度达标单位，第一名奖励8万元，第二名奖励5万元，第三名奖励3万元。同时授予年度优胜单位锦旗。</w:t>
      </w:r>
    </w:p>
    <w:p w14:paraId="7D956346">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2、竞赛活动奖励可用于改进生产工艺、生产环境及发放个人奖励等用途。</w:t>
      </w:r>
    </w:p>
    <w:p w14:paraId="1D040E77">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3、参赛单位发生安全、质量、环保、社会稳定等事故（事件），或出现廉政问题，视情况取消当季直至年度考评资格。</w:t>
      </w:r>
    </w:p>
    <w:p w14:paraId="57151FD6">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4、未达标的参赛单位需限期整改，并将视情通报施工单位或行业主管部门。</w:t>
      </w:r>
    </w:p>
    <w:p w14:paraId="589A14CC">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（三）特殊奖励</w:t>
      </w:r>
    </w:p>
    <w:p w14:paraId="4D4F9C8E">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1、在不降低原设计标准的前提下，参赛单位对施工图设计方案、工艺工法等提出合理化建议，经变更实施后，降低工程造价效果明显的，给予所降低造价5%且最高不超过15万元的奖励。</w:t>
      </w:r>
    </w:p>
    <w:p w14:paraId="17E651A7">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2、参赛单位在标准化建设以及质量、安全、环保、工艺、内业等方面表现突出，承办业主或行业主管部门主办的相关现场会（或观摩会）并取得良好反响的，每次视情给予1万—5万元的奖励。</w:t>
      </w:r>
    </w:p>
    <w:p w14:paraId="39E5A5F6">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3、参赛单位在抢险救灾或配合地方事务中表现突出，得到乡镇及以上政府部门或县级及以上行业主管部门书面嘉奖的，每次视情给予0.5万—5万元的奖励。</w:t>
      </w:r>
    </w:p>
    <w:p w14:paraId="31004EE6">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26.</w:t>
      </w:r>
      <w:r>
        <w:rPr>
          <w:rFonts w:hint="eastAsia" w:hAnsi="Microsoft JhengHei" w:cs="Microsoft JhengHei"/>
          <w:color w:val="auto"/>
          <w:sz w:val="24"/>
          <w:highlight w:val="none"/>
          <w:lang w:val="en-US" w:eastAsia="zh-CN" w:bidi="zh-CN"/>
        </w:rPr>
        <w:t>29</w:t>
      </w:r>
      <w:r>
        <w:rPr>
          <w:rFonts w:hint="eastAsia" w:hAnsi="Microsoft JhengHei" w:cs="Microsoft JhengHei"/>
          <w:color w:val="auto"/>
          <w:sz w:val="24"/>
          <w:highlight w:val="none"/>
          <w:lang w:eastAsia="zh-CN" w:bidi="zh-CN"/>
        </w:rPr>
        <w:t>.</w:t>
      </w:r>
      <w:r>
        <w:rPr>
          <w:rFonts w:hint="eastAsia" w:hAnsi="Microsoft JhengHei" w:cs="Microsoft JhengHei"/>
          <w:color w:val="auto"/>
          <w:sz w:val="24"/>
          <w:highlight w:val="none"/>
          <w:lang w:val="en-US" w:eastAsia="zh-CN" w:bidi="zh-CN"/>
        </w:rPr>
        <w:t xml:space="preserve">4   </w:t>
      </w:r>
      <w:r>
        <w:rPr>
          <w:rFonts w:hint="eastAsia" w:hAnsi="Microsoft JhengHei" w:cs="Microsoft JhengHei"/>
          <w:color w:val="auto"/>
          <w:sz w:val="24"/>
          <w:highlight w:val="none"/>
          <w:lang w:eastAsia="zh-CN" w:bidi="zh-CN"/>
        </w:rPr>
        <w:t>其他</w:t>
      </w:r>
    </w:p>
    <w:p w14:paraId="486DA05B">
      <w:pPr>
        <w:pStyle w:val="30"/>
        <w:spacing w:line="360" w:lineRule="auto"/>
        <w:ind w:firstLine="0" w:firstLineChars="0"/>
        <w:rPr>
          <w:rFonts w:hint="eastAsia" w:hAnsi="Microsoft JhengHei" w:cs="Microsoft JhengHei"/>
          <w:color w:val="auto"/>
          <w:sz w:val="24"/>
          <w:highlight w:val="none"/>
          <w:lang w:eastAsia="zh-CN" w:bidi="zh-CN"/>
        </w:rPr>
      </w:pPr>
      <w:r>
        <w:rPr>
          <w:rFonts w:hint="eastAsia" w:hAnsi="Microsoft JhengHei" w:cs="Microsoft JhengHei"/>
          <w:color w:val="auto"/>
          <w:sz w:val="24"/>
          <w:highlight w:val="none"/>
          <w:lang w:eastAsia="zh-CN" w:bidi="zh-CN"/>
        </w:rPr>
        <w:t>具体立功竞赛活动，根据建设单位制定相关制度要求执行。</w:t>
      </w:r>
      <w:r>
        <w:rPr>
          <w:rFonts w:hint="eastAsia" w:hAnsi="Microsoft JhengHei" w:cs="Microsoft JhengHei"/>
          <w:color w:val="auto"/>
          <w:sz w:val="24"/>
          <w:highlight w:val="none"/>
          <w:lang w:val="en-US" w:eastAsia="zh-CN" w:bidi="zh-CN"/>
        </w:rPr>
        <w:t>具体</w:t>
      </w:r>
      <w:r>
        <w:rPr>
          <w:rFonts w:hint="eastAsia" w:ascii="Times New Roman"/>
          <w:snapToGrid/>
          <w:color w:val="auto"/>
          <w:kern w:val="2"/>
          <w:sz w:val="24"/>
          <w:szCs w:val="24"/>
          <w:highlight w:val="none"/>
        </w:rPr>
        <w:t>根据施工单位的工作性质和职责任务</w:t>
      </w:r>
      <w:r>
        <w:rPr>
          <w:rFonts w:hint="eastAsia"/>
          <w:snapToGrid/>
          <w:color w:val="auto"/>
          <w:kern w:val="2"/>
          <w:sz w:val="24"/>
          <w:szCs w:val="24"/>
          <w:highlight w:val="none"/>
          <w:lang w:val="en-US" w:eastAsia="zh-CN"/>
        </w:rPr>
        <w:t>考评</w:t>
      </w:r>
      <w:r>
        <w:rPr>
          <w:rFonts w:hint="eastAsia" w:ascii="Times New Roman"/>
          <w:snapToGrid/>
          <w:color w:val="auto"/>
          <w:kern w:val="2"/>
          <w:sz w:val="24"/>
          <w:szCs w:val="24"/>
          <w:highlight w:val="none"/>
        </w:rPr>
        <w:t>，</w:t>
      </w:r>
      <w:r>
        <w:rPr>
          <w:rFonts w:hint="eastAsia"/>
          <w:snapToGrid/>
          <w:color w:val="auto"/>
          <w:kern w:val="2"/>
          <w:sz w:val="24"/>
          <w:szCs w:val="24"/>
          <w:highlight w:val="none"/>
          <w:lang w:val="en-US" w:eastAsia="zh-CN"/>
        </w:rPr>
        <w:t>内容及考核标准下表可且仅做参考</w:t>
      </w:r>
      <w:r>
        <w:rPr>
          <w:rFonts w:ascii="Times New Roman"/>
          <w:snapToGrid/>
          <w:color w:val="auto"/>
          <w:kern w:val="2"/>
          <w:sz w:val="24"/>
          <w:szCs w:val="24"/>
          <w:highlight w:val="none"/>
        </w:rPr>
        <w:t>：</w:t>
      </w:r>
    </w:p>
    <w:p w14:paraId="15F95C6A">
      <w:pPr>
        <w:kinsoku/>
        <w:spacing w:beforeLines="0" w:afterLines="0"/>
        <w:ind w:firstLine="0" w:firstLineChars="0"/>
        <w:jc w:val="center"/>
        <w:rPr>
          <w:rFonts w:hint="default" w:hAnsi="Microsoft JhengHei" w:cs="Microsoft JhengHei"/>
          <w:color w:val="auto"/>
          <w:highlight w:val="none"/>
          <w:lang w:val="en-US" w:eastAsia="zh-CN" w:bidi="zh-CN"/>
        </w:rPr>
      </w:pPr>
      <w:r>
        <w:rPr>
          <w:rFonts w:hint="eastAsia" w:hAnsi="Microsoft JhengHei" w:cs="Microsoft JhengHei"/>
          <w:color w:val="auto"/>
          <w:highlight w:val="none"/>
          <w:lang w:val="en-US" w:eastAsia="zh-CN" w:bidi="zh-CN"/>
        </w:rPr>
        <w:t xml:space="preserve">  镜岭水库工程施工单位20XX年度X季度综合考核表</w:t>
      </w:r>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1"/>
        <w:gridCol w:w="951"/>
        <w:gridCol w:w="729"/>
        <w:gridCol w:w="4011"/>
        <w:gridCol w:w="738"/>
        <w:gridCol w:w="754"/>
        <w:gridCol w:w="651"/>
        <w:gridCol w:w="770"/>
      </w:tblGrid>
      <w:tr w14:paraId="176BF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8D7D28">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项目</w:t>
            </w:r>
          </w:p>
        </w:tc>
        <w:tc>
          <w:tcPr>
            <w:tcW w:w="951" w:type="dxa"/>
            <w:vMerge w:val="restart"/>
            <w:tcBorders>
              <w:top w:val="single" w:color="000000" w:sz="4" w:space="0"/>
              <w:left w:val="nil"/>
              <w:bottom w:val="single" w:color="000000" w:sz="4" w:space="0"/>
              <w:right w:val="single" w:color="000000" w:sz="4" w:space="0"/>
            </w:tcBorders>
            <w:shd w:val="clear" w:color="auto" w:fill="FFFFFF"/>
            <w:vAlign w:val="center"/>
          </w:tcPr>
          <w:p w14:paraId="5F40F46B">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考核内容</w:t>
            </w:r>
          </w:p>
        </w:tc>
        <w:tc>
          <w:tcPr>
            <w:tcW w:w="729" w:type="dxa"/>
            <w:vMerge w:val="restart"/>
            <w:tcBorders>
              <w:top w:val="single" w:color="000000" w:sz="4" w:space="0"/>
              <w:left w:val="nil"/>
              <w:bottom w:val="single" w:color="000000" w:sz="4" w:space="0"/>
              <w:right w:val="single" w:color="000000" w:sz="4" w:space="0"/>
            </w:tcBorders>
            <w:shd w:val="clear" w:color="auto" w:fill="FFFFFF"/>
            <w:vAlign w:val="center"/>
          </w:tcPr>
          <w:p w14:paraId="21867AB4">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标准分</w:t>
            </w:r>
          </w:p>
        </w:tc>
        <w:tc>
          <w:tcPr>
            <w:tcW w:w="4011" w:type="dxa"/>
            <w:vMerge w:val="restart"/>
            <w:tcBorders>
              <w:top w:val="single" w:color="000000" w:sz="4" w:space="0"/>
              <w:left w:val="nil"/>
              <w:bottom w:val="single" w:color="000000" w:sz="4" w:space="0"/>
              <w:right w:val="single" w:color="000000" w:sz="4" w:space="0"/>
            </w:tcBorders>
            <w:shd w:val="clear" w:color="auto" w:fill="FFFFFF"/>
            <w:vAlign w:val="center"/>
          </w:tcPr>
          <w:p w14:paraId="03E55298">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考核标准</w:t>
            </w:r>
          </w:p>
        </w:tc>
        <w:tc>
          <w:tcPr>
            <w:tcW w:w="738" w:type="dxa"/>
            <w:vMerge w:val="restart"/>
            <w:tcBorders>
              <w:top w:val="single" w:color="000000" w:sz="4" w:space="0"/>
              <w:left w:val="nil"/>
              <w:bottom w:val="single" w:color="000000" w:sz="4" w:space="0"/>
              <w:right w:val="single" w:color="000000" w:sz="4" w:space="0"/>
            </w:tcBorders>
            <w:shd w:val="clear" w:color="auto" w:fill="FFFFFF"/>
            <w:vAlign w:val="center"/>
          </w:tcPr>
          <w:p w14:paraId="3A096036">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自评分</w:t>
            </w:r>
          </w:p>
        </w:tc>
        <w:tc>
          <w:tcPr>
            <w:tcW w:w="754" w:type="dxa"/>
            <w:vMerge w:val="restart"/>
            <w:tcBorders>
              <w:top w:val="single" w:color="000000" w:sz="4" w:space="0"/>
              <w:left w:val="nil"/>
              <w:bottom w:val="single" w:color="000000" w:sz="4" w:space="0"/>
              <w:right w:val="single" w:color="000000" w:sz="4" w:space="0"/>
            </w:tcBorders>
            <w:shd w:val="clear" w:color="auto" w:fill="FFFFFF"/>
            <w:vAlign w:val="center"/>
          </w:tcPr>
          <w:p w14:paraId="2D646EFC">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监理复评分</w:t>
            </w:r>
          </w:p>
        </w:tc>
        <w:tc>
          <w:tcPr>
            <w:tcW w:w="651" w:type="dxa"/>
            <w:vMerge w:val="restart"/>
            <w:tcBorders>
              <w:top w:val="single" w:color="000000" w:sz="4" w:space="0"/>
              <w:left w:val="nil"/>
              <w:bottom w:val="single" w:color="000000" w:sz="4" w:space="0"/>
              <w:right w:val="single" w:color="000000" w:sz="4" w:space="0"/>
            </w:tcBorders>
            <w:shd w:val="clear" w:color="auto" w:fill="FFFFFF"/>
            <w:vAlign w:val="center"/>
          </w:tcPr>
          <w:p w14:paraId="4AB5BBA2">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业主评分</w:t>
            </w:r>
          </w:p>
        </w:tc>
        <w:tc>
          <w:tcPr>
            <w:tcW w:w="770" w:type="dxa"/>
            <w:vMerge w:val="restart"/>
            <w:tcBorders>
              <w:top w:val="single" w:color="000000" w:sz="4" w:space="0"/>
              <w:left w:val="nil"/>
              <w:bottom w:val="single" w:color="000000" w:sz="4" w:space="0"/>
              <w:right w:val="single" w:color="000000" w:sz="4" w:space="0"/>
            </w:tcBorders>
            <w:shd w:val="clear" w:color="auto" w:fill="FFFFFF"/>
            <w:vAlign w:val="center"/>
          </w:tcPr>
          <w:p w14:paraId="4E6CABD9">
            <w:pPr>
              <w:pStyle w:val="9"/>
              <w:keepNext w:val="0"/>
              <w:keepLines w:val="0"/>
              <w:widowControl/>
              <w:suppressLineNumbers w:val="0"/>
              <w:autoSpaceDE/>
              <w:autoSpaceDN/>
              <w:spacing w:line="240" w:lineRule="atLeast"/>
              <w:ind w:left="0" w:firstLine="0" w:firstLineChars="0"/>
              <w:jc w:val="center"/>
              <w:textAlignment w:val="auto"/>
              <w:rPr>
                <w:rFonts w:hint="eastAsia" w:ascii="宋体" w:hAnsi="宋体" w:eastAsia="宋体" w:cs="宋体"/>
                <w:b w:val="0"/>
                <w:bCs w:val="0"/>
                <w:i w:val="0"/>
                <w:iCs w:val="0"/>
                <w:color w:val="auto"/>
                <w:kern w:val="0"/>
                <w:sz w:val="16"/>
                <w:szCs w:val="16"/>
                <w:highlight w:val="none"/>
              </w:rPr>
            </w:pPr>
            <w:r>
              <w:rPr>
                <w:rStyle w:val="68"/>
                <w:rFonts w:hint="eastAsia" w:ascii="宋体" w:hAnsi="宋体" w:eastAsia="宋体" w:cs="宋体"/>
                <w:b w:val="0"/>
                <w:bCs w:val="0"/>
                <w:i w:val="0"/>
                <w:iCs w:val="0"/>
                <w:color w:val="auto"/>
                <w:kern w:val="0"/>
                <w:sz w:val="16"/>
                <w:szCs w:val="16"/>
                <w:highlight w:val="none"/>
              </w:rPr>
              <w:t>考评分</w:t>
            </w:r>
          </w:p>
        </w:tc>
      </w:tr>
      <w:tr w14:paraId="4D958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E9E543">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single" w:color="000000" w:sz="4" w:space="0"/>
              <w:left w:val="nil"/>
              <w:bottom w:val="single" w:color="000000" w:sz="4" w:space="0"/>
              <w:right w:val="single" w:color="000000" w:sz="4" w:space="0"/>
            </w:tcBorders>
            <w:shd w:val="clear" w:color="auto" w:fill="FFFFFF"/>
            <w:vAlign w:val="center"/>
          </w:tcPr>
          <w:p w14:paraId="72DC6F5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single" w:color="000000" w:sz="4" w:space="0"/>
              <w:left w:val="nil"/>
              <w:bottom w:val="single" w:color="000000" w:sz="4" w:space="0"/>
              <w:right w:val="single" w:color="000000" w:sz="4" w:space="0"/>
            </w:tcBorders>
            <w:shd w:val="clear" w:color="auto" w:fill="FFFFFF"/>
            <w:vAlign w:val="center"/>
          </w:tcPr>
          <w:p w14:paraId="653F85A0">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single" w:color="000000" w:sz="4" w:space="0"/>
              <w:left w:val="nil"/>
              <w:bottom w:val="single" w:color="000000" w:sz="4" w:space="0"/>
              <w:right w:val="single" w:color="000000" w:sz="4" w:space="0"/>
            </w:tcBorders>
            <w:shd w:val="clear" w:color="auto" w:fill="FFFFFF"/>
            <w:vAlign w:val="center"/>
          </w:tcPr>
          <w:p w14:paraId="229A007C">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single" w:color="000000" w:sz="4" w:space="0"/>
              <w:left w:val="nil"/>
              <w:bottom w:val="single" w:color="000000" w:sz="4" w:space="0"/>
              <w:right w:val="single" w:color="000000" w:sz="4" w:space="0"/>
            </w:tcBorders>
            <w:shd w:val="clear" w:color="auto" w:fill="FFFFFF"/>
            <w:vAlign w:val="center"/>
          </w:tcPr>
          <w:p w14:paraId="45B35D8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single" w:color="000000" w:sz="4" w:space="0"/>
              <w:left w:val="nil"/>
              <w:bottom w:val="single" w:color="000000" w:sz="4" w:space="0"/>
              <w:right w:val="single" w:color="000000" w:sz="4" w:space="0"/>
            </w:tcBorders>
            <w:shd w:val="clear" w:color="auto" w:fill="FFFFFF"/>
            <w:vAlign w:val="center"/>
          </w:tcPr>
          <w:p w14:paraId="227FFA3A">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single" w:color="000000" w:sz="4" w:space="0"/>
              <w:left w:val="nil"/>
              <w:bottom w:val="single" w:color="000000" w:sz="4" w:space="0"/>
              <w:right w:val="single" w:color="000000" w:sz="4" w:space="0"/>
            </w:tcBorders>
            <w:shd w:val="clear" w:color="auto" w:fill="FFFFFF"/>
            <w:vAlign w:val="center"/>
          </w:tcPr>
          <w:p w14:paraId="5D7493D1">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single" w:color="000000" w:sz="4" w:space="0"/>
              <w:left w:val="nil"/>
              <w:bottom w:val="single" w:color="000000" w:sz="4" w:space="0"/>
              <w:right w:val="single" w:color="000000" w:sz="4" w:space="0"/>
            </w:tcBorders>
            <w:shd w:val="clear" w:color="auto" w:fill="FFFFFF"/>
            <w:vAlign w:val="center"/>
          </w:tcPr>
          <w:p w14:paraId="0FC645E5">
            <w:pPr>
              <w:spacing w:line="240" w:lineRule="atLeast"/>
              <w:jc w:val="center"/>
              <w:rPr>
                <w:rFonts w:hint="default" w:ascii="Times New Roman" w:hAnsi="Times New Roman" w:cs="Times New Roman"/>
                <w:color w:val="auto"/>
                <w:sz w:val="18"/>
                <w:szCs w:val="18"/>
                <w:highlight w:val="none"/>
              </w:rPr>
            </w:pPr>
          </w:p>
        </w:tc>
      </w:tr>
      <w:tr w14:paraId="04AFB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415BC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single" w:color="000000" w:sz="4" w:space="0"/>
              <w:left w:val="nil"/>
              <w:bottom w:val="single" w:color="000000" w:sz="4" w:space="0"/>
              <w:right w:val="single" w:color="000000" w:sz="4" w:space="0"/>
            </w:tcBorders>
            <w:shd w:val="clear" w:color="auto" w:fill="FFFFFF"/>
            <w:vAlign w:val="center"/>
          </w:tcPr>
          <w:p w14:paraId="7371A9E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single" w:color="000000" w:sz="4" w:space="0"/>
              <w:left w:val="nil"/>
              <w:bottom w:val="single" w:color="000000" w:sz="4" w:space="0"/>
              <w:right w:val="single" w:color="000000" w:sz="4" w:space="0"/>
            </w:tcBorders>
            <w:shd w:val="clear" w:color="auto" w:fill="FFFFFF"/>
            <w:vAlign w:val="center"/>
          </w:tcPr>
          <w:p w14:paraId="6E762FCC">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single" w:color="000000" w:sz="4" w:space="0"/>
              <w:left w:val="nil"/>
              <w:bottom w:val="single" w:color="000000" w:sz="4" w:space="0"/>
              <w:right w:val="single" w:color="000000" w:sz="4" w:space="0"/>
            </w:tcBorders>
            <w:shd w:val="clear" w:color="auto" w:fill="FFFFFF"/>
            <w:vAlign w:val="center"/>
          </w:tcPr>
          <w:p w14:paraId="5DA18ED0">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single" w:color="000000" w:sz="4" w:space="0"/>
              <w:left w:val="nil"/>
              <w:bottom w:val="single" w:color="000000" w:sz="4" w:space="0"/>
              <w:right w:val="single" w:color="000000" w:sz="4" w:space="0"/>
            </w:tcBorders>
            <w:shd w:val="clear" w:color="auto" w:fill="FFFFFF"/>
            <w:vAlign w:val="center"/>
          </w:tcPr>
          <w:p w14:paraId="6A7DEA02">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single" w:color="000000" w:sz="4" w:space="0"/>
              <w:left w:val="nil"/>
              <w:bottom w:val="single" w:color="000000" w:sz="4" w:space="0"/>
              <w:right w:val="single" w:color="000000" w:sz="4" w:space="0"/>
            </w:tcBorders>
            <w:shd w:val="clear" w:color="auto" w:fill="FFFFFF"/>
            <w:vAlign w:val="center"/>
          </w:tcPr>
          <w:p w14:paraId="6B43B0D0">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single" w:color="000000" w:sz="4" w:space="0"/>
              <w:left w:val="nil"/>
              <w:bottom w:val="single" w:color="000000" w:sz="4" w:space="0"/>
              <w:right w:val="single" w:color="000000" w:sz="4" w:space="0"/>
            </w:tcBorders>
            <w:shd w:val="clear" w:color="auto" w:fill="FFFFFF"/>
            <w:vAlign w:val="center"/>
          </w:tcPr>
          <w:p w14:paraId="0472EE6C">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single" w:color="000000" w:sz="4" w:space="0"/>
              <w:left w:val="nil"/>
              <w:bottom w:val="single" w:color="000000" w:sz="4" w:space="0"/>
              <w:right w:val="single" w:color="000000" w:sz="4" w:space="0"/>
            </w:tcBorders>
            <w:shd w:val="clear" w:color="auto" w:fill="FFFFFF"/>
            <w:vAlign w:val="center"/>
          </w:tcPr>
          <w:p w14:paraId="00E5C127">
            <w:pPr>
              <w:spacing w:line="240" w:lineRule="atLeast"/>
              <w:jc w:val="center"/>
              <w:rPr>
                <w:rFonts w:hint="default" w:ascii="Times New Roman" w:hAnsi="Times New Roman" w:cs="Times New Roman"/>
                <w:color w:val="auto"/>
                <w:sz w:val="18"/>
                <w:szCs w:val="18"/>
                <w:highlight w:val="none"/>
              </w:rPr>
            </w:pPr>
          </w:p>
        </w:tc>
      </w:tr>
      <w:tr w14:paraId="5DB58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5004645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一、综合管理20分</w:t>
            </w:r>
          </w:p>
        </w:tc>
        <w:tc>
          <w:tcPr>
            <w:tcW w:w="951" w:type="dxa"/>
            <w:vMerge w:val="restart"/>
            <w:tcBorders>
              <w:top w:val="nil"/>
              <w:left w:val="nil"/>
              <w:bottom w:val="single" w:color="000000" w:sz="4" w:space="0"/>
              <w:right w:val="single" w:color="000000" w:sz="4" w:space="0"/>
            </w:tcBorders>
            <w:shd w:val="clear" w:color="auto" w:fill="FFFFFF"/>
            <w:vAlign w:val="center"/>
          </w:tcPr>
          <w:p w14:paraId="6907284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1.通讯报导</w:t>
            </w:r>
          </w:p>
        </w:tc>
        <w:tc>
          <w:tcPr>
            <w:tcW w:w="729" w:type="dxa"/>
            <w:vMerge w:val="restart"/>
            <w:tcBorders>
              <w:top w:val="nil"/>
              <w:left w:val="nil"/>
              <w:bottom w:val="single" w:color="000000" w:sz="4" w:space="0"/>
              <w:right w:val="single" w:color="000000" w:sz="4" w:space="0"/>
            </w:tcBorders>
            <w:shd w:val="clear" w:color="auto" w:fill="FFFFFF"/>
            <w:vAlign w:val="center"/>
          </w:tcPr>
          <w:p w14:paraId="17B1DD7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w:t>
            </w:r>
          </w:p>
        </w:tc>
        <w:tc>
          <w:tcPr>
            <w:tcW w:w="4011" w:type="dxa"/>
            <w:vMerge w:val="restart"/>
            <w:tcBorders>
              <w:top w:val="nil"/>
              <w:left w:val="nil"/>
              <w:bottom w:val="single" w:color="000000" w:sz="4" w:space="0"/>
              <w:right w:val="single" w:color="000000" w:sz="4" w:space="0"/>
            </w:tcBorders>
            <w:shd w:val="clear" w:color="auto" w:fill="FFFFFF"/>
            <w:vAlign w:val="center"/>
          </w:tcPr>
          <w:p w14:paraId="0CC75E5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建立通讯报导相关制度，并落实通讯报导信息人员得1分；完成考核期内通讯报导任务得1分。</w:t>
            </w:r>
          </w:p>
        </w:tc>
        <w:tc>
          <w:tcPr>
            <w:tcW w:w="738" w:type="dxa"/>
            <w:vMerge w:val="restart"/>
            <w:tcBorders>
              <w:top w:val="nil"/>
              <w:left w:val="nil"/>
              <w:bottom w:val="single" w:color="000000" w:sz="4" w:space="0"/>
              <w:right w:val="single" w:color="000000" w:sz="4" w:space="0"/>
            </w:tcBorders>
            <w:shd w:val="clear" w:color="auto" w:fill="FFFFFF"/>
            <w:vAlign w:val="center"/>
          </w:tcPr>
          <w:p w14:paraId="6EF8A77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5EBA370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10D63C6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718E360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706E5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14A6A7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5D85BE9">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FCADAE2">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141D141">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201CFCC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EC56FD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4AE897A">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B61B0ED">
            <w:pPr>
              <w:spacing w:line="240" w:lineRule="atLeast"/>
              <w:jc w:val="center"/>
              <w:rPr>
                <w:rFonts w:hint="default" w:ascii="Times New Roman" w:hAnsi="Times New Roman" w:cs="Times New Roman"/>
                <w:color w:val="auto"/>
                <w:sz w:val="18"/>
                <w:szCs w:val="18"/>
                <w:highlight w:val="none"/>
              </w:rPr>
            </w:pPr>
          </w:p>
        </w:tc>
      </w:tr>
      <w:tr w14:paraId="1860D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12"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0B2F6CF">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31DB80B">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59B81C4">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5B7DBE57">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60899D1">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A00D0F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4A3F198C">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3B5396D">
            <w:pPr>
              <w:spacing w:line="240" w:lineRule="atLeast"/>
              <w:jc w:val="center"/>
              <w:rPr>
                <w:rFonts w:hint="default" w:ascii="Times New Roman" w:hAnsi="Times New Roman" w:cs="Times New Roman"/>
                <w:color w:val="auto"/>
                <w:sz w:val="18"/>
                <w:szCs w:val="18"/>
                <w:highlight w:val="none"/>
              </w:rPr>
            </w:pPr>
          </w:p>
        </w:tc>
      </w:tr>
      <w:tr w14:paraId="2E565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CD888A4">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0DF1F1B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2.党风廉政建设</w:t>
            </w:r>
          </w:p>
        </w:tc>
        <w:tc>
          <w:tcPr>
            <w:tcW w:w="729" w:type="dxa"/>
            <w:vMerge w:val="restart"/>
            <w:tcBorders>
              <w:top w:val="nil"/>
              <w:left w:val="nil"/>
              <w:bottom w:val="single" w:color="000000" w:sz="4" w:space="0"/>
              <w:right w:val="single" w:color="000000" w:sz="4" w:space="0"/>
            </w:tcBorders>
            <w:shd w:val="clear" w:color="auto" w:fill="FFFFFF"/>
            <w:vAlign w:val="center"/>
          </w:tcPr>
          <w:p w14:paraId="4A4E6BE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w:t>
            </w:r>
          </w:p>
        </w:tc>
        <w:tc>
          <w:tcPr>
            <w:tcW w:w="4011" w:type="dxa"/>
            <w:vMerge w:val="restart"/>
            <w:tcBorders>
              <w:top w:val="nil"/>
              <w:left w:val="nil"/>
              <w:bottom w:val="single" w:color="000000" w:sz="4" w:space="0"/>
              <w:right w:val="single" w:color="000000" w:sz="4" w:space="0"/>
            </w:tcBorders>
            <w:shd w:val="clear" w:color="auto" w:fill="FFFFFF"/>
            <w:vAlign w:val="center"/>
          </w:tcPr>
          <w:p w14:paraId="3D12438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建立党风廉政建设工作相关制度，惩防体系健全的得2分；考核周期内严格遵守廉政协议要求，并定期组织全体人员开展廉政宣传教育学习实践活动，营造廉政氛围的得2分。</w:t>
            </w:r>
          </w:p>
        </w:tc>
        <w:tc>
          <w:tcPr>
            <w:tcW w:w="738" w:type="dxa"/>
            <w:vMerge w:val="restart"/>
            <w:tcBorders>
              <w:top w:val="nil"/>
              <w:left w:val="nil"/>
              <w:bottom w:val="single" w:color="000000" w:sz="4" w:space="0"/>
              <w:right w:val="single" w:color="000000" w:sz="4" w:space="0"/>
            </w:tcBorders>
            <w:shd w:val="clear" w:color="auto" w:fill="FFFFFF"/>
            <w:vAlign w:val="center"/>
          </w:tcPr>
          <w:p w14:paraId="5E0B401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16E0761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14B93D7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351F2A0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5755A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2115A2C">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10CE723">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67956FD">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5C4F355D">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16D2CC4">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B62307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CD542A7">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085D3F1">
            <w:pPr>
              <w:spacing w:line="240" w:lineRule="atLeast"/>
              <w:jc w:val="center"/>
              <w:rPr>
                <w:rFonts w:hint="default" w:ascii="Times New Roman" w:hAnsi="Times New Roman" w:cs="Times New Roman"/>
                <w:color w:val="auto"/>
                <w:sz w:val="18"/>
                <w:szCs w:val="18"/>
                <w:highlight w:val="none"/>
              </w:rPr>
            </w:pPr>
          </w:p>
        </w:tc>
      </w:tr>
      <w:tr w14:paraId="7E775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A0E05D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09C3C7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721CD3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478FC92">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71C7C6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11EF277">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2F7EDB1">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64743BC">
            <w:pPr>
              <w:spacing w:line="240" w:lineRule="atLeast"/>
              <w:jc w:val="center"/>
              <w:rPr>
                <w:rFonts w:hint="default" w:ascii="Times New Roman" w:hAnsi="Times New Roman" w:cs="Times New Roman"/>
                <w:color w:val="auto"/>
                <w:sz w:val="18"/>
                <w:szCs w:val="18"/>
                <w:highlight w:val="none"/>
              </w:rPr>
            </w:pPr>
          </w:p>
        </w:tc>
      </w:tr>
      <w:tr w14:paraId="3CE51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2"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AE5176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E4E388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2525A1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CFA3DC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65D0C8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DA00E30">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6600568">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A522F22">
            <w:pPr>
              <w:spacing w:line="240" w:lineRule="atLeast"/>
              <w:jc w:val="center"/>
              <w:rPr>
                <w:rFonts w:hint="default" w:ascii="Times New Roman" w:hAnsi="Times New Roman" w:cs="Times New Roman"/>
                <w:color w:val="auto"/>
                <w:sz w:val="18"/>
                <w:szCs w:val="18"/>
                <w:highlight w:val="none"/>
              </w:rPr>
            </w:pPr>
          </w:p>
        </w:tc>
      </w:tr>
      <w:tr w14:paraId="318FA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6A5C3CF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二、进度计划管理15分</w:t>
            </w:r>
          </w:p>
        </w:tc>
        <w:tc>
          <w:tcPr>
            <w:tcW w:w="951" w:type="dxa"/>
            <w:vMerge w:val="restart"/>
            <w:tcBorders>
              <w:top w:val="nil"/>
              <w:left w:val="nil"/>
              <w:bottom w:val="single" w:color="000000" w:sz="4" w:space="0"/>
              <w:right w:val="single" w:color="000000" w:sz="4" w:space="0"/>
            </w:tcBorders>
            <w:shd w:val="clear" w:color="auto" w:fill="FFFFFF"/>
            <w:vAlign w:val="center"/>
          </w:tcPr>
          <w:p w14:paraId="0A704E4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3.档案管理</w:t>
            </w:r>
          </w:p>
        </w:tc>
        <w:tc>
          <w:tcPr>
            <w:tcW w:w="729" w:type="dxa"/>
            <w:vMerge w:val="restart"/>
            <w:tcBorders>
              <w:top w:val="nil"/>
              <w:left w:val="nil"/>
              <w:bottom w:val="single" w:color="000000" w:sz="4" w:space="0"/>
              <w:right w:val="single" w:color="000000" w:sz="4" w:space="0"/>
            </w:tcBorders>
            <w:shd w:val="clear" w:color="auto" w:fill="FFFFFF"/>
            <w:vAlign w:val="center"/>
          </w:tcPr>
          <w:p w14:paraId="77AA0202">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6</w:t>
            </w:r>
          </w:p>
        </w:tc>
        <w:tc>
          <w:tcPr>
            <w:tcW w:w="4011" w:type="dxa"/>
            <w:vMerge w:val="restart"/>
            <w:tcBorders>
              <w:top w:val="nil"/>
              <w:left w:val="nil"/>
              <w:bottom w:val="single" w:color="000000" w:sz="4" w:space="0"/>
              <w:right w:val="single" w:color="000000" w:sz="4" w:space="0"/>
            </w:tcBorders>
            <w:shd w:val="clear" w:color="auto" w:fill="FFFFFF"/>
            <w:vAlign w:val="center"/>
          </w:tcPr>
          <w:p w14:paraId="50DEDCF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建立档案管理制度；配备专职管理人员；完善所需硬件设施建设的每项得1分。归档资料内容完备、签认齐全、分类有序、归档及时的得2分，未达标每处扣0.5分。</w:t>
            </w:r>
          </w:p>
        </w:tc>
        <w:tc>
          <w:tcPr>
            <w:tcW w:w="738" w:type="dxa"/>
            <w:vMerge w:val="restart"/>
            <w:tcBorders>
              <w:top w:val="nil"/>
              <w:left w:val="nil"/>
              <w:bottom w:val="single" w:color="000000" w:sz="4" w:space="0"/>
              <w:right w:val="single" w:color="000000" w:sz="4" w:space="0"/>
            </w:tcBorders>
            <w:shd w:val="clear" w:color="auto" w:fill="FFFFFF"/>
            <w:vAlign w:val="center"/>
          </w:tcPr>
          <w:p w14:paraId="1A06321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7FE4E1E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2BB2283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0A85708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67A13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2"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FDDA709">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D36D758">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A7A3D90">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BDD6231">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4287DEA">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B01DF3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8BF844D">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2FFF3ED">
            <w:pPr>
              <w:spacing w:line="240" w:lineRule="atLeast"/>
              <w:jc w:val="center"/>
              <w:rPr>
                <w:rFonts w:hint="default" w:ascii="Times New Roman" w:hAnsi="Times New Roman" w:cs="Times New Roman"/>
                <w:color w:val="auto"/>
                <w:sz w:val="18"/>
                <w:szCs w:val="18"/>
                <w:highlight w:val="none"/>
              </w:rPr>
            </w:pPr>
          </w:p>
        </w:tc>
      </w:tr>
      <w:tr w14:paraId="73D3E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BB258E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27E389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498358F9">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753B823">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C8552E0">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8353903">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6486BC34">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533B9B7">
            <w:pPr>
              <w:spacing w:line="240" w:lineRule="atLeast"/>
              <w:jc w:val="center"/>
              <w:rPr>
                <w:rFonts w:hint="default" w:ascii="Times New Roman" w:hAnsi="Times New Roman" w:cs="Times New Roman"/>
                <w:color w:val="auto"/>
                <w:sz w:val="18"/>
                <w:szCs w:val="18"/>
                <w:highlight w:val="none"/>
              </w:rPr>
            </w:pPr>
          </w:p>
        </w:tc>
      </w:tr>
      <w:tr w14:paraId="74D07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D7DDEA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A0F7CA3">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E8ABC12">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E4BA1C4">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1281758">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A4247B4">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D7EB46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3E7AFC6">
            <w:pPr>
              <w:spacing w:line="240" w:lineRule="atLeast"/>
              <w:jc w:val="center"/>
              <w:rPr>
                <w:rFonts w:hint="default" w:ascii="Times New Roman" w:hAnsi="Times New Roman" w:cs="Times New Roman"/>
                <w:color w:val="auto"/>
                <w:sz w:val="18"/>
                <w:szCs w:val="18"/>
                <w:highlight w:val="none"/>
              </w:rPr>
            </w:pPr>
          </w:p>
        </w:tc>
      </w:tr>
      <w:tr w14:paraId="65E58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57DF8B9">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6631158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4.指令闭合</w:t>
            </w:r>
          </w:p>
        </w:tc>
        <w:tc>
          <w:tcPr>
            <w:tcW w:w="729" w:type="dxa"/>
            <w:vMerge w:val="restart"/>
            <w:tcBorders>
              <w:top w:val="nil"/>
              <w:left w:val="nil"/>
              <w:bottom w:val="single" w:color="000000" w:sz="4" w:space="0"/>
              <w:right w:val="single" w:color="000000" w:sz="4" w:space="0"/>
            </w:tcBorders>
            <w:shd w:val="clear" w:color="auto" w:fill="FFFFFF"/>
            <w:vAlign w:val="center"/>
          </w:tcPr>
          <w:p w14:paraId="176257A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w:t>
            </w:r>
          </w:p>
        </w:tc>
        <w:tc>
          <w:tcPr>
            <w:tcW w:w="4011" w:type="dxa"/>
            <w:vMerge w:val="restart"/>
            <w:tcBorders>
              <w:top w:val="nil"/>
              <w:left w:val="nil"/>
              <w:bottom w:val="single" w:color="000000" w:sz="4" w:space="0"/>
              <w:right w:val="single" w:color="000000" w:sz="4" w:space="0"/>
            </w:tcBorders>
            <w:shd w:val="clear" w:color="auto" w:fill="FFFFFF"/>
            <w:vAlign w:val="center"/>
          </w:tcPr>
          <w:p w14:paraId="017CAD0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考核周期内，监理办、业主交办事项或指令，未按要求闭合的每次扣0.5分，其中涉及水保、环保和地方事务处理方面的指令每次扣3分。闭合不及时影响后续工作开展的视情每次扣1-3分。</w:t>
            </w:r>
          </w:p>
        </w:tc>
        <w:tc>
          <w:tcPr>
            <w:tcW w:w="738" w:type="dxa"/>
            <w:vMerge w:val="restart"/>
            <w:tcBorders>
              <w:top w:val="nil"/>
              <w:left w:val="nil"/>
              <w:bottom w:val="single" w:color="000000" w:sz="4" w:space="0"/>
              <w:right w:val="single" w:color="000000" w:sz="4" w:space="0"/>
            </w:tcBorders>
            <w:shd w:val="clear" w:color="auto" w:fill="FFFFFF"/>
            <w:vAlign w:val="center"/>
          </w:tcPr>
          <w:p w14:paraId="1672292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3893B03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600FF23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4DBF35B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56294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55D944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0B81CC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BA2F914">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57E394D4">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AD8DD9E">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14EC52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B5367AE">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1C8953E">
            <w:pPr>
              <w:spacing w:line="240" w:lineRule="atLeast"/>
              <w:jc w:val="center"/>
              <w:rPr>
                <w:rFonts w:hint="default" w:ascii="Times New Roman" w:hAnsi="Times New Roman" w:cs="Times New Roman"/>
                <w:color w:val="auto"/>
                <w:sz w:val="18"/>
                <w:szCs w:val="18"/>
                <w:highlight w:val="none"/>
              </w:rPr>
            </w:pPr>
          </w:p>
        </w:tc>
      </w:tr>
      <w:tr w14:paraId="24769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90EC076">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9D475F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C594D37">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04FF888">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61DA62B">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352F990">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0D5D582">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660FF8F">
            <w:pPr>
              <w:spacing w:line="240" w:lineRule="atLeast"/>
              <w:jc w:val="center"/>
              <w:rPr>
                <w:rFonts w:hint="default" w:ascii="Times New Roman" w:hAnsi="Times New Roman" w:cs="Times New Roman"/>
                <w:color w:val="auto"/>
                <w:sz w:val="18"/>
                <w:szCs w:val="18"/>
                <w:highlight w:val="none"/>
              </w:rPr>
            </w:pPr>
          </w:p>
        </w:tc>
      </w:tr>
      <w:tr w14:paraId="5E45B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318B0D8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6733E9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300A590">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75D1836">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F342FC4">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275831A">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1DBB8A7">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019E7811">
            <w:pPr>
              <w:spacing w:line="240" w:lineRule="atLeast"/>
              <w:jc w:val="center"/>
              <w:rPr>
                <w:rFonts w:hint="default" w:ascii="Times New Roman" w:hAnsi="Times New Roman" w:cs="Times New Roman"/>
                <w:color w:val="auto"/>
                <w:sz w:val="18"/>
                <w:szCs w:val="18"/>
                <w:highlight w:val="none"/>
              </w:rPr>
            </w:pPr>
          </w:p>
        </w:tc>
      </w:tr>
      <w:tr w14:paraId="42DBF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12"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7BFC86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4BA044B">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DA67636">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B6DAFD7">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56F75BE">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974FAA7">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B962CC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761D9F8">
            <w:pPr>
              <w:spacing w:line="240" w:lineRule="atLeast"/>
              <w:jc w:val="center"/>
              <w:rPr>
                <w:rFonts w:hint="default" w:ascii="Times New Roman" w:hAnsi="Times New Roman" w:cs="Times New Roman"/>
                <w:color w:val="auto"/>
                <w:sz w:val="18"/>
                <w:szCs w:val="18"/>
                <w:highlight w:val="none"/>
              </w:rPr>
            </w:pPr>
          </w:p>
        </w:tc>
      </w:tr>
      <w:tr w14:paraId="69EBE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45"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F81F08D">
            <w:pPr>
              <w:spacing w:line="240" w:lineRule="atLeast"/>
              <w:jc w:val="center"/>
              <w:rPr>
                <w:rFonts w:hint="default" w:ascii="Times New Roman" w:hAnsi="Times New Roman" w:cs="Times New Roman"/>
                <w:color w:val="auto"/>
                <w:sz w:val="18"/>
                <w:szCs w:val="18"/>
                <w:highlight w:val="none"/>
              </w:rPr>
            </w:pPr>
          </w:p>
        </w:tc>
        <w:tc>
          <w:tcPr>
            <w:tcW w:w="951" w:type="dxa"/>
            <w:tcBorders>
              <w:top w:val="single" w:color="000000" w:sz="4" w:space="0"/>
              <w:left w:val="nil"/>
              <w:bottom w:val="single" w:color="000000" w:sz="4" w:space="0"/>
              <w:right w:val="single" w:color="000000" w:sz="4" w:space="0"/>
            </w:tcBorders>
            <w:shd w:val="clear" w:color="auto" w:fill="FFFFFF"/>
            <w:vAlign w:val="center"/>
          </w:tcPr>
          <w:p w14:paraId="45266F2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5．工作配合度</w:t>
            </w:r>
          </w:p>
        </w:tc>
        <w:tc>
          <w:tcPr>
            <w:tcW w:w="729" w:type="dxa"/>
            <w:tcBorders>
              <w:top w:val="single" w:color="000000" w:sz="4" w:space="0"/>
              <w:left w:val="nil"/>
              <w:bottom w:val="single" w:color="000000" w:sz="4" w:space="0"/>
              <w:right w:val="single" w:color="000000" w:sz="4" w:space="0"/>
            </w:tcBorders>
            <w:shd w:val="clear" w:color="auto" w:fill="FFFFFF"/>
            <w:vAlign w:val="center"/>
          </w:tcPr>
          <w:p w14:paraId="61EB75D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w:t>
            </w:r>
          </w:p>
        </w:tc>
        <w:tc>
          <w:tcPr>
            <w:tcW w:w="4011" w:type="dxa"/>
            <w:tcBorders>
              <w:top w:val="single" w:color="000000" w:sz="4" w:space="0"/>
              <w:left w:val="nil"/>
              <w:bottom w:val="single" w:color="000000" w:sz="4" w:space="0"/>
              <w:right w:val="single" w:color="000000" w:sz="4" w:space="0"/>
            </w:tcBorders>
            <w:shd w:val="clear" w:color="auto" w:fill="FFFFFF"/>
            <w:vAlign w:val="center"/>
          </w:tcPr>
          <w:p w14:paraId="02F6508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积极配合业主、监理及其他部门的工作得3分</w:t>
            </w:r>
          </w:p>
        </w:tc>
        <w:tc>
          <w:tcPr>
            <w:tcW w:w="738" w:type="dxa"/>
            <w:tcBorders>
              <w:top w:val="single" w:color="000000" w:sz="4" w:space="0"/>
              <w:left w:val="nil"/>
              <w:bottom w:val="single" w:color="000000" w:sz="4" w:space="0"/>
              <w:right w:val="single" w:color="000000" w:sz="4" w:space="0"/>
            </w:tcBorders>
            <w:shd w:val="clear" w:color="auto" w:fill="FFFFFF"/>
            <w:vAlign w:val="center"/>
          </w:tcPr>
          <w:p w14:paraId="6086AF7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tcBorders>
              <w:top w:val="single" w:color="000000" w:sz="4" w:space="0"/>
              <w:left w:val="nil"/>
              <w:bottom w:val="single" w:color="000000" w:sz="4" w:space="0"/>
              <w:right w:val="single" w:color="000000" w:sz="4" w:space="0"/>
            </w:tcBorders>
            <w:shd w:val="clear" w:color="auto" w:fill="FFFFFF"/>
            <w:vAlign w:val="center"/>
          </w:tcPr>
          <w:p w14:paraId="573CB9C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tcBorders>
              <w:top w:val="single" w:color="000000" w:sz="4" w:space="0"/>
              <w:left w:val="nil"/>
              <w:bottom w:val="single" w:color="000000" w:sz="4" w:space="0"/>
              <w:right w:val="single" w:color="000000" w:sz="4" w:space="0"/>
            </w:tcBorders>
            <w:shd w:val="clear" w:color="auto" w:fill="FFFFFF"/>
            <w:vAlign w:val="center"/>
          </w:tcPr>
          <w:p w14:paraId="128ABFA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tcBorders>
              <w:top w:val="single" w:color="000000" w:sz="4" w:space="0"/>
              <w:left w:val="nil"/>
              <w:bottom w:val="single" w:color="000000" w:sz="4" w:space="0"/>
              <w:right w:val="single" w:color="000000" w:sz="4" w:space="0"/>
            </w:tcBorders>
            <w:shd w:val="clear" w:color="auto" w:fill="FFFFFF"/>
            <w:vAlign w:val="center"/>
          </w:tcPr>
          <w:p w14:paraId="40CFBB12">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6EC3D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69840DA">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0523B53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1.计划编制、报表报送</w:t>
            </w:r>
          </w:p>
        </w:tc>
        <w:tc>
          <w:tcPr>
            <w:tcW w:w="729" w:type="dxa"/>
            <w:vMerge w:val="restart"/>
            <w:tcBorders>
              <w:top w:val="nil"/>
              <w:left w:val="nil"/>
              <w:bottom w:val="single" w:color="000000" w:sz="4" w:space="0"/>
              <w:right w:val="single" w:color="000000" w:sz="4" w:space="0"/>
            </w:tcBorders>
            <w:shd w:val="clear" w:color="auto" w:fill="FFFFFF"/>
            <w:vAlign w:val="center"/>
          </w:tcPr>
          <w:p w14:paraId="082FE77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w:t>
            </w:r>
          </w:p>
        </w:tc>
        <w:tc>
          <w:tcPr>
            <w:tcW w:w="4011" w:type="dxa"/>
            <w:vMerge w:val="restart"/>
            <w:tcBorders>
              <w:top w:val="nil"/>
              <w:left w:val="nil"/>
              <w:bottom w:val="single" w:color="000000" w:sz="4" w:space="0"/>
              <w:right w:val="single" w:color="000000" w:sz="4" w:space="0"/>
            </w:tcBorders>
            <w:shd w:val="clear" w:color="auto" w:fill="FFFFFF"/>
            <w:vAlign w:val="center"/>
          </w:tcPr>
          <w:p w14:paraId="2F7C950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各类计划（施工总体、年度及季度等）、报表按时完成编制并上报，计划合理、保障措施得力、关键节点明确、可操作性强。计划编制不合理、编制内容不完整的各扣1分，保障措施不得力的扣1分，上报延误的扣1分；未按要求编制，被退还并要求重新上报的扣2分。</w:t>
            </w:r>
          </w:p>
        </w:tc>
        <w:tc>
          <w:tcPr>
            <w:tcW w:w="738" w:type="dxa"/>
            <w:vMerge w:val="restart"/>
            <w:tcBorders>
              <w:top w:val="nil"/>
              <w:left w:val="nil"/>
              <w:bottom w:val="single" w:color="000000" w:sz="4" w:space="0"/>
              <w:right w:val="single" w:color="000000" w:sz="4" w:space="0"/>
            </w:tcBorders>
            <w:shd w:val="clear" w:color="auto" w:fill="FFFFFF"/>
            <w:vAlign w:val="center"/>
          </w:tcPr>
          <w:p w14:paraId="775799B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2A5EF8C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72A594E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1D60028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2D9F8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3FA30F0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53AEF2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42DF9A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996765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9F5E179">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DCFA497">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1E9560B">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6B14363">
            <w:pPr>
              <w:spacing w:line="240" w:lineRule="atLeast"/>
              <w:jc w:val="center"/>
              <w:rPr>
                <w:rFonts w:hint="default" w:ascii="Times New Roman" w:hAnsi="Times New Roman" w:cs="Times New Roman"/>
                <w:color w:val="auto"/>
                <w:sz w:val="18"/>
                <w:szCs w:val="18"/>
                <w:highlight w:val="none"/>
              </w:rPr>
            </w:pPr>
          </w:p>
        </w:tc>
      </w:tr>
      <w:tr w14:paraId="761D0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68C7E9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29EC25E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93087EA">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EC73767">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0D2ED12">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6974ED5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784988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BD01311">
            <w:pPr>
              <w:spacing w:line="240" w:lineRule="atLeast"/>
              <w:jc w:val="center"/>
              <w:rPr>
                <w:rFonts w:hint="default" w:ascii="Times New Roman" w:hAnsi="Times New Roman" w:cs="Times New Roman"/>
                <w:color w:val="auto"/>
                <w:sz w:val="18"/>
                <w:szCs w:val="18"/>
                <w:highlight w:val="none"/>
              </w:rPr>
            </w:pPr>
          </w:p>
        </w:tc>
      </w:tr>
      <w:tr w14:paraId="2FBA8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CDEA8B7">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AB7E0AA">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4F1FED2E">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DCD924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D04892A">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AADFBE7">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866A81E">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4651C7A1">
            <w:pPr>
              <w:spacing w:line="240" w:lineRule="atLeast"/>
              <w:jc w:val="center"/>
              <w:rPr>
                <w:rFonts w:hint="default" w:ascii="Times New Roman" w:hAnsi="Times New Roman" w:cs="Times New Roman"/>
                <w:color w:val="auto"/>
                <w:sz w:val="18"/>
                <w:szCs w:val="18"/>
                <w:highlight w:val="none"/>
              </w:rPr>
            </w:pPr>
          </w:p>
        </w:tc>
      </w:tr>
      <w:tr w14:paraId="4FBC9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66B87B3">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09D61E4">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88A5E7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FC60544">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72D7948">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AA102E1">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677E9F88">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04897155">
            <w:pPr>
              <w:spacing w:line="240" w:lineRule="atLeast"/>
              <w:jc w:val="center"/>
              <w:rPr>
                <w:rFonts w:hint="default" w:ascii="Times New Roman" w:hAnsi="Times New Roman" w:cs="Times New Roman"/>
                <w:color w:val="auto"/>
                <w:sz w:val="18"/>
                <w:szCs w:val="18"/>
                <w:highlight w:val="none"/>
              </w:rPr>
            </w:pPr>
          </w:p>
        </w:tc>
      </w:tr>
      <w:tr w14:paraId="53662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C6322D1">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7E969C5">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2E99723">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23D15F9">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1EDAA3D">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9CCA73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521438E">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1B8AEB9">
            <w:pPr>
              <w:spacing w:line="240" w:lineRule="atLeast"/>
              <w:jc w:val="center"/>
              <w:rPr>
                <w:rFonts w:hint="default" w:ascii="Times New Roman" w:hAnsi="Times New Roman" w:cs="Times New Roman"/>
                <w:color w:val="auto"/>
                <w:sz w:val="18"/>
                <w:szCs w:val="18"/>
                <w:highlight w:val="none"/>
              </w:rPr>
            </w:pPr>
          </w:p>
        </w:tc>
      </w:tr>
      <w:tr w14:paraId="785A0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CA244C0">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15AAE92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2.计划完成情况</w:t>
            </w:r>
          </w:p>
        </w:tc>
        <w:tc>
          <w:tcPr>
            <w:tcW w:w="729" w:type="dxa"/>
            <w:vMerge w:val="restart"/>
            <w:tcBorders>
              <w:top w:val="nil"/>
              <w:left w:val="nil"/>
              <w:bottom w:val="single" w:color="000000" w:sz="4" w:space="0"/>
              <w:right w:val="single" w:color="000000" w:sz="4" w:space="0"/>
            </w:tcBorders>
            <w:shd w:val="clear" w:color="auto" w:fill="FFFFFF"/>
            <w:vAlign w:val="center"/>
          </w:tcPr>
          <w:p w14:paraId="5263C04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6</w:t>
            </w:r>
          </w:p>
        </w:tc>
        <w:tc>
          <w:tcPr>
            <w:tcW w:w="4011" w:type="dxa"/>
            <w:vMerge w:val="restart"/>
            <w:tcBorders>
              <w:top w:val="nil"/>
              <w:left w:val="nil"/>
              <w:bottom w:val="single" w:color="000000" w:sz="4" w:space="0"/>
              <w:right w:val="single" w:color="000000" w:sz="4" w:space="0"/>
            </w:tcBorders>
            <w:shd w:val="clear" w:color="auto" w:fill="FFFFFF"/>
            <w:vAlign w:val="center"/>
          </w:tcPr>
          <w:p w14:paraId="7E6ADF3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达到季度计划产值的90％得基本分3分，每超过1%加0.2分，最多加3分，每低1%扣0.3分。进度计划完成率低于80%的，考评为不达标。</w:t>
            </w:r>
          </w:p>
        </w:tc>
        <w:tc>
          <w:tcPr>
            <w:tcW w:w="738" w:type="dxa"/>
            <w:vMerge w:val="restart"/>
            <w:tcBorders>
              <w:top w:val="nil"/>
              <w:left w:val="nil"/>
              <w:bottom w:val="single" w:color="000000" w:sz="4" w:space="0"/>
              <w:right w:val="single" w:color="000000" w:sz="4" w:space="0"/>
            </w:tcBorders>
            <w:shd w:val="clear" w:color="auto" w:fill="FFFFFF"/>
            <w:vAlign w:val="center"/>
          </w:tcPr>
          <w:p w14:paraId="1848A1B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76FD02D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4F3B3BF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2B0570C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0C520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9B30ED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5A1A72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CB4CDFA">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A0B8137">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007A6CD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955473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4C25EB4A">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DE9F71F">
            <w:pPr>
              <w:spacing w:line="240" w:lineRule="atLeast"/>
              <w:jc w:val="center"/>
              <w:rPr>
                <w:rFonts w:hint="default" w:ascii="Times New Roman" w:hAnsi="Times New Roman" w:cs="Times New Roman"/>
                <w:color w:val="auto"/>
                <w:sz w:val="18"/>
                <w:szCs w:val="18"/>
                <w:highlight w:val="none"/>
              </w:rPr>
            </w:pPr>
          </w:p>
        </w:tc>
      </w:tr>
      <w:tr w14:paraId="3EEAC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8B09C7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645E505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116DF76">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EDC223D">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96478A6">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3888F58">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F6ACFB0">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38FC4C6">
            <w:pPr>
              <w:spacing w:line="240" w:lineRule="atLeast"/>
              <w:jc w:val="center"/>
              <w:rPr>
                <w:rFonts w:hint="default" w:ascii="Times New Roman" w:hAnsi="Times New Roman" w:cs="Times New Roman"/>
                <w:color w:val="auto"/>
                <w:sz w:val="18"/>
                <w:szCs w:val="18"/>
                <w:highlight w:val="none"/>
              </w:rPr>
            </w:pPr>
          </w:p>
        </w:tc>
      </w:tr>
      <w:tr w14:paraId="64CC5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E02692B">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0BF4511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3.关键节点完成情况</w:t>
            </w:r>
          </w:p>
        </w:tc>
        <w:tc>
          <w:tcPr>
            <w:tcW w:w="729" w:type="dxa"/>
            <w:vMerge w:val="restart"/>
            <w:tcBorders>
              <w:top w:val="nil"/>
              <w:left w:val="nil"/>
              <w:bottom w:val="single" w:color="000000" w:sz="4" w:space="0"/>
              <w:right w:val="single" w:color="000000" w:sz="4" w:space="0"/>
            </w:tcBorders>
            <w:shd w:val="clear" w:color="auto" w:fill="FFFFFF"/>
            <w:vAlign w:val="center"/>
          </w:tcPr>
          <w:p w14:paraId="6E43EBC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w:t>
            </w:r>
          </w:p>
        </w:tc>
        <w:tc>
          <w:tcPr>
            <w:tcW w:w="4011" w:type="dxa"/>
            <w:vMerge w:val="restart"/>
            <w:tcBorders>
              <w:top w:val="nil"/>
              <w:left w:val="nil"/>
              <w:bottom w:val="single" w:color="000000" w:sz="4" w:space="0"/>
              <w:right w:val="single" w:color="000000" w:sz="4" w:space="0"/>
            </w:tcBorders>
            <w:shd w:val="clear" w:color="auto" w:fill="FFFFFF"/>
            <w:vAlign w:val="center"/>
          </w:tcPr>
          <w:p w14:paraId="5E01F41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未完成临建设施方案的编制上报工作视情扣0.5-2分；未按批复方案完成临建并达到验收条件的视情扣0.5-3分。</w:t>
            </w:r>
          </w:p>
        </w:tc>
        <w:tc>
          <w:tcPr>
            <w:tcW w:w="738" w:type="dxa"/>
            <w:vMerge w:val="restart"/>
            <w:tcBorders>
              <w:top w:val="nil"/>
              <w:left w:val="nil"/>
              <w:bottom w:val="single" w:color="000000" w:sz="4" w:space="0"/>
              <w:right w:val="single" w:color="000000" w:sz="4" w:space="0"/>
            </w:tcBorders>
            <w:shd w:val="clear" w:color="auto" w:fill="FFFFFF"/>
            <w:vAlign w:val="center"/>
          </w:tcPr>
          <w:p w14:paraId="41A62C8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2B05E31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2782E3D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7655B40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5AD34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18C0673">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26FBE315">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5A2357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2BEB676">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DE90A16">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8F3248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DD0B4E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990EA3D">
            <w:pPr>
              <w:spacing w:line="240" w:lineRule="atLeast"/>
              <w:jc w:val="center"/>
              <w:rPr>
                <w:rFonts w:hint="default" w:ascii="Times New Roman" w:hAnsi="Times New Roman" w:cs="Times New Roman"/>
                <w:color w:val="auto"/>
                <w:sz w:val="18"/>
                <w:szCs w:val="18"/>
                <w:highlight w:val="none"/>
              </w:rPr>
            </w:pPr>
          </w:p>
        </w:tc>
      </w:tr>
      <w:tr w14:paraId="2CE02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77196F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18A07C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69D36D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5EDB3F2">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D66F0A0">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5847E1B">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D4E421D">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C5EBE08">
            <w:pPr>
              <w:spacing w:line="240" w:lineRule="atLeast"/>
              <w:jc w:val="center"/>
              <w:rPr>
                <w:rFonts w:hint="default" w:ascii="Times New Roman" w:hAnsi="Times New Roman" w:cs="Times New Roman"/>
                <w:color w:val="auto"/>
                <w:sz w:val="18"/>
                <w:szCs w:val="18"/>
                <w:highlight w:val="none"/>
              </w:rPr>
            </w:pPr>
          </w:p>
        </w:tc>
      </w:tr>
      <w:tr w14:paraId="39625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697125B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三、质量和安全管理30分</w:t>
            </w:r>
          </w:p>
        </w:tc>
        <w:tc>
          <w:tcPr>
            <w:tcW w:w="951" w:type="dxa"/>
            <w:vMerge w:val="restart"/>
            <w:tcBorders>
              <w:top w:val="nil"/>
              <w:left w:val="nil"/>
              <w:bottom w:val="single" w:color="000000" w:sz="4" w:space="0"/>
              <w:right w:val="single" w:color="000000" w:sz="4" w:space="0"/>
            </w:tcBorders>
            <w:shd w:val="clear" w:color="auto" w:fill="FFFFFF"/>
            <w:vAlign w:val="center"/>
          </w:tcPr>
          <w:p w14:paraId="7534532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1.创优方案及保障体系</w:t>
            </w:r>
          </w:p>
        </w:tc>
        <w:tc>
          <w:tcPr>
            <w:tcW w:w="729" w:type="dxa"/>
            <w:vMerge w:val="restart"/>
            <w:tcBorders>
              <w:top w:val="nil"/>
              <w:left w:val="nil"/>
              <w:bottom w:val="single" w:color="000000" w:sz="4" w:space="0"/>
              <w:right w:val="single" w:color="000000" w:sz="4" w:space="0"/>
            </w:tcBorders>
            <w:shd w:val="clear" w:color="auto" w:fill="FFFFFF"/>
            <w:vAlign w:val="center"/>
          </w:tcPr>
          <w:p w14:paraId="1DA3251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8</w:t>
            </w:r>
          </w:p>
        </w:tc>
        <w:tc>
          <w:tcPr>
            <w:tcW w:w="4011" w:type="dxa"/>
            <w:vMerge w:val="restart"/>
            <w:tcBorders>
              <w:top w:val="nil"/>
              <w:left w:val="nil"/>
              <w:bottom w:val="single" w:color="000000" w:sz="4" w:space="0"/>
              <w:right w:val="single" w:color="000000" w:sz="4" w:space="0"/>
            </w:tcBorders>
            <w:shd w:val="clear" w:color="auto" w:fill="FFFFFF"/>
            <w:vAlign w:val="center"/>
          </w:tcPr>
          <w:p w14:paraId="6166FCD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无创优方案扣2分；保障体系和制度不健全视情扣1-2分；生产要素未及时到位或不满足要求的视情扣1-4分。</w:t>
            </w:r>
          </w:p>
        </w:tc>
        <w:tc>
          <w:tcPr>
            <w:tcW w:w="738" w:type="dxa"/>
            <w:vMerge w:val="restart"/>
            <w:tcBorders>
              <w:top w:val="nil"/>
              <w:left w:val="nil"/>
              <w:bottom w:val="single" w:color="000000" w:sz="4" w:space="0"/>
              <w:right w:val="single" w:color="000000" w:sz="4" w:space="0"/>
            </w:tcBorders>
            <w:shd w:val="clear" w:color="auto" w:fill="FFFFFF"/>
            <w:vAlign w:val="center"/>
          </w:tcPr>
          <w:p w14:paraId="2F2FBB3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49DE320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5173265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5DCCC17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1491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07D7E35">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F6901A9">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F81DF5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D503E1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959F284">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434A7C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4DA2D6A">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89DF988">
            <w:pPr>
              <w:spacing w:line="240" w:lineRule="atLeast"/>
              <w:jc w:val="center"/>
              <w:rPr>
                <w:rFonts w:hint="default" w:ascii="Times New Roman" w:hAnsi="Times New Roman" w:cs="Times New Roman"/>
                <w:color w:val="auto"/>
                <w:sz w:val="18"/>
                <w:szCs w:val="18"/>
                <w:highlight w:val="none"/>
              </w:rPr>
            </w:pPr>
          </w:p>
        </w:tc>
      </w:tr>
      <w:tr w14:paraId="4D04C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F8AE0C1">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6368ECCB">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49A2FA6">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59B99CC5">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CD8E008">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C087065">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6E2BE8F2">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E7F68C9">
            <w:pPr>
              <w:spacing w:line="240" w:lineRule="atLeast"/>
              <w:jc w:val="center"/>
              <w:rPr>
                <w:rFonts w:hint="default" w:ascii="Times New Roman" w:hAnsi="Times New Roman" w:cs="Times New Roman"/>
                <w:color w:val="auto"/>
                <w:sz w:val="18"/>
                <w:szCs w:val="18"/>
                <w:highlight w:val="none"/>
              </w:rPr>
            </w:pPr>
          </w:p>
        </w:tc>
      </w:tr>
      <w:tr w14:paraId="40B75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21D2F849">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0B18D30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2.质量管理</w:t>
            </w:r>
          </w:p>
        </w:tc>
        <w:tc>
          <w:tcPr>
            <w:tcW w:w="729" w:type="dxa"/>
            <w:vMerge w:val="restart"/>
            <w:tcBorders>
              <w:top w:val="nil"/>
              <w:left w:val="nil"/>
              <w:bottom w:val="single" w:color="000000" w:sz="4" w:space="0"/>
              <w:right w:val="single" w:color="000000" w:sz="4" w:space="0"/>
            </w:tcBorders>
            <w:shd w:val="clear" w:color="auto" w:fill="FFFFFF"/>
            <w:vAlign w:val="center"/>
          </w:tcPr>
          <w:p w14:paraId="494AC21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6</w:t>
            </w:r>
          </w:p>
        </w:tc>
        <w:tc>
          <w:tcPr>
            <w:tcW w:w="4011" w:type="dxa"/>
            <w:vMerge w:val="restart"/>
            <w:tcBorders>
              <w:top w:val="nil"/>
              <w:left w:val="nil"/>
              <w:bottom w:val="single" w:color="000000" w:sz="4" w:space="0"/>
              <w:right w:val="single" w:color="000000" w:sz="4" w:space="0"/>
            </w:tcBorders>
            <w:shd w:val="clear" w:color="auto" w:fill="FFFFFF"/>
            <w:vAlign w:val="center"/>
          </w:tcPr>
          <w:p w14:paraId="46E07382">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考核周期内出现监理、业主单位质量整改通知单的，每次扣1分；出现行业主管部门要求质量整改的，每次扣2分。内业资料未经监理审签即进入下一道工序或发现资料造假情况的每次视情扣1-3分。</w:t>
            </w:r>
          </w:p>
        </w:tc>
        <w:tc>
          <w:tcPr>
            <w:tcW w:w="738" w:type="dxa"/>
            <w:vMerge w:val="restart"/>
            <w:tcBorders>
              <w:top w:val="nil"/>
              <w:left w:val="nil"/>
              <w:bottom w:val="single" w:color="000000" w:sz="4" w:space="0"/>
              <w:right w:val="single" w:color="000000" w:sz="4" w:space="0"/>
            </w:tcBorders>
            <w:shd w:val="clear" w:color="auto" w:fill="FFFFFF"/>
            <w:vAlign w:val="center"/>
          </w:tcPr>
          <w:p w14:paraId="77F7DB2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1964DCC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23F4A1D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34B5F9F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02F51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22FFED3">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1535118">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16425C0">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33972F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CA44A29">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2DEE2BB">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858BC60">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F1734AB">
            <w:pPr>
              <w:spacing w:line="240" w:lineRule="atLeast"/>
              <w:jc w:val="center"/>
              <w:rPr>
                <w:rFonts w:hint="default" w:ascii="Times New Roman" w:hAnsi="Times New Roman" w:cs="Times New Roman"/>
                <w:color w:val="auto"/>
                <w:sz w:val="18"/>
                <w:szCs w:val="18"/>
                <w:highlight w:val="none"/>
              </w:rPr>
            </w:pPr>
          </w:p>
        </w:tc>
      </w:tr>
      <w:tr w14:paraId="4891A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30490C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396D98A">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0C64822">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50FC87C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2EAA6A84">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DFFB953">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E338BE1">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F11C1F4">
            <w:pPr>
              <w:spacing w:line="240" w:lineRule="atLeast"/>
              <w:jc w:val="center"/>
              <w:rPr>
                <w:rFonts w:hint="default" w:ascii="Times New Roman" w:hAnsi="Times New Roman" w:cs="Times New Roman"/>
                <w:color w:val="auto"/>
                <w:sz w:val="18"/>
                <w:szCs w:val="18"/>
                <w:highlight w:val="none"/>
              </w:rPr>
            </w:pPr>
          </w:p>
        </w:tc>
      </w:tr>
      <w:tr w14:paraId="5162F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2AEF464">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FB5BF7D">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31679C0">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5BB388CA">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8D1413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A23C7BD">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A0FBA9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0A7CDF4E">
            <w:pPr>
              <w:spacing w:line="240" w:lineRule="atLeast"/>
              <w:jc w:val="center"/>
              <w:rPr>
                <w:rFonts w:hint="default" w:ascii="Times New Roman" w:hAnsi="Times New Roman" w:cs="Times New Roman"/>
                <w:color w:val="auto"/>
                <w:sz w:val="18"/>
                <w:szCs w:val="18"/>
                <w:highlight w:val="none"/>
              </w:rPr>
            </w:pPr>
          </w:p>
        </w:tc>
      </w:tr>
      <w:tr w14:paraId="4A8D2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BC3DF7C">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523E59B">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B78DECD">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3BC78A5">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0A1DE324">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537FB3F">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29AC11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EE7CD18">
            <w:pPr>
              <w:spacing w:line="240" w:lineRule="atLeast"/>
              <w:jc w:val="center"/>
              <w:rPr>
                <w:rFonts w:hint="default" w:ascii="Times New Roman" w:hAnsi="Times New Roman" w:cs="Times New Roman"/>
                <w:color w:val="auto"/>
                <w:sz w:val="18"/>
                <w:szCs w:val="18"/>
                <w:highlight w:val="none"/>
              </w:rPr>
            </w:pPr>
          </w:p>
        </w:tc>
      </w:tr>
      <w:tr w14:paraId="0C952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BCFD395">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67FC4B8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3.安全网络组织机构、规章制度</w:t>
            </w:r>
          </w:p>
        </w:tc>
        <w:tc>
          <w:tcPr>
            <w:tcW w:w="729" w:type="dxa"/>
            <w:vMerge w:val="restart"/>
            <w:tcBorders>
              <w:top w:val="nil"/>
              <w:left w:val="nil"/>
              <w:bottom w:val="single" w:color="000000" w:sz="4" w:space="0"/>
              <w:right w:val="single" w:color="000000" w:sz="4" w:space="0"/>
            </w:tcBorders>
            <w:shd w:val="clear" w:color="auto" w:fill="FFFFFF"/>
            <w:vAlign w:val="center"/>
          </w:tcPr>
          <w:p w14:paraId="795F4CA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w:t>
            </w:r>
          </w:p>
        </w:tc>
        <w:tc>
          <w:tcPr>
            <w:tcW w:w="4011" w:type="dxa"/>
            <w:vMerge w:val="restart"/>
            <w:tcBorders>
              <w:top w:val="nil"/>
              <w:left w:val="nil"/>
              <w:bottom w:val="single" w:color="000000" w:sz="4" w:space="0"/>
              <w:right w:val="single" w:color="000000" w:sz="4" w:space="0"/>
            </w:tcBorders>
            <w:shd w:val="clear" w:color="auto" w:fill="FFFFFF"/>
            <w:vAlign w:val="center"/>
          </w:tcPr>
          <w:p w14:paraId="673195A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“三防”及突发事件预案制定不规范或安全台账建立不符合要求的视情况扣0.5～2分；标志、标牌破损、漏项的，安全管理人员特种工操作证无证（或证件过期未年审）的每一处扣0.5分扣完为止。</w:t>
            </w:r>
          </w:p>
        </w:tc>
        <w:tc>
          <w:tcPr>
            <w:tcW w:w="738" w:type="dxa"/>
            <w:vMerge w:val="restart"/>
            <w:tcBorders>
              <w:top w:val="nil"/>
              <w:left w:val="nil"/>
              <w:bottom w:val="single" w:color="000000" w:sz="4" w:space="0"/>
              <w:right w:val="single" w:color="000000" w:sz="4" w:space="0"/>
            </w:tcBorders>
            <w:shd w:val="clear" w:color="auto" w:fill="FFFFFF"/>
            <w:vAlign w:val="center"/>
          </w:tcPr>
          <w:p w14:paraId="0D3B9CF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7613D23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4366200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76A707A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3BEA6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749E76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BD2802E">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4EE9D1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CDE8DA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904E082">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0A8BD15">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C7ADB54">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18B5263">
            <w:pPr>
              <w:spacing w:line="240" w:lineRule="atLeast"/>
              <w:jc w:val="center"/>
              <w:rPr>
                <w:rFonts w:hint="default" w:ascii="Times New Roman" w:hAnsi="Times New Roman" w:cs="Times New Roman"/>
                <w:color w:val="auto"/>
                <w:sz w:val="18"/>
                <w:szCs w:val="18"/>
                <w:highlight w:val="none"/>
              </w:rPr>
            </w:pPr>
          </w:p>
        </w:tc>
      </w:tr>
      <w:tr w14:paraId="397E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3F1DBB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4E737AA">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5A64E2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D831CC9">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FC8DBE8">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F681E8C">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6D70928">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7EC735A">
            <w:pPr>
              <w:spacing w:line="240" w:lineRule="atLeast"/>
              <w:jc w:val="center"/>
              <w:rPr>
                <w:rFonts w:hint="default" w:ascii="Times New Roman" w:hAnsi="Times New Roman" w:cs="Times New Roman"/>
                <w:color w:val="auto"/>
                <w:sz w:val="18"/>
                <w:szCs w:val="18"/>
                <w:highlight w:val="none"/>
              </w:rPr>
            </w:pPr>
          </w:p>
        </w:tc>
      </w:tr>
      <w:tr w14:paraId="450D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280728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21150F4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7FAE955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7164058C">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0E4FC37">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56D9AE8">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368CD50">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AF8E1DA">
            <w:pPr>
              <w:spacing w:line="240" w:lineRule="atLeast"/>
              <w:jc w:val="center"/>
              <w:rPr>
                <w:rFonts w:hint="default" w:ascii="Times New Roman" w:hAnsi="Times New Roman" w:cs="Times New Roman"/>
                <w:color w:val="auto"/>
                <w:sz w:val="18"/>
                <w:szCs w:val="18"/>
                <w:highlight w:val="none"/>
              </w:rPr>
            </w:pPr>
          </w:p>
        </w:tc>
      </w:tr>
      <w:tr w14:paraId="29378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248F245">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648FA72E">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C958713">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75F086FC">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B622231">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E02792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E8B20D7">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A80981C">
            <w:pPr>
              <w:spacing w:line="240" w:lineRule="atLeast"/>
              <w:jc w:val="center"/>
              <w:rPr>
                <w:rFonts w:hint="default" w:ascii="Times New Roman" w:hAnsi="Times New Roman" w:cs="Times New Roman"/>
                <w:color w:val="auto"/>
                <w:sz w:val="18"/>
                <w:szCs w:val="18"/>
                <w:highlight w:val="none"/>
              </w:rPr>
            </w:pPr>
          </w:p>
        </w:tc>
      </w:tr>
      <w:tr w14:paraId="5F031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5267648">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66AC0F6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4.安全检查、宣传、教育、培训，现场安全设施、防护情况</w:t>
            </w:r>
          </w:p>
        </w:tc>
        <w:tc>
          <w:tcPr>
            <w:tcW w:w="729" w:type="dxa"/>
            <w:vMerge w:val="restart"/>
            <w:tcBorders>
              <w:top w:val="nil"/>
              <w:left w:val="nil"/>
              <w:bottom w:val="single" w:color="000000" w:sz="4" w:space="0"/>
              <w:right w:val="single" w:color="000000" w:sz="4" w:space="0"/>
            </w:tcBorders>
            <w:shd w:val="clear" w:color="auto" w:fill="FFFFFF"/>
            <w:vAlign w:val="center"/>
          </w:tcPr>
          <w:p w14:paraId="50E0360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w:t>
            </w:r>
          </w:p>
        </w:tc>
        <w:tc>
          <w:tcPr>
            <w:tcW w:w="4011" w:type="dxa"/>
            <w:vMerge w:val="restart"/>
            <w:tcBorders>
              <w:top w:val="nil"/>
              <w:left w:val="nil"/>
              <w:bottom w:val="single" w:color="000000" w:sz="4" w:space="0"/>
              <w:right w:val="single" w:color="000000" w:sz="4" w:space="0"/>
            </w:tcBorders>
            <w:shd w:val="clear" w:color="auto" w:fill="FFFFFF"/>
            <w:vAlign w:val="center"/>
          </w:tcPr>
          <w:p w14:paraId="470716F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未按规定组织宣教和培训的扣1分；无安全防护措施或措施不到位的扣1分；开工前未完成本施工标段人身意外险投保并向业主备案的，扣3分。</w:t>
            </w:r>
          </w:p>
        </w:tc>
        <w:tc>
          <w:tcPr>
            <w:tcW w:w="738" w:type="dxa"/>
            <w:vMerge w:val="restart"/>
            <w:tcBorders>
              <w:top w:val="nil"/>
              <w:left w:val="nil"/>
              <w:bottom w:val="single" w:color="000000" w:sz="4" w:space="0"/>
              <w:right w:val="single" w:color="000000" w:sz="4" w:space="0"/>
            </w:tcBorders>
            <w:shd w:val="clear" w:color="auto" w:fill="FFFFFF"/>
            <w:vAlign w:val="center"/>
          </w:tcPr>
          <w:p w14:paraId="6A5E39D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5EF5E30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133F8F4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4C2CD4C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0A20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9784E2C">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D24B1D7">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7473A9FB">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4EA831A">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8CACA94">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63984BAD">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97B5832">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5A24066">
            <w:pPr>
              <w:spacing w:line="240" w:lineRule="atLeast"/>
              <w:jc w:val="center"/>
              <w:rPr>
                <w:rFonts w:hint="default" w:ascii="Times New Roman" w:hAnsi="Times New Roman" w:cs="Times New Roman"/>
                <w:color w:val="auto"/>
                <w:sz w:val="18"/>
                <w:szCs w:val="18"/>
                <w:highlight w:val="none"/>
              </w:rPr>
            </w:pPr>
          </w:p>
        </w:tc>
      </w:tr>
      <w:tr w14:paraId="3EB3C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0835E0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378586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70A0C4D">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592C70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4351EE9">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6D0A3272">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6FBB5FA1">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0C5BD593">
            <w:pPr>
              <w:spacing w:line="240" w:lineRule="atLeast"/>
              <w:jc w:val="center"/>
              <w:rPr>
                <w:rFonts w:hint="default" w:ascii="Times New Roman" w:hAnsi="Times New Roman" w:cs="Times New Roman"/>
                <w:color w:val="auto"/>
                <w:sz w:val="18"/>
                <w:szCs w:val="18"/>
                <w:highlight w:val="none"/>
              </w:rPr>
            </w:pPr>
          </w:p>
        </w:tc>
      </w:tr>
      <w:tr w14:paraId="14608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C867B6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DE56E9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E0C7BA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73B2DB6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08F22EE">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880AF87">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42DF587">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8C4ECC2">
            <w:pPr>
              <w:spacing w:line="240" w:lineRule="atLeast"/>
              <w:jc w:val="center"/>
              <w:rPr>
                <w:rFonts w:hint="default" w:ascii="Times New Roman" w:hAnsi="Times New Roman" w:cs="Times New Roman"/>
                <w:color w:val="auto"/>
                <w:sz w:val="18"/>
                <w:szCs w:val="18"/>
                <w:highlight w:val="none"/>
              </w:rPr>
            </w:pPr>
          </w:p>
        </w:tc>
      </w:tr>
      <w:tr w14:paraId="440B7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0F93DEF">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29A20AA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5.驻地及施工场地建设标准化</w:t>
            </w:r>
          </w:p>
        </w:tc>
        <w:tc>
          <w:tcPr>
            <w:tcW w:w="729" w:type="dxa"/>
            <w:vMerge w:val="restart"/>
            <w:tcBorders>
              <w:top w:val="nil"/>
              <w:left w:val="nil"/>
              <w:bottom w:val="single" w:color="000000" w:sz="4" w:space="0"/>
              <w:right w:val="single" w:color="000000" w:sz="4" w:space="0"/>
            </w:tcBorders>
            <w:shd w:val="clear" w:color="auto" w:fill="FFFFFF"/>
            <w:vAlign w:val="center"/>
          </w:tcPr>
          <w:p w14:paraId="79FE250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w:t>
            </w:r>
          </w:p>
        </w:tc>
        <w:tc>
          <w:tcPr>
            <w:tcW w:w="4011" w:type="dxa"/>
            <w:vMerge w:val="restart"/>
            <w:tcBorders>
              <w:top w:val="nil"/>
              <w:left w:val="nil"/>
              <w:bottom w:val="single" w:color="000000" w:sz="4" w:space="0"/>
              <w:right w:val="single" w:color="000000" w:sz="4" w:space="0"/>
            </w:tcBorders>
            <w:shd w:val="clear" w:color="auto" w:fill="FFFFFF"/>
            <w:vAlign w:val="center"/>
          </w:tcPr>
          <w:p w14:paraId="28C4405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根据省水利厅《标化实施细则》和业主《招标文件》的相关要求，完成驻地及施工场地标准化建设，未达标的每处扣0.2分。</w:t>
            </w:r>
          </w:p>
        </w:tc>
        <w:tc>
          <w:tcPr>
            <w:tcW w:w="738" w:type="dxa"/>
            <w:vMerge w:val="restart"/>
            <w:tcBorders>
              <w:top w:val="nil"/>
              <w:left w:val="nil"/>
              <w:bottom w:val="single" w:color="000000" w:sz="4" w:space="0"/>
              <w:right w:val="single" w:color="000000" w:sz="4" w:space="0"/>
            </w:tcBorders>
            <w:shd w:val="clear" w:color="auto" w:fill="FFFFFF"/>
            <w:vAlign w:val="center"/>
          </w:tcPr>
          <w:p w14:paraId="5E7B7BD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4006E59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6E9A16C2">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261C1F3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1547F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21E52835">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637D5227">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CCD4EE3">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DD74E6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5DA28FA">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77CF734">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B7FE70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B9A4686">
            <w:pPr>
              <w:spacing w:line="240" w:lineRule="atLeast"/>
              <w:jc w:val="center"/>
              <w:rPr>
                <w:rFonts w:hint="default" w:ascii="Times New Roman" w:hAnsi="Times New Roman" w:cs="Times New Roman"/>
                <w:color w:val="auto"/>
                <w:sz w:val="18"/>
                <w:szCs w:val="18"/>
                <w:highlight w:val="none"/>
              </w:rPr>
            </w:pPr>
          </w:p>
        </w:tc>
      </w:tr>
      <w:tr w14:paraId="00BE3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22A0CAB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5A9C2EC">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2D71D9E">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BCB7BF3">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81917C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8A1BBF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9FF7966">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A6DB607">
            <w:pPr>
              <w:spacing w:line="240" w:lineRule="atLeast"/>
              <w:jc w:val="center"/>
              <w:rPr>
                <w:rFonts w:hint="default" w:ascii="Times New Roman" w:hAnsi="Times New Roman" w:cs="Times New Roman"/>
                <w:color w:val="auto"/>
                <w:sz w:val="18"/>
                <w:szCs w:val="18"/>
                <w:highlight w:val="none"/>
              </w:rPr>
            </w:pPr>
          </w:p>
        </w:tc>
      </w:tr>
      <w:tr w14:paraId="2DCA2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6F0C3D4">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7352F56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6.施工标准化</w:t>
            </w:r>
          </w:p>
        </w:tc>
        <w:tc>
          <w:tcPr>
            <w:tcW w:w="729" w:type="dxa"/>
            <w:vMerge w:val="restart"/>
            <w:tcBorders>
              <w:top w:val="nil"/>
              <w:left w:val="nil"/>
              <w:bottom w:val="single" w:color="000000" w:sz="4" w:space="0"/>
              <w:right w:val="single" w:color="000000" w:sz="4" w:space="0"/>
            </w:tcBorders>
            <w:shd w:val="clear" w:color="auto" w:fill="FFFFFF"/>
            <w:vAlign w:val="center"/>
          </w:tcPr>
          <w:p w14:paraId="1A26BE8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w:t>
            </w:r>
          </w:p>
        </w:tc>
        <w:tc>
          <w:tcPr>
            <w:tcW w:w="4011" w:type="dxa"/>
            <w:vMerge w:val="restart"/>
            <w:tcBorders>
              <w:top w:val="nil"/>
              <w:left w:val="nil"/>
              <w:bottom w:val="single" w:color="000000" w:sz="4" w:space="0"/>
              <w:right w:val="single" w:color="000000" w:sz="4" w:space="0"/>
            </w:tcBorders>
            <w:shd w:val="clear" w:color="auto" w:fill="FFFFFF"/>
            <w:vAlign w:val="center"/>
          </w:tcPr>
          <w:p w14:paraId="2CEF94C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及时编制实施性施工组织设计，按规定程序报批，未及时完成扣1-2分；生产要素及时到位并满足施工需要，未达到要求扣1-2分；及时完成工地试验室资质报批，未按时完成的扣1-2分。</w:t>
            </w:r>
          </w:p>
        </w:tc>
        <w:tc>
          <w:tcPr>
            <w:tcW w:w="738" w:type="dxa"/>
            <w:vMerge w:val="restart"/>
            <w:tcBorders>
              <w:top w:val="nil"/>
              <w:left w:val="nil"/>
              <w:bottom w:val="single" w:color="000000" w:sz="4" w:space="0"/>
              <w:right w:val="single" w:color="000000" w:sz="4" w:space="0"/>
            </w:tcBorders>
            <w:shd w:val="clear" w:color="auto" w:fill="FFFFFF"/>
            <w:vAlign w:val="center"/>
          </w:tcPr>
          <w:p w14:paraId="5806DA9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0079BE3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13CD828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2E531CE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53D87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2B83B5E">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5A14C0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5CD73C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F8805B6">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C5A8539">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AE595DD">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9C144C5">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E3AD448">
            <w:pPr>
              <w:spacing w:line="240" w:lineRule="atLeast"/>
              <w:jc w:val="center"/>
              <w:rPr>
                <w:rFonts w:hint="default" w:ascii="Times New Roman" w:hAnsi="Times New Roman" w:cs="Times New Roman"/>
                <w:color w:val="auto"/>
                <w:sz w:val="18"/>
                <w:szCs w:val="18"/>
                <w:highlight w:val="none"/>
              </w:rPr>
            </w:pPr>
          </w:p>
        </w:tc>
      </w:tr>
      <w:tr w14:paraId="6D562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1C947E5">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D476B7B">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AB992CC">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03255AF">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FB02EEE">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9CFAC3C">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28D47BD">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C8867A5">
            <w:pPr>
              <w:spacing w:line="240" w:lineRule="atLeast"/>
              <w:jc w:val="center"/>
              <w:rPr>
                <w:rFonts w:hint="default" w:ascii="Times New Roman" w:hAnsi="Times New Roman" w:cs="Times New Roman"/>
                <w:color w:val="auto"/>
                <w:sz w:val="18"/>
                <w:szCs w:val="18"/>
                <w:highlight w:val="none"/>
              </w:rPr>
            </w:pPr>
          </w:p>
        </w:tc>
      </w:tr>
      <w:tr w14:paraId="028DC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10F8A6C">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BB0C09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687DEEA">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336951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72B44E5">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4D792AA">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C9E20BD">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AF9E261">
            <w:pPr>
              <w:spacing w:line="240" w:lineRule="atLeast"/>
              <w:jc w:val="center"/>
              <w:rPr>
                <w:rFonts w:hint="default" w:ascii="Times New Roman" w:hAnsi="Times New Roman" w:cs="Times New Roman"/>
                <w:color w:val="auto"/>
                <w:sz w:val="18"/>
                <w:szCs w:val="18"/>
                <w:highlight w:val="none"/>
              </w:rPr>
            </w:pPr>
          </w:p>
        </w:tc>
      </w:tr>
      <w:tr w14:paraId="6A65F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7CE6AB9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四、合同履约及费用管理25分</w:t>
            </w:r>
          </w:p>
        </w:tc>
        <w:tc>
          <w:tcPr>
            <w:tcW w:w="951" w:type="dxa"/>
            <w:vMerge w:val="restart"/>
            <w:tcBorders>
              <w:top w:val="nil"/>
              <w:left w:val="nil"/>
              <w:bottom w:val="single" w:color="000000" w:sz="4" w:space="0"/>
              <w:right w:val="single" w:color="000000" w:sz="4" w:space="0"/>
            </w:tcBorders>
            <w:shd w:val="clear" w:color="auto" w:fill="FFFFFF"/>
            <w:vAlign w:val="center"/>
          </w:tcPr>
          <w:p w14:paraId="2E1E168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1.人员管理</w:t>
            </w:r>
          </w:p>
        </w:tc>
        <w:tc>
          <w:tcPr>
            <w:tcW w:w="729" w:type="dxa"/>
            <w:vMerge w:val="restart"/>
            <w:tcBorders>
              <w:top w:val="nil"/>
              <w:left w:val="nil"/>
              <w:bottom w:val="single" w:color="000000" w:sz="4" w:space="0"/>
              <w:right w:val="single" w:color="000000" w:sz="4" w:space="0"/>
            </w:tcBorders>
            <w:shd w:val="clear" w:color="auto" w:fill="FFFFFF"/>
            <w:vAlign w:val="center"/>
          </w:tcPr>
          <w:p w14:paraId="67F097E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8</w:t>
            </w:r>
          </w:p>
        </w:tc>
        <w:tc>
          <w:tcPr>
            <w:tcW w:w="4011" w:type="dxa"/>
            <w:vMerge w:val="restart"/>
            <w:tcBorders>
              <w:top w:val="nil"/>
              <w:left w:val="nil"/>
              <w:bottom w:val="single" w:color="000000" w:sz="4" w:space="0"/>
              <w:right w:val="single" w:color="000000" w:sz="4" w:space="0"/>
            </w:tcBorders>
            <w:shd w:val="clear" w:color="auto" w:fill="FFFFFF"/>
            <w:vAlign w:val="center"/>
          </w:tcPr>
          <w:p w14:paraId="3DE8DA1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项目经理、总工未按承诺到位或未按要求报送人员调换申请的扣每人/月2分（其他主要管理人员0.5分）；主要管理人员擅自离开工地的每人次扣1分；日常考勤工作延误或失实的每发现一次扣1分。</w:t>
            </w:r>
          </w:p>
        </w:tc>
        <w:tc>
          <w:tcPr>
            <w:tcW w:w="738" w:type="dxa"/>
            <w:vMerge w:val="restart"/>
            <w:tcBorders>
              <w:top w:val="nil"/>
              <w:left w:val="nil"/>
              <w:bottom w:val="single" w:color="000000" w:sz="4" w:space="0"/>
              <w:right w:val="single" w:color="000000" w:sz="4" w:space="0"/>
            </w:tcBorders>
            <w:shd w:val="clear" w:color="auto" w:fill="FFFFFF"/>
            <w:vAlign w:val="center"/>
          </w:tcPr>
          <w:p w14:paraId="44076B1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18DEF27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380D5E0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12657D5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0787F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3F16EB5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B261F97">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80130BA">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AB102AF">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4B822FA">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CBF1AD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C99954A">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F83B64E">
            <w:pPr>
              <w:spacing w:line="240" w:lineRule="atLeast"/>
              <w:jc w:val="center"/>
              <w:rPr>
                <w:rFonts w:hint="default" w:ascii="Times New Roman" w:hAnsi="Times New Roman" w:cs="Times New Roman"/>
                <w:color w:val="auto"/>
                <w:sz w:val="18"/>
                <w:szCs w:val="18"/>
                <w:highlight w:val="none"/>
              </w:rPr>
            </w:pPr>
          </w:p>
        </w:tc>
      </w:tr>
      <w:tr w14:paraId="23CA0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F5E1EA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30C9E63">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42B5DD5">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A259828">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289AD158">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0B1D973">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C6F4148">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F74F7D3">
            <w:pPr>
              <w:spacing w:line="240" w:lineRule="atLeast"/>
              <w:jc w:val="center"/>
              <w:rPr>
                <w:rFonts w:hint="default" w:ascii="Times New Roman" w:hAnsi="Times New Roman" w:cs="Times New Roman"/>
                <w:color w:val="auto"/>
                <w:sz w:val="18"/>
                <w:szCs w:val="18"/>
                <w:highlight w:val="none"/>
              </w:rPr>
            </w:pPr>
          </w:p>
        </w:tc>
      </w:tr>
      <w:tr w14:paraId="65367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2011BCA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2B32CDE4">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769806B4">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F510700">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CABB251">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4E06C68">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587F830">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4DDE5040">
            <w:pPr>
              <w:spacing w:line="240" w:lineRule="atLeast"/>
              <w:jc w:val="center"/>
              <w:rPr>
                <w:rFonts w:hint="default" w:ascii="Times New Roman" w:hAnsi="Times New Roman" w:cs="Times New Roman"/>
                <w:color w:val="auto"/>
                <w:sz w:val="18"/>
                <w:szCs w:val="18"/>
                <w:highlight w:val="none"/>
              </w:rPr>
            </w:pPr>
          </w:p>
        </w:tc>
      </w:tr>
      <w:tr w14:paraId="5D623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2B4181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3940389">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3609A65">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945AD7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61569BA">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CDA20AF">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F56F8F5">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B0FD950">
            <w:pPr>
              <w:spacing w:line="240" w:lineRule="atLeast"/>
              <w:jc w:val="center"/>
              <w:rPr>
                <w:rFonts w:hint="default" w:ascii="Times New Roman" w:hAnsi="Times New Roman" w:cs="Times New Roman"/>
                <w:color w:val="auto"/>
                <w:sz w:val="18"/>
                <w:szCs w:val="18"/>
                <w:highlight w:val="none"/>
              </w:rPr>
            </w:pPr>
          </w:p>
        </w:tc>
      </w:tr>
      <w:tr w14:paraId="41012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B136150">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F4D75A5">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3C944D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70302F0">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F20CA3D">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C84D59D">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488C5412">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A3A00A2">
            <w:pPr>
              <w:spacing w:line="240" w:lineRule="atLeast"/>
              <w:jc w:val="center"/>
              <w:rPr>
                <w:rFonts w:hint="default" w:ascii="Times New Roman" w:hAnsi="Times New Roman" w:cs="Times New Roman"/>
                <w:color w:val="auto"/>
                <w:sz w:val="18"/>
                <w:szCs w:val="18"/>
                <w:highlight w:val="none"/>
              </w:rPr>
            </w:pPr>
          </w:p>
        </w:tc>
      </w:tr>
      <w:tr w14:paraId="23F1F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F28B712">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CEA618C">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5DDCE07">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F9550C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39C393D">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59BBA97">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20AD34C">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0D21B2A">
            <w:pPr>
              <w:spacing w:line="240" w:lineRule="atLeast"/>
              <w:jc w:val="center"/>
              <w:rPr>
                <w:rFonts w:hint="default" w:ascii="Times New Roman" w:hAnsi="Times New Roman" w:cs="Times New Roman"/>
                <w:color w:val="auto"/>
                <w:sz w:val="18"/>
                <w:szCs w:val="18"/>
                <w:highlight w:val="none"/>
              </w:rPr>
            </w:pPr>
          </w:p>
        </w:tc>
      </w:tr>
      <w:tr w14:paraId="453CD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29EFDF7D">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31BF554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2.施工设备</w:t>
            </w:r>
          </w:p>
        </w:tc>
        <w:tc>
          <w:tcPr>
            <w:tcW w:w="729" w:type="dxa"/>
            <w:vMerge w:val="restart"/>
            <w:tcBorders>
              <w:top w:val="nil"/>
              <w:left w:val="nil"/>
              <w:bottom w:val="single" w:color="000000" w:sz="4" w:space="0"/>
              <w:right w:val="single" w:color="000000" w:sz="4" w:space="0"/>
            </w:tcBorders>
            <w:shd w:val="clear" w:color="auto" w:fill="FFFFFF"/>
            <w:vAlign w:val="center"/>
          </w:tcPr>
          <w:p w14:paraId="01D55D3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w:t>
            </w:r>
          </w:p>
        </w:tc>
        <w:tc>
          <w:tcPr>
            <w:tcW w:w="4011" w:type="dxa"/>
            <w:vMerge w:val="restart"/>
            <w:tcBorders>
              <w:top w:val="nil"/>
              <w:left w:val="nil"/>
              <w:bottom w:val="single" w:color="000000" w:sz="4" w:space="0"/>
              <w:right w:val="single" w:color="000000" w:sz="4" w:space="0"/>
            </w:tcBorders>
            <w:shd w:val="clear" w:color="auto" w:fill="FFFFFF"/>
            <w:vAlign w:val="center"/>
          </w:tcPr>
          <w:p w14:paraId="6255E9C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未及时上报施工设备进出计划的扣2分；主要设备达不到合同及现场要求的视情扣1-3分。</w:t>
            </w:r>
          </w:p>
        </w:tc>
        <w:tc>
          <w:tcPr>
            <w:tcW w:w="738" w:type="dxa"/>
            <w:vMerge w:val="restart"/>
            <w:tcBorders>
              <w:top w:val="nil"/>
              <w:left w:val="nil"/>
              <w:bottom w:val="single" w:color="000000" w:sz="4" w:space="0"/>
              <w:right w:val="single" w:color="000000" w:sz="4" w:space="0"/>
            </w:tcBorders>
            <w:shd w:val="clear" w:color="auto" w:fill="FFFFFF"/>
            <w:vAlign w:val="center"/>
          </w:tcPr>
          <w:p w14:paraId="7EC9413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6F53110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3FDEAC8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74B4DE8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4A5BB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2951B2E">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F62702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4FB4C2D9">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9887380">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933E8E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8BFF585">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FE5A89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4513ADE0">
            <w:pPr>
              <w:spacing w:line="240" w:lineRule="atLeast"/>
              <w:jc w:val="center"/>
              <w:rPr>
                <w:rFonts w:hint="default" w:ascii="Times New Roman" w:hAnsi="Times New Roman" w:cs="Times New Roman"/>
                <w:color w:val="auto"/>
                <w:sz w:val="18"/>
                <w:szCs w:val="18"/>
                <w:highlight w:val="none"/>
              </w:rPr>
            </w:pPr>
          </w:p>
        </w:tc>
      </w:tr>
      <w:tr w14:paraId="293BF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27F3A71">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79247C6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3.施工分包/劳务管理</w:t>
            </w:r>
          </w:p>
        </w:tc>
        <w:tc>
          <w:tcPr>
            <w:tcW w:w="729" w:type="dxa"/>
            <w:vMerge w:val="restart"/>
            <w:tcBorders>
              <w:top w:val="nil"/>
              <w:left w:val="nil"/>
              <w:bottom w:val="single" w:color="000000" w:sz="4" w:space="0"/>
              <w:right w:val="single" w:color="000000" w:sz="4" w:space="0"/>
            </w:tcBorders>
            <w:shd w:val="clear" w:color="auto" w:fill="FFFFFF"/>
            <w:vAlign w:val="center"/>
          </w:tcPr>
          <w:p w14:paraId="4D59785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w:t>
            </w:r>
          </w:p>
        </w:tc>
        <w:tc>
          <w:tcPr>
            <w:tcW w:w="4011" w:type="dxa"/>
            <w:vMerge w:val="restart"/>
            <w:tcBorders>
              <w:top w:val="nil"/>
              <w:left w:val="nil"/>
              <w:bottom w:val="single" w:color="000000" w:sz="4" w:space="0"/>
              <w:right w:val="single" w:color="000000" w:sz="4" w:space="0"/>
            </w:tcBorders>
            <w:shd w:val="clear" w:color="auto" w:fill="FFFFFF"/>
            <w:vAlign w:val="center"/>
          </w:tcPr>
          <w:p w14:paraId="6102CD8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队伍选择程序规范；分包劳务合同签订规范并按规定审批或报备；管理制度和台账齐全，未满足上述要求的视情每项扣1-2分；发现违规分包或以包代管情况的此项不得分。</w:t>
            </w:r>
          </w:p>
        </w:tc>
        <w:tc>
          <w:tcPr>
            <w:tcW w:w="738" w:type="dxa"/>
            <w:vMerge w:val="restart"/>
            <w:tcBorders>
              <w:top w:val="nil"/>
              <w:left w:val="nil"/>
              <w:bottom w:val="single" w:color="000000" w:sz="4" w:space="0"/>
              <w:right w:val="single" w:color="000000" w:sz="4" w:space="0"/>
            </w:tcBorders>
            <w:shd w:val="clear" w:color="auto" w:fill="FFFFFF"/>
            <w:vAlign w:val="center"/>
          </w:tcPr>
          <w:p w14:paraId="658F4BDD">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4F6E144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15EB691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727D782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6F3AA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9944203">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1E57944">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567B358">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990CE3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2DA8DE56">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73B37E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7F0BCD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A564015">
            <w:pPr>
              <w:spacing w:line="240" w:lineRule="atLeast"/>
              <w:jc w:val="center"/>
              <w:rPr>
                <w:rFonts w:hint="default" w:ascii="Times New Roman" w:hAnsi="Times New Roman" w:cs="Times New Roman"/>
                <w:color w:val="auto"/>
                <w:sz w:val="18"/>
                <w:szCs w:val="18"/>
                <w:highlight w:val="none"/>
              </w:rPr>
            </w:pPr>
          </w:p>
        </w:tc>
      </w:tr>
      <w:tr w14:paraId="512B7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DD8F87E">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785495C">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E33659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693810A">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08817E7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A124A12">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C447EC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658435E">
            <w:pPr>
              <w:spacing w:line="240" w:lineRule="atLeast"/>
              <w:jc w:val="center"/>
              <w:rPr>
                <w:rFonts w:hint="default" w:ascii="Times New Roman" w:hAnsi="Times New Roman" w:cs="Times New Roman"/>
                <w:color w:val="auto"/>
                <w:sz w:val="18"/>
                <w:szCs w:val="18"/>
                <w:highlight w:val="none"/>
              </w:rPr>
            </w:pPr>
          </w:p>
        </w:tc>
      </w:tr>
      <w:tr w14:paraId="2B59C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214851C9">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5EA036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F9AEF26">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61D9D3D">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1C415B0">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9FA7AF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4056619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FA42890">
            <w:pPr>
              <w:spacing w:line="240" w:lineRule="atLeast"/>
              <w:jc w:val="center"/>
              <w:rPr>
                <w:rFonts w:hint="default" w:ascii="Times New Roman" w:hAnsi="Times New Roman" w:cs="Times New Roman"/>
                <w:color w:val="auto"/>
                <w:sz w:val="18"/>
                <w:szCs w:val="18"/>
                <w:highlight w:val="none"/>
              </w:rPr>
            </w:pPr>
          </w:p>
        </w:tc>
      </w:tr>
      <w:tr w14:paraId="4E2B2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3C0B9423">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1B91C12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4.民工权益</w:t>
            </w:r>
          </w:p>
        </w:tc>
        <w:tc>
          <w:tcPr>
            <w:tcW w:w="729" w:type="dxa"/>
            <w:vMerge w:val="restart"/>
            <w:tcBorders>
              <w:top w:val="nil"/>
              <w:left w:val="nil"/>
              <w:bottom w:val="single" w:color="000000" w:sz="4" w:space="0"/>
              <w:right w:val="single" w:color="000000" w:sz="4" w:space="0"/>
            </w:tcBorders>
            <w:shd w:val="clear" w:color="auto" w:fill="FFFFFF"/>
            <w:vAlign w:val="center"/>
          </w:tcPr>
          <w:p w14:paraId="209AF12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4</w:t>
            </w:r>
          </w:p>
        </w:tc>
        <w:tc>
          <w:tcPr>
            <w:tcW w:w="4011" w:type="dxa"/>
            <w:vMerge w:val="restart"/>
            <w:tcBorders>
              <w:top w:val="nil"/>
              <w:left w:val="nil"/>
              <w:bottom w:val="single" w:color="000000" w:sz="4" w:space="0"/>
              <w:right w:val="single" w:color="000000" w:sz="4" w:space="0"/>
            </w:tcBorders>
            <w:shd w:val="clear" w:color="auto" w:fill="FFFFFF"/>
            <w:vAlign w:val="center"/>
          </w:tcPr>
          <w:p w14:paraId="4407A2C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用工手续齐备；工资发放主体明确，支付和公示工作及时、真实；管理台账建立规范、报检备案及时，未满足上述要求的视情每项扣0.5-2分；发生有责投诉的此项不得分，情节严重的取消季度考评资格。</w:t>
            </w:r>
          </w:p>
        </w:tc>
        <w:tc>
          <w:tcPr>
            <w:tcW w:w="738" w:type="dxa"/>
            <w:vMerge w:val="restart"/>
            <w:tcBorders>
              <w:top w:val="nil"/>
              <w:left w:val="nil"/>
              <w:bottom w:val="single" w:color="000000" w:sz="4" w:space="0"/>
              <w:right w:val="single" w:color="000000" w:sz="4" w:space="0"/>
            </w:tcBorders>
            <w:shd w:val="clear" w:color="auto" w:fill="FFFFFF"/>
            <w:vAlign w:val="center"/>
          </w:tcPr>
          <w:p w14:paraId="10D1532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7E53999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1BDF830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5B2A7CF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45F49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DEB13AE">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65F3AA4">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4C5FAADD">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06EAEE1">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66B58F0">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6B2745D5">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80761D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D02B5E5">
            <w:pPr>
              <w:spacing w:line="240" w:lineRule="atLeast"/>
              <w:jc w:val="center"/>
              <w:rPr>
                <w:rFonts w:hint="default" w:ascii="Times New Roman" w:hAnsi="Times New Roman" w:cs="Times New Roman"/>
                <w:color w:val="auto"/>
                <w:sz w:val="18"/>
                <w:szCs w:val="18"/>
                <w:highlight w:val="none"/>
              </w:rPr>
            </w:pPr>
          </w:p>
        </w:tc>
      </w:tr>
      <w:tr w14:paraId="4EC8F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D1E8B1C">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BF81D8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40F6CA7">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27E45FE">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A80BAAD">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0709E2C3">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7102FEA">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5C05B2C">
            <w:pPr>
              <w:spacing w:line="240" w:lineRule="atLeast"/>
              <w:jc w:val="center"/>
              <w:rPr>
                <w:rFonts w:hint="default" w:ascii="Times New Roman" w:hAnsi="Times New Roman" w:cs="Times New Roman"/>
                <w:color w:val="auto"/>
                <w:sz w:val="18"/>
                <w:szCs w:val="18"/>
                <w:highlight w:val="none"/>
              </w:rPr>
            </w:pPr>
          </w:p>
        </w:tc>
      </w:tr>
      <w:tr w14:paraId="72B1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01656C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85A9B6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102DCCA">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BF99354">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2854C57">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1A1329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DB404F0">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4B1F1C03">
            <w:pPr>
              <w:spacing w:line="240" w:lineRule="atLeast"/>
              <w:jc w:val="center"/>
              <w:rPr>
                <w:rFonts w:hint="default" w:ascii="Times New Roman" w:hAnsi="Times New Roman" w:cs="Times New Roman"/>
                <w:color w:val="auto"/>
                <w:sz w:val="18"/>
                <w:szCs w:val="18"/>
                <w:highlight w:val="none"/>
              </w:rPr>
            </w:pPr>
          </w:p>
        </w:tc>
      </w:tr>
      <w:tr w14:paraId="27F32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3437D2C7">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84CAB5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76EBB40">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7A88F3BB">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FCAD760">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D8E11A2">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C59281B">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C0368EF">
            <w:pPr>
              <w:spacing w:line="240" w:lineRule="atLeast"/>
              <w:jc w:val="center"/>
              <w:rPr>
                <w:rFonts w:hint="default" w:ascii="Times New Roman" w:hAnsi="Times New Roman" w:cs="Times New Roman"/>
                <w:color w:val="auto"/>
                <w:sz w:val="18"/>
                <w:szCs w:val="18"/>
                <w:highlight w:val="none"/>
              </w:rPr>
            </w:pPr>
          </w:p>
        </w:tc>
      </w:tr>
      <w:tr w14:paraId="4AC45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0B36AB8">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752657B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5.计量变更与资金使用</w:t>
            </w:r>
          </w:p>
        </w:tc>
        <w:tc>
          <w:tcPr>
            <w:tcW w:w="729" w:type="dxa"/>
            <w:vMerge w:val="restart"/>
            <w:tcBorders>
              <w:top w:val="nil"/>
              <w:left w:val="nil"/>
              <w:bottom w:val="single" w:color="000000" w:sz="4" w:space="0"/>
              <w:right w:val="single" w:color="000000" w:sz="4" w:space="0"/>
            </w:tcBorders>
            <w:shd w:val="clear" w:color="auto" w:fill="FFFFFF"/>
            <w:vAlign w:val="center"/>
          </w:tcPr>
          <w:p w14:paraId="6881002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5</w:t>
            </w:r>
          </w:p>
        </w:tc>
        <w:tc>
          <w:tcPr>
            <w:tcW w:w="4011" w:type="dxa"/>
            <w:vMerge w:val="restart"/>
            <w:tcBorders>
              <w:top w:val="nil"/>
              <w:left w:val="nil"/>
              <w:bottom w:val="single" w:color="000000" w:sz="4" w:space="0"/>
              <w:right w:val="single" w:color="000000" w:sz="4" w:space="0"/>
            </w:tcBorders>
            <w:shd w:val="clear" w:color="auto" w:fill="FFFFFF"/>
            <w:vAlign w:val="center"/>
          </w:tcPr>
          <w:p w14:paraId="779C1152">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施工图复核工作及时准确，台账填报规范，剂量准确、变更及时上报。未及时完成复核工作的视情扣0.5-1分；出现多次返工的视情扣1-2分。挪用工程款，项目资金未专款专用的每次扣5分。</w:t>
            </w:r>
          </w:p>
        </w:tc>
        <w:tc>
          <w:tcPr>
            <w:tcW w:w="738" w:type="dxa"/>
            <w:vMerge w:val="restart"/>
            <w:tcBorders>
              <w:top w:val="nil"/>
              <w:left w:val="nil"/>
              <w:bottom w:val="single" w:color="000000" w:sz="4" w:space="0"/>
              <w:right w:val="single" w:color="000000" w:sz="4" w:space="0"/>
            </w:tcBorders>
            <w:shd w:val="clear" w:color="auto" w:fill="FFFFFF"/>
            <w:vAlign w:val="center"/>
          </w:tcPr>
          <w:p w14:paraId="24C8AF7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0DD2F88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35B73D3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523A684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6ED11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3607B54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3CD13E8">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50FD12F">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DA869E1">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EE98BB9">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6B3BB50">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841F9A1">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36F81DF">
            <w:pPr>
              <w:spacing w:line="240" w:lineRule="atLeast"/>
              <w:jc w:val="center"/>
              <w:rPr>
                <w:rFonts w:hint="default" w:ascii="Times New Roman" w:hAnsi="Times New Roman" w:cs="Times New Roman"/>
                <w:color w:val="auto"/>
                <w:sz w:val="18"/>
                <w:szCs w:val="18"/>
                <w:highlight w:val="none"/>
              </w:rPr>
            </w:pPr>
          </w:p>
        </w:tc>
      </w:tr>
      <w:tr w14:paraId="6E147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D46452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9F7103A">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8B3F37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B17C37A">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CBF342E">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6440950A">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436E3E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E88E8A5">
            <w:pPr>
              <w:spacing w:line="240" w:lineRule="atLeast"/>
              <w:jc w:val="center"/>
              <w:rPr>
                <w:rFonts w:hint="default" w:ascii="Times New Roman" w:hAnsi="Times New Roman" w:cs="Times New Roman"/>
                <w:color w:val="auto"/>
                <w:sz w:val="18"/>
                <w:szCs w:val="18"/>
                <w:highlight w:val="none"/>
              </w:rPr>
            </w:pPr>
          </w:p>
        </w:tc>
      </w:tr>
      <w:tr w14:paraId="7FE74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32"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158B7D6">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157E65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76FC465">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6C46477">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4DF1221">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2D705D4">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BAA43D5">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23B4C22">
            <w:pPr>
              <w:spacing w:line="240" w:lineRule="atLeast"/>
              <w:jc w:val="center"/>
              <w:rPr>
                <w:rFonts w:hint="default" w:ascii="Times New Roman" w:hAnsi="Times New Roman" w:cs="Times New Roman"/>
                <w:color w:val="auto"/>
                <w:sz w:val="18"/>
                <w:szCs w:val="18"/>
                <w:highlight w:val="none"/>
              </w:rPr>
            </w:pPr>
          </w:p>
        </w:tc>
      </w:tr>
      <w:tr w14:paraId="21B0C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61BD5FC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五、水保环保和地方事务10分</w:t>
            </w:r>
          </w:p>
        </w:tc>
        <w:tc>
          <w:tcPr>
            <w:tcW w:w="951" w:type="dxa"/>
            <w:vMerge w:val="restart"/>
            <w:tcBorders>
              <w:top w:val="nil"/>
              <w:left w:val="nil"/>
              <w:bottom w:val="single" w:color="000000" w:sz="4" w:space="0"/>
              <w:right w:val="single" w:color="000000" w:sz="4" w:space="0"/>
            </w:tcBorders>
            <w:shd w:val="clear" w:color="auto" w:fill="FFFFFF"/>
            <w:vAlign w:val="center"/>
          </w:tcPr>
          <w:p w14:paraId="2F099FF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1.水保、环保</w:t>
            </w:r>
          </w:p>
        </w:tc>
        <w:tc>
          <w:tcPr>
            <w:tcW w:w="729" w:type="dxa"/>
            <w:vMerge w:val="restart"/>
            <w:tcBorders>
              <w:top w:val="nil"/>
              <w:left w:val="nil"/>
              <w:bottom w:val="single" w:color="000000" w:sz="4" w:space="0"/>
              <w:right w:val="single" w:color="000000" w:sz="4" w:space="0"/>
            </w:tcBorders>
            <w:shd w:val="clear" w:color="auto" w:fill="FFFFFF"/>
            <w:vAlign w:val="center"/>
          </w:tcPr>
          <w:p w14:paraId="380063E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10</w:t>
            </w:r>
          </w:p>
        </w:tc>
        <w:tc>
          <w:tcPr>
            <w:tcW w:w="4011" w:type="dxa"/>
            <w:vMerge w:val="restart"/>
            <w:tcBorders>
              <w:top w:val="nil"/>
              <w:left w:val="nil"/>
              <w:bottom w:val="single" w:color="000000" w:sz="4" w:space="0"/>
              <w:right w:val="single" w:color="000000" w:sz="4" w:space="0"/>
            </w:tcBorders>
            <w:shd w:val="clear" w:color="auto" w:fill="FFFFFF"/>
            <w:vAlign w:val="center"/>
          </w:tcPr>
          <w:p w14:paraId="660F80F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水保、环保管理制度未编制，扣5分；未落实，每处扣1分。污染或者流失现象严重，造成地方向上级管理部门反映问题，每次扣5分。</w:t>
            </w:r>
          </w:p>
        </w:tc>
        <w:tc>
          <w:tcPr>
            <w:tcW w:w="738" w:type="dxa"/>
            <w:vMerge w:val="restart"/>
            <w:tcBorders>
              <w:top w:val="nil"/>
              <w:left w:val="nil"/>
              <w:bottom w:val="single" w:color="000000" w:sz="4" w:space="0"/>
              <w:right w:val="single" w:color="000000" w:sz="4" w:space="0"/>
            </w:tcBorders>
            <w:shd w:val="clear" w:color="auto" w:fill="FFFFFF"/>
            <w:vAlign w:val="center"/>
          </w:tcPr>
          <w:p w14:paraId="159DE77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5D4D5022">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2E1BCF0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555AD277">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679F5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7BA615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5F819B55">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1DEC54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93DF069">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01FAC24D">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91707AD">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6D8B038D">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0651A97">
            <w:pPr>
              <w:spacing w:line="240" w:lineRule="atLeast"/>
              <w:jc w:val="center"/>
              <w:rPr>
                <w:rFonts w:hint="default" w:ascii="Times New Roman" w:hAnsi="Times New Roman" w:cs="Times New Roman"/>
                <w:color w:val="auto"/>
                <w:sz w:val="18"/>
                <w:szCs w:val="18"/>
                <w:highlight w:val="none"/>
              </w:rPr>
            </w:pPr>
          </w:p>
        </w:tc>
      </w:tr>
      <w:tr w14:paraId="36F88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0DBCDA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2C8CE5C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3536AAF6">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2DB71BC">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16DBC5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DC7B8BA">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B9FF66E">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FCE963C">
            <w:pPr>
              <w:spacing w:line="240" w:lineRule="atLeast"/>
              <w:jc w:val="center"/>
              <w:rPr>
                <w:rFonts w:hint="default" w:ascii="Times New Roman" w:hAnsi="Times New Roman" w:cs="Times New Roman"/>
                <w:color w:val="auto"/>
                <w:sz w:val="18"/>
                <w:szCs w:val="18"/>
                <w:highlight w:val="none"/>
              </w:rPr>
            </w:pPr>
          </w:p>
        </w:tc>
      </w:tr>
      <w:tr w14:paraId="2B66D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20AED43">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CB75980">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20E63A7">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742C7D09">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6375B6F0">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819FDE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9D285E3">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13D8186">
            <w:pPr>
              <w:spacing w:line="240" w:lineRule="atLeast"/>
              <w:jc w:val="center"/>
              <w:rPr>
                <w:rFonts w:hint="default" w:ascii="Times New Roman" w:hAnsi="Times New Roman" w:cs="Times New Roman"/>
                <w:color w:val="auto"/>
                <w:sz w:val="18"/>
                <w:szCs w:val="18"/>
                <w:highlight w:val="none"/>
              </w:rPr>
            </w:pPr>
          </w:p>
        </w:tc>
      </w:tr>
      <w:tr w14:paraId="6E445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02B8800">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41C052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0579BE71">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88DB324">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04D7AD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DDFC3ED">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4BA6489F">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3F364C1">
            <w:pPr>
              <w:spacing w:line="240" w:lineRule="atLeast"/>
              <w:jc w:val="center"/>
              <w:rPr>
                <w:rFonts w:hint="default" w:ascii="Times New Roman" w:hAnsi="Times New Roman" w:cs="Times New Roman"/>
                <w:color w:val="auto"/>
                <w:sz w:val="18"/>
                <w:szCs w:val="18"/>
                <w:highlight w:val="none"/>
              </w:rPr>
            </w:pPr>
          </w:p>
        </w:tc>
      </w:tr>
      <w:tr w14:paraId="1A7EB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1DDE150">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1539499">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E53C9B5">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BAA1478">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13C912E">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228D140">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41D47C66">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2105232">
            <w:pPr>
              <w:spacing w:line="240" w:lineRule="atLeast"/>
              <w:jc w:val="center"/>
              <w:rPr>
                <w:rFonts w:hint="default" w:ascii="Times New Roman" w:hAnsi="Times New Roman" w:cs="Times New Roman"/>
                <w:color w:val="auto"/>
                <w:sz w:val="18"/>
                <w:szCs w:val="18"/>
                <w:highlight w:val="none"/>
              </w:rPr>
            </w:pPr>
          </w:p>
        </w:tc>
      </w:tr>
      <w:tr w14:paraId="0F60F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2"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2CABA8F">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EAFBB2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D1455F3">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8CF9925">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7FB99F3">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4B1D365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A03489D">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F5EE1FA">
            <w:pPr>
              <w:spacing w:line="240" w:lineRule="atLeast"/>
              <w:jc w:val="center"/>
              <w:rPr>
                <w:rFonts w:hint="default" w:ascii="Times New Roman" w:hAnsi="Times New Roman" w:cs="Times New Roman"/>
                <w:color w:val="auto"/>
                <w:sz w:val="18"/>
                <w:szCs w:val="18"/>
                <w:highlight w:val="none"/>
              </w:rPr>
            </w:pPr>
          </w:p>
        </w:tc>
      </w:tr>
      <w:tr w14:paraId="48F0A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DE9C665">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55F38C5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2.地方事务</w:t>
            </w:r>
          </w:p>
        </w:tc>
        <w:tc>
          <w:tcPr>
            <w:tcW w:w="729" w:type="dxa"/>
            <w:vMerge w:val="continue"/>
            <w:tcBorders>
              <w:top w:val="nil"/>
              <w:left w:val="nil"/>
              <w:bottom w:val="single" w:color="000000" w:sz="4" w:space="0"/>
              <w:right w:val="single" w:color="000000" w:sz="4" w:space="0"/>
            </w:tcBorders>
            <w:shd w:val="clear" w:color="auto" w:fill="FFFFFF"/>
            <w:vAlign w:val="center"/>
          </w:tcPr>
          <w:p w14:paraId="662EE6AC">
            <w:pPr>
              <w:spacing w:line="240" w:lineRule="atLeast"/>
              <w:jc w:val="center"/>
              <w:rPr>
                <w:rFonts w:hint="default" w:ascii="Times New Roman" w:hAnsi="Times New Roman" w:cs="Times New Roman"/>
                <w:color w:val="auto"/>
                <w:sz w:val="18"/>
                <w:szCs w:val="18"/>
                <w:highlight w:val="none"/>
              </w:rPr>
            </w:pPr>
          </w:p>
        </w:tc>
        <w:tc>
          <w:tcPr>
            <w:tcW w:w="4011" w:type="dxa"/>
            <w:vMerge w:val="restart"/>
            <w:tcBorders>
              <w:top w:val="nil"/>
              <w:left w:val="nil"/>
              <w:bottom w:val="single" w:color="000000" w:sz="4" w:space="0"/>
              <w:right w:val="single" w:color="000000" w:sz="4" w:space="0"/>
            </w:tcBorders>
            <w:shd w:val="clear" w:color="auto" w:fill="FFFFFF"/>
            <w:vAlign w:val="center"/>
          </w:tcPr>
          <w:p w14:paraId="6304109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地方正当利益受损而未能及时妥善解决，每次扣3分；造成信访或者阻扰施工，每次扣5分。</w:t>
            </w:r>
          </w:p>
        </w:tc>
        <w:tc>
          <w:tcPr>
            <w:tcW w:w="738" w:type="dxa"/>
            <w:vMerge w:val="restart"/>
            <w:tcBorders>
              <w:top w:val="nil"/>
              <w:left w:val="nil"/>
              <w:bottom w:val="single" w:color="000000" w:sz="4" w:space="0"/>
              <w:right w:val="single" w:color="000000" w:sz="4" w:space="0"/>
            </w:tcBorders>
            <w:shd w:val="clear" w:color="auto" w:fill="FFFFFF"/>
            <w:vAlign w:val="center"/>
          </w:tcPr>
          <w:p w14:paraId="426F73C1">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0DADEFE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4E7E979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40ED51B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7C8A3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E1A2BED">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2B3466DC">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EBFF7B9">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8EBF7A0">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03F42475">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CA9AB0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17BE66B6">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CD443AA">
            <w:pPr>
              <w:spacing w:line="240" w:lineRule="atLeast"/>
              <w:jc w:val="center"/>
              <w:rPr>
                <w:rFonts w:hint="default" w:ascii="Times New Roman" w:hAnsi="Times New Roman" w:cs="Times New Roman"/>
                <w:color w:val="auto"/>
                <w:sz w:val="18"/>
                <w:szCs w:val="18"/>
                <w:highlight w:val="none"/>
              </w:rPr>
            </w:pPr>
          </w:p>
        </w:tc>
      </w:tr>
      <w:tr w14:paraId="43BA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5B0A43B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六、其它（加分）</w:t>
            </w:r>
          </w:p>
        </w:tc>
        <w:tc>
          <w:tcPr>
            <w:tcW w:w="951" w:type="dxa"/>
            <w:vMerge w:val="restart"/>
            <w:tcBorders>
              <w:top w:val="nil"/>
              <w:left w:val="nil"/>
              <w:bottom w:val="single" w:color="000000" w:sz="4" w:space="0"/>
              <w:right w:val="single" w:color="000000" w:sz="4" w:space="0"/>
            </w:tcBorders>
            <w:shd w:val="clear" w:color="auto" w:fill="FFFFFF"/>
            <w:vAlign w:val="center"/>
          </w:tcPr>
          <w:p w14:paraId="4D3BA5D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1.宣传报道</w:t>
            </w:r>
          </w:p>
        </w:tc>
        <w:tc>
          <w:tcPr>
            <w:tcW w:w="729" w:type="dxa"/>
            <w:vMerge w:val="restart"/>
            <w:tcBorders>
              <w:top w:val="nil"/>
              <w:left w:val="nil"/>
              <w:bottom w:val="single" w:color="000000" w:sz="4" w:space="0"/>
              <w:right w:val="single" w:color="000000" w:sz="4" w:space="0"/>
            </w:tcBorders>
            <w:shd w:val="clear" w:color="auto" w:fill="FFFFFF"/>
            <w:vAlign w:val="center"/>
          </w:tcPr>
          <w:p w14:paraId="2D2DD86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3</w:t>
            </w:r>
          </w:p>
        </w:tc>
        <w:tc>
          <w:tcPr>
            <w:tcW w:w="4011" w:type="dxa"/>
            <w:vMerge w:val="restart"/>
            <w:tcBorders>
              <w:top w:val="nil"/>
              <w:left w:val="nil"/>
              <w:bottom w:val="single" w:color="000000" w:sz="4" w:space="0"/>
              <w:right w:val="single" w:color="000000" w:sz="4" w:space="0"/>
            </w:tcBorders>
            <w:shd w:val="clear" w:color="auto" w:fill="FFFFFF"/>
            <w:vAlign w:val="center"/>
          </w:tcPr>
          <w:p w14:paraId="76DEC8EA">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在省级及以上级别刊物发表与本项目相关的专业论文或著作，年度考核每次/篇加0.1-0.2分，最多加0.5分。在市级及以上党委、政府或省级及以上水利主管部门主办的报刊发表与本项目相关的正面新闻报道，年度考核每次/篇加0.2-0.5分，最多加2.5分。</w:t>
            </w:r>
          </w:p>
        </w:tc>
        <w:tc>
          <w:tcPr>
            <w:tcW w:w="738" w:type="dxa"/>
            <w:vMerge w:val="restart"/>
            <w:tcBorders>
              <w:top w:val="nil"/>
              <w:left w:val="nil"/>
              <w:bottom w:val="single" w:color="000000" w:sz="4" w:space="0"/>
              <w:right w:val="single" w:color="000000" w:sz="4" w:space="0"/>
            </w:tcBorders>
            <w:shd w:val="clear" w:color="auto" w:fill="FFFFFF"/>
            <w:vAlign w:val="center"/>
          </w:tcPr>
          <w:p w14:paraId="32DF38C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24B29CE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50492DF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17821D45">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5786C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D60F141">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8FD1F8B">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60BCA23A">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2E6904B2">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B8290E9">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2602503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782CC63">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7C2A1D8A">
            <w:pPr>
              <w:spacing w:line="240" w:lineRule="atLeast"/>
              <w:jc w:val="center"/>
              <w:rPr>
                <w:rFonts w:hint="default" w:ascii="Times New Roman" w:hAnsi="Times New Roman" w:cs="Times New Roman"/>
                <w:color w:val="auto"/>
                <w:sz w:val="18"/>
                <w:szCs w:val="18"/>
                <w:highlight w:val="none"/>
              </w:rPr>
            </w:pPr>
          </w:p>
        </w:tc>
      </w:tr>
      <w:tr w14:paraId="01B33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E6EF26A">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E3FE06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8C5992B">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4D485117">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EF3BF5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BA972FE">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A30EDF0">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70F6361">
            <w:pPr>
              <w:spacing w:line="240" w:lineRule="atLeast"/>
              <w:jc w:val="center"/>
              <w:rPr>
                <w:rFonts w:hint="default" w:ascii="Times New Roman" w:hAnsi="Times New Roman" w:cs="Times New Roman"/>
                <w:color w:val="auto"/>
                <w:sz w:val="18"/>
                <w:szCs w:val="18"/>
                <w:highlight w:val="none"/>
              </w:rPr>
            </w:pPr>
          </w:p>
        </w:tc>
      </w:tr>
      <w:tr w14:paraId="79C2B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6E17B46F">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09038FDD">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7CCA2B5">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3F1CA0AD">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4381B6D2">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3C72C139">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306ECE8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48B6FF35">
            <w:pPr>
              <w:spacing w:line="240" w:lineRule="atLeast"/>
              <w:jc w:val="center"/>
              <w:rPr>
                <w:rFonts w:hint="default" w:ascii="Times New Roman" w:hAnsi="Times New Roman" w:cs="Times New Roman"/>
                <w:color w:val="auto"/>
                <w:sz w:val="18"/>
                <w:szCs w:val="18"/>
                <w:highlight w:val="none"/>
              </w:rPr>
            </w:pPr>
          </w:p>
        </w:tc>
      </w:tr>
      <w:tr w14:paraId="7D2C1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75577046">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6CAE0F93">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70545DF6">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8B5EF23">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AC7893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A409B2C">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0D0149B9">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3B9E0D49">
            <w:pPr>
              <w:spacing w:line="240" w:lineRule="atLeast"/>
              <w:jc w:val="center"/>
              <w:rPr>
                <w:rFonts w:hint="default" w:ascii="Times New Roman" w:hAnsi="Times New Roman" w:cs="Times New Roman"/>
                <w:color w:val="auto"/>
                <w:sz w:val="18"/>
                <w:szCs w:val="18"/>
                <w:highlight w:val="none"/>
              </w:rPr>
            </w:pPr>
          </w:p>
        </w:tc>
      </w:tr>
      <w:tr w14:paraId="2FE37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9C9DAA8">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7F9CE429">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2A9506D">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65E62E65">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195C483A">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14A5E460">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675F87D6">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1B2AC189">
            <w:pPr>
              <w:spacing w:line="240" w:lineRule="atLeast"/>
              <w:jc w:val="center"/>
              <w:rPr>
                <w:rFonts w:hint="default" w:ascii="Times New Roman" w:hAnsi="Times New Roman" w:cs="Times New Roman"/>
                <w:color w:val="auto"/>
                <w:sz w:val="18"/>
                <w:szCs w:val="18"/>
                <w:highlight w:val="none"/>
              </w:rPr>
            </w:pPr>
          </w:p>
        </w:tc>
      </w:tr>
      <w:tr w14:paraId="7F0D7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0FAFD655">
            <w:pPr>
              <w:spacing w:line="240" w:lineRule="atLeast"/>
              <w:jc w:val="center"/>
              <w:rPr>
                <w:rFonts w:hint="default" w:ascii="Times New Roman" w:hAnsi="Times New Roman" w:cs="Times New Roman"/>
                <w:color w:val="auto"/>
                <w:sz w:val="18"/>
                <w:szCs w:val="18"/>
                <w:highlight w:val="none"/>
              </w:rPr>
            </w:pPr>
          </w:p>
        </w:tc>
        <w:tc>
          <w:tcPr>
            <w:tcW w:w="951" w:type="dxa"/>
            <w:vMerge w:val="restart"/>
            <w:tcBorders>
              <w:top w:val="nil"/>
              <w:left w:val="nil"/>
              <w:bottom w:val="single" w:color="000000" w:sz="4" w:space="0"/>
              <w:right w:val="single" w:color="000000" w:sz="4" w:space="0"/>
            </w:tcBorders>
            <w:shd w:val="clear" w:color="auto" w:fill="FFFFFF"/>
            <w:vAlign w:val="center"/>
          </w:tcPr>
          <w:p w14:paraId="7C634513">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2.涉地共建</w:t>
            </w:r>
          </w:p>
        </w:tc>
        <w:tc>
          <w:tcPr>
            <w:tcW w:w="729" w:type="dxa"/>
            <w:vMerge w:val="restart"/>
            <w:tcBorders>
              <w:top w:val="nil"/>
              <w:left w:val="nil"/>
              <w:bottom w:val="single" w:color="000000" w:sz="4" w:space="0"/>
              <w:right w:val="single" w:color="000000" w:sz="4" w:space="0"/>
            </w:tcBorders>
            <w:shd w:val="clear" w:color="auto" w:fill="FFFFFF"/>
            <w:vAlign w:val="center"/>
          </w:tcPr>
          <w:p w14:paraId="3F22A20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2</w:t>
            </w:r>
          </w:p>
        </w:tc>
        <w:tc>
          <w:tcPr>
            <w:tcW w:w="4011" w:type="dxa"/>
            <w:vMerge w:val="restart"/>
            <w:tcBorders>
              <w:top w:val="nil"/>
              <w:left w:val="nil"/>
              <w:bottom w:val="single" w:color="000000" w:sz="4" w:space="0"/>
              <w:right w:val="single" w:color="000000" w:sz="4" w:space="0"/>
            </w:tcBorders>
            <w:shd w:val="clear" w:color="auto" w:fill="FFFFFF"/>
            <w:vAlign w:val="center"/>
          </w:tcPr>
          <w:p w14:paraId="6DEB595E">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在项目所在地开展帮扶、共建等活动，受到当地政府表彰或共建单位书面感谢的，年度考核每次加0.2-0.5分。最多加2分。</w:t>
            </w:r>
          </w:p>
        </w:tc>
        <w:tc>
          <w:tcPr>
            <w:tcW w:w="738" w:type="dxa"/>
            <w:vMerge w:val="restart"/>
            <w:tcBorders>
              <w:top w:val="nil"/>
              <w:left w:val="nil"/>
              <w:bottom w:val="single" w:color="000000" w:sz="4" w:space="0"/>
              <w:right w:val="single" w:color="000000" w:sz="4" w:space="0"/>
            </w:tcBorders>
            <w:shd w:val="clear" w:color="auto" w:fill="FFFFFF"/>
            <w:vAlign w:val="center"/>
          </w:tcPr>
          <w:p w14:paraId="713ECE8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44C4E0C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3EA1E799">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1C4D815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062DE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115F951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40968B72">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5E6762DE">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C4BCBF5">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5171AA7B">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BE0D3F6">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72C3DF4">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2D705DC0">
            <w:pPr>
              <w:spacing w:line="240" w:lineRule="atLeast"/>
              <w:jc w:val="center"/>
              <w:rPr>
                <w:rFonts w:hint="default" w:ascii="Times New Roman" w:hAnsi="Times New Roman" w:cs="Times New Roman"/>
                <w:color w:val="auto"/>
                <w:sz w:val="18"/>
                <w:szCs w:val="18"/>
                <w:highlight w:val="none"/>
              </w:rPr>
            </w:pPr>
          </w:p>
        </w:tc>
      </w:tr>
      <w:tr w14:paraId="06977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4327B3FF">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6B06BAC1">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00D2C43">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7F13266A">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7EF2592F">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5AA95C5B">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5F37C653">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07CDE470">
            <w:pPr>
              <w:spacing w:line="240" w:lineRule="atLeast"/>
              <w:jc w:val="center"/>
              <w:rPr>
                <w:rFonts w:hint="default" w:ascii="Times New Roman" w:hAnsi="Times New Roman" w:cs="Times New Roman"/>
                <w:color w:val="auto"/>
                <w:sz w:val="18"/>
                <w:szCs w:val="18"/>
                <w:highlight w:val="none"/>
              </w:rPr>
            </w:pPr>
          </w:p>
        </w:tc>
      </w:tr>
      <w:tr w14:paraId="5C12F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restart"/>
            <w:tcBorders>
              <w:top w:val="nil"/>
              <w:left w:val="single" w:color="000000" w:sz="4" w:space="0"/>
              <w:bottom w:val="single" w:color="000000" w:sz="4" w:space="0"/>
              <w:right w:val="single" w:color="000000" w:sz="4" w:space="0"/>
            </w:tcBorders>
            <w:shd w:val="clear" w:color="auto" w:fill="FFFFFF"/>
            <w:vAlign w:val="center"/>
          </w:tcPr>
          <w:p w14:paraId="6D48987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七</w:t>
            </w:r>
          </w:p>
        </w:tc>
        <w:tc>
          <w:tcPr>
            <w:tcW w:w="951" w:type="dxa"/>
            <w:vMerge w:val="restart"/>
            <w:tcBorders>
              <w:top w:val="nil"/>
              <w:left w:val="nil"/>
              <w:bottom w:val="single" w:color="000000" w:sz="4" w:space="0"/>
              <w:right w:val="single" w:color="000000" w:sz="4" w:space="0"/>
            </w:tcBorders>
            <w:shd w:val="clear" w:color="auto" w:fill="FFFFFF"/>
            <w:vAlign w:val="center"/>
          </w:tcPr>
          <w:p w14:paraId="545828C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特殊处罚</w:t>
            </w:r>
          </w:p>
        </w:tc>
        <w:tc>
          <w:tcPr>
            <w:tcW w:w="729" w:type="dxa"/>
            <w:vMerge w:val="restart"/>
            <w:tcBorders>
              <w:top w:val="nil"/>
              <w:left w:val="nil"/>
              <w:bottom w:val="single" w:color="000000" w:sz="4" w:space="0"/>
              <w:right w:val="single" w:color="000000" w:sz="4" w:space="0"/>
            </w:tcBorders>
            <w:shd w:val="clear" w:color="auto" w:fill="FFFFFF"/>
            <w:vAlign w:val="center"/>
          </w:tcPr>
          <w:p w14:paraId="527175D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4011" w:type="dxa"/>
            <w:vMerge w:val="restart"/>
            <w:tcBorders>
              <w:top w:val="nil"/>
              <w:left w:val="nil"/>
              <w:bottom w:val="single" w:color="000000" w:sz="4" w:space="0"/>
              <w:right w:val="single" w:color="000000" w:sz="4" w:space="0"/>
            </w:tcBorders>
            <w:shd w:val="clear" w:color="auto" w:fill="FFFFFF"/>
            <w:vAlign w:val="center"/>
          </w:tcPr>
          <w:p w14:paraId="4F256180">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参赛单位发生安全、质量、环保、社会稳定等事故（事件），或出现廉政问题，视情况取消当季直至年度考评资格。</w:t>
            </w:r>
          </w:p>
        </w:tc>
        <w:tc>
          <w:tcPr>
            <w:tcW w:w="738" w:type="dxa"/>
            <w:vMerge w:val="restart"/>
            <w:tcBorders>
              <w:top w:val="nil"/>
              <w:left w:val="nil"/>
              <w:bottom w:val="single" w:color="000000" w:sz="4" w:space="0"/>
              <w:right w:val="single" w:color="000000" w:sz="4" w:space="0"/>
            </w:tcBorders>
            <w:shd w:val="clear" w:color="auto" w:fill="FFFFFF"/>
            <w:vAlign w:val="center"/>
          </w:tcPr>
          <w:p w14:paraId="7CA9B60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vMerge w:val="restart"/>
            <w:tcBorders>
              <w:top w:val="nil"/>
              <w:left w:val="nil"/>
              <w:bottom w:val="single" w:color="000000" w:sz="4" w:space="0"/>
              <w:right w:val="single" w:color="000000" w:sz="4" w:space="0"/>
            </w:tcBorders>
            <w:shd w:val="clear" w:color="auto" w:fill="FFFFFF"/>
            <w:vAlign w:val="center"/>
          </w:tcPr>
          <w:p w14:paraId="35B5933B">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vMerge w:val="restart"/>
            <w:tcBorders>
              <w:top w:val="nil"/>
              <w:left w:val="nil"/>
              <w:bottom w:val="single" w:color="000000" w:sz="4" w:space="0"/>
              <w:right w:val="single" w:color="000000" w:sz="4" w:space="0"/>
            </w:tcBorders>
            <w:shd w:val="clear" w:color="auto" w:fill="FFFFFF"/>
            <w:vAlign w:val="center"/>
          </w:tcPr>
          <w:p w14:paraId="0A81D58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vMerge w:val="restart"/>
            <w:tcBorders>
              <w:top w:val="nil"/>
              <w:left w:val="nil"/>
              <w:bottom w:val="single" w:color="000000" w:sz="4" w:space="0"/>
              <w:right w:val="single" w:color="000000" w:sz="4" w:space="0"/>
            </w:tcBorders>
            <w:shd w:val="clear" w:color="auto" w:fill="FFFFFF"/>
            <w:vAlign w:val="center"/>
          </w:tcPr>
          <w:p w14:paraId="635FC36F">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r w14:paraId="6BE38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BE2733B">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1824564F">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2EDB1345">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09D96E65">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39846751">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69BF854A">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7EFC7F43">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5E7F6B75">
            <w:pPr>
              <w:spacing w:line="240" w:lineRule="atLeast"/>
              <w:jc w:val="center"/>
              <w:rPr>
                <w:rFonts w:hint="default" w:ascii="Times New Roman" w:hAnsi="Times New Roman" w:cs="Times New Roman"/>
                <w:color w:val="auto"/>
                <w:sz w:val="18"/>
                <w:szCs w:val="18"/>
                <w:highlight w:val="none"/>
              </w:rPr>
            </w:pPr>
          </w:p>
        </w:tc>
      </w:tr>
      <w:tr w14:paraId="708B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tblHeader/>
        </w:trPr>
        <w:tc>
          <w:tcPr>
            <w:tcW w:w="681" w:type="dxa"/>
            <w:vMerge w:val="continue"/>
            <w:tcBorders>
              <w:top w:val="nil"/>
              <w:left w:val="single" w:color="000000" w:sz="4" w:space="0"/>
              <w:bottom w:val="single" w:color="000000" w:sz="4" w:space="0"/>
              <w:right w:val="single" w:color="000000" w:sz="4" w:space="0"/>
            </w:tcBorders>
            <w:shd w:val="clear" w:color="auto" w:fill="FFFFFF"/>
            <w:vAlign w:val="center"/>
          </w:tcPr>
          <w:p w14:paraId="5A3BBDAE">
            <w:pPr>
              <w:spacing w:line="240" w:lineRule="atLeast"/>
              <w:jc w:val="center"/>
              <w:rPr>
                <w:rFonts w:hint="default" w:ascii="Times New Roman" w:hAnsi="Times New Roman" w:cs="Times New Roman"/>
                <w:color w:val="auto"/>
                <w:sz w:val="18"/>
                <w:szCs w:val="18"/>
                <w:highlight w:val="none"/>
              </w:rPr>
            </w:pPr>
          </w:p>
        </w:tc>
        <w:tc>
          <w:tcPr>
            <w:tcW w:w="951" w:type="dxa"/>
            <w:vMerge w:val="continue"/>
            <w:tcBorders>
              <w:top w:val="nil"/>
              <w:left w:val="nil"/>
              <w:bottom w:val="single" w:color="000000" w:sz="4" w:space="0"/>
              <w:right w:val="single" w:color="000000" w:sz="4" w:space="0"/>
            </w:tcBorders>
            <w:shd w:val="clear" w:color="auto" w:fill="FFFFFF"/>
            <w:vAlign w:val="center"/>
          </w:tcPr>
          <w:p w14:paraId="380AA3EC">
            <w:pPr>
              <w:spacing w:line="240" w:lineRule="atLeast"/>
              <w:jc w:val="center"/>
              <w:rPr>
                <w:rFonts w:hint="default" w:ascii="Times New Roman" w:hAnsi="Times New Roman" w:cs="Times New Roman"/>
                <w:color w:val="auto"/>
                <w:sz w:val="18"/>
                <w:szCs w:val="18"/>
                <w:highlight w:val="none"/>
              </w:rPr>
            </w:pPr>
          </w:p>
        </w:tc>
        <w:tc>
          <w:tcPr>
            <w:tcW w:w="729" w:type="dxa"/>
            <w:vMerge w:val="continue"/>
            <w:tcBorders>
              <w:top w:val="nil"/>
              <w:left w:val="nil"/>
              <w:bottom w:val="single" w:color="000000" w:sz="4" w:space="0"/>
              <w:right w:val="single" w:color="000000" w:sz="4" w:space="0"/>
            </w:tcBorders>
            <w:shd w:val="clear" w:color="auto" w:fill="FFFFFF"/>
            <w:vAlign w:val="center"/>
          </w:tcPr>
          <w:p w14:paraId="10670514">
            <w:pPr>
              <w:spacing w:line="240" w:lineRule="atLeast"/>
              <w:jc w:val="center"/>
              <w:rPr>
                <w:rFonts w:hint="default" w:ascii="Times New Roman" w:hAnsi="Times New Roman" w:cs="Times New Roman"/>
                <w:color w:val="auto"/>
                <w:sz w:val="18"/>
                <w:szCs w:val="18"/>
                <w:highlight w:val="none"/>
              </w:rPr>
            </w:pPr>
          </w:p>
        </w:tc>
        <w:tc>
          <w:tcPr>
            <w:tcW w:w="4011" w:type="dxa"/>
            <w:vMerge w:val="continue"/>
            <w:tcBorders>
              <w:top w:val="nil"/>
              <w:left w:val="nil"/>
              <w:bottom w:val="single" w:color="000000" w:sz="4" w:space="0"/>
              <w:right w:val="single" w:color="000000" w:sz="4" w:space="0"/>
            </w:tcBorders>
            <w:shd w:val="clear" w:color="auto" w:fill="FFFFFF"/>
            <w:vAlign w:val="center"/>
          </w:tcPr>
          <w:p w14:paraId="1320C7A0">
            <w:pPr>
              <w:spacing w:line="240" w:lineRule="atLeast"/>
              <w:jc w:val="center"/>
              <w:rPr>
                <w:rFonts w:hint="default" w:ascii="Times New Roman" w:hAnsi="Times New Roman" w:cs="Times New Roman"/>
                <w:color w:val="auto"/>
                <w:sz w:val="18"/>
                <w:szCs w:val="18"/>
                <w:highlight w:val="none"/>
              </w:rPr>
            </w:pPr>
          </w:p>
        </w:tc>
        <w:tc>
          <w:tcPr>
            <w:tcW w:w="738" w:type="dxa"/>
            <w:vMerge w:val="continue"/>
            <w:tcBorders>
              <w:top w:val="nil"/>
              <w:left w:val="nil"/>
              <w:bottom w:val="single" w:color="000000" w:sz="4" w:space="0"/>
              <w:right w:val="single" w:color="000000" w:sz="4" w:space="0"/>
            </w:tcBorders>
            <w:shd w:val="clear" w:color="auto" w:fill="FFFFFF"/>
            <w:vAlign w:val="center"/>
          </w:tcPr>
          <w:p w14:paraId="0918CDCC">
            <w:pPr>
              <w:spacing w:line="240" w:lineRule="atLeast"/>
              <w:jc w:val="center"/>
              <w:rPr>
                <w:rFonts w:hint="default" w:ascii="Times New Roman" w:hAnsi="Times New Roman" w:cs="Times New Roman"/>
                <w:color w:val="auto"/>
                <w:sz w:val="18"/>
                <w:szCs w:val="18"/>
                <w:highlight w:val="none"/>
              </w:rPr>
            </w:pPr>
          </w:p>
        </w:tc>
        <w:tc>
          <w:tcPr>
            <w:tcW w:w="754" w:type="dxa"/>
            <w:vMerge w:val="continue"/>
            <w:tcBorders>
              <w:top w:val="nil"/>
              <w:left w:val="nil"/>
              <w:bottom w:val="single" w:color="000000" w:sz="4" w:space="0"/>
              <w:right w:val="single" w:color="000000" w:sz="4" w:space="0"/>
            </w:tcBorders>
            <w:shd w:val="clear" w:color="auto" w:fill="FFFFFF"/>
            <w:vAlign w:val="center"/>
          </w:tcPr>
          <w:p w14:paraId="7E986872">
            <w:pPr>
              <w:spacing w:line="240" w:lineRule="atLeast"/>
              <w:jc w:val="center"/>
              <w:rPr>
                <w:rFonts w:hint="default" w:ascii="Times New Roman" w:hAnsi="Times New Roman" w:cs="Times New Roman"/>
                <w:color w:val="auto"/>
                <w:sz w:val="18"/>
                <w:szCs w:val="18"/>
                <w:highlight w:val="none"/>
              </w:rPr>
            </w:pPr>
          </w:p>
        </w:tc>
        <w:tc>
          <w:tcPr>
            <w:tcW w:w="651" w:type="dxa"/>
            <w:vMerge w:val="continue"/>
            <w:tcBorders>
              <w:top w:val="nil"/>
              <w:left w:val="nil"/>
              <w:bottom w:val="single" w:color="000000" w:sz="4" w:space="0"/>
              <w:right w:val="single" w:color="000000" w:sz="4" w:space="0"/>
            </w:tcBorders>
            <w:shd w:val="clear" w:color="auto" w:fill="FFFFFF"/>
            <w:vAlign w:val="center"/>
          </w:tcPr>
          <w:p w14:paraId="26D8AEF7">
            <w:pPr>
              <w:spacing w:line="240" w:lineRule="atLeast"/>
              <w:jc w:val="center"/>
              <w:rPr>
                <w:rFonts w:hint="default" w:ascii="Times New Roman" w:hAnsi="Times New Roman" w:cs="Times New Roman"/>
                <w:color w:val="auto"/>
                <w:sz w:val="18"/>
                <w:szCs w:val="18"/>
                <w:highlight w:val="none"/>
              </w:rPr>
            </w:pPr>
          </w:p>
        </w:tc>
        <w:tc>
          <w:tcPr>
            <w:tcW w:w="770" w:type="dxa"/>
            <w:vMerge w:val="continue"/>
            <w:tcBorders>
              <w:top w:val="nil"/>
              <w:left w:val="nil"/>
              <w:bottom w:val="single" w:color="000000" w:sz="4" w:space="0"/>
              <w:right w:val="single" w:color="000000" w:sz="4" w:space="0"/>
            </w:tcBorders>
            <w:shd w:val="clear" w:color="auto" w:fill="FFFFFF"/>
            <w:vAlign w:val="center"/>
          </w:tcPr>
          <w:p w14:paraId="6911E429">
            <w:pPr>
              <w:spacing w:line="240" w:lineRule="atLeast"/>
              <w:jc w:val="center"/>
              <w:rPr>
                <w:rFonts w:hint="default" w:ascii="Times New Roman" w:hAnsi="Times New Roman" w:cs="Times New Roman"/>
                <w:color w:val="auto"/>
                <w:sz w:val="18"/>
                <w:szCs w:val="18"/>
                <w:highlight w:val="none"/>
              </w:rPr>
            </w:pPr>
          </w:p>
        </w:tc>
      </w:tr>
      <w:tr w14:paraId="64385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45" w:hRule="atLeast"/>
          <w:tblHeader/>
        </w:trPr>
        <w:tc>
          <w:tcPr>
            <w:tcW w:w="637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71E6FD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r>
              <w:rPr>
                <w:rStyle w:val="68"/>
                <w:rFonts w:hint="eastAsia" w:ascii="宋体" w:hAnsi="宋体" w:eastAsia="宋体" w:cs="宋体"/>
                <w:color w:val="auto"/>
                <w:sz w:val="16"/>
                <w:szCs w:val="16"/>
                <w:highlight w:val="none"/>
                <w:vertAlign w:val="baseline"/>
              </w:rPr>
              <w:t>合计分数</w:t>
            </w:r>
          </w:p>
        </w:tc>
        <w:tc>
          <w:tcPr>
            <w:tcW w:w="738" w:type="dxa"/>
            <w:tcBorders>
              <w:top w:val="single" w:color="000000" w:sz="4" w:space="0"/>
              <w:left w:val="nil"/>
              <w:bottom w:val="single" w:color="000000" w:sz="4" w:space="0"/>
              <w:right w:val="single" w:color="000000" w:sz="4" w:space="0"/>
            </w:tcBorders>
            <w:shd w:val="clear" w:color="auto" w:fill="FFFFFF"/>
            <w:vAlign w:val="center"/>
          </w:tcPr>
          <w:p w14:paraId="1199F55C">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54" w:type="dxa"/>
            <w:tcBorders>
              <w:top w:val="single" w:color="000000" w:sz="4" w:space="0"/>
              <w:left w:val="nil"/>
              <w:bottom w:val="single" w:color="000000" w:sz="4" w:space="0"/>
              <w:right w:val="single" w:color="000000" w:sz="4" w:space="0"/>
            </w:tcBorders>
            <w:shd w:val="clear" w:color="auto" w:fill="FFFFFF"/>
            <w:vAlign w:val="center"/>
          </w:tcPr>
          <w:p w14:paraId="42007A24">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651" w:type="dxa"/>
            <w:tcBorders>
              <w:top w:val="single" w:color="000000" w:sz="4" w:space="0"/>
              <w:left w:val="nil"/>
              <w:bottom w:val="single" w:color="000000" w:sz="4" w:space="0"/>
              <w:right w:val="single" w:color="000000" w:sz="4" w:space="0"/>
            </w:tcBorders>
            <w:shd w:val="clear" w:color="auto" w:fill="FFFFFF"/>
            <w:vAlign w:val="center"/>
          </w:tcPr>
          <w:p w14:paraId="5923EFC8">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c>
          <w:tcPr>
            <w:tcW w:w="770" w:type="dxa"/>
            <w:tcBorders>
              <w:top w:val="single" w:color="000000" w:sz="4" w:space="0"/>
              <w:left w:val="nil"/>
              <w:bottom w:val="single" w:color="000000" w:sz="4" w:space="0"/>
              <w:right w:val="single" w:color="000000" w:sz="4" w:space="0"/>
            </w:tcBorders>
            <w:shd w:val="clear" w:color="auto" w:fill="FFFFFF"/>
            <w:vAlign w:val="center"/>
          </w:tcPr>
          <w:p w14:paraId="52588856">
            <w:pPr>
              <w:pStyle w:val="9"/>
              <w:keepNext w:val="0"/>
              <w:keepLines w:val="0"/>
              <w:widowControl/>
              <w:suppressLineNumbers w:val="0"/>
              <w:kinsoku w:val="0"/>
              <w:autoSpaceDE/>
              <w:autoSpaceDN/>
              <w:adjustRightInd w:val="0"/>
              <w:snapToGrid w:val="0"/>
              <w:spacing w:line="240" w:lineRule="atLeast"/>
              <w:ind w:left="0" w:firstLine="0" w:firstLineChars="0"/>
              <w:jc w:val="center"/>
              <w:textAlignment w:val="auto"/>
              <w:rPr>
                <w:rFonts w:hint="eastAsia" w:ascii="宋体" w:hAnsi="宋体" w:eastAsia="宋体" w:cs="宋体"/>
                <w:color w:val="auto"/>
                <w:kern w:val="0"/>
                <w:sz w:val="16"/>
                <w:szCs w:val="16"/>
                <w:highlight w:val="none"/>
                <w:vertAlign w:val="baseline"/>
              </w:rPr>
            </w:pPr>
          </w:p>
        </w:tc>
      </w:tr>
    </w:tbl>
    <w:p w14:paraId="0CDB484C">
      <w:pPr>
        <w:pStyle w:val="30"/>
        <w:spacing w:line="360" w:lineRule="auto"/>
        <w:ind w:firstLine="0" w:firstLineChars="0"/>
        <w:rPr>
          <w:rFonts w:hint="eastAsia" w:hAnsi="Microsoft JhengHei" w:cs="Microsoft JhengHei"/>
          <w:color w:val="auto"/>
          <w:highlight w:val="none"/>
          <w:lang w:eastAsia="zh-CN" w:bidi="zh-CN"/>
        </w:rPr>
      </w:pPr>
      <w:r>
        <w:rPr>
          <w:rFonts w:hint="eastAsia" w:ascii="宋体" w:hAnsi="宋体" w:eastAsia="宋体" w:cs="宋体"/>
          <w:snapToGrid w:val="0"/>
          <w:color w:val="auto"/>
          <w:kern w:val="0"/>
          <w:sz w:val="24"/>
          <w:szCs w:val="24"/>
          <w:highlight w:val="none"/>
          <w:vertAlign w:val="baseline"/>
          <w:lang w:val="en-US" w:eastAsia="zh-CN" w:bidi="ar"/>
        </w:rPr>
        <w:t>说明：季度和年度考核（加分项）时，监理单位需随表附复评分说明及证明资料。施工单位在年度考核时，应随表附加分说明和证明资料（加分项）。</w:t>
      </w:r>
    </w:p>
    <w:p w14:paraId="13321D3B">
      <w:pPr>
        <w:pStyle w:val="30"/>
        <w:spacing w:line="360" w:lineRule="auto"/>
        <w:ind w:firstLine="0" w:firstLineChars="0"/>
        <w:rPr>
          <w:rFonts w:hAnsi="Microsoft JhengHei" w:cs="Microsoft JhengHei"/>
          <w:color w:val="auto"/>
          <w:highlight w:val="none"/>
          <w:lang w:eastAsia="zh-CN" w:bidi="zh-CN"/>
        </w:rPr>
      </w:pPr>
      <w:bookmarkStart w:id="2725" w:name="_GoBack"/>
      <w:bookmarkEnd w:id="2725"/>
      <w:r>
        <w:rPr>
          <w:rFonts w:hAnsi="Microsoft JhengHei" w:cs="Microsoft JhengHei"/>
          <w:color w:val="auto"/>
          <w:highlight w:val="none"/>
          <w:lang w:eastAsia="zh-CN" w:bidi="zh-CN"/>
        </w:rPr>
        <w:br w:type="page"/>
      </w:r>
    </w:p>
    <w:p w14:paraId="65E69028">
      <w:pPr>
        <w:pStyle w:val="2"/>
        <w:kinsoku/>
        <w:wordWrap w:val="0"/>
        <w:adjustRightInd/>
        <w:snapToGrid/>
        <w:spacing w:before="173" w:beforeLines="0" w:afterLines="0"/>
        <w:ind w:left="0"/>
        <w:jc w:val="both"/>
        <w:textAlignment w:val="auto"/>
        <w:outlineLvl w:val="0"/>
        <w:rPr>
          <w:rFonts w:cs="宋体"/>
          <w:color w:val="auto"/>
          <w:sz w:val="30"/>
          <w:szCs w:val="30"/>
          <w:highlight w:val="none"/>
          <w:lang w:eastAsia="zh-CN"/>
        </w:rPr>
      </w:pPr>
      <w:bookmarkStart w:id="1453" w:name="bookmark95"/>
      <w:bookmarkEnd w:id="1453"/>
      <w:bookmarkStart w:id="1454" w:name="_Toc13437"/>
      <w:bookmarkStart w:id="1455" w:name="_Toc14875"/>
      <w:bookmarkStart w:id="1456" w:name="_Toc15813"/>
      <w:bookmarkStart w:id="1457" w:name="_Toc7795"/>
      <w:bookmarkStart w:id="1458" w:name="_Toc21023"/>
      <w:bookmarkStart w:id="1459" w:name="_Toc16106"/>
      <w:bookmarkStart w:id="1460" w:name="_Toc29477"/>
      <w:bookmarkStart w:id="1461" w:name="_Toc10825"/>
      <w:bookmarkStart w:id="1462" w:name="_Toc28874"/>
      <w:bookmarkStart w:id="1463" w:name="_Toc4916"/>
      <w:bookmarkStart w:id="1464" w:name="_Toc23809"/>
      <w:bookmarkStart w:id="1465" w:name="_Toc11914"/>
      <w:bookmarkStart w:id="1466" w:name="_Toc18166"/>
      <w:bookmarkStart w:id="1467" w:name="_Toc28420"/>
      <w:bookmarkStart w:id="1468" w:name="_Toc27236"/>
      <w:r>
        <w:rPr>
          <w:rFonts w:cs="宋体"/>
          <w:b/>
          <w:bCs/>
          <w:color w:val="auto"/>
          <w:spacing w:val="0"/>
          <w:sz w:val="30"/>
          <w:szCs w:val="30"/>
          <w:highlight w:val="none"/>
          <w:lang w:eastAsia="zh-CN"/>
        </w:rPr>
        <w:t>第</w:t>
      </w:r>
      <w:r>
        <w:rPr>
          <w:rFonts w:hint="eastAsia" w:ascii="宋体" w:hAnsi="宋体" w:eastAsia="宋体" w:cs="宋体"/>
          <w:b/>
          <w:bCs/>
          <w:color w:val="auto"/>
          <w:spacing w:val="0"/>
          <w:sz w:val="30"/>
          <w:szCs w:val="30"/>
          <w:highlight w:val="none"/>
          <w:lang w:eastAsia="zh-CN"/>
        </w:rPr>
        <w:t>3</w:t>
      </w:r>
      <w:r>
        <w:rPr>
          <w:rFonts w:cs="宋体"/>
          <w:b/>
          <w:bCs/>
          <w:color w:val="auto"/>
          <w:spacing w:val="0"/>
          <w:sz w:val="30"/>
          <w:szCs w:val="30"/>
          <w:highlight w:val="none"/>
          <w:lang w:eastAsia="zh-CN"/>
        </w:rPr>
        <w:t>节</w:t>
      </w:r>
      <w:r>
        <w:rPr>
          <w:rFonts w:hint="eastAsia" w:cs="宋体"/>
          <w:b/>
          <w:bCs/>
          <w:color w:val="auto"/>
          <w:spacing w:val="0"/>
          <w:sz w:val="30"/>
          <w:szCs w:val="30"/>
          <w:highlight w:val="none"/>
          <w:lang w:val="en-US" w:eastAsia="zh-CN"/>
        </w:rPr>
        <w:t xml:space="preserve">  </w:t>
      </w:r>
      <w:r>
        <w:rPr>
          <w:rFonts w:cs="宋体"/>
          <w:b/>
          <w:bCs/>
          <w:color w:val="auto"/>
          <w:spacing w:val="0"/>
          <w:sz w:val="30"/>
          <w:szCs w:val="30"/>
          <w:highlight w:val="none"/>
          <w:lang w:eastAsia="zh-CN"/>
        </w:rPr>
        <w:t>合同附件格式</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2A50B0D4">
      <w:pPr>
        <w:pStyle w:val="4"/>
        <w:kinsoku/>
        <w:spacing w:before="0" w:beforeLines="0" w:afterLines="0"/>
        <w:ind w:left="21"/>
        <w:outlineLvl w:val="2"/>
        <w:rPr>
          <w:rFonts w:hint="eastAsia" w:cs="宋体"/>
          <w:bCs/>
          <w:color w:val="auto"/>
          <w:szCs w:val="24"/>
          <w:highlight w:val="none"/>
          <w:lang w:eastAsia="zh-CN"/>
        </w:rPr>
      </w:pPr>
      <w:bookmarkStart w:id="1469" w:name="_Toc15702"/>
      <w:bookmarkStart w:id="1470" w:name="_Toc4912"/>
      <w:bookmarkStart w:id="1471" w:name="_Toc30263"/>
      <w:bookmarkStart w:id="1472" w:name="_Toc13388"/>
      <w:r>
        <w:rPr>
          <w:rFonts w:hint="eastAsia" w:cs="宋体"/>
          <w:b/>
          <w:bCs/>
          <w:color w:val="auto"/>
          <w:spacing w:val="0"/>
          <w:sz w:val="24"/>
          <w:szCs w:val="24"/>
          <w:highlight w:val="none"/>
          <w:lang w:eastAsia="zh-CN"/>
        </w:rPr>
        <w:t>附件一　合同协议书</w:t>
      </w:r>
      <w:bookmarkEnd w:id="1469"/>
      <w:bookmarkEnd w:id="1470"/>
      <w:bookmarkEnd w:id="1471"/>
      <w:bookmarkEnd w:id="1472"/>
    </w:p>
    <w:p w14:paraId="0C1B12DB">
      <w:pPr>
        <w:kinsoku/>
        <w:spacing w:before="0" w:beforeLines="0" w:afterLines="0"/>
        <w:ind w:left="0" w:firstLine="422"/>
        <w:jc w:val="center"/>
        <w:rPr>
          <w:rFonts w:cs="宋体"/>
          <w:color w:val="auto"/>
          <w:szCs w:val="24"/>
          <w:highlight w:val="none"/>
          <w:lang w:eastAsia="zh-CN"/>
        </w:rPr>
      </w:pPr>
      <w:r>
        <w:rPr>
          <w:rFonts w:cs="宋体"/>
          <w:b/>
          <w:bCs/>
          <w:color w:val="auto"/>
          <w:spacing w:val="0"/>
          <w:szCs w:val="24"/>
          <w:highlight w:val="none"/>
          <w:lang w:eastAsia="zh-CN"/>
        </w:rPr>
        <w:t>合同协议书</w:t>
      </w:r>
    </w:p>
    <w:p w14:paraId="39E698CD">
      <w:pPr>
        <w:tabs>
          <w:tab w:val="left" w:pos="1788"/>
        </w:tabs>
        <w:kinsoku/>
        <w:spacing w:before="0" w:beforeLines="0" w:afterLines="0"/>
        <w:ind w:right="0" w:firstLine="420"/>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（发包人名称，以下简称“发包人”）为实施（项目名称），已接受（承包人名称，以下简称“承包人”）对（项目名称）（标段名称）的投标。发包人和承包人共同达成如下协议。</w:t>
      </w:r>
    </w:p>
    <w:p w14:paraId="5D2678C0">
      <w:pPr>
        <w:kinsoku/>
        <w:spacing w:before="0" w:beforeLines="0" w:afterLines="0"/>
        <w:ind w:left="0" w:firstLine="420"/>
        <w:rPr>
          <w:rFonts w:cs="宋体"/>
          <w:color w:val="auto"/>
          <w:szCs w:val="24"/>
          <w:highlight w:val="none"/>
          <w:lang w:eastAsia="zh-CN"/>
        </w:rPr>
      </w:pPr>
      <w:r>
        <w:rPr>
          <w:rFonts w:hint="eastAsia" w:ascii="宋体" w:hAnsi="宋体" w:eastAsia="宋体" w:cs="宋体"/>
          <w:color w:val="auto"/>
          <w:spacing w:val="0"/>
          <w:position w:val="0"/>
          <w:szCs w:val="24"/>
          <w:highlight w:val="none"/>
          <w:lang w:eastAsia="zh-CN"/>
        </w:rPr>
        <w:t>1</w:t>
      </w:r>
      <w:r>
        <w:rPr>
          <w:rFonts w:cs="宋体"/>
          <w:color w:val="auto"/>
          <w:spacing w:val="0"/>
          <w:position w:val="0"/>
          <w:szCs w:val="24"/>
          <w:highlight w:val="none"/>
          <w:lang w:eastAsia="zh-CN"/>
        </w:rPr>
        <w:t>．本协议书与下列文件一起构成合同文件：</w:t>
      </w:r>
    </w:p>
    <w:p w14:paraId="597FF884">
      <w:pPr>
        <w:kinsoku/>
        <w:spacing w:before="0" w:beforeLines="0" w:afterLines="0"/>
        <w:ind w:left="0" w:firstLine="420"/>
        <w:rPr>
          <w:rFonts w:cs="宋体"/>
          <w:color w:val="auto"/>
          <w:szCs w:val="24"/>
          <w:highlight w:val="none"/>
          <w:lang w:eastAsia="zh-CN"/>
        </w:rPr>
      </w:pPr>
      <w:r>
        <w:rPr>
          <w:rFonts w:cs="宋体"/>
          <w:color w:val="auto"/>
          <w:spacing w:val="0"/>
          <w:szCs w:val="24"/>
          <w:highlight w:val="none"/>
          <w:lang w:eastAsia="zh-CN"/>
        </w:rPr>
        <w:t>（</w:t>
      </w:r>
      <w:r>
        <w:rPr>
          <w:rFonts w:hint="eastAsia" w:ascii="宋体" w:hAnsi="宋体" w:eastAsia="宋体" w:cs="宋体"/>
          <w:color w:val="auto"/>
          <w:spacing w:val="0"/>
          <w:szCs w:val="24"/>
          <w:highlight w:val="none"/>
          <w:lang w:eastAsia="zh-CN"/>
        </w:rPr>
        <w:t>1</w:t>
      </w:r>
      <w:r>
        <w:rPr>
          <w:rFonts w:cs="宋体"/>
          <w:color w:val="auto"/>
          <w:spacing w:val="0"/>
          <w:szCs w:val="24"/>
          <w:highlight w:val="none"/>
          <w:lang w:eastAsia="zh-CN"/>
        </w:rPr>
        <w:t>）中标通知书。</w:t>
      </w:r>
    </w:p>
    <w:p w14:paraId="700506F8">
      <w:pPr>
        <w:kinsoku/>
        <w:spacing w:before="0" w:beforeLines="0" w:afterLines="0"/>
        <w:ind w:left="0" w:firstLine="420"/>
        <w:rPr>
          <w:rFonts w:cs="宋体"/>
          <w:color w:val="auto"/>
          <w:szCs w:val="24"/>
          <w:highlight w:val="none"/>
          <w:lang w:eastAsia="zh-CN"/>
        </w:rPr>
      </w:pPr>
      <w:r>
        <w:rPr>
          <w:rFonts w:cs="宋体"/>
          <w:color w:val="auto"/>
          <w:spacing w:val="0"/>
          <w:szCs w:val="24"/>
          <w:highlight w:val="none"/>
          <w:lang w:eastAsia="zh-CN"/>
        </w:rPr>
        <w:t>（</w:t>
      </w:r>
      <w:r>
        <w:rPr>
          <w:rFonts w:hint="eastAsia" w:ascii="宋体" w:hAnsi="宋体" w:eastAsia="宋体" w:cs="宋体"/>
          <w:color w:val="auto"/>
          <w:spacing w:val="0"/>
          <w:szCs w:val="24"/>
          <w:highlight w:val="none"/>
          <w:lang w:eastAsia="zh-CN"/>
        </w:rPr>
        <w:t>2</w:t>
      </w:r>
      <w:r>
        <w:rPr>
          <w:rFonts w:cs="宋体"/>
          <w:color w:val="auto"/>
          <w:spacing w:val="0"/>
          <w:szCs w:val="24"/>
          <w:highlight w:val="none"/>
          <w:lang w:eastAsia="zh-CN"/>
        </w:rPr>
        <w:t>） 投标函及投标函附录。</w:t>
      </w:r>
    </w:p>
    <w:p w14:paraId="062746C8">
      <w:pPr>
        <w:kinsoku/>
        <w:spacing w:before="0" w:beforeLines="0" w:afterLines="0"/>
        <w:ind w:left="0" w:firstLine="420"/>
        <w:rPr>
          <w:rFonts w:cs="宋体"/>
          <w:color w:val="auto"/>
          <w:szCs w:val="24"/>
          <w:highlight w:val="none"/>
          <w:lang w:eastAsia="zh-CN"/>
        </w:rPr>
      </w:pPr>
      <w:r>
        <w:rPr>
          <w:rFonts w:cs="宋体"/>
          <w:color w:val="auto"/>
          <w:spacing w:val="0"/>
          <w:position w:val="0"/>
          <w:szCs w:val="24"/>
          <w:highlight w:val="none"/>
          <w:lang w:eastAsia="zh-CN"/>
        </w:rPr>
        <w:t>（</w:t>
      </w:r>
      <w:r>
        <w:rPr>
          <w:rFonts w:hint="eastAsia" w:ascii="宋体" w:hAnsi="宋体" w:eastAsia="宋体" w:cs="宋体"/>
          <w:color w:val="auto"/>
          <w:spacing w:val="0"/>
          <w:position w:val="0"/>
          <w:szCs w:val="24"/>
          <w:highlight w:val="none"/>
          <w:lang w:eastAsia="zh-CN"/>
        </w:rPr>
        <w:t>3</w:t>
      </w:r>
      <w:r>
        <w:rPr>
          <w:rFonts w:cs="宋体"/>
          <w:color w:val="auto"/>
          <w:spacing w:val="0"/>
          <w:position w:val="0"/>
          <w:szCs w:val="24"/>
          <w:highlight w:val="none"/>
          <w:lang w:eastAsia="zh-CN"/>
        </w:rPr>
        <w:t>） 专用合同条款。</w:t>
      </w:r>
    </w:p>
    <w:p w14:paraId="51CABF91">
      <w:pPr>
        <w:kinsoku/>
        <w:spacing w:before="0" w:beforeLines="0" w:afterLines="0"/>
        <w:ind w:left="0" w:firstLine="420"/>
        <w:rPr>
          <w:rFonts w:cs="宋体"/>
          <w:color w:val="auto"/>
          <w:szCs w:val="24"/>
          <w:highlight w:val="none"/>
          <w:lang w:eastAsia="zh-CN"/>
        </w:rPr>
      </w:pPr>
      <w:r>
        <w:rPr>
          <w:rFonts w:cs="宋体"/>
          <w:color w:val="auto"/>
          <w:spacing w:val="0"/>
          <w:szCs w:val="24"/>
          <w:highlight w:val="none"/>
          <w:lang w:eastAsia="zh-CN"/>
        </w:rPr>
        <w:t>（</w:t>
      </w:r>
      <w:r>
        <w:rPr>
          <w:rFonts w:hint="eastAsia" w:ascii="宋体" w:hAnsi="宋体" w:eastAsia="宋体" w:cs="宋体"/>
          <w:color w:val="auto"/>
          <w:spacing w:val="0"/>
          <w:szCs w:val="24"/>
          <w:highlight w:val="none"/>
          <w:lang w:eastAsia="zh-CN"/>
        </w:rPr>
        <w:t>4</w:t>
      </w:r>
      <w:r>
        <w:rPr>
          <w:rFonts w:cs="宋体"/>
          <w:color w:val="auto"/>
          <w:spacing w:val="0"/>
          <w:szCs w:val="24"/>
          <w:highlight w:val="none"/>
          <w:lang w:eastAsia="zh-CN"/>
        </w:rPr>
        <w:t>） 通用合同条款。</w:t>
      </w:r>
    </w:p>
    <w:p w14:paraId="69118381">
      <w:pPr>
        <w:kinsoku/>
        <w:spacing w:before="0" w:beforeLines="0" w:afterLines="0"/>
        <w:ind w:left="0" w:firstLine="420"/>
        <w:rPr>
          <w:rFonts w:cs="宋体"/>
          <w:color w:val="auto"/>
          <w:szCs w:val="24"/>
          <w:highlight w:val="none"/>
          <w:lang w:eastAsia="zh-CN"/>
        </w:rPr>
      </w:pPr>
      <w:r>
        <w:rPr>
          <w:rFonts w:cs="宋体"/>
          <w:color w:val="auto"/>
          <w:spacing w:val="0"/>
          <w:position w:val="0"/>
          <w:szCs w:val="24"/>
          <w:highlight w:val="none"/>
          <w:lang w:eastAsia="zh-CN"/>
        </w:rPr>
        <w:t>（</w:t>
      </w:r>
      <w:r>
        <w:rPr>
          <w:rFonts w:hint="eastAsia" w:ascii="宋体" w:hAnsi="宋体" w:eastAsia="宋体" w:cs="宋体"/>
          <w:color w:val="auto"/>
          <w:spacing w:val="0"/>
          <w:position w:val="0"/>
          <w:szCs w:val="24"/>
          <w:highlight w:val="none"/>
          <w:lang w:eastAsia="zh-CN"/>
        </w:rPr>
        <w:t>5</w:t>
      </w:r>
      <w:r>
        <w:rPr>
          <w:rFonts w:cs="宋体"/>
          <w:color w:val="auto"/>
          <w:spacing w:val="0"/>
          <w:position w:val="0"/>
          <w:szCs w:val="24"/>
          <w:highlight w:val="none"/>
          <w:lang w:eastAsia="zh-CN"/>
        </w:rPr>
        <w:t>） 技术标准和要求（合同技术条款）。</w:t>
      </w:r>
    </w:p>
    <w:p w14:paraId="029FF0B2">
      <w:pPr>
        <w:kinsoku/>
        <w:spacing w:before="0" w:beforeLines="0" w:afterLines="0"/>
        <w:ind w:left="0" w:firstLine="420"/>
        <w:rPr>
          <w:rFonts w:cs="宋体"/>
          <w:color w:val="auto"/>
          <w:szCs w:val="24"/>
          <w:highlight w:val="none"/>
          <w:lang w:eastAsia="zh-CN"/>
        </w:rPr>
      </w:pPr>
      <w:r>
        <w:rPr>
          <w:rFonts w:cs="宋体"/>
          <w:color w:val="auto"/>
          <w:spacing w:val="0"/>
          <w:szCs w:val="24"/>
          <w:highlight w:val="none"/>
          <w:lang w:eastAsia="zh-CN"/>
        </w:rPr>
        <w:t>（</w:t>
      </w:r>
      <w:r>
        <w:rPr>
          <w:rFonts w:hint="eastAsia" w:ascii="宋体" w:hAnsi="宋体" w:eastAsia="宋体" w:cs="宋体"/>
          <w:color w:val="auto"/>
          <w:spacing w:val="0"/>
          <w:szCs w:val="24"/>
          <w:highlight w:val="none"/>
          <w:lang w:eastAsia="zh-CN"/>
        </w:rPr>
        <w:t>6</w:t>
      </w:r>
      <w:r>
        <w:rPr>
          <w:rFonts w:cs="宋体"/>
          <w:color w:val="auto"/>
          <w:spacing w:val="0"/>
          <w:szCs w:val="24"/>
          <w:highlight w:val="none"/>
          <w:lang w:eastAsia="zh-CN"/>
        </w:rPr>
        <w:t>）图纸。</w:t>
      </w:r>
    </w:p>
    <w:p w14:paraId="7F8A84C3">
      <w:pPr>
        <w:kinsoku/>
        <w:spacing w:before="0" w:beforeLines="0" w:afterLines="0"/>
        <w:ind w:left="0" w:firstLine="420"/>
        <w:rPr>
          <w:rFonts w:cs="宋体"/>
          <w:color w:val="auto"/>
          <w:szCs w:val="24"/>
          <w:highlight w:val="none"/>
          <w:lang w:eastAsia="zh-CN"/>
        </w:rPr>
      </w:pPr>
      <w:r>
        <w:rPr>
          <w:rFonts w:cs="宋体"/>
          <w:color w:val="auto"/>
          <w:spacing w:val="0"/>
          <w:position w:val="0"/>
          <w:szCs w:val="24"/>
          <w:highlight w:val="none"/>
          <w:lang w:eastAsia="zh-CN"/>
        </w:rPr>
        <w:t>（</w:t>
      </w:r>
      <w:r>
        <w:rPr>
          <w:rFonts w:hint="eastAsia" w:ascii="宋体" w:hAnsi="宋体" w:eastAsia="宋体" w:cs="宋体"/>
          <w:color w:val="auto"/>
          <w:spacing w:val="0"/>
          <w:position w:val="0"/>
          <w:szCs w:val="24"/>
          <w:highlight w:val="none"/>
          <w:lang w:eastAsia="zh-CN"/>
        </w:rPr>
        <w:t>7</w:t>
      </w:r>
      <w:r>
        <w:rPr>
          <w:rFonts w:cs="宋体"/>
          <w:color w:val="auto"/>
          <w:spacing w:val="0"/>
          <w:position w:val="0"/>
          <w:szCs w:val="24"/>
          <w:highlight w:val="none"/>
          <w:lang w:eastAsia="zh-CN"/>
        </w:rPr>
        <w:t>）已标价工程量清单。</w:t>
      </w:r>
    </w:p>
    <w:p w14:paraId="770E2F9B">
      <w:pPr>
        <w:kinsoku/>
        <w:spacing w:before="0" w:beforeLines="0" w:afterLines="0"/>
        <w:ind w:left="0" w:firstLine="420"/>
        <w:rPr>
          <w:rFonts w:cs="宋体"/>
          <w:color w:val="auto"/>
          <w:szCs w:val="24"/>
          <w:highlight w:val="none"/>
          <w:lang w:eastAsia="zh-CN"/>
        </w:rPr>
      </w:pPr>
      <w:r>
        <w:rPr>
          <w:rFonts w:cs="宋体"/>
          <w:color w:val="auto"/>
          <w:spacing w:val="0"/>
          <w:szCs w:val="24"/>
          <w:highlight w:val="none"/>
          <w:lang w:eastAsia="zh-CN"/>
        </w:rPr>
        <w:t>（</w:t>
      </w:r>
      <w:r>
        <w:rPr>
          <w:rFonts w:hint="eastAsia" w:ascii="宋体" w:hAnsi="宋体" w:eastAsia="宋体" w:cs="宋体"/>
          <w:color w:val="auto"/>
          <w:spacing w:val="0"/>
          <w:szCs w:val="24"/>
          <w:highlight w:val="none"/>
          <w:lang w:eastAsia="zh-CN"/>
        </w:rPr>
        <w:t>8</w:t>
      </w:r>
      <w:r>
        <w:rPr>
          <w:rFonts w:cs="宋体"/>
          <w:color w:val="auto"/>
          <w:spacing w:val="0"/>
          <w:szCs w:val="24"/>
          <w:highlight w:val="none"/>
          <w:lang w:eastAsia="zh-CN"/>
        </w:rPr>
        <w:t>） 其它合同文件。</w:t>
      </w:r>
    </w:p>
    <w:p w14:paraId="0740024A">
      <w:pPr>
        <w:kinsoku/>
        <w:spacing w:before="0" w:beforeLines="0" w:afterLines="0"/>
        <w:ind w:firstLine="420"/>
        <w:rPr>
          <w:rFonts w:cs="宋体"/>
          <w:color w:val="auto"/>
          <w:szCs w:val="24"/>
          <w:highlight w:val="none"/>
          <w:lang w:eastAsia="zh-CN"/>
        </w:rPr>
      </w:pPr>
      <w:r>
        <w:rPr>
          <w:rFonts w:hint="eastAsia" w:ascii="宋体" w:hAnsi="宋体" w:eastAsia="宋体" w:cs="宋体"/>
          <w:color w:val="auto"/>
          <w:position w:val="0"/>
          <w:szCs w:val="24"/>
          <w:highlight w:val="none"/>
          <w:lang w:eastAsia="zh-CN"/>
        </w:rPr>
        <w:t>2</w:t>
      </w:r>
      <w:r>
        <w:rPr>
          <w:rFonts w:cs="宋体"/>
          <w:color w:val="auto"/>
          <w:position w:val="0"/>
          <w:szCs w:val="24"/>
          <w:highlight w:val="none"/>
          <w:lang w:eastAsia="zh-CN"/>
        </w:rPr>
        <w:t>．上述文件互相补充和解释，如有不明确或不一致之处，以合同约定次序在先</w:t>
      </w:r>
      <w:r>
        <w:rPr>
          <w:rFonts w:cs="宋体"/>
          <w:color w:val="auto"/>
          <w:spacing w:val="0"/>
          <w:szCs w:val="24"/>
          <w:highlight w:val="none"/>
          <w:lang w:eastAsia="zh-CN"/>
        </w:rPr>
        <w:t>者为准。</w:t>
      </w:r>
    </w:p>
    <w:p w14:paraId="1C910D4D">
      <w:pPr>
        <w:kinsoku/>
        <w:spacing w:before="0" w:beforeLines="0" w:afterLines="0"/>
        <w:ind w:right="0" w:firstLine="420"/>
        <w:rPr>
          <w:rFonts w:cs="宋体"/>
          <w:color w:val="auto"/>
          <w:szCs w:val="24"/>
          <w:highlight w:val="none"/>
          <w:lang w:eastAsia="zh-CN"/>
        </w:rPr>
      </w:pPr>
      <w:r>
        <w:rPr>
          <w:rFonts w:hint="eastAsia" w:ascii="宋体" w:hAnsi="宋体" w:eastAsia="宋体" w:cs="宋体"/>
          <w:color w:val="auto"/>
          <w:spacing w:val="0"/>
          <w:szCs w:val="24"/>
          <w:highlight w:val="none"/>
          <w:lang w:eastAsia="zh-CN"/>
        </w:rPr>
        <w:t>3</w:t>
      </w:r>
      <w:r>
        <w:rPr>
          <w:rFonts w:cs="宋体"/>
          <w:color w:val="auto"/>
          <w:spacing w:val="0"/>
          <w:szCs w:val="24"/>
          <w:highlight w:val="none"/>
          <w:lang w:eastAsia="zh-CN"/>
        </w:rPr>
        <w:t>．签约合同价： 人民币（大写）元（￥）。</w:t>
      </w:r>
    </w:p>
    <w:p w14:paraId="19F3C205">
      <w:pPr>
        <w:kinsoku/>
        <w:spacing w:before="0" w:beforeLines="0" w:afterLines="0"/>
        <w:ind w:left="0" w:firstLine="420"/>
        <w:rPr>
          <w:rFonts w:cs="宋体"/>
          <w:color w:val="auto"/>
          <w:szCs w:val="24"/>
          <w:highlight w:val="none"/>
          <w:lang w:eastAsia="zh-CN"/>
        </w:rPr>
      </w:pPr>
      <w:r>
        <w:rPr>
          <w:rFonts w:hint="eastAsia" w:ascii="宋体" w:hAnsi="宋体" w:eastAsia="宋体" w:cs="宋体"/>
          <w:color w:val="auto"/>
          <w:spacing w:val="0"/>
          <w:szCs w:val="24"/>
          <w:highlight w:val="none"/>
          <w:lang w:eastAsia="zh-CN"/>
        </w:rPr>
        <w:t>4</w:t>
      </w:r>
      <w:r>
        <w:rPr>
          <w:rFonts w:cs="宋体"/>
          <w:color w:val="auto"/>
          <w:spacing w:val="0"/>
          <w:szCs w:val="24"/>
          <w:highlight w:val="none"/>
          <w:lang w:eastAsia="zh-CN"/>
        </w:rPr>
        <w:t>．承包人项目负责人：，项目技术负责人：。</w:t>
      </w:r>
    </w:p>
    <w:p w14:paraId="5DE88C6F">
      <w:pPr>
        <w:kinsoku/>
        <w:spacing w:before="0" w:beforeLines="0" w:afterLines="0"/>
        <w:ind w:left="0" w:firstLine="420"/>
        <w:rPr>
          <w:rFonts w:cs="宋体"/>
          <w:color w:val="auto"/>
          <w:szCs w:val="24"/>
          <w:highlight w:val="none"/>
          <w:lang w:eastAsia="zh-CN"/>
        </w:rPr>
      </w:pPr>
      <w:r>
        <w:rPr>
          <w:rFonts w:hint="eastAsia" w:ascii="宋体" w:hAnsi="宋体" w:eastAsia="宋体" w:cs="宋体"/>
          <w:color w:val="auto"/>
          <w:spacing w:val="0"/>
          <w:szCs w:val="24"/>
          <w:highlight w:val="none"/>
          <w:lang w:eastAsia="zh-CN"/>
        </w:rPr>
        <w:t>5</w:t>
      </w:r>
      <w:r>
        <w:rPr>
          <w:rFonts w:cs="宋体"/>
          <w:color w:val="auto"/>
          <w:spacing w:val="0"/>
          <w:szCs w:val="24"/>
          <w:highlight w:val="none"/>
          <w:lang w:eastAsia="zh-CN"/>
        </w:rPr>
        <w:t>．工程质量符合标准。</w:t>
      </w:r>
    </w:p>
    <w:p w14:paraId="70D87F7D">
      <w:pPr>
        <w:kinsoku/>
        <w:spacing w:before="0" w:beforeLines="0" w:afterLines="0"/>
        <w:ind w:left="0" w:firstLine="420"/>
        <w:rPr>
          <w:rFonts w:cs="宋体"/>
          <w:color w:val="auto"/>
          <w:szCs w:val="24"/>
          <w:highlight w:val="none"/>
          <w:lang w:eastAsia="zh-CN"/>
        </w:rPr>
      </w:pPr>
      <w:r>
        <w:rPr>
          <w:rFonts w:hint="eastAsia" w:ascii="宋体" w:hAnsi="宋体" w:eastAsia="宋体" w:cs="宋体"/>
          <w:color w:val="auto"/>
          <w:spacing w:val="0"/>
          <w:szCs w:val="24"/>
          <w:highlight w:val="none"/>
          <w:lang w:eastAsia="zh-CN"/>
        </w:rPr>
        <w:t>6</w:t>
      </w:r>
      <w:r>
        <w:rPr>
          <w:rFonts w:cs="宋体"/>
          <w:color w:val="auto"/>
          <w:spacing w:val="0"/>
          <w:szCs w:val="24"/>
          <w:highlight w:val="none"/>
          <w:lang w:eastAsia="zh-CN"/>
        </w:rPr>
        <w:t>．承包人承诺按合同约定承担工程的实施、完成及缺陷修复。</w:t>
      </w:r>
    </w:p>
    <w:p w14:paraId="02A5A4CA">
      <w:pPr>
        <w:kinsoku/>
        <w:spacing w:before="0" w:beforeLines="0" w:afterLines="0"/>
        <w:ind w:left="0" w:firstLine="420"/>
        <w:rPr>
          <w:rFonts w:cs="宋体"/>
          <w:color w:val="auto"/>
          <w:szCs w:val="24"/>
          <w:highlight w:val="none"/>
          <w:lang w:eastAsia="zh-CN"/>
        </w:rPr>
      </w:pPr>
      <w:r>
        <w:rPr>
          <w:rFonts w:hint="eastAsia" w:ascii="宋体" w:hAnsi="宋体" w:eastAsia="宋体" w:cs="宋体"/>
          <w:color w:val="auto"/>
          <w:spacing w:val="0"/>
          <w:position w:val="0"/>
          <w:szCs w:val="24"/>
          <w:highlight w:val="none"/>
          <w:lang w:eastAsia="zh-CN"/>
        </w:rPr>
        <w:t>7</w:t>
      </w:r>
      <w:r>
        <w:rPr>
          <w:rFonts w:cs="宋体"/>
          <w:color w:val="auto"/>
          <w:spacing w:val="0"/>
          <w:position w:val="0"/>
          <w:szCs w:val="24"/>
          <w:highlight w:val="none"/>
          <w:lang w:eastAsia="zh-CN"/>
        </w:rPr>
        <w:t>．发包人承诺按合同约定的条件、时间和方式向承包人支付合同价款。</w:t>
      </w:r>
    </w:p>
    <w:p w14:paraId="6D22CFDE">
      <w:pPr>
        <w:kinsoku/>
        <w:spacing w:beforeLines="0" w:afterLines="0"/>
        <w:ind w:left="0" w:firstLine="420"/>
        <w:rPr>
          <w:rFonts w:cs="宋体"/>
          <w:color w:val="auto"/>
          <w:szCs w:val="24"/>
          <w:highlight w:val="none"/>
          <w:lang w:eastAsia="zh-CN"/>
        </w:rPr>
      </w:pPr>
      <w:r>
        <w:rPr>
          <w:rFonts w:hint="eastAsia" w:ascii="宋体" w:hAnsi="宋体" w:eastAsia="宋体" w:cs="宋体"/>
          <w:color w:val="auto"/>
          <w:spacing w:val="0"/>
          <w:szCs w:val="24"/>
          <w:highlight w:val="none"/>
          <w:lang w:eastAsia="zh-CN"/>
        </w:rPr>
        <w:t>8</w:t>
      </w:r>
      <w:r>
        <w:rPr>
          <w:rFonts w:cs="宋体"/>
          <w:color w:val="auto"/>
          <w:spacing w:val="0"/>
          <w:szCs w:val="24"/>
          <w:highlight w:val="none"/>
          <w:lang w:eastAsia="zh-CN"/>
        </w:rPr>
        <w:t>．承包人承诺执行监理人开工通知，计划工期为个月</w:t>
      </w:r>
      <w:r>
        <w:rPr>
          <w:rFonts w:hint="eastAsia" w:ascii="宋体" w:hAnsi="宋体" w:eastAsia="宋体" w:cs="宋体"/>
          <w:color w:val="auto"/>
          <w:spacing w:val="0"/>
          <w:szCs w:val="24"/>
          <w:highlight w:val="none"/>
          <w:lang w:eastAsia="zh-CN"/>
        </w:rPr>
        <w:t xml:space="preserve">（日历天） </w:t>
      </w:r>
      <w:r>
        <w:rPr>
          <w:rFonts w:cs="宋体"/>
          <w:color w:val="auto"/>
          <w:spacing w:val="0"/>
          <w:szCs w:val="24"/>
          <w:highlight w:val="none"/>
          <w:lang w:eastAsia="zh-CN"/>
        </w:rPr>
        <w:t>。</w:t>
      </w:r>
    </w:p>
    <w:p w14:paraId="05470187">
      <w:pPr>
        <w:kinsoku/>
        <w:spacing w:beforeLines="0" w:afterLines="0"/>
        <w:ind w:left="0" w:firstLine="420"/>
        <w:rPr>
          <w:rFonts w:hint="eastAsia" w:ascii="宋体" w:hAnsi="宋体" w:eastAsia="宋体" w:cs="宋体"/>
          <w:color w:val="auto"/>
          <w:spacing w:val="0"/>
          <w:szCs w:val="24"/>
          <w:highlight w:val="none"/>
          <w:lang w:eastAsia="zh-CN"/>
        </w:rPr>
      </w:pPr>
      <w:r>
        <w:rPr>
          <w:rFonts w:hint="eastAsia" w:ascii="宋体" w:hAnsi="宋体" w:eastAsia="宋体" w:cs="宋体"/>
          <w:color w:val="auto"/>
          <w:spacing w:val="0"/>
          <w:szCs w:val="24"/>
          <w:highlight w:val="none"/>
          <w:lang w:eastAsia="zh-CN"/>
        </w:rPr>
        <w:t>9．本协议书正本一式 贰 份，合同双方各执壹份，副本份，双方各执份。</w:t>
      </w:r>
    </w:p>
    <w:p w14:paraId="6FC693AA">
      <w:pPr>
        <w:kinsoku/>
        <w:spacing w:beforeLines="0" w:afterLines="0"/>
        <w:ind w:left="0" w:firstLine="420"/>
        <w:rPr>
          <w:rFonts w:hint="eastAsia" w:ascii="宋体" w:hAnsi="宋体" w:eastAsia="宋体" w:cs="宋体"/>
          <w:color w:val="auto"/>
          <w:spacing w:val="0"/>
          <w:szCs w:val="24"/>
          <w:highlight w:val="none"/>
          <w:lang w:eastAsia="zh-CN"/>
        </w:rPr>
      </w:pPr>
      <w:r>
        <w:rPr>
          <w:rFonts w:hint="eastAsia" w:ascii="宋体" w:hAnsi="宋体" w:eastAsia="宋体" w:cs="宋体"/>
          <w:color w:val="auto"/>
          <w:spacing w:val="0"/>
          <w:szCs w:val="24"/>
          <w:highlight w:val="none"/>
          <w:lang w:eastAsia="zh-CN"/>
        </w:rPr>
        <w:t>10．合同未尽事宜，双方另行签订补充协议。补充协议是合同的组成部分。</w:t>
      </w:r>
    </w:p>
    <w:p w14:paraId="699BAAA8">
      <w:pPr>
        <w:pStyle w:val="7"/>
        <w:kinsoku/>
        <w:spacing w:beforeLines="0" w:afterLines="0"/>
        <w:ind w:firstLine="420"/>
        <w:jc w:val="left"/>
        <w:rPr>
          <w:color w:val="auto"/>
          <w:highlight w:val="none"/>
          <w:lang w:eastAsia="zh-CN"/>
        </w:rPr>
      </w:pPr>
    </w:p>
    <w:p w14:paraId="286D8018">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发  包  人：</w:t>
      </w:r>
      <w:r>
        <w:rPr>
          <w:rFonts w:cs="宋体"/>
          <w:color w:val="auto"/>
          <w:spacing w:val="0"/>
          <w:szCs w:val="24"/>
          <w:highlight w:val="none"/>
          <w:u w:val="single"/>
          <w:lang w:eastAsia="zh-CN"/>
        </w:rPr>
        <w:t>（盖单位章）</w:t>
      </w:r>
      <w:r>
        <w:rPr>
          <w:rFonts w:cs="宋体"/>
          <w:color w:val="auto"/>
          <w:spacing w:val="0"/>
          <w:szCs w:val="24"/>
          <w:highlight w:val="none"/>
          <w:lang w:eastAsia="zh-CN"/>
        </w:rPr>
        <w:t xml:space="preserve">     </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 xml:space="preserve">  </w:t>
      </w:r>
      <w:r>
        <w:rPr>
          <w:rFonts w:hint="eastAsia" w:cs="宋体"/>
          <w:color w:val="auto"/>
          <w:spacing w:val="0"/>
          <w:szCs w:val="24"/>
          <w:highlight w:val="none"/>
          <w:lang w:val="en-US" w:eastAsia="zh-CN"/>
        </w:rPr>
        <w:tab/>
      </w:r>
      <w:r>
        <w:rPr>
          <w:rFonts w:cs="宋体"/>
          <w:color w:val="auto"/>
          <w:spacing w:val="0"/>
          <w:szCs w:val="24"/>
          <w:highlight w:val="none"/>
          <w:lang w:eastAsia="zh-CN"/>
        </w:rPr>
        <w:t>承  包  人：</w:t>
      </w:r>
      <w:r>
        <w:rPr>
          <w:rFonts w:cs="宋体"/>
          <w:color w:val="auto"/>
          <w:spacing w:val="0"/>
          <w:szCs w:val="24"/>
          <w:highlight w:val="none"/>
          <w:u w:val="single"/>
          <w:lang w:eastAsia="zh-CN"/>
        </w:rPr>
        <w:t>（盖单位章）</w:t>
      </w:r>
    </w:p>
    <w:p w14:paraId="0CD73877">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法定代表人或其委托代理人：</w:t>
      </w:r>
      <w:r>
        <w:rPr>
          <w:rFonts w:cs="宋体"/>
          <w:color w:val="auto"/>
          <w:spacing w:val="0"/>
          <w:szCs w:val="24"/>
          <w:highlight w:val="none"/>
          <w:u w:val="single"/>
          <w:lang w:eastAsia="zh-CN"/>
        </w:rPr>
        <w:t>（签字）</w:t>
      </w:r>
      <w:r>
        <w:rPr>
          <w:rFonts w:cs="宋体"/>
          <w:color w:val="auto"/>
          <w:spacing w:val="0"/>
          <w:szCs w:val="24"/>
          <w:highlight w:val="none"/>
          <w:lang w:eastAsia="zh-CN"/>
        </w:rPr>
        <w:t xml:space="preserve">   </w:t>
      </w:r>
      <w:r>
        <w:rPr>
          <w:rFonts w:hint="eastAsia" w:cs="宋体"/>
          <w:color w:val="auto"/>
          <w:spacing w:val="0"/>
          <w:szCs w:val="24"/>
          <w:highlight w:val="none"/>
          <w:lang w:val="en-US" w:eastAsia="zh-CN"/>
        </w:rPr>
        <w:tab/>
      </w:r>
      <w:r>
        <w:rPr>
          <w:rFonts w:cs="宋体"/>
          <w:color w:val="auto"/>
          <w:spacing w:val="0"/>
          <w:szCs w:val="24"/>
          <w:highlight w:val="none"/>
          <w:lang w:eastAsia="zh-CN"/>
        </w:rPr>
        <w:t>法定代表人或其委托代理人：</w:t>
      </w:r>
      <w:r>
        <w:rPr>
          <w:rFonts w:cs="宋体"/>
          <w:color w:val="auto"/>
          <w:spacing w:val="0"/>
          <w:szCs w:val="24"/>
          <w:highlight w:val="none"/>
          <w:u w:val="single"/>
          <w:lang w:eastAsia="zh-CN"/>
        </w:rPr>
        <w:t>（签字）</w:t>
      </w:r>
    </w:p>
    <w:p w14:paraId="7E273B79">
      <w:pPr>
        <w:tabs>
          <w:tab w:val="left" w:pos="1428"/>
        </w:tabs>
        <w:kinsoku/>
        <w:spacing w:before="0" w:beforeLines="0" w:afterLines="0"/>
        <w:ind w:left="0" w:firstLine="420"/>
        <w:jc w:val="left"/>
        <w:rPr>
          <w:rFonts w:cs="宋体"/>
          <w:color w:val="auto"/>
          <w:szCs w:val="24"/>
          <w:highlight w:val="none"/>
          <w:lang w:eastAsia="zh-CN"/>
        </w:rPr>
      </w:pP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 xml:space="preserve">年 </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 xml:space="preserve"> 月  </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 xml:space="preserve"> 日                               年    月       日</w:t>
      </w:r>
    </w:p>
    <w:p w14:paraId="783B211E">
      <w:pPr>
        <w:pStyle w:val="4"/>
        <w:kinsoku/>
        <w:spacing w:beforeLines="0" w:afterLines="0"/>
        <w:rPr>
          <w:rFonts w:hint="eastAsia" w:cs="宋体"/>
          <w:bCs/>
          <w:color w:val="auto"/>
          <w:szCs w:val="24"/>
          <w:highlight w:val="none"/>
        </w:rPr>
      </w:pPr>
      <w:bookmarkStart w:id="1473" w:name="bookmark96"/>
      <w:bookmarkEnd w:id="1473"/>
      <w:bookmarkStart w:id="1474" w:name="_Toc25861"/>
      <w:bookmarkStart w:id="1475" w:name="_Toc15176"/>
      <w:bookmarkStart w:id="1476" w:name="_Toc13566"/>
      <w:bookmarkStart w:id="1477" w:name="_Toc21259"/>
      <w:r>
        <w:rPr>
          <w:rFonts w:hint="eastAsia" w:cs="宋体"/>
          <w:bCs/>
          <w:color w:val="auto"/>
          <w:szCs w:val="24"/>
          <w:highlight w:val="none"/>
        </w:rPr>
        <w:t>附件二</w:t>
      </w:r>
      <w:r>
        <w:rPr>
          <w:rFonts w:hint="eastAsia" w:cs="宋体"/>
          <w:bCs/>
          <w:color w:val="auto"/>
          <w:szCs w:val="24"/>
          <w:highlight w:val="none"/>
          <w:lang w:eastAsia="zh-CN"/>
        </w:rPr>
        <w:t>　</w:t>
      </w:r>
      <w:r>
        <w:rPr>
          <w:rFonts w:hint="eastAsia" w:cs="宋体"/>
          <w:bCs/>
          <w:color w:val="auto"/>
          <w:szCs w:val="24"/>
          <w:highlight w:val="none"/>
        </w:rPr>
        <w:t>履约担保（格式）</w:t>
      </w:r>
      <w:bookmarkEnd w:id="1474"/>
      <w:bookmarkEnd w:id="1475"/>
      <w:bookmarkEnd w:id="1476"/>
      <w:bookmarkEnd w:id="1477"/>
    </w:p>
    <w:p w14:paraId="5D9E31CC">
      <w:pPr>
        <w:pStyle w:val="4"/>
        <w:kinsoku/>
        <w:spacing w:before="0" w:beforeLines="0" w:afterLines="0"/>
        <w:ind w:left="3925"/>
        <w:jc w:val="center"/>
        <w:rPr>
          <w:rFonts w:hint="eastAsia" w:cs="宋体"/>
          <w:bCs/>
          <w:color w:val="auto"/>
          <w:szCs w:val="24"/>
          <w:highlight w:val="none"/>
          <w:lang w:eastAsia="zh-CN"/>
        </w:rPr>
      </w:pPr>
      <w:bookmarkStart w:id="1478" w:name="_Toc16626"/>
      <w:bookmarkStart w:id="1479" w:name="_Toc3505"/>
      <w:bookmarkStart w:id="1480" w:name="_Toc20186"/>
      <w:r>
        <w:rPr>
          <w:rFonts w:hint="eastAsia" w:cs="宋体"/>
          <w:b/>
          <w:bCs/>
          <w:color w:val="auto"/>
          <w:spacing w:val="0"/>
          <w:szCs w:val="24"/>
          <w:highlight w:val="none"/>
          <w:lang w:eastAsia="zh-CN"/>
        </w:rPr>
        <w:t>履约担保</w:t>
      </w:r>
      <w:bookmarkEnd w:id="1478"/>
      <w:bookmarkEnd w:id="1479"/>
      <w:bookmarkEnd w:id="1480"/>
    </w:p>
    <w:p w14:paraId="4071E1B6">
      <w:pPr>
        <w:pStyle w:val="7"/>
        <w:kinsoku/>
        <w:spacing w:beforeLines="0" w:afterLines="0"/>
        <w:ind w:firstLine="420"/>
        <w:jc w:val="left"/>
        <w:rPr>
          <w:color w:val="auto"/>
          <w:highlight w:val="none"/>
          <w:lang w:eastAsia="zh-CN"/>
        </w:rPr>
      </w:pPr>
    </w:p>
    <w:p w14:paraId="66B291BA">
      <w:pPr>
        <w:tabs>
          <w:tab w:val="left" w:pos="2520"/>
        </w:tabs>
        <w:kinsoku/>
        <w:spacing w:before="0" w:beforeLines="0" w:afterLines="0"/>
        <w:ind w:firstLine="0" w:firstLineChars="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（发包人名称）：</w:t>
      </w:r>
    </w:p>
    <w:p w14:paraId="7C682A4F">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鉴于（发包人名称，以下简称“发包人”）接受（承包人名称，以下称“承包人”）于年月日递交的（项目名称）（标段名称）的投标文件。我方愿意无条件地、不可撤销地就承包人履行与你方订立的合同，向你方提供担保。</w:t>
      </w:r>
    </w:p>
    <w:p w14:paraId="260474D6">
      <w:pPr>
        <w:kinsoku/>
        <w:spacing w:before="0" w:beforeLines="0" w:afterLines="0"/>
        <w:ind w:left="0" w:firstLine="420"/>
        <w:jc w:val="left"/>
        <w:rPr>
          <w:rFonts w:cs="宋体"/>
          <w:color w:val="auto"/>
          <w:szCs w:val="24"/>
          <w:highlight w:val="none"/>
          <w:lang w:eastAsia="zh-CN"/>
        </w:rPr>
      </w:pPr>
      <w:r>
        <w:rPr>
          <w:rFonts w:hint="eastAsia" w:ascii="宋体" w:hAnsi="宋体" w:eastAsia="宋体" w:cs="宋体"/>
          <w:color w:val="auto"/>
          <w:spacing w:val="0"/>
          <w:szCs w:val="24"/>
          <w:highlight w:val="none"/>
          <w:lang w:eastAsia="zh-CN"/>
        </w:rPr>
        <w:t>1</w:t>
      </w:r>
      <w:r>
        <w:rPr>
          <w:rFonts w:cs="宋体"/>
          <w:color w:val="auto"/>
          <w:spacing w:val="0"/>
          <w:szCs w:val="24"/>
          <w:highlight w:val="none"/>
          <w:lang w:eastAsia="zh-CN"/>
        </w:rPr>
        <w:t>．担保金额人民币（大写） 元（￥）。</w:t>
      </w:r>
    </w:p>
    <w:p w14:paraId="59CBDC52">
      <w:pPr>
        <w:kinsoku/>
        <w:spacing w:before="0" w:beforeLines="0" w:afterLines="0"/>
        <w:ind w:left="0" w:firstLine="420"/>
        <w:jc w:val="left"/>
        <w:rPr>
          <w:rFonts w:cs="宋体"/>
          <w:color w:val="auto"/>
          <w:szCs w:val="24"/>
          <w:highlight w:val="none"/>
          <w:lang w:eastAsia="zh-CN"/>
        </w:rPr>
      </w:pPr>
      <w:r>
        <w:rPr>
          <w:rFonts w:hint="eastAsia" w:ascii="宋体" w:hAnsi="宋体" w:eastAsia="宋体" w:cs="宋体"/>
          <w:color w:val="auto"/>
          <w:position w:val="0"/>
          <w:szCs w:val="24"/>
          <w:highlight w:val="none"/>
          <w:lang w:eastAsia="zh-CN"/>
        </w:rPr>
        <w:t>2</w:t>
      </w:r>
      <w:r>
        <w:rPr>
          <w:rFonts w:cs="宋体"/>
          <w:color w:val="auto"/>
          <w:position w:val="0"/>
          <w:szCs w:val="24"/>
          <w:highlight w:val="none"/>
          <w:lang w:eastAsia="zh-CN"/>
        </w:rPr>
        <w:t>．担保有效期自发包人与承包人签订的合同生效之日起至发包人签发合同工程</w:t>
      </w:r>
      <w:r>
        <w:rPr>
          <w:rFonts w:cs="宋体"/>
          <w:color w:val="auto"/>
          <w:spacing w:val="0"/>
          <w:szCs w:val="24"/>
          <w:highlight w:val="none"/>
          <w:lang w:eastAsia="zh-CN"/>
        </w:rPr>
        <w:t>完工证书之日止。</w:t>
      </w:r>
    </w:p>
    <w:p w14:paraId="3F0DBC21">
      <w:pPr>
        <w:kinsoku/>
        <w:spacing w:before="0" w:beforeLines="0" w:afterLines="0"/>
        <w:ind w:left="0" w:firstLine="420"/>
        <w:jc w:val="left"/>
        <w:rPr>
          <w:rFonts w:cs="宋体"/>
          <w:color w:val="auto"/>
          <w:spacing w:val="0"/>
          <w:szCs w:val="24"/>
          <w:highlight w:val="none"/>
          <w:lang w:eastAsia="zh-CN"/>
        </w:rPr>
      </w:pPr>
      <w:r>
        <w:rPr>
          <w:rFonts w:hint="eastAsia" w:ascii="宋体" w:hAnsi="宋体" w:eastAsia="宋体" w:cs="宋体"/>
          <w:color w:val="auto"/>
          <w:spacing w:val="0"/>
          <w:szCs w:val="24"/>
          <w:highlight w:val="none"/>
          <w:lang w:eastAsia="zh-CN"/>
        </w:rPr>
        <w:t>3</w:t>
      </w:r>
      <w:r>
        <w:rPr>
          <w:rFonts w:cs="宋体"/>
          <w:color w:val="auto"/>
          <w:spacing w:val="0"/>
          <w:szCs w:val="24"/>
          <w:highlight w:val="none"/>
          <w:lang w:eastAsia="zh-CN"/>
        </w:rPr>
        <w:t>．在本担保有效期内，因承包人违反合同约定的义务给你方造成经济损失时，</w:t>
      </w:r>
      <w:r>
        <w:rPr>
          <w:rFonts w:cs="宋体"/>
          <w:color w:val="auto"/>
          <w:szCs w:val="24"/>
          <w:highlight w:val="none"/>
          <w:lang w:eastAsia="zh-CN"/>
        </w:rPr>
        <w:t>我方在收到你方以书面形式提出的在担保金额内的赔偿要求后，无条件地在</w:t>
      </w:r>
      <w:r>
        <w:rPr>
          <w:rFonts w:hint="eastAsia" w:ascii="宋体" w:hAnsi="宋体" w:eastAsia="宋体" w:cs="宋体"/>
          <w:color w:val="auto"/>
          <w:szCs w:val="24"/>
          <w:highlight w:val="none"/>
          <w:lang w:eastAsia="zh-CN"/>
        </w:rPr>
        <w:t>7</w:t>
      </w:r>
      <w:r>
        <w:rPr>
          <w:rFonts w:cs="宋体"/>
          <w:color w:val="auto"/>
          <w:szCs w:val="24"/>
          <w:highlight w:val="none"/>
          <w:lang w:eastAsia="zh-CN"/>
        </w:rPr>
        <w:t>天内予</w:t>
      </w:r>
      <w:r>
        <w:rPr>
          <w:rFonts w:cs="宋体"/>
          <w:color w:val="auto"/>
          <w:spacing w:val="0"/>
          <w:szCs w:val="24"/>
          <w:highlight w:val="none"/>
          <w:lang w:eastAsia="zh-CN"/>
        </w:rPr>
        <w:t>以支付。</w:t>
      </w:r>
    </w:p>
    <w:p w14:paraId="113477B7">
      <w:pPr>
        <w:kinsoku/>
        <w:spacing w:before="0" w:beforeLines="0" w:afterLines="0"/>
        <w:ind w:left="0" w:firstLine="420"/>
        <w:jc w:val="left"/>
        <w:rPr>
          <w:rFonts w:cs="宋体"/>
          <w:color w:val="auto"/>
          <w:spacing w:val="0"/>
          <w:szCs w:val="24"/>
          <w:highlight w:val="none"/>
          <w:lang w:eastAsia="zh-CN"/>
        </w:rPr>
      </w:pPr>
      <w:r>
        <w:rPr>
          <w:rFonts w:hint="eastAsia" w:ascii="宋体" w:hAnsi="宋体" w:eastAsia="宋体" w:cs="宋体"/>
          <w:color w:val="auto"/>
          <w:position w:val="0"/>
          <w:szCs w:val="24"/>
          <w:highlight w:val="none"/>
          <w:lang w:eastAsia="zh-CN"/>
        </w:rPr>
        <w:t>4</w:t>
      </w:r>
      <w:r>
        <w:rPr>
          <w:rFonts w:cs="宋体"/>
          <w:color w:val="auto"/>
          <w:position w:val="0"/>
          <w:szCs w:val="24"/>
          <w:highlight w:val="none"/>
          <w:lang w:eastAsia="zh-CN"/>
        </w:rPr>
        <w:t>．发包人和承包人按《通用合同条款》第</w:t>
      </w:r>
      <w:r>
        <w:rPr>
          <w:rFonts w:hint="eastAsia" w:ascii="宋体" w:hAnsi="宋体" w:eastAsia="宋体" w:cs="宋体"/>
          <w:color w:val="auto"/>
          <w:position w:val="0"/>
          <w:szCs w:val="24"/>
          <w:highlight w:val="none"/>
          <w:lang w:eastAsia="zh-CN"/>
        </w:rPr>
        <w:t>15</w:t>
      </w:r>
      <w:r>
        <w:rPr>
          <w:rFonts w:cs="宋体"/>
          <w:color w:val="auto"/>
          <w:position w:val="0"/>
          <w:szCs w:val="24"/>
          <w:highlight w:val="none"/>
          <w:lang w:eastAsia="zh-CN"/>
        </w:rPr>
        <w:t>条变更合同时，我方承担本担保规</w:t>
      </w:r>
      <w:r>
        <w:rPr>
          <w:rFonts w:cs="宋体"/>
          <w:color w:val="auto"/>
          <w:spacing w:val="0"/>
          <w:szCs w:val="24"/>
          <w:highlight w:val="none"/>
          <w:lang w:eastAsia="zh-CN"/>
        </w:rPr>
        <w:t>定的义务不变。</w:t>
      </w:r>
    </w:p>
    <w:p w14:paraId="2324C87E">
      <w:pPr>
        <w:tabs>
          <w:tab w:val="left" w:pos="2520"/>
        </w:tabs>
        <w:kinsoku/>
        <w:spacing w:before="0" w:beforeLines="0" w:afterLines="0"/>
        <w:ind w:firstLine="0" w:firstLineChars="0"/>
        <w:jc w:val="left"/>
        <w:rPr>
          <w:rFonts w:cs="宋体"/>
          <w:color w:val="auto"/>
          <w:szCs w:val="24"/>
          <w:highlight w:val="none"/>
          <w:lang w:eastAsia="zh-CN"/>
        </w:rPr>
      </w:pPr>
      <w:r>
        <w:rPr>
          <w:rFonts w:cs="宋体"/>
          <w:color w:val="auto"/>
          <w:szCs w:val="24"/>
          <w:highlight w:val="none"/>
          <w:u w:val="single"/>
          <w:lang w:eastAsia="zh-CN"/>
        </w:rPr>
        <w:tab/>
      </w:r>
      <w:r>
        <w:rPr>
          <w:rFonts w:cs="宋体"/>
          <w:color w:val="auto"/>
          <w:spacing w:val="0"/>
          <w:szCs w:val="24"/>
          <w:highlight w:val="none"/>
          <w:lang w:eastAsia="zh-CN"/>
        </w:rPr>
        <w:t>（发包人名称）：</w:t>
      </w:r>
    </w:p>
    <w:p w14:paraId="7C954B70">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鉴于（发包人名称，以下简称“发包人”）接受（承包人名称，以下称“承包人”）于年月日递交的（项目名称）（标段名称）的投标文件。我方愿意无条件地、不可撤销地就承包人履行与你方订立的合同，向你方提供担保。</w:t>
      </w:r>
    </w:p>
    <w:p w14:paraId="758EF38C">
      <w:pPr>
        <w:kinsoku/>
        <w:spacing w:before="0" w:beforeLines="0" w:afterLines="0"/>
        <w:ind w:left="0" w:firstLine="420"/>
        <w:jc w:val="left"/>
        <w:rPr>
          <w:rFonts w:cs="宋体"/>
          <w:color w:val="auto"/>
          <w:szCs w:val="24"/>
          <w:highlight w:val="none"/>
          <w:lang w:eastAsia="zh-CN"/>
        </w:rPr>
      </w:pPr>
      <w:r>
        <w:rPr>
          <w:rFonts w:hint="eastAsia" w:ascii="宋体" w:hAnsi="宋体" w:eastAsia="宋体" w:cs="宋体"/>
          <w:color w:val="auto"/>
          <w:spacing w:val="0"/>
          <w:szCs w:val="24"/>
          <w:highlight w:val="none"/>
          <w:lang w:eastAsia="zh-CN"/>
        </w:rPr>
        <w:t>1</w:t>
      </w:r>
      <w:r>
        <w:rPr>
          <w:rFonts w:cs="宋体"/>
          <w:color w:val="auto"/>
          <w:spacing w:val="0"/>
          <w:szCs w:val="24"/>
          <w:highlight w:val="none"/>
          <w:lang w:eastAsia="zh-CN"/>
        </w:rPr>
        <w:t>．担保金额人民币（大写） 元（￥）。</w:t>
      </w:r>
    </w:p>
    <w:p w14:paraId="08331A24">
      <w:pPr>
        <w:kinsoku/>
        <w:spacing w:before="0" w:beforeLines="0" w:afterLines="0"/>
        <w:ind w:left="0" w:firstLine="420"/>
        <w:jc w:val="left"/>
        <w:rPr>
          <w:rFonts w:cs="宋体"/>
          <w:color w:val="auto"/>
          <w:szCs w:val="24"/>
          <w:highlight w:val="none"/>
          <w:lang w:eastAsia="zh-CN"/>
        </w:rPr>
      </w:pPr>
      <w:r>
        <w:rPr>
          <w:rFonts w:hint="eastAsia" w:ascii="宋体" w:hAnsi="宋体" w:eastAsia="宋体" w:cs="宋体"/>
          <w:color w:val="auto"/>
          <w:position w:val="0"/>
          <w:szCs w:val="24"/>
          <w:highlight w:val="none"/>
          <w:lang w:eastAsia="zh-CN"/>
        </w:rPr>
        <w:t>2</w:t>
      </w:r>
      <w:r>
        <w:rPr>
          <w:rFonts w:cs="宋体"/>
          <w:color w:val="auto"/>
          <w:position w:val="0"/>
          <w:szCs w:val="24"/>
          <w:highlight w:val="none"/>
          <w:lang w:eastAsia="zh-CN"/>
        </w:rPr>
        <w:t>．担保有效期自发包人与承包人签订的合同生效之日起至发包人签发合同工程</w:t>
      </w:r>
      <w:r>
        <w:rPr>
          <w:rFonts w:cs="宋体"/>
          <w:color w:val="auto"/>
          <w:spacing w:val="0"/>
          <w:szCs w:val="24"/>
          <w:highlight w:val="none"/>
          <w:lang w:eastAsia="zh-CN"/>
        </w:rPr>
        <w:t>完工证书之日止。</w:t>
      </w:r>
    </w:p>
    <w:p w14:paraId="21262AC0">
      <w:pPr>
        <w:kinsoku/>
        <w:spacing w:before="0" w:beforeLines="0" w:afterLines="0"/>
        <w:ind w:left="0" w:firstLine="420"/>
        <w:jc w:val="left"/>
        <w:rPr>
          <w:rFonts w:cs="宋体"/>
          <w:color w:val="auto"/>
          <w:spacing w:val="0"/>
          <w:szCs w:val="24"/>
          <w:highlight w:val="none"/>
          <w:lang w:eastAsia="zh-CN"/>
        </w:rPr>
      </w:pPr>
      <w:r>
        <w:rPr>
          <w:rFonts w:hint="eastAsia" w:ascii="宋体" w:hAnsi="宋体" w:eastAsia="宋体" w:cs="宋体"/>
          <w:color w:val="auto"/>
          <w:spacing w:val="0"/>
          <w:szCs w:val="24"/>
          <w:highlight w:val="none"/>
          <w:lang w:eastAsia="zh-CN"/>
        </w:rPr>
        <w:t>3</w:t>
      </w:r>
      <w:r>
        <w:rPr>
          <w:rFonts w:cs="宋体"/>
          <w:color w:val="auto"/>
          <w:spacing w:val="0"/>
          <w:szCs w:val="24"/>
          <w:highlight w:val="none"/>
          <w:lang w:eastAsia="zh-CN"/>
        </w:rPr>
        <w:t>．在本担保有效期内，因承包人违反合同约定的义务给你方造成经济损失时，</w:t>
      </w:r>
      <w:r>
        <w:rPr>
          <w:rFonts w:cs="宋体"/>
          <w:color w:val="auto"/>
          <w:szCs w:val="24"/>
          <w:highlight w:val="none"/>
          <w:lang w:eastAsia="zh-CN"/>
        </w:rPr>
        <w:t>我方在收到你方以书面形式提出的在担保金额内的赔偿要求后，无条件地在</w:t>
      </w:r>
      <w:r>
        <w:rPr>
          <w:rFonts w:hint="eastAsia" w:ascii="宋体" w:hAnsi="宋体" w:eastAsia="宋体" w:cs="宋体"/>
          <w:color w:val="auto"/>
          <w:szCs w:val="24"/>
          <w:highlight w:val="none"/>
          <w:lang w:eastAsia="zh-CN"/>
        </w:rPr>
        <w:t>7</w:t>
      </w:r>
      <w:r>
        <w:rPr>
          <w:rFonts w:cs="宋体"/>
          <w:color w:val="auto"/>
          <w:szCs w:val="24"/>
          <w:highlight w:val="none"/>
          <w:lang w:eastAsia="zh-CN"/>
        </w:rPr>
        <w:t>天内予</w:t>
      </w:r>
      <w:r>
        <w:rPr>
          <w:rFonts w:cs="宋体"/>
          <w:color w:val="auto"/>
          <w:spacing w:val="0"/>
          <w:szCs w:val="24"/>
          <w:highlight w:val="none"/>
          <w:lang w:eastAsia="zh-CN"/>
        </w:rPr>
        <w:t>以支付。</w:t>
      </w:r>
    </w:p>
    <w:p w14:paraId="5CB5327D">
      <w:pPr>
        <w:kinsoku/>
        <w:spacing w:before="0" w:beforeLines="0" w:afterLines="0"/>
        <w:ind w:left="0" w:firstLine="420"/>
        <w:jc w:val="left"/>
        <w:rPr>
          <w:rFonts w:cs="宋体"/>
          <w:color w:val="auto"/>
          <w:spacing w:val="0"/>
          <w:szCs w:val="24"/>
          <w:highlight w:val="none"/>
          <w:lang w:eastAsia="zh-CN"/>
        </w:rPr>
      </w:pPr>
      <w:r>
        <w:rPr>
          <w:rFonts w:hint="eastAsia" w:ascii="宋体" w:hAnsi="宋体" w:eastAsia="宋体" w:cs="宋体"/>
          <w:color w:val="auto"/>
          <w:position w:val="0"/>
          <w:szCs w:val="24"/>
          <w:highlight w:val="none"/>
          <w:lang w:eastAsia="zh-CN"/>
        </w:rPr>
        <w:t>4</w:t>
      </w:r>
      <w:r>
        <w:rPr>
          <w:rFonts w:cs="宋体"/>
          <w:color w:val="auto"/>
          <w:position w:val="0"/>
          <w:szCs w:val="24"/>
          <w:highlight w:val="none"/>
          <w:lang w:eastAsia="zh-CN"/>
        </w:rPr>
        <w:t>．发包人和承包人按《通用合同条款》第</w:t>
      </w:r>
      <w:r>
        <w:rPr>
          <w:rFonts w:hint="eastAsia" w:ascii="宋体" w:hAnsi="宋体" w:eastAsia="宋体" w:cs="宋体"/>
          <w:color w:val="auto"/>
          <w:position w:val="0"/>
          <w:szCs w:val="24"/>
          <w:highlight w:val="none"/>
          <w:lang w:eastAsia="zh-CN"/>
        </w:rPr>
        <w:t>15</w:t>
      </w:r>
      <w:r>
        <w:rPr>
          <w:rFonts w:cs="宋体"/>
          <w:color w:val="auto"/>
          <w:position w:val="0"/>
          <w:szCs w:val="24"/>
          <w:highlight w:val="none"/>
          <w:lang w:eastAsia="zh-CN"/>
        </w:rPr>
        <w:t>条变更合同时，我方承担本担保规</w:t>
      </w:r>
      <w:r>
        <w:rPr>
          <w:rFonts w:cs="宋体"/>
          <w:color w:val="auto"/>
          <w:spacing w:val="0"/>
          <w:szCs w:val="24"/>
          <w:highlight w:val="none"/>
          <w:lang w:eastAsia="zh-CN"/>
        </w:rPr>
        <w:t>定的义务不变。</w:t>
      </w:r>
    </w:p>
    <w:p w14:paraId="55277C9A">
      <w:pPr>
        <w:kinsoku/>
        <w:spacing w:before="0" w:beforeLines="0" w:afterLines="0"/>
        <w:ind w:left="0" w:firstLine="420"/>
        <w:jc w:val="left"/>
        <w:rPr>
          <w:rFonts w:cs="宋体"/>
          <w:color w:val="auto"/>
          <w:szCs w:val="24"/>
          <w:highlight w:val="none"/>
          <w:lang w:eastAsia="zh-CN"/>
        </w:rPr>
      </w:pPr>
    </w:p>
    <w:p w14:paraId="7737778E">
      <w:pPr>
        <w:pStyle w:val="7"/>
        <w:kinsoku/>
        <w:spacing w:beforeLines="0" w:afterLines="0"/>
        <w:ind w:firstLine="420"/>
        <w:jc w:val="left"/>
        <w:rPr>
          <w:color w:val="auto"/>
          <w:highlight w:val="none"/>
          <w:lang w:eastAsia="zh-CN"/>
        </w:rPr>
      </w:pPr>
    </w:p>
    <w:p w14:paraId="5C9BA53E">
      <w:pPr>
        <w:pStyle w:val="7"/>
        <w:kinsoku/>
        <w:spacing w:beforeLines="0" w:afterLines="0"/>
        <w:ind w:firstLine="420"/>
        <w:jc w:val="left"/>
        <w:rPr>
          <w:color w:val="auto"/>
          <w:highlight w:val="none"/>
          <w:lang w:eastAsia="zh-CN"/>
        </w:rPr>
      </w:pPr>
    </w:p>
    <w:p w14:paraId="511F0E68">
      <w:pPr>
        <w:pStyle w:val="7"/>
        <w:kinsoku/>
        <w:spacing w:beforeLines="0" w:afterLines="0"/>
        <w:ind w:firstLine="420"/>
        <w:jc w:val="left"/>
        <w:rPr>
          <w:color w:val="auto"/>
          <w:highlight w:val="none"/>
          <w:lang w:eastAsia="zh-CN"/>
        </w:rPr>
      </w:pPr>
    </w:p>
    <w:p w14:paraId="0F379422">
      <w:pPr>
        <w:kinsoku/>
        <w:spacing w:before="0" w:beforeLines="0" w:afterLines="0"/>
        <w:ind w:right="0" w:firstLine="420"/>
        <w:jc w:val="left"/>
        <w:rPr>
          <w:rFonts w:cs="宋体"/>
          <w:color w:val="auto"/>
          <w:szCs w:val="24"/>
          <w:highlight w:val="none"/>
          <w:lang w:eastAsia="zh-CN"/>
        </w:rPr>
      </w:pPr>
      <w:r>
        <w:rPr>
          <w:rFonts w:cs="宋体"/>
          <w:color w:val="auto"/>
          <w:spacing w:val="0"/>
          <w:w w:val="100"/>
          <w:szCs w:val="24"/>
          <w:highlight w:val="none"/>
          <w:lang w:eastAsia="zh-CN"/>
        </w:rPr>
        <w:t>担保人：（盖单位章）</w:t>
      </w:r>
    </w:p>
    <w:p w14:paraId="3BC38FA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法定代表人或其委托代理人：（签字）</w:t>
      </w:r>
    </w:p>
    <w:p w14:paraId="58316340">
      <w:pPr>
        <w:tabs>
          <w:tab w:val="left" w:pos="7199"/>
        </w:tabs>
        <w:kinsoku/>
        <w:spacing w:beforeLines="0" w:afterLines="0" w:line="240" w:lineRule="auto"/>
        <w:ind w:firstLine="480" w:firstLineChars="200"/>
        <w:jc w:val="left"/>
        <w:rPr>
          <w:rFonts w:cs="宋体"/>
          <w:color w:val="auto"/>
          <w:szCs w:val="24"/>
          <w:highlight w:val="none"/>
          <w:u w:val="single"/>
          <w:lang w:eastAsia="zh-CN"/>
        </w:rPr>
      </w:pPr>
      <w:r>
        <w:rPr>
          <w:rFonts w:cs="宋体"/>
          <w:color w:val="auto"/>
          <w:szCs w:val="24"/>
          <w:highlight w:val="none"/>
          <w:lang w:eastAsia="zh-CN"/>
        </w:rPr>
        <w:t>地</w:t>
      </w:r>
      <w:r>
        <w:rPr>
          <w:rFonts w:hint="eastAsia" w:cs="宋体"/>
          <w:color w:val="auto"/>
          <w:szCs w:val="24"/>
          <w:highlight w:val="none"/>
          <w:lang w:eastAsia="zh-CN"/>
        </w:rPr>
        <w:t xml:space="preserve">      </w:t>
      </w:r>
      <w:r>
        <w:rPr>
          <w:rFonts w:cs="宋体"/>
          <w:color w:val="auto"/>
          <w:szCs w:val="24"/>
          <w:highlight w:val="none"/>
          <w:lang w:eastAsia="zh-CN"/>
        </w:rPr>
        <w:t>址：</w:t>
      </w:r>
    </w:p>
    <w:p w14:paraId="4EB25927">
      <w:pPr>
        <w:tabs>
          <w:tab w:val="left" w:pos="7199"/>
        </w:tabs>
        <w:kinsoku/>
        <w:spacing w:beforeLines="0" w:afterLines="0" w:line="240" w:lineRule="auto"/>
        <w:ind w:firstLine="480" w:firstLineChars="200"/>
        <w:jc w:val="left"/>
        <w:rPr>
          <w:rFonts w:cs="宋体"/>
          <w:color w:val="auto"/>
          <w:szCs w:val="24"/>
          <w:highlight w:val="none"/>
          <w:u w:val="single"/>
          <w:lang w:eastAsia="zh-CN"/>
        </w:rPr>
      </w:pPr>
      <w:r>
        <w:rPr>
          <w:rFonts w:cs="宋体"/>
          <w:color w:val="auto"/>
          <w:szCs w:val="24"/>
          <w:highlight w:val="none"/>
          <w:lang w:eastAsia="zh-CN"/>
        </w:rPr>
        <w:t>邮政编码：</w:t>
      </w:r>
    </w:p>
    <w:p w14:paraId="276C100D">
      <w:pPr>
        <w:tabs>
          <w:tab w:val="left" w:pos="7199"/>
        </w:tabs>
        <w:kinsoku/>
        <w:spacing w:beforeLines="0" w:afterLines="0" w:line="240" w:lineRule="auto"/>
        <w:ind w:firstLine="480" w:firstLineChars="200"/>
        <w:jc w:val="left"/>
        <w:rPr>
          <w:rFonts w:cs="宋体"/>
          <w:color w:val="auto"/>
          <w:szCs w:val="24"/>
          <w:highlight w:val="none"/>
          <w:lang w:eastAsia="zh-CN"/>
        </w:rPr>
      </w:pPr>
      <w:r>
        <w:rPr>
          <w:rFonts w:cs="宋体"/>
          <w:color w:val="auto"/>
          <w:spacing w:val="0"/>
          <w:w w:val="100"/>
          <w:szCs w:val="24"/>
          <w:highlight w:val="none"/>
          <w:lang w:eastAsia="zh-CN"/>
        </w:rPr>
        <w:t>电      话：</w:t>
      </w:r>
    </w:p>
    <w:p w14:paraId="46998DEE">
      <w:pPr>
        <w:kinsoku/>
        <w:spacing w:before="0" w:beforeLines="0" w:afterLines="0"/>
        <w:ind w:firstLine="480" w:firstLineChars="200"/>
        <w:jc w:val="left"/>
        <w:rPr>
          <w:rFonts w:cs="宋体"/>
          <w:color w:val="auto"/>
          <w:spacing w:val="0"/>
          <w:w w:val="100"/>
          <w:szCs w:val="24"/>
          <w:highlight w:val="none"/>
          <w:lang w:eastAsia="zh-CN"/>
        </w:rPr>
      </w:pPr>
      <w:r>
        <w:rPr>
          <w:rFonts w:cs="宋体"/>
          <w:color w:val="auto"/>
          <w:spacing w:val="0"/>
          <w:w w:val="100"/>
          <w:szCs w:val="24"/>
          <w:highlight w:val="none"/>
          <w:lang w:eastAsia="zh-CN"/>
        </w:rPr>
        <w:t>传      真：</w:t>
      </w:r>
    </w:p>
    <w:p w14:paraId="692DFC57">
      <w:pPr>
        <w:kinsoku/>
        <w:spacing w:before="0" w:beforeLines="0" w:afterLines="0"/>
        <w:ind w:firstLine="480" w:firstLineChars="200"/>
        <w:jc w:val="left"/>
        <w:rPr>
          <w:rFonts w:cs="宋体"/>
          <w:color w:val="auto"/>
          <w:szCs w:val="24"/>
          <w:highlight w:val="none"/>
          <w:lang w:eastAsia="zh-CN"/>
        </w:rPr>
      </w:pPr>
      <w:r>
        <w:rPr>
          <w:rFonts w:cs="宋体"/>
          <w:color w:val="auto"/>
          <w:szCs w:val="24"/>
          <w:highlight w:val="none"/>
          <w:u w:val="none"/>
          <w:lang w:eastAsia="zh-CN"/>
        </w:rPr>
        <w:tab/>
      </w:r>
      <w:r>
        <w:rPr>
          <w:rFonts w:hint="eastAsia" w:cs="宋体"/>
          <w:color w:val="auto"/>
          <w:szCs w:val="24"/>
          <w:highlight w:val="none"/>
          <w:u w:val="none"/>
          <w:lang w:eastAsia="zh-CN"/>
        </w:rPr>
        <w:t xml:space="preserve">  </w:t>
      </w:r>
      <w:r>
        <w:rPr>
          <w:rFonts w:cs="宋体"/>
          <w:color w:val="auto"/>
          <w:spacing w:val="0"/>
          <w:szCs w:val="24"/>
          <w:highlight w:val="none"/>
          <w:lang w:eastAsia="zh-CN"/>
        </w:rPr>
        <w:t>年</w:t>
      </w:r>
      <w:r>
        <w:rPr>
          <w:rFonts w:cs="宋体"/>
          <w:color w:val="auto"/>
          <w:spacing w:val="0"/>
          <w:szCs w:val="24"/>
          <w:highlight w:val="none"/>
          <w:u w:val="none"/>
          <w:lang w:eastAsia="zh-CN"/>
        </w:rPr>
        <w:t xml:space="preserve">    </w:t>
      </w:r>
      <w:r>
        <w:rPr>
          <w:rFonts w:cs="宋体"/>
          <w:color w:val="auto"/>
          <w:spacing w:val="0"/>
          <w:szCs w:val="24"/>
          <w:highlight w:val="none"/>
          <w:lang w:eastAsia="zh-CN"/>
        </w:rPr>
        <w:t>月</w:t>
      </w:r>
      <w:r>
        <w:rPr>
          <w:rFonts w:cs="宋体"/>
          <w:color w:val="auto"/>
          <w:spacing w:val="0"/>
          <w:szCs w:val="24"/>
          <w:highlight w:val="none"/>
          <w:u w:val="none"/>
          <w:lang w:eastAsia="zh-CN"/>
        </w:rPr>
        <w:t xml:space="preserve">    </w:t>
      </w:r>
      <w:r>
        <w:rPr>
          <w:rFonts w:cs="宋体"/>
          <w:color w:val="auto"/>
          <w:spacing w:val="0"/>
          <w:szCs w:val="24"/>
          <w:highlight w:val="none"/>
          <w:lang w:eastAsia="zh-CN"/>
        </w:rPr>
        <w:t>日</w:t>
      </w:r>
    </w:p>
    <w:p w14:paraId="09D916BA">
      <w:pPr>
        <w:pStyle w:val="7"/>
        <w:kinsoku/>
        <w:spacing w:beforeLines="0" w:afterLines="0"/>
        <w:ind w:firstLine="420"/>
        <w:jc w:val="left"/>
        <w:rPr>
          <w:rFonts w:cs="宋体"/>
          <w:color w:val="auto"/>
          <w:spacing w:val="0"/>
          <w:highlight w:val="none"/>
          <w:lang w:eastAsia="zh-CN"/>
        </w:rPr>
      </w:pPr>
      <w:r>
        <w:rPr>
          <w:rFonts w:cs="宋体"/>
          <w:color w:val="auto"/>
          <w:spacing w:val="0"/>
          <w:highlight w:val="none"/>
          <w:lang w:eastAsia="zh-CN"/>
        </w:rPr>
        <w:t>注：委托代理人应附授权委托书。</w:t>
      </w:r>
    </w:p>
    <w:p w14:paraId="51AB824F">
      <w:pPr>
        <w:spacing w:beforeLines="0" w:afterLines="0"/>
        <w:ind w:firstLine="420"/>
        <w:jc w:val="left"/>
        <w:rPr>
          <w:rFonts w:cs="宋体"/>
          <w:color w:val="auto"/>
          <w:spacing w:val="0"/>
          <w:highlight w:val="none"/>
          <w:lang w:eastAsia="zh-CN"/>
        </w:rPr>
      </w:pPr>
      <w:r>
        <w:rPr>
          <w:rFonts w:cs="宋体"/>
          <w:color w:val="auto"/>
          <w:spacing w:val="0"/>
          <w:highlight w:val="none"/>
          <w:lang w:eastAsia="zh-CN"/>
        </w:rPr>
        <w:br w:type="page"/>
      </w:r>
    </w:p>
    <w:p w14:paraId="4972A43A">
      <w:pPr>
        <w:pStyle w:val="4"/>
        <w:kinsoku/>
        <w:spacing w:beforeLines="0" w:afterLines="0"/>
        <w:rPr>
          <w:rFonts w:hint="eastAsia" w:cs="宋体"/>
          <w:bCs/>
          <w:color w:val="auto"/>
          <w:szCs w:val="24"/>
          <w:highlight w:val="none"/>
        </w:rPr>
      </w:pPr>
      <w:bookmarkStart w:id="1481" w:name="_Toc12555"/>
      <w:bookmarkStart w:id="1482" w:name="_Toc17918"/>
      <w:bookmarkStart w:id="1483" w:name="_Toc30360"/>
      <w:bookmarkStart w:id="1484" w:name="_Toc6658"/>
      <w:r>
        <w:rPr>
          <w:rFonts w:hint="eastAsia" w:cs="宋体"/>
          <w:bCs/>
          <w:color w:val="auto"/>
          <w:szCs w:val="24"/>
          <w:highlight w:val="none"/>
        </w:rPr>
        <w:t>附件三</w:t>
      </w:r>
      <w:r>
        <w:rPr>
          <w:rFonts w:hint="eastAsia" w:cs="宋体"/>
          <w:bCs/>
          <w:color w:val="auto"/>
          <w:szCs w:val="24"/>
          <w:highlight w:val="none"/>
          <w:lang w:eastAsia="zh-CN"/>
        </w:rPr>
        <w:t>　</w:t>
      </w:r>
      <w:r>
        <w:rPr>
          <w:rFonts w:hint="eastAsia" w:cs="宋体"/>
          <w:bCs/>
          <w:color w:val="auto"/>
          <w:szCs w:val="24"/>
          <w:highlight w:val="none"/>
        </w:rPr>
        <w:t>工程廉政责任书（格式）</w:t>
      </w:r>
      <w:bookmarkEnd w:id="1481"/>
      <w:bookmarkEnd w:id="1482"/>
      <w:bookmarkEnd w:id="1483"/>
      <w:bookmarkEnd w:id="1484"/>
    </w:p>
    <w:p w14:paraId="54FAE6FA">
      <w:pPr>
        <w:pStyle w:val="4"/>
        <w:kinsoku/>
        <w:spacing w:before="0" w:beforeLines="0" w:afterLines="0"/>
        <w:ind w:left="0"/>
        <w:jc w:val="center"/>
        <w:rPr>
          <w:rFonts w:hint="eastAsia" w:cs="宋体"/>
          <w:bCs/>
          <w:color w:val="auto"/>
          <w:szCs w:val="24"/>
          <w:highlight w:val="none"/>
          <w:lang w:eastAsia="zh-CN"/>
        </w:rPr>
      </w:pPr>
      <w:bookmarkStart w:id="1485" w:name="_Toc2705"/>
      <w:bookmarkStart w:id="1486" w:name="_Toc27298"/>
      <w:bookmarkStart w:id="1487" w:name="_Toc14606"/>
      <w:r>
        <w:rPr>
          <w:rFonts w:hint="eastAsia" w:cs="宋体"/>
          <w:b/>
          <w:bCs/>
          <w:color w:val="auto"/>
          <w:spacing w:val="0"/>
          <w:szCs w:val="24"/>
          <w:highlight w:val="none"/>
          <w:lang w:eastAsia="zh-CN"/>
        </w:rPr>
        <w:t>工程廉政责任书</w:t>
      </w:r>
      <w:bookmarkEnd w:id="1485"/>
      <w:bookmarkEnd w:id="1486"/>
      <w:bookmarkEnd w:id="1487"/>
    </w:p>
    <w:p w14:paraId="79E3ABB0">
      <w:pPr>
        <w:kinsoku/>
        <w:spacing w:before="0" w:beforeLines="0" w:afterLines="0"/>
        <w:ind w:left="0" w:firstLine="420"/>
        <w:jc w:val="left"/>
        <w:rPr>
          <w:rFonts w:cs="宋体"/>
          <w:color w:val="auto"/>
          <w:spacing w:val="0"/>
          <w:szCs w:val="24"/>
          <w:highlight w:val="none"/>
          <w:lang w:eastAsia="zh-CN"/>
        </w:rPr>
      </w:pPr>
      <w:r>
        <w:rPr>
          <w:rFonts w:cs="宋体"/>
          <w:color w:val="auto"/>
          <w:spacing w:val="0"/>
          <w:szCs w:val="24"/>
          <w:highlight w:val="none"/>
          <w:lang w:eastAsia="zh-CN"/>
        </w:rPr>
        <w:t>为加强工程建设中的廉政建设，保证工程建设高效优质完成，保证建设资金的安全和有效使用，（项目名称）的发包人（以下称甲方）与承包人（以下称乙方），特订立如下责任书。</w:t>
      </w:r>
    </w:p>
    <w:p w14:paraId="1D137A96">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第一条</w:t>
      </w:r>
      <w:r>
        <w:rPr>
          <w:rFonts w:hint="eastAsia" w:cs="宋体"/>
          <w:color w:val="auto"/>
          <w:spacing w:val="0"/>
          <w:szCs w:val="24"/>
          <w:highlight w:val="none"/>
          <w:lang w:eastAsia="zh-CN"/>
        </w:rPr>
        <w:t>　</w:t>
      </w:r>
      <w:r>
        <w:rPr>
          <w:rFonts w:cs="宋体"/>
          <w:color w:val="auto"/>
          <w:spacing w:val="0"/>
          <w:szCs w:val="24"/>
          <w:highlight w:val="none"/>
          <w:lang w:eastAsia="zh-CN"/>
        </w:rPr>
        <w:t>甲乙双方的权利和义务</w:t>
      </w:r>
    </w:p>
    <w:p w14:paraId="146AAC68">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（一）严格遵守党和国家工程建设的有关法律法规及水利部门的有关规定。</w:t>
      </w:r>
    </w:p>
    <w:p w14:paraId="67D73FFF">
      <w:pPr>
        <w:kinsoku/>
        <w:spacing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（二）严格执行的合同文件，自觉按合同办事。</w:t>
      </w:r>
    </w:p>
    <w:p w14:paraId="49738DB8">
      <w:pPr>
        <w:kinsoku/>
        <w:spacing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（三）双方的业务活动坚持公开、公平、公正、诚信、透明的原则（除法律认定的商业秘密和合同文件另有规定之外），不得损害国家和集体利益，违反工程建设管理规定。</w:t>
      </w:r>
    </w:p>
    <w:p w14:paraId="79958A31">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（四）建立健全廉政制度、监督制度和处罚制度，开展廉政教育，设立廉政告示</w:t>
      </w:r>
      <w:r>
        <w:rPr>
          <w:rFonts w:cs="宋体"/>
          <w:color w:val="auto"/>
          <w:spacing w:val="0"/>
          <w:szCs w:val="24"/>
          <w:highlight w:val="none"/>
          <w:lang w:eastAsia="zh-CN"/>
        </w:rPr>
        <w:t>牌，公布举报电话。</w:t>
      </w:r>
    </w:p>
    <w:p w14:paraId="6D47F285">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（五）发现对方在业务活动中有违反廉政规定的行为，有及时提醒对方纠正的权</w:t>
      </w:r>
      <w:r>
        <w:rPr>
          <w:rFonts w:cs="宋体"/>
          <w:color w:val="auto"/>
          <w:spacing w:val="0"/>
          <w:szCs w:val="24"/>
          <w:highlight w:val="none"/>
          <w:lang w:eastAsia="zh-CN"/>
        </w:rPr>
        <w:t>利和义务。</w:t>
      </w:r>
    </w:p>
    <w:p w14:paraId="12DD02C1">
      <w:pPr>
        <w:kinsoku/>
        <w:spacing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（六）发现对方严重违反本责任书义务条款的行为，有向其上级有关部门举报、</w:t>
      </w:r>
      <w:r>
        <w:rPr>
          <w:rFonts w:cs="宋体"/>
          <w:color w:val="auto"/>
          <w:spacing w:val="0"/>
          <w:szCs w:val="24"/>
          <w:highlight w:val="none"/>
          <w:lang w:eastAsia="zh-CN"/>
        </w:rPr>
        <w:t>建议给予处理并要求告知处理结果的权利。</w:t>
      </w:r>
    </w:p>
    <w:p w14:paraId="64BBDB7B">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第二条</w:t>
      </w:r>
      <w:r>
        <w:rPr>
          <w:rFonts w:hint="eastAsia" w:cs="宋体"/>
          <w:color w:val="auto"/>
          <w:spacing w:val="0"/>
          <w:szCs w:val="24"/>
          <w:highlight w:val="none"/>
          <w:lang w:eastAsia="zh-CN"/>
        </w:rPr>
        <w:t>　</w:t>
      </w:r>
      <w:r>
        <w:rPr>
          <w:rFonts w:cs="宋体"/>
          <w:color w:val="auto"/>
          <w:spacing w:val="0"/>
          <w:szCs w:val="24"/>
          <w:highlight w:val="none"/>
          <w:lang w:eastAsia="zh-CN"/>
        </w:rPr>
        <w:t>甲方的义务</w:t>
      </w:r>
    </w:p>
    <w:p w14:paraId="09409245">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（一）甲方及其工作人员不得索要或接受乙方的礼金、礼券、有价证券和物品，</w:t>
      </w:r>
      <w:r>
        <w:rPr>
          <w:rFonts w:cs="宋体"/>
          <w:color w:val="auto"/>
          <w:spacing w:val="0"/>
          <w:szCs w:val="24"/>
          <w:highlight w:val="none"/>
          <w:lang w:eastAsia="zh-CN"/>
        </w:rPr>
        <w:t>不得到乙方报销任何由甲方或个人支付的费用等。</w:t>
      </w:r>
    </w:p>
    <w:p w14:paraId="0711322F">
      <w:pPr>
        <w:kinsoku/>
        <w:spacing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（二）甲方不得有意刁难、拖延承包商工程款，不得违反规定批拨工程建设费用</w:t>
      </w:r>
      <w:r>
        <w:rPr>
          <w:rFonts w:cs="宋体"/>
          <w:color w:val="auto"/>
          <w:spacing w:val="0"/>
          <w:szCs w:val="24"/>
          <w:highlight w:val="none"/>
          <w:lang w:eastAsia="zh-CN"/>
        </w:rPr>
        <w:t>等。</w:t>
      </w:r>
    </w:p>
    <w:p w14:paraId="2A47B9E7">
      <w:pPr>
        <w:kinsoku/>
        <w:spacing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（三）甲方工作人员不得参加乙方安排的宴请和娱乐活动；不得接受乙方提供的</w:t>
      </w:r>
      <w:r>
        <w:rPr>
          <w:rFonts w:cs="宋体"/>
          <w:color w:val="auto"/>
          <w:spacing w:val="0"/>
          <w:szCs w:val="24"/>
          <w:highlight w:val="none"/>
          <w:lang w:eastAsia="zh-CN"/>
        </w:rPr>
        <w:t>通讯工具、交通工具和高档办公用品等。</w:t>
      </w:r>
    </w:p>
    <w:p w14:paraId="63EEDE8D">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（四）甲方及其工作人员不得要求或者接受乙方为其住房装修、操办婚丧嫁娶、</w:t>
      </w:r>
      <w:r>
        <w:rPr>
          <w:rFonts w:cs="宋体"/>
          <w:color w:val="auto"/>
          <w:spacing w:val="0"/>
          <w:szCs w:val="24"/>
          <w:highlight w:val="none"/>
          <w:lang w:eastAsia="zh-CN"/>
        </w:rPr>
        <w:t>安排配偶子女的工作以及出国出境、旅游等。</w:t>
      </w:r>
    </w:p>
    <w:p w14:paraId="09B9C92C">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（五）甲方工作人员的配偶、子女及下属单位不得从事与甲方工程有关的材料设</w:t>
      </w:r>
      <w:r>
        <w:rPr>
          <w:rFonts w:cs="宋体"/>
          <w:color w:val="auto"/>
          <w:spacing w:val="0"/>
          <w:szCs w:val="24"/>
          <w:highlight w:val="none"/>
          <w:lang w:eastAsia="zh-CN"/>
        </w:rPr>
        <w:t>备供应、工程分包、劳务等经济活动。</w:t>
      </w:r>
    </w:p>
    <w:p w14:paraId="0A121E4F">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（六）甲方及其工作人员不得以任何理由向乙方推荐分包单位，不得要求乙方购买合同规定外的材料和设备。</w:t>
      </w:r>
    </w:p>
    <w:p w14:paraId="31E8C52E">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第三条</w:t>
      </w:r>
      <w:r>
        <w:rPr>
          <w:rFonts w:hint="eastAsia" w:cs="宋体"/>
          <w:color w:val="auto"/>
          <w:spacing w:val="0"/>
          <w:szCs w:val="24"/>
          <w:highlight w:val="none"/>
          <w:lang w:eastAsia="zh-CN"/>
        </w:rPr>
        <w:t>　</w:t>
      </w:r>
      <w:r>
        <w:rPr>
          <w:rFonts w:cs="宋体"/>
          <w:color w:val="auto"/>
          <w:spacing w:val="0"/>
          <w:szCs w:val="24"/>
          <w:highlight w:val="none"/>
          <w:lang w:eastAsia="zh-CN"/>
        </w:rPr>
        <w:t>乙方义务</w:t>
      </w:r>
    </w:p>
    <w:p w14:paraId="6BBECF8D">
      <w:pPr>
        <w:kinsoku/>
        <w:spacing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（一）乙方不得以任何理由向甲方及其工作人员行贿或馈赠礼金、礼券、有价证</w:t>
      </w:r>
      <w:r>
        <w:rPr>
          <w:rFonts w:cs="宋体"/>
          <w:color w:val="auto"/>
          <w:spacing w:val="0"/>
          <w:szCs w:val="24"/>
          <w:highlight w:val="none"/>
          <w:lang w:eastAsia="zh-CN"/>
        </w:rPr>
        <w:t>券、礼品。</w:t>
      </w:r>
    </w:p>
    <w:p w14:paraId="2C579FC3">
      <w:pPr>
        <w:kinsoku/>
        <w:spacing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（二）乙方不得以任何名义为甲方及其工作人员报销应由甲方单位或个人支付的</w:t>
      </w:r>
      <w:r>
        <w:rPr>
          <w:rFonts w:cs="宋体"/>
          <w:color w:val="auto"/>
          <w:spacing w:val="0"/>
          <w:szCs w:val="24"/>
          <w:highlight w:val="none"/>
          <w:lang w:eastAsia="zh-CN"/>
        </w:rPr>
        <w:t>任何费用。</w:t>
      </w:r>
    </w:p>
    <w:p w14:paraId="11F6503E">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（三）乙方不得要求甲方违反规定，批拨、追加工程建设费用等。</w:t>
      </w:r>
    </w:p>
    <w:p w14:paraId="72FF634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（四）乙方不得以任何理由安排甲方工作人员参加宴请及娱乐活动。</w:t>
      </w:r>
    </w:p>
    <w:p w14:paraId="131450ED">
      <w:pPr>
        <w:kinsoku/>
        <w:spacing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（五）乙方不得为甲方单位和个人购置或提供通讯工具、交通工具和高档办公室</w:t>
      </w:r>
      <w:r>
        <w:rPr>
          <w:rFonts w:cs="宋体"/>
          <w:color w:val="auto"/>
          <w:spacing w:val="0"/>
          <w:szCs w:val="24"/>
          <w:highlight w:val="none"/>
          <w:lang w:eastAsia="zh-CN"/>
        </w:rPr>
        <w:t>用品等。</w:t>
      </w:r>
    </w:p>
    <w:p w14:paraId="3611BA9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第四条  违约责任</w:t>
      </w:r>
    </w:p>
    <w:p w14:paraId="6610D255">
      <w:pPr>
        <w:kinsoku/>
        <w:spacing w:beforeLines="0" w:afterLines="0"/>
        <w:ind w:firstLine="420"/>
        <w:jc w:val="left"/>
        <w:rPr>
          <w:rFonts w:cs="宋体"/>
          <w:color w:val="auto"/>
          <w:szCs w:val="24"/>
          <w:highlight w:val="none"/>
          <w:lang w:eastAsia="zh-CN"/>
        </w:rPr>
      </w:pPr>
      <w:r>
        <w:rPr>
          <w:rFonts w:cs="宋体"/>
          <w:color w:val="auto"/>
          <w:spacing w:val="0"/>
          <w:szCs w:val="24"/>
          <w:highlight w:val="none"/>
          <w:lang w:eastAsia="zh-CN"/>
        </w:rPr>
        <w:t>（一）甲方及其工作人员违反本责任书第一、二条，按管理权限，依据有关规定给予党纪、政纪或组织处理；涉嫌犯罪的，移送司法机关追究刑事责任；给乙方单位造成经济损失的，应予以赔偿。</w:t>
      </w:r>
    </w:p>
    <w:p w14:paraId="2E70A7DE">
      <w:pPr>
        <w:kinsoku/>
        <w:spacing w:beforeLines="0" w:afterLines="0"/>
        <w:ind w:firstLine="420"/>
        <w:jc w:val="left"/>
        <w:rPr>
          <w:rFonts w:cs="宋体"/>
          <w:color w:val="auto"/>
          <w:szCs w:val="24"/>
          <w:highlight w:val="none"/>
          <w:lang w:eastAsia="zh-CN"/>
        </w:rPr>
      </w:pPr>
      <w:r>
        <w:rPr>
          <w:rFonts w:cs="宋体"/>
          <w:color w:val="auto"/>
          <w:spacing w:val="0"/>
          <w:szCs w:val="24"/>
          <w:highlight w:val="none"/>
          <w:lang w:eastAsia="zh-CN"/>
        </w:rPr>
        <w:t>（二）乙方及其工作人员违反本责任书第一、三条，按管理权限，依据有关规定，给予党纪、政纪、组织处理或停止承接业务处理；给甲方单位造成经济损失的，应予以赔偿；情节严重的，甲方建议有关工程建设主管部门给予乙方</w:t>
      </w:r>
      <w:r>
        <w:rPr>
          <w:rFonts w:ascii="Times New Roman" w:hAnsi="Times New Roman" w:eastAsia="Times New Roman" w:cs="Times New Roman"/>
          <w:color w:val="auto"/>
          <w:spacing w:val="0"/>
          <w:szCs w:val="24"/>
          <w:highlight w:val="none"/>
          <w:lang w:eastAsia="zh-CN"/>
        </w:rPr>
        <w:t>1</w:t>
      </w:r>
      <w:r>
        <w:rPr>
          <w:rFonts w:cs="宋体"/>
          <w:color w:val="auto"/>
          <w:spacing w:val="0"/>
          <w:szCs w:val="24"/>
          <w:highlight w:val="none"/>
          <w:lang w:eastAsia="zh-CN"/>
        </w:rPr>
        <w:t>～</w:t>
      </w:r>
      <w:r>
        <w:rPr>
          <w:rFonts w:ascii="Times New Roman" w:hAnsi="Times New Roman" w:eastAsia="Times New Roman" w:cs="Times New Roman"/>
          <w:color w:val="auto"/>
          <w:spacing w:val="0"/>
          <w:szCs w:val="24"/>
          <w:highlight w:val="none"/>
          <w:lang w:eastAsia="zh-CN"/>
        </w:rPr>
        <w:t>3</w:t>
      </w:r>
      <w:r>
        <w:rPr>
          <w:rFonts w:cs="宋体"/>
          <w:color w:val="auto"/>
          <w:spacing w:val="0"/>
          <w:szCs w:val="24"/>
          <w:highlight w:val="none"/>
          <w:lang w:eastAsia="zh-CN"/>
        </w:rPr>
        <w:t>年内不得参与工程建设项目投标的处罚。</w:t>
      </w:r>
    </w:p>
    <w:p w14:paraId="70880DB8">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第五条  双方约定</w:t>
      </w:r>
    </w:p>
    <w:p w14:paraId="33E68E4A">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本责任书由纪检监察机关负责监督执行。纪检监察机关对本责任书执行情况进行</w:t>
      </w:r>
      <w:r>
        <w:rPr>
          <w:rFonts w:cs="宋体"/>
          <w:color w:val="auto"/>
          <w:spacing w:val="0"/>
          <w:szCs w:val="24"/>
          <w:highlight w:val="none"/>
          <w:lang w:eastAsia="zh-CN"/>
        </w:rPr>
        <w:t>抽查。提出属于本责任书规定范围的处理意见。</w:t>
      </w:r>
    </w:p>
    <w:p w14:paraId="2E9D3108">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第六条</w:t>
      </w:r>
      <w:r>
        <w:rPr>
          <w:rFonts w:hint="eastAsia" w:cs="宋体"/>
          <w:color w:val="auto"/>
          <w:spacing w:val="0"/>
          <w:szCs w:val="24"/>
          <w:highlight w:val="none"/>
          <w:lang w:eastAsia="zh-CN"/>
        </w:rPr>
        <w:t>　</w:t>
      </w:r>
      <w:r>
        <w:rPr>
          <w:rFonts w:cs="宋体"/>
          <w:color w:val="auto"/>
          <w:spacing w:val="0"/>
          <w:szCs w:val="24"/>
          <w:highlight w:val="none"/>
          <w:lang w:eastAsia="zh-CN"/>
        </w:rPr>
        <w:t>本责任书有效期</w:t>
      </w:r>
      <w:r>
        <w:rPr>
          <w:rFonts w:hint="eastAsia" w:cs="宋体"/>
          <w:color w:val="auto"/>
          <w:spacing w:val="0"/>
          <w:szCs w:val="24"/>
          <w:highlight w:val="none"/>
          <w:lang w:val="en-US" w:eastAsia="zh-CN"/>
        </w:rPr>
        <w:t>自</w:t>
      </w:r>
      <w:r>
        <w:rPr>
          <w:rFonts w:cs="宋体"/>
          <w:color w:val="auto"/>
          <w:spacing w:val="0"/>
          <w:szCs w:val="24"/>
          <w:highlight w:val="none"/>
          <w:lang w:eastAsia="zh-CN"/>
        </w:rPr>
        <w:t>甲乙双方签署之日起至该工程项目工程款支付完结时止。</w:t>
      </w:r>
    </w:p>
    <w:p w14:paraId="6B3C95AD">
      <w:pPr>
        <w:kinsoku/>
        <w:spacing w:beforeLines="0" w:afterLines="0"/>
        <w:ind w:firstLine="420"/>
        <w:rPr>
          <w:rFonts w:cs="宋体"/>
          <w:color w:val="auto"/>
          <w:szCs w:val="24"/>
          <w:highlight w:val="none"/>
          <w:lang w:eastAsia="zh-CN"/>
        </w:rPr>
      </w:pPr>
      <w:r>
        <w:rPr>
          <w:rFonts w:cs="宋体"/>
          <w:color w:val="auto"/>
          <w:spacing w:val="0"/>
          <w:position w:val="0"/>
          <w:szCs w:val="24"/>
          <w:highlight w:val="none"/>
          <w:lang w:eastAsia="zh-CN"/>
        </w:rPr>
        <w:t>第七条</w:t>
      </w:r>
      <w:r>
        <w:rPr>
          <w:rFonts w:hint="eastAsia" w:cs="宋体"/>
          <w:color w:val="auto"/>
          <w:spacing w:val="0"/>
          <w:position w:val="0"/>
          <w:szCs w:val="24"/>
          <w:highlight w:val="none"/>
          <w:lang w:eastAsia="zh-CN"/>
        </w:rPr>
        <w:t>　</w:t>
      </w:r>
      <w:r>
        <w:rPr>
          <w:rFonts w:cs="宋体"/>
          <w:color w:val="auto"/>
          <w:spacing w:val="0"/>
          <w:position w:val="0"/>
          <w:szCs w:val="24"/>
          <w:highlight w:val="none"/>
          <w:lang w:eastAsia="zh-CN"/>
        </w:rPr>
        <w:t>本责任书作为本工程施工承包合同的附件，与工程施工合同具有同等的法</w:t>
      </w:r>
      <w:r>
        <w:rPr>
          <w:rFonts w:cs="宋体"/>
          <w:color w:val="auto"/>
          <w:spacing w:val="0"/>
          <w:szCs w:val="24"/>
          <w:highlight w:val="none"/>
          <w:lang w:eastAsia="zh-CN"/>
        </w:rPr>
        <w:t>律效力，经甲、乙双方签署后生效。</w:t>
      </w:r>
    </w:p>
    <w:p w14:paraId="6E1DB274">
      <w:pPr>
        <w:kinsoku/>
        <w:spacing w:before="0" w:beforeLines="0" w:afterLines="0"/>
        <w:ind w:left="0" w:firstLine="420"/>
        <w:jc w:val="left"/>
        <w:rPr>
          <w:rFonts w:cs="宋体"/>
          <w:color w:val="auto"/>
          <w:spacing w:val="0"/>
          <w:szCs w:val="24"/>
          <w:highlight w:val="none"/>
          <w:lang w:eastAsia="zh-CN"/>
        </w:rPr>
      </w:pPr>
      <w:r>
        <w:rPr>
          <w:rFonts w:cs="宋体"/>
          <w:color w:val="auto"/>
          <w:spacing w:val="0"/>
          <w:szCs w:val="24"/>
          <w:highlight w:val="none"/>
          <w:lang w:eastAsia="zh-CN"/>
        </w:rPr>
        <w:t>第八条</w:t>
      </w:r>
      <w:r>
        <w:rPr>
          <w:rFonts w:hint="eastAsia" w:cs="宋体"/>
          <w:color w:val="auto"/>
          <w:spacing w:val="0"/>
          <w:szCs w:val="24"/>
          <w:highlight w:val="none"/>
          <w:lang w:eastAsia="zh-CN"/>
        </w:rPr>
        <w:t>　</w:t>
      </w:r>
      <w:r>
        <w:rPr>
          <w:rFonts w:cs="宋体"/>
          <w:color w:val="auto"/>
          <w:spacing w:val="0"/>
          <w:szCs w:val="24"/>
          <w:highlight w:val="none"/>
          <w:lang w:eastAsia="zh-CN"/>
        </w:rPr>
        <w:t>本责任书甲、乙双方各执一份，送交监督单位一份。</w:t>
      </w:r>
    </w:p>
    <w:p w14:paraId="25C17686">
      <w:pPr>
        <w:kinsoku/>
        <w:spacing w:before="0" w:beforeLines="0" w:afterLines="0"/>
        <w:ind w:left="0" w:firstLine="420"/>
        <w:jc w:val="left"/>
        <w:rPr>
          <w:rFonts w:cs="宋体"/>
          <w:color w:val="auto"/>
          <w:szCs w:val="24"/>
          <w:highlight w:val="none"/>
          <w:lang w:eastAsia="zh-CN"/>
        </w:rPr>
      </w:pPr>
    </w:p>
    <w:p w14:paraId="30569CE6">
      <w:pPr>
        <w:kinsoku/>
        <w:spacing w:beforeLines="0" w:afterLines="0"/>
        <w:ind w:firstLine="420"/>
        <w:jc w:val="left"/>
        <w:rPr>
          <w:color w:val="auto"/>
          <w:highlight w:val="none"/>
          <w:lang w:eastAsia="zh-CN"/>
        </w:rPr>
      </w:pPr>
    </w:p>
    <w:p w14:paraId="35C8BA78">
      <w:pPr>
        <w:kinsoku/>
        <w:spacing w:beforeLines="0" w:afterLines="0"/>
        <w:ind w:firstLine="420"/>
        <w:jc w:val="left"/>
        <w:rPr>
          <w:color w:val="auto"/>
          <w:highlight w:val="none"/>
          <w:lang w:eastAsia="zh-CN"/>
        </w:rPr>
      </w:pPr>
    </w:p>
    <w:p w14:paraId="3081BFDE">
      <w:pPr>
        <w:kinsoku/>
        <w:adjustRightInd/>
        <w:snapToGrid/>
        <w:spacing w:beforeLines="0" w:afterLines="0" w:line="240" w:lineRule="auto"/>
        <w:ind w:firstLine="420"/>
        <w:jc w:val="left"/>
        <w:textAlignment w:val="auto"/>
        <w:rPr>
          <w:color w:val="auto"/>
          <w:highlight w:val="none"/>
          <w:lang w:eastAsia="zh-CN"/>
        </w:rPr>
      </w:pPr>
    </w:p>
    <w:p w14:paraId="465F2298">
      <w:pPr>
        <w:kinsoku/>
        <w:spacing w:before="0" w:beforeLines="0" w:afterLines="0"/>
        <w:ind w:left="0" w:firstLine="420"/>
        <w:jc w:val="left"/>
        <w:rPr>
          <w:rFonts w:cs="宋体"/>
          <w:color w:val="auto"/>
          <w:szCs w:val="24"/>
          <w:highlight w:val="none"/>
          <w:lang w:eastAsia="zh-CN"/>
        </w:rPr>
      </w:pPr>
      <w:r>
        <w:rPr>
          <w:rFonts w:cs="宋体"/>
          <w:color w:val="auto"/>
          <w:spacing w:val="0"/>
          <w:w w:val="100"/>
          <w:szCs w:val="24"/>
          <w:highlight w:val="none"/>
          <w:lang w:eastAsia="zh-CN"/>
        </w:rPr>
        <w:t>甲方：（盖章）</w:t>
      </w:r>
      <w:r>
        <w:rPr>
          <w:rFonts w:hint="eastAsia" w:cs="宋体"/>
          <w:color w:val="auto"/>
          <w:spacing w:val="0"/>
          <w:w w:val="100"/>
          <w:szCs w:val="24"/>
          <w:highlight w:val="none"/>
          <w:lang w:val="en-US" w:eastAsia="zh-CN"/>
        </w:rPr>
        <w:tab/>
      </w:r>
      <w:r>
        <w:rPr>
          <w:rFonts w:hint="eastAsia" w:cs="宋体"/>
          <w:color w:val="auto"/>
          <w:spacing w:val="0"/>
          <w:w w:val="100"/>
          <w:szCs w:val="24"/>
          <w:highlight w:val="none"/>
          <w:lang w:val="en-US" w:eastAsia="zh-CN"/>
        </w:rPr>
        <w:tab/>
      </w:r>
      <w:r>
        <w:rPr>
          <w:rFonts w:hint="eastAsia" w:cs="宋体"/>
          <w:color w:val="auto"/>
          <w:spacing w:val="0"/>
          <w:w w:val="100"/>
          <w:szCs w:val="24"/>
          <w:highlight w:val="none"/>
          <w:lang w:val="en-US" w:eastAsia="zh-CN"/>
        </w:rPr>
        <w:tab/>
      </w:r>
      <w:r>
        <w:rPr>
          <w:rFonts w:hint="eastAsia" w:cs="宋体"/>
          <w:color w:val="auto"/>
          <w:spacing w:val="0"/>
          <w:w w:val="100"/>
          <w:szCs w:val="24"/>
          <w:highlight w:val="none"/>
          <w:lang w:val="en-US" w:eastAsia="zh-CN"/>
        </w:rPr>
        <w:tab/>
      </w:r>
      <w:r>
        <w:rPr>
          <w:rFonts w:hint="eastAsia" w:cs="宋体"/>
          <w:color w:val="auto"/>
          <w:spacing w:val="0"/>
          <w:w w:val="100"/>
          <w:szCs w:val="24"/>
          <w:highlight w:val="none"/>
          <w:lang w:val="en-US" w:eastAsia="zh-CN"/>
        </w:rPr>
        <w:tab/>
      </w:r>
      <w:r>
        <w:rPr>
          <w:rFonts w:hint="eastAsia" w:cs="宋体"/>
          <w:color w:val="auto"/>
          <w:spacing w:val="0"/>
          <w:w w:val="100"/>
          <w:szCs w:val="24"/>
          <w:highlight w:val="none"/>
          <w:lang w:val="en-US" w:eastAsia="zh-CN"/>
        </w:rPr>
        <w:tab/>
      </w:r>
      <w:r>
        <w:rPr>
          <w:rFonts w:cs="宋体"/>
          <w:color w:val="auto"/>
          <w:spacing w:val="0"/>
          <w:w w:val="100"/>
          <w:szCs w:val="24"/>
          <w:highlight w:val="none"/>
          <w:lang w:eastAsia="zh-CN"/>
        </w:rPr>
        <w:t>乙方：（盖章）</w:t>
      </w:r>
    </w:p>
    <w:p w14:paraId="6B22BB71">
      <w:pPr>
        <w:kinsoku/>
        <w:spacing w:before="0" w:beforeLines="0" w:afterLines="0"/>
        <w:ind w:left="0" w:firstLine="420"/>
        <w:jc w:val="left"/>
        <w:rPr>
          <w:rFonts w:hint="default" w:cs="宋体"/>
          <w:color w:val="auto"/>
          <w:szCs w:val="24"/>
          <w:highlight w:val="none"/>
          <w:lang w:val="en-US" w:eastAsia="zh-CN"/>
        </w:rPr>
      </w:pPr>
    </w:p>
    <w:p w14:paraId="1D137792">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法定代表人：</w:t>
      </w:r>
      <w:r>
        <w:rPr>
          <w:rFonts w:hint="eastAsia" w:cs="宋体"/>
          <w:color w:val="auto"/>
          <w:spacing w:val="0"/>
          <w:position w:val="0"/>
          <w:szCs w:val="24"/>
          <w:highlight w:val="none"/>
          <w:lang w:val="en-US" w:eastAsia="zh-CN"/>
        </w:rPr>
        <w:tab/>
      </w:r>
      <w:r>
        <w:rPr>
          <w:rFonts w:hint="eastAsia" w:cs="宋体"/>
          <w:color w:val="auto"/>
          <w:spacing w:val="0"/>
          <w:position w:val="0"/>
          <w:szCs w:val="24"/>
          <w:highlight w:val="none"/>
          <w:lang w:val="en-US" w:eastAsia="zh-CN"/>
        </w:rPr>
        <w:tab/>
      </w:r>
      <w:r>
        <w:rPr>
          <w:rFonts w:hint="eastAsia" w:cs="宋体"/>
          <w:color w:val="auto"/>
          <w:spacing w:val="0"/>
          <w:position w:val="0"/>
          <w:szCs w:val="24"/>
          <w:highlight w:val="none"/>
          <w:lang w:val="en-US" w:eastAsia="zh-CN"/>
        </w:rPr>
        <w:tab/>
      </w:r>
      <w:r>
        <w:rPr>
          <w:rFonts w:hint="eastAsia" w:cs="宋体"/>
          <w:color w:val="auto"/>
          <w:spacing w:val="0"/>
          <w:position w:val="0"/>
          <w:szCs w:val="24"/>
          <w:highlight w:val="none"/>
          <w:lang w:val="en-US" w:eastAsia="zh-CN"/>
        </w:rPr>
        <w:tab/>
      </w:r>
      <w:r>
        <w:rPr>
          <w:rFonts w:hint="eastAsia" w:cs="宋体"/>
          <w:color w:val="auto"/>
          <w:spacing w:val="0"/>
          <w:position w:val="0"/>
          <w:szCs w:val="24"/>
          <w:highlight w:val="none"/>
          <w:lang w:val="en-US" w:eastAsia="zh-CN"/>
        </w:rPr>
        <w:tab/>
      </w:r>
      <w:r>
        <w:rPr>
          <w:rFonts w:hint="eastAsia" w:cs="宋体"/>
          <w:color w:val="auto"/>
          <w:spacing w:val="0"/>
          <w:position w:val="0"/>
          <w:szCs w:val="24"/>
          <w:highlight w:val="none"/>
          <w:lang w:val="en-US" w:eastAsia="zh-CN"/>
        </w:rPr>
        <w:tab/>
      </w:r>
      <w:r>
        <w:rPr>
          <w:rFonts w:hint="eastAsia" w:cs="宋体"/>
          <w:color w:val="auto"/>
          <w:spacing w:val="0"/>
          <w:position w:val="0"/>
          <w:szCs w:val="24"/>
          <w:highlight w:val="none"/>
          <w:lang w:val="en-US" w:eastAsia="zh-CN"/>
        </w:rPr>
        <w:tab/>
      </w:r>
      <w:r>
        <w:rPr>
          <w:rFonts w:cs="宋体"/>
          <w:color w:val="auto"/>
          <w:spacing w:val="0"/>
          <w:position w:val="0"/>
          <w:szCs w:val="24"/>
          <w:highlight w:val="none"/>
          <w:lang w:eastAsia="zh-CN"/>
        </w:rPr>
        <w:t>法定代表人：</w:t>
      </w:r>
    </w:p>
    <w:p w14:paraId="45D05E0E">
      <w:pPr>
        <w:kinsoku/>
        <w:spacing w:before="0" w:beforeLines="0" w:afterLines="0"/>
        <w:ind w:left="0" w:firstLine="420"/>
        <w:jc w:val="left"/>
        <w:rPr>
          <w:rFonts w:hint="default" w:cs="宋体"/>
          <w:color w:val="auto"/>
          <w:szCs w:val="24"/>
          <w:highlight w:val="none"/>
          <w:lang w:val="en-US" w:eastAsia="zh-CN"/>
        </w:rPr>
      </w:pPr>
    </w:p>
    <w:p w14:paraId="0323AD43">
      <w:pPr>
        <w:kinsoku/>
        <w:spacing w:before="0" w:beforeLines="0" w:afterLines="0"/>
        <w:ind w:firstLine="420"/>
        <w:jc w:val="left"/>
        <w:rPr>
          <w:rFonts w:cs="宋体"/>
          <w:color w:val="auto"/>
          <w:szCs w:val="24"/>
          <w:highlight w:val="none"/>
          <w:lang w:eastAsia="zh-CN"/>
        </w:rPr>
      </w:pPr>
      <w:r>
        <w:rPr>
          <w:rFonts w:cs="宋体"/>
          <w:color w:val="auto"/>
          <w:spacing w:val="0"/>
          <w:szCs w:val="24"/>
          <w:highlight w:val="none"/>
          <w:lang w:eastAsia="zh-CN"/>
        </w:rPr>
        <w:t>地址：</w:t>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cs="宋体"/>
          <w:color w:val="auto"/>
          <w:spacing w:val="0"/>
          <w:szCs w:val="24"/>
          <w:highlight w:val="none"/>
          <w:lang w:eastAsia="zh-CN"/>
        </w:rPr>
        <w:t>地址：</w:t>
      </w:r>
    </w:p>
    <w:p w14:paraId="4A36FAB2">
      <w:pPr>
        <w:kinsoku/>
        <w:spacing w:before="0" w:beforeLines="0" w:afterLines="0"/>
        <w:ind w:left="0" w:firstLine="420"/>
        <w:jc w:val="left"/>
        <w:rPr>
          <w:rFonts w:hint="default" w:cs="宋体"/>
          <w:color w:val="auto"/>
          <w:szCs w:val="24"/>
          <w:highlight w:val="none"/>
          <w:lang w:val="en-US" w:eastAsia="zh-CN"/>
        </w:rPr>
      </w:pPr>
    </w:p>
    <w:p w14:paraId="2ED4E028">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电话：</w:t>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cs="宋体"/>
          <w:color w:val="auto"/>
          <w:spacing w:val="0"/>
          <w:szCs w:val="24"/>
          <w:highlight w:val="none"/>
          <w:lang w:eastAsia="zh-CN"/>
        </w:rPr>
        <w:t>电话：</w:t>
      </w:r>
    </w:p>
    <w:p w14:paraId="78AA78FD">
      <w:pPr>
        <w:kinsoku/>
        <w:spacing w:before="0" w:beforeLines="0" w:afterLines="0"/>
        <w:ind w:left="0" w:firstLine="420"/>
        <w:jc w:val="left"/>
        <w:rPr>
          <w:rFonts w:hint="default" w:cs="宋体"/>
          <w:color w:val="auto"/>
          <w:szCs w:val="24"/>
          <w:highlight w:val="none"/>
          <w:lang w:val="en-US" w:eastAsia="zh-CN"/>
        </w:rPr>
      </w:pPr>
    </w:p>
    <w:p w14:paraId="787A023E">
      <w:pPr>
        <w:kinsoku/>
        <w:spacing w:before="0" w:beforeLines="0" w:afterLines="0"/>
        <w:ind w:left="0" w:firstLine="420"/>
        <w:jc w:val="left"/>
        <w:rPr>
          <w:rFonts w:cs="宋体"/>
          <w:color w:val="auto"/>
          <w:szCs w:val="24"/>
          <w:highlight w:val="none"/>
          <w:lang w:eastAsia="zh-CN"/>
        </w:rPr>
      </w:pP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年</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月</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日</w:t>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hint="eastAsia" w:cs="宋体"/>
          <w:color w:val="auto"/>
          <w:spacing w:val="0"/>
          <w:szCs w:val="24"/>
          <w:highlight w:val="none"/>
          <w:lang w:val="en-US" w:eastAsia="zh-CN"/>
        </w:rPr>
        <w:tab/>
      </w:r>
      <w:r>
        <w:rPr>
          <w:rFonts w:cs="宋体"/>
          <w:color w:val="auto"/>
          <w:spacing w:val="0"/>
          <w:szCs w:val="24"/>
          <w:highlight w:val="none"/>
          <w:lang w:eastAsia="zh-CN"/>
        </w:rPr>
        <w:t>年</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月</w:t>
      </w:r>
      <w:r>
        <w:rPr>
          <w:rFonts w:hint="eastAsia" w:cs="宋体"/>
          <w:color w:val="auto"/>
          <w:spacing w:val="0"/>
          <w:szCs w:val="24"/>
          <w:highlight w:val="none"/>
          <w:lang w:val="en-US" w:eastAsia="zh-CN"/>
        </w:rPr>
        <w:t xml:space="preserve">    </w:t>
      </w:r>
      <w:r>
        <w:rPr>
          <w:rFonts w:cs="宋体"/>
          <w:color w:val="auto"/>
          <w:spacing w:val="0"/>
          <w:szCs w:val="24"/>
          <w:highlight w:val="none"/>
          <w:lang w:eastAsia="zh-CN"/>
        </w:rPr>
        <w:t>日</w:t>
      </w:r>
    </w:p>
    <w:p w14:paraId="15FFD4A8">
      <w:pPr>
        <w:kinsoku/>
        <w:spacing w:before="0" w:beforeLines="0" w:afterLines="0"/>
        <w:ind w:left="0" w:firstLine="420"/>
        <w:jc w:val="left"/>
        <w:rPr>
          <w:rFonts w:cs="宋体"/>
          <w:color w:val="auto"/>
          <w:spacing w:val="0"/>
          <w:szCs w:val="24"/>
          <w:highlight w:val="none"/>
          <w:lang w:eastAsia="zh-CN"/>
        </w:rPr>
      </w:pPr>
    </w:p>
    <w:p w14:paraId="5787560B">
      <w:pPr>
        <w:kinsoku/>
        <w:spacing w:before="0" w:beforeLines="0" w:afterLines="0"/>
        <w:ind w:left="0" w:firstLine="420"/>
        <w:jc w:val="left"/>
        <w:rPr>
          <w:rFonts w:cs="宋体"/>
          <w:color w:val="auto"/>
          <w:spacing w:val="0"/>
          <w:szCs w:val="24"/>
          <w:highlight w:val="none"/>
          <w:lang w:eastAsia="zh-CN"/>
        </w:rPr>
      </w:pPr>
    </w:p>
    <w:p w14:paraId="1877227F">
      <w:pPr>
        <w:kinsoku/>
        <w:adjustRightInd/>
        <w:snapToGrid/>
        <w:spacing w:beforeLines="0" w:afterLines="0" w:line="240" w:lineRule="auto"/>
        <w:ind w:firstLine="40"/>
        <w:jc w:val="left"/>
        <w:textAlignment w:val="auto"/>
        <w:rPr>
          <w:color w:val="auto"/>
          <w:sz w:val="2"/>
          <w:szCs w:val="2"/>
          <w:highlight w:val="none"/>
          <w:lang w:eastAsia="zh-CN"/>
        </w:rPr>
      </w:pPr>
      <w:r>
        <w:rPr>
          <w:color w:val="auto"/>
          <w:sz w:val="2"/>
          <w:szCs w:val="2"/>
          <w:highlight w:val="none"/>
          <w:lang w:eastAsia="zh-CN"/>
        </w:rPr>
        <w:br w:type="page"/>
      </w:r>
    </w:p>
    <w:p w14:paraId="01613DA0">
      <w:pPr>
        <w:pStyle w:val="4"/>
        <w:kinsoku/>
        <w:spacing w:beforeLines="0" w:afterLines="0"/>
        <w:rPr>
          <w:rFonts w:hint="eastAsia" w:cs="宋体"/>
          <w:bCs/>
          <w:color w:val="auto"/>
          <w:szCs w:val="24"/>
          <w:highlight w:val="none"/>
        </w:rPr>
      </w:pPr>
      <w:bookmarkStart w:id="1488" w:name="_Toc11157"/>
      <w:bookmarkStart w:id="1489" w:name="_Toc22378"/>
      <w:bookmarkStart w:id="1490" w:name="_Toc18175"/>
      <w:bookmarkStart w:id="1491" w:name="_Toc17621"/>
      <w:r>
        <w:rPr>
          <w:rFonts w:hint="eastAsia" w:cs="宋体"/>
          <w:bCs/>
          <w:color w:val="auto"/>
          <w:szCs w:val="24"/>
          <w:highlight w:val="none"/>
        </w:rPr>
        <w:t>附件四</w:t>
      </w:r>
      <w:r>
        <w:rPr>
          <w:rFonts w:hint="eastAsia" w:cs="宋体"/>
          <w:bCs/>
          <w:color w:val="auto"/>
          <w:szCs w:val="24"/>
          <w:highlight w:val="none"/>
          <w:lang w:eastAsia="zh-CN"/>
        </w:rPr>
        <w:t>　</w:t>
      </w:r>
      <w:r>
        <w:rPr>
          <w:rFonts w:hint="eastAsia" w:cs="宋体"/>
          <w:bCs/>
          <w:color w:val="auto"/>
          <w:szCs w:val="24"/>
          <w:highlight w:val="none"/>
        </w:rPr>
        <w:t>安全生产协议书（格式）</w:t>
      </w:r>
      <w:bookmarkEnd w:id="1488"/>
      <w:bookmarkEnd w:id="1489"/>
      <w:bookmarkEnd w:id="1490"/>
      <w:bookmarkEnd w:id="1491"/>
    </w:p>
    <w:p w14:paraId="2F095C2C">
      <w:pPr>
        <w:pStyle w:val="4"/>
        <w:kinsoku/>
        <w:spacing w:before="0" w:beforeLines="0" w:afterLines="0"/>
        <w:ind w:left="0"/>
        <w:jc w:val="center"/>
        <w:rPr>
          <w:rFonts w:hint="eastAsia" w:cs="宋体"/>
          <w:bCs/>
          <w:color w:val="auto"/>
          <w:szCs w:val="24"/>
          <w:highlight w:val="none"/>
          <w:lang w:eastAsia="zh-CN"/>
        </w:rPr>
      </w:pPr>
      <w:bookmarkStart w:id="1492" w:name="_Toc22094"/>
      <w:bookmarkStart w:id="1493" w:name="_Toc32431"/>
      <w:bookmarkStart w:id="1494" w:name="_Toc30376"/>
      <w:r>
        <w:rPr>
          <w:rFonts w:hint="eastAsia" w:cs="宋体"/>
          <w:b/>
          <w:bCs/>
          <w:color w:val="auto"/>
          <w:spacing w:val="0"/>
          <w:szCs w:val="24"/>
          <w:highlight w:val="none"/>
          <w:lang w:eastAsia="zh-CN"/>
        </w:rPr>
        <w:t>安全生产协议书</w:t>
      </w:r>
      <w:bookmarkEnd w:id="1492"/>
      <w:bookmarkEnd w:id="1493"/>
      <w:bookmarkEnd w:id="1494"/>
    </w:p>
    <w:p w14:paraId="75E4E577">
      <w:pPr>
        <w:kinsoku/>
        <w:spacing w:before="0"/>
        <w:ind w:left="0" w:right="0" w:firstLine="0"/>
        <w:rPr>
          <w:rFonts w:cs="宋体"/>
          <w:color w:val="auto"/>
          <w:spacing w:val="0"/>
          <w:szCs w:val="24"/>
          <w:highlight w:val="none"/>
          <w:lang w:eastAsia="zh-CN"/>
        </w:rPr>
      </w:pPr>
      <w:r>
        <w:rPr>
          <w:rFonts w:cs="宋体"/>
          <w:color w:val="auto"/>
          <w:spacing w:val="0"/>
          <w:szCs w:val="24"/>
          <w:highlight w:val="none"/>
          <w:lang w:eastAsia="zh-CN"/>
        </w:rPr>
        <w:t>为在（项目名称）（标段名称）施工合同的实施过程中创造安全、高效的施工环境，切实做好本项目的安全管理工作，本项目的发包人（以下简称“甲方”）与承包人（以下简称“乙方”</w:t>
      </w:r>
      <w:r>
        <w:rPr>
          <w:rFonts w:cs="宋体"/>
          <w:color w:val="auto"/>
          <w:szCs w:val="24"/>
          <w:highlight w:val="none"/>
          <w:lang w:eastAsia="zh-CN"/>
        </w:rPr>
        <w:t>），</w:t>
      </w:r>
      <w:r>
        <w:rPr>
          <w:rFonts w:cs="宋体"/>
          <w:color w:val="auto"/>
          <w:spacing w:val="0"/>
          <w:szCs w:val="24"/>
          <w:highlight w:val="none"/>
          <w:lang w:eastAsia="zh-CN"/>
        </w:rPr>
        <w:t>特此签订安全生产协议书：</w:t>
      </w:r>
    </w:p>
    <w:p w14:paraId="637F1CEA">
      <w:pPr>
        <w:kinsoku/>
        <w:spacing w:before="0" w:beforeLines="0" w:afterLines="0"/>
        <w:ind w:left="0" w:firstLine="422"/>
        <w:jc w:val="left"/>
        <w:rPr>
          <w:rFonts w:cs="宋体"/>
          <w:color w:val="auto"/>
          <w:szCs w:val="24"/>
          <w:highlight w:val="none"/>
          <w:lang w:eastAsia="zh-CN"/>
        </w:rPr>
      </w:pPr>
      <w:r>
        <w:rPr>
          <w:rFonts w:cs="宋体"/>
          <w:b/>
          <w:bCs/>
          <w:color w:val="auto"/>
          <w:spacing w:val="0"/>
          <w:szCs w:val="24"/>
          <w:highlight w:val="none"/>
          <w:lang w:eastAsia="zh-CN"/>
        </w:rPr>
        <w:t>第一条</w:t>
      </w:r>
      <w:r>
        <w:rPr>
          <w:rFonts w:hint="eastAsia" w:cs="宋体"/>
          <w:b/>
          <w:bCs/>
          <w:color w:val="auto"/>
          <w:spacing w:val="0"/>
          <w:szCs w:val="24"/>
          <w:highlight w:val="none"/>
          <w:lang w:val="en-US" w:eastAsia="zh-CN"/>
        </w:rPr>
        <w:t xml:space="preserve">  </w:t>
      </w:r>
      <w:r>
        <w:rPr>
          <w:rFonts w:cs="宋体"/>
          <w:b/>
          <w:bCs/>
          <w:color w:val="auto"/>
          <w:spacing w:val="0"/>
          <w:szCs w:val="24"/>
          <w:highlight w:val="none"/>
          <w:lang w:eastAsia="zh-CN"/>
        </w:rPr>
        <w:t>甲方职责</w:t>
      </w:r>
    </w:p>
    <w:p w14:paraId="0074DB94">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（一）遵守国家有关安全生产的法律法规，认真执行工程承包合同中的有关安全</w:t>
      </w:r>
    </w:p>
    <w:p w14:paraId="2A8F3348">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要求。</w:t>
      </w:r>
    </w:p>
    <w:p w14:paraId="286E994F">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（二）按照“安全第一、预防为主、综合治理”和坚持“管生产必须管安全”的</w:t>
      </w:r>
    </w:p>
    <w:p w14:paraId="2A822645">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原则进行安全生产管理，做到生产与安全工作同时计划、布置、检查、总结和评比。</w:t>
      </w:r>
    </w:p>
    <w:p w14:paraId="4BD87BF2">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（三）重要的安全设施必须坚持与主体工程“三同时”的原则，即：同时设计、</w:t>
      </w:r>
      <w:r>
        <w:rPr>
          <w:rFonts w:cs="宋体"/>
          <w:color w:val="auto"/>
          <w:spacing w:val="0"/>
          <w:szCs w:val="24"/>
          <w:highlight w:val="none"/>
          <w:lang w:eastAsia="zh-CN"/>
        </w:rPr>
        <w:t>审批，同时施工，同时验收、投入使用。</w:t>
      </w:r>
    </w:p>
    <w:p w14:paraId="13EA7552">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（四）定期召开安全生产调度会，及时传达中央及地方有关安全生产的精神。</w:t>
      </w:r>
    </w:p>
    <w:p w14:paraId="3FA24822">
      <w:pPr>
        <w:kinsoku/>
        <w:spacing w:before="0" w:beforeLines="0" w:afterLines="0"/>
        <w:ind w:firstLine="420"/>
        <w:jc w:val="left"/>
        <w:rPr>
          <w:rFonts w:cs="宋体"/>
          <w:color w:val="auto"/>
          <w:szCs w:val="24"/>
          <w:highlight w:val="none"/>
          <w:lang w:eastAsia="zh-CN"/>
        </w:rPr>
      </w:pPr>
      <w:r>
        <w:rPr>
          <w:rFonts w:cs="宋体"/>
          <w:color w:val="auto"/>
          <w:spacing w:val="0"/>
          <w:szCs w:val="24"/>
          <w:highlight w:val="none"/>
          <w:lang w:eastAsia="zh-CN"/>
        </w:rPr>
        <w:t>（五）组织对乙方施工现场安全生产检查，监督乙方及时处理发现的各种安全隐患。</w:t>
      </w:r>
    </w:p>
    <w:p w14:paraId="70C9D712">
      <w:pPr>
        <w:kinsoku/>
        <w:spacing w:before="0" w:beforeLines="0" w:afterLines="0"/>
        <w:ind w:left="0" w:firstLine="422"/>
        <w:jc w:val="left"/>
        <w:rPr>
          <w:rFonts w:cs="宋体"/>
          <w:color w:val="auto"/>
          <w:szCs w:val="24"/>
          <w:highlight w:val="none"/>
          <w:lang w:eastAsia="zh-CN"/>
        </w:rPr>
      </w:pPr>
      <w:r>
        <w:rPr>
          <w:rFonts w:cs="宋体"/>
          <w:b/>
          <w:bCs/>
          <w:color w:val="auto"/>
          <w:spacing w:val="0"/>
          <w:szCs w:val="24"/>
          <w:highlight w:val="none"/>
          <w:lang w:eastAsia="zh-CN"/>
        </w:rPr>
        <w:t>第二条</w:t>
      </w:r>
      <w:r>
        <w:rPr>
          <w:rFonts w:hint="eastAsia" w:cs="宋体"/>
          <w:b/>
          <w:bCs/>
          <w:color w:val="auto"/>
          <w:spacing w:val="0"/>
          <w:szCs w:val="24"/>
          <w:highlight w:val="none"/>
          <w:lang w:val="en-US" w:eastAsia="zh-CN"/>
        </w:rPr>
        <w:t xml:space="preserve">  </w:t>
      </w:r>
      <w:r>
        <w:rPr>
          <w:rFonts w:cs="宋体"/>
          <w:b/>
          <w:bCs/>
          <w:color w:val="auto"/>
          <w:spacing w:val="0"/>
          <w:szCs w:val="24"/>
          <w:highlight w:val="none"/>
          <w:lang w:eastAsia="zh-CN"/>
        </w:rPr>
        <w:t>乙方职责</w:t>
      </w:r>
    </w:p>
    <w:p w14:paraId="1DB46A39">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（一）严格遵守国家有关安全生产的法律法规、水利部颁发的有关工程施工安全</w:t>
      </w:r>
      <w:r>
        <w:rPr>
          <w:rFonts w:cs="宋体"/>
          <w:color w:val="auto"/>
          <w:spacing w:val="0"/>
          <w:szCs w:val="24"/>
          <w:highlight w:val="none"/>
          <w:lang w:eastAsia="zh-CN"/>
        </w:rPr>
        <w:t>技术规程的安全生产规定，认真执行工程承包合同中的有关安全要求。</w:t>
      </w:r>
    </w:p>
    <w:p w14:paraId="24C9FCC6">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二）坚持“安全第一、预防为主、综合治理”和坚持“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w:t>
      </w:r>
      <w:r>
        <w:rPr>
          <w:rFonts w:cs="宋体"/>
          <w:color w:val="auto"/>
          <w:szCs w:val="24"/>
          <w:highlight w:val="none"/>
          <w:lang w:eastAsia="zh-CN"/>
        </w:rPr>
        <w:t>遵守本条款的各项规定，做到生产与安全工</w:t>
      </w:r>
      <w:r>
        <w:rPr>
          <w:rFonts w:cs="宋体"/>
          <w:color w:val="auto"/>
          <w:spacing w:val="0"/>
          <w:szCs w:val="24"/>
          <w:highlight w:val="none"/>
          <w:lang w:eastAsia="zh-CN"/>
        </w:rPr>
        <w:t>作同时计划、布置、检查、总结和评比。</w:t>
      </w:r>
    </w:p>
    <w:p w14:paraId="01135405">
      <w:pPr>
        <w:kinsoku/>
        <w:spacing w:before="0" w:beforeLines="0" w:afterLines="0"/>
        <w:ind w:left="0" w:firstLine="420"/>
        <w:jc w:val="left"/>
        <w:rPr>
          <w:rFonts w:cs="宋体"/>
          <w:color w:val="auto"/>
          <w:spacing w:val="0"/>
          <w:szCs w:val="24"/>
          <w:highlight w:val="none"/>
          <w:lang w:eastAsia="zh-CN"/>
        </w:rPr>
      </w:pPr>
      <w:r>
        <w:rPr>
          <w:rFonts w:cs="宋体"/>
          <w:color w:val="auto"/>
          <w:spacing w:val="0"/>
          <w:szCs w:val="24"/>
          <w:highlight w:val="none"/>
          <w:lang w:eastAsia="zh-CN"/>
        </w:rPr>
        <w:t>（三）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w:t>
      </w:r>
      <w:r>
        <w:rPr>
          <w:rFonts w:ascii="Times New Roman" w:hAnsi="Times New Roman" w:eastAsia="Times New Roman" w:cs="Times New Roman"/>
          <w:color w:val="auto"/>
          <w:spacing w:val="0"/>
          <w:szCs w:val="24"/>
          <w:highlight w:val="none"/>
          <w:lang w:eastAsia="zh-CN"/>
        </w:rPr>
        <w:t>1%</w:t>
      </w:r>
      <w:r>
        <w:rPr>
          <w:rFonts w:cs="宋体"/>
          <w:color w:val="auto"/>
          <w:spacing w:val="0"/>
          <w:szCs w:val="24"/>
          <w:highlight w:val="none"/>
          <w:lang w:eastAsia="zh-CN"/>
        </w:rPr>
        <w:t>～</w:t>
      </w:r>
      <w:r>
        <w:rPr>
          <w:rFonts w:ascii="Times New Roman" w:hAnsi="Times New Roman" w:eastAsia="Times New Roman" w:cs="Times New Roman"/>
          <w:color w:val="auto"/>
          <w:spacing w:val="0"/>
          <w:szCs w:val="24"/>
          <w:highlight w:val="none"/>
          <w:lang w:eastAsia="zh-CN"/>
        </w:rPr>
        <w:t>3%</w:t>
      </w:r>
      <w:r>
        <w:rPr>
          <w:rFonts w:cs="宋体"/>
          <w:color w:val="auto"/>
          <w:spacing w:val="0"/>
          <w:szCs w:val="24"/>
          <w:highlight w:val="none"/>
          <w:lang w:eastAsia="zh-CN"/>
        </w:rPr>
        <w:t>配备安全员，专职负责所有员工的安全和治安保卫工作及预防事故的发生。安全机构人员，有权按有关规定发布指令，并采取保护性措施防止事故发生。</w:t>
      </w:r>
    </w:p>
    <w:p w14:paraId="67C32444">
      <w:pPr>
        <w:kinsoku/>
        <w:spacing w:before="0" w:beforeLines="0" w:afterLines="0"/>
        <w:ind w:firstLine="420"/>
        <w:jc w:val="left"/>
        <w:rPr>
          <w:rFonts w:cs="宋体"/>
          <w:color w:val="auto"/>
          <w:szCs w:val="24"/>
          <w:highlight w:val="none"/>
          <w:lang w:eastAsia="zh-CN"/>
        </w:rPr>
      </w:pPr>
      <w:r>
        <w:rPr>
          <w:color w:val="auto"/>
          <w:highlight w:val="none"/>
          <w:lang w:eastAsia="zh-CN"/>
        </w:rPr>
        <w:drawing>
          <wp:anchor distT="0" distB="0" distL="0" distR="0" simplePos="0" relativeHeight="251660288" behindDoc="1" locked="0" layoutInCell="0" allowOverlap="1">
            <wp:simplePos x="0" y="0"/>
            <wp:positionH relativeFrom="page">
              <wp:posOffset>3217545</wp:posOffset>
            </wp:positionH>
            <wp:positionV relativeFrom="page">
              <wp:posOffset>9356090</wp:posOffset>
            </wp:positionV>
            <wp:extent cx="3352800" cy="7620"/>
            <wp:effectExtent l="0" t="0" r="0" b="0"/>
            <wp:wrapNone/>
            <wp:docPr id="2" name="IM 12"/>
            <wp:cNvGraphicFramePr/>
            <a:graphic xmlns:a="http://schemas.openxmlformats.org/drawingml/2006/main">
              <a:graphicData uri="http://schemas.openxmlformats.org/drawingml/2006/picture">
                <pic:pic xmlns:pic="http://schemas.openxmlformats.org/drawingml/2006/picture">
                  <pic:nvPicPr>
                    <pic:cNvPr id="2" name="IM 12"/>
                    <pic:cNvPicPr/>
                  </pic:nvPicPr>
                  <pic:blipFill>
                    <a:blip r:embed="rId21"/>
                    <a:stretch>
                      <a:fillRect/>
                    </a:stretch>
                  </pic:blipFill>
                  <pic:spPr>
                    <a:xfrm>
                      <a:off x="0" y="0"/>
                      <a:ext cx="3352800" cy="7620"/>
                    </a:xfrm>
                    <a:prstGeom prst="rect">
                      <a:avLst/>
                    </a:prstGeom>
                  </pic:spPr>
                </pic:pic>
              </a:graphicData>
            </a:graphic>
          </wp:anchor>
        </w:drawing>
      </w:r>
      <w:r>
        <w:rPr>
          <w:rFonts w:cs="宋体"/>
          <w:color w:val="auto"/>
          <w:spacing w:val="0"/>
          <w:position w:val="0"/>
          <w:szCs w:val="24"/>
          <w:highlight w:val="none"/>
          <w:lang w:eastAsia="zh-CN"/>
        </w:rPr>
        <w:t>（四）乙方在任何时候都应采取各种合理的预防措施，防止其员工发生任何违法、</w:t>
      </w:r>
      <w:r>
        <w:rPr>
          <w:rFonts w:cs="宋体"/>
          <w:color w:val="auto"/>
          <w:spacing w:val="0"/>
          <w:szCs w:val="24"/>
          <w:highlight w:val="none"/>
          <w:lang w:eastAsia="zh-CN"/>
        </w:rPr>
        <w:t>违禁、暴力或妨碍治安的行为。</w:t>
      </w:r>
    </w:p>
    <w:p w14:paraId="5CB60F9B">
      <w:pPr>
        <w:kinsoku/>
        <w:spacing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五）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驾驶、爆破等特殊工种的人员，需经过专业培训，获得《安全操作合格证》后，方准持证上岗。施工现场如出现特种作业无证操作现象时，项目负责人必须承担管理责任。</w:t>
      </w:r>
    </w:p>
    <w:p w14:paraId="28F7BC49">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六）对于易燃易爆的材料除应专门妥善保管之外，还应配备有足够的消防设施，所有施工人员都应熟悉消防设备的性能和使用方法；乙方不得将任何种类的给予、易货或以其他方式转让给任何人，或允许、容忍上述同样行为。</w:t>
      </w:r>
    </w:p>
    <w:p w14:paraId="2E028B3D">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（七）操作人员上岗，必须按规定穿戴防护用品。施工负责人和安全检查员应随</w:t>
      </w:r>
      <w:r>
        <w:rPr>
          <w:rFonts w:cs="宋体"/>
          <w:color w:val="auto"/>
          <w:spacing w:val="0"/>
          <w:szCs w:val="24"/>
          <w:highlight w:val="none"/>
          <w:lang w:eastAsia="zh-CN"/>
        </w:rPr>
        <w:t>时检查劳动防护用品的穿戴情况，不按规定穿戴防护用品的人员不得上岗。</w:t>
      </w:r>
    </w:p>
    <w:p w14:paraId="00815051">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（八）所有施工机具设备和高空作业的设备均应定期检查，并有安全员的签字记</w:t>
      </w:r>
      <w:r>
        <w:rPr>
          <w:rFonts w:cs="宋体"/>
          <w:color w:val="auto"/>
          <w:spacing w:val="0"/>
          <w:szCs w:val="24"/>
          <w:highlight w:val="none"/>
          <w:lang w:eastAsia="zh-CN"/>
        </w:rPr>
        <w:t>录，保证其经常处于完好状态；不合格的机具、设备和劳动保护用品严禁使用。</w:t>
      </w:r>
    </w:p>
    <w:p w14:paraId="63C3639B">
      <w:pPr>
        <w:kinsoku/>
        <w:spacing w:before="0" w:beforeLines="0" w:afterLines="0"/>
        <w:ind w:firstLine="420"/>
        <w:jc w:val="left"/>
        <w:rPr>
          <w:rFonts w:cs="宋体"/>
          <w:color w:val="auto"/>
          <w:szCs w:val="24"/>
          <w:highlight w:val="none"/>
          <w:lang w:eastAsia="zh-CN"/>
        </w:rPr>
      </w:pPr>
      <w:r>
        <w:rPr>
          <w:rFonts w:cs="宋体"/>
          <w:color w:val="auto"/>
          <w:spacing w:val="0"/>
          <w:position w:val="0"/>
          <w:szCs w:val="24"/>
          <w:highlight w:val="none"/>
          <w:lang w:eastAsia="zh-CN"/>
        </w:rPr>
        <w:t>（九）所有施工中采用新技术，新工艺、新设备、新材料时，必须制定相应的安</w:t>
      </w:r>
      <w:r>
        <w:rPr>
          <w:rFonts w:cs="宋体"/>
          <w:color w:val="auto"/>
          <w:spacing w:val="0"/>
          <w:szCs w:val="24"/>
          <w:highlight w:val="none"/>
          <w:lang w:eastAsia="zh-CN"/>
        </w:rPr>
        <w:t>全技术措施，施工现场必须具有相关的安全标志牌。</w:t>
      </w:r>
    </w:p>
    <w:p w14:paraId="17965FB1">
      <w:pPr>
        <w:kinsoku/>
        <w:spacing w:before="0" w:beforeLines="0" w:afterLines="0"/>
        <w:ind w:left="0" w:firstLine="420"/>
        <w:jc w:val="left"/>
        <w:rPr>
          <w:rFonts w:cs="宋体"/>
          <w:color w:val="auto"/>
          <w:szCs w:val="24"/>
          <w:highlight w:val="none"/>
          <w:lang w:eastAsia="zh-CN"/>
        </w:rPr>
      </w:pPr>
      <w:r>
        <w:rPr>
          <w:rFonts w:cs="宋体"/>
          <w:color w:val="auto"/>
          <w:spacing w:val="0"/>
          <w:szCs w:val="24"/>
          <w:highlight w:val="none"/>
          <w:lang w:eastAsia="zh-CN"/>
        </w:rPr>
        <w:t>（十）乙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6D0A7ED6">
      <w:pPr>
        <w:kinsoku/>
        <w:spacing w:before="0" w:beforeLines="0" w:afterLines="0"/>
        <w:ind w:left="0" w:firstLine="422"/>
        <w:jc w:val="left"/>
        <w:rPr>
          <w:rFonts w:cs="宋体"/>
          <w:color w:val="auto"/>
          <w:szCs w:val="24"/>
          <w:highlight w:val="none"/>
          <w:lang w:eastAsia="zh-CN"/>
        </w:rPr>
      </w:pPr>
      <w:r>
        <w:rPr>
          <w:rFonts w:cs="宋体"/>
          <w:b/>
          <w:bCs/>
          <w:color w:val="auto"/>
          <w:spacing w:val="0"/>
          <w:szCs w:val="24"/>
          <w:highlight w:val="none"/>
          <w:lang w:eastAsia="zh-CN"/>
        </w:rPr>
        <w:t>第三条</w:t>
      </w:r>
      <w:r>
        <w:rPr>
          <w:rFonts w:hint="eastAsia" w:cs="宋体"/>
          <w:b/>
          <w:bCs/>
          <w:color w:val="auto"/>
          <w:spacing w:val="0"/>
          <w:szCs w:val="24"/>
          <w:highlight w:val="none"/>
          <w:lang w:val="en-US" w:eastAsia="zh-CN"/>
        </w:rPr>
        <w:t xml:space="preserve">  </w:t>
      </w:r>
      <w:r>
        <w:rPr>
          <w:rFonts w:cs="宋体"/>
          <w:b/>
          <w:bCs/>
          <w:color w:val="auto"/>
          <w:spacing w:val="0"/>
          <w:szCs w:val="24"/>
          <w:highlight w:val="none"/>
          <w:lang w:eastAsia="zh-CN"/>
        </w:rPr>
        <w:t>违约责任</w:t>
      </w:r>
    </w:p>
    <w:p w14:paraId="7FAC23AF">
      <w:pPr>
        <w:kinsoku/>
        <w:spacing w:before="0" w:beforeLines="0" w:afterLines="0"/>
        <w:ind w:left="0" w:firstLine="420"/>
        <w:jc w:val="left"/>
        <w:rPr>
          <w:rFonts w:cs="宋体"/>
          <w:color w:val="auto"/>
          <w:szCs w:val="24"/>
          <w:highlight w:val="none"/>
          <w:lang w:eastAsia="zh-CN"/>
        </w:rPr>
      </w:pPr>
      <w:r>
        <w:rPr>
          <w:rFonts w:cs="宋体"/>
          <w:color w:val="auto"/>
          <w:spacing w:val="0"/>
          <w:position w:val="0"/>
          <w:szCs w:val="24"/>
          <w:highlight w:val="none"/>
          <w:lang w:eastAsia="zh-CN"/>
        </w:rPr>
        <w:t>如因甲方或乙方违约造成安全事故，将依法追究责任，并视事故轻重承担相应的</w:t>
      </w:r>
      <w:r>
        <w:rPr>
          <w:rFonts w:cs="宋体"/>
          <w:color w:val="auto"/>
          <w:spacing w:val="0"/>
          <w:szCs w:val="24"/>
          <w:highlight w:val="none"/>
          <w:lang w:eastAsia="zh-CN"/>
        </w:rPr>
        <w:t>经济赔偿责任。</w:t>
      </w:r>
    </w:p>
    <w:p w14:paraId="027FC2BD">
      <w:pPr>
        <w:kinsoku/>
        <w:spacing w:before="0"/>
        <w:ind w:left="0" w:right="0" w:firstLine="0"/>
        <w:rPr>
          <w:rFonts w:cs="宋体"/>
          <w:color w:val="auto"/>
          <w:spacing w:val="0"/>
          <w:szCs w:val="24"/>
          <w:highlight w:val="none"/>
          <w:lang w:eastAsia="zh-CN"/>
        </w:rPr>
      </w:pPr>
      <w:r>
        <w:rPr>
          <w:rFonts w:cs="宋体"/>
          <w:color w:val="auto"/>
          <w:spacing w:val="0"/>
          <w:position w:val="0"/>
          <w:szCs w:val="24"/>
          <w:highlight w:val="none"/>
          <w:lang w:eastAsia="zh-CN"/>
        </w:rPr>
        <w:t>本合同正本一式二份，副本八份，合同双方各执正本一份，副本四份。由双方法</w:t>
      </w:r>
      <w:r>
        <w:rPr>
          <w:rFonts w:cs="宋体"/>
          <w:color w:val="auto"/>
          <w:spacing w:val="0"/>
          <w:szCs w:val="24"/>
          <w:highlight w:val="none"/>
          <w:lang w:eastAsia="zh-CN"/>
        </w:rPr>
        <w:t>定代表人或其授权的代理人签署与加盖公章后生效，全部工程竣工验收后失效。</w:t>
      </w:r>
    </w:p>
    <w:p w14:paraId="497182CE">
      <w:pPr>
        <w:kinsoku/>
        <w:spacing w:before="0" w:beforeLines="0" w:afterLines="0"/>
        <w:ind w:left="0" w:firstLine="420"/>
        <w:jc w:val="left"/>
        <w:rPr>
          <w:rFonts w:cs="宋体"/>
          <w:color w:val="auto"/>
          <w:szCs w:val="24"/>
          <w:highlight w:val="none"/>
          <w:lang w:eastAsia="zh-CN"/>
        </w:rPr>
      </w:pPr>
    </w:p>
    <w:p w14:paraId="16C7CA2A">
      <w:pPr>
        <w:pStyle w:val="7"/>
        <w:kinsoku/>
        <w:spacing w:beforeLines="0" w:afterLines="0"/>
        <w:ind w:firstLine="420"/>
        <w:jc w:val="left"/>
        <w:rPr>
          <w:color w:val="auto"/>
          <w:highlight w:val="none"/>
          <w:lang w:eastAsia="zh-CN"/>
        </w:rPr>
      </w:pPr>
    </w:p>
    <w:p w14:paraId="62D0B0F4">
      <w:pPr>
        <w:pStyle w:val="7"/>
        <w:kinsoku/>
        <w:spacing w:beforeLines="0" w:afterLines="0"/>
        <w:ind w:firstLine="420"/>
        <w:jc w:val="left"/>
        <w:rPr>
          <w:color w:val="auto"/>
          <w:highlight w:val="none"/>
          <w:lang w:eastAsia="zh-CN"/>
        </w:rPr>
      </w:pPr>
    </w:p>
    <w:p w14:paraId="27A45CF0">
      <w:pPr>
        <w:kinsoku/>
        <w:spacing w:before="0" w:beforeLines="0" w:afterLines="0"/>
        <w:ind w:left="0" w:firstLine="420"/>
        <w:jc w:val="left"/>
        <w:rPr>
          <w:rFonts w:cs="宋体"/>
          <w:color w:val="auto"/>
          <w:szCs w:val="24"/>
          <w:highlight w:val="none"/>
          <w:u w:val="none"/>
          <w:lang w:eastAsia="zh-CN"/>
        </w:rPr>
      </w:pPr>
      <w:r>
        <w:rPr>
          <w:rFonts w:cs="宋体"/>
          <w:color w:val="auto"/>
          <w:spacing w:val="0"/>
          <w:szCs w:val="24"/>
          <w:highlight w:val="none"/>
          <w:u w:val="none"/>
          <w:lang w:eastAsia="zh-CN"/>
        </w:rPr>
        <w:t>甲方</w:t>
      </w:r>
      <w:r>
        <w:rPr>
          <w:rFonts w:cs="宋体"/>
          <w:color w:val="auto"/>
          <w:szCs w:val="24"/>
          <w:highlight w:val="none"/>
          <w:u w:val="none"/>
          <w:lang w:eastAsia="zh-CN"/>
        </w:rPr>
        <w:t>：（</w:t>
      </w:r>
      <w:r>
        <w:rPr>
          <w:rFonts w:cs="宋体"/>
          <w:color w:val="auto"/>
          <w:spacing w:val="0"/>
          <w:szCs w:val="24"/>
          <w:highlight w:val="none"/>
          <w:u w:val="none"/>
          <w:lang w:eastAsia="zh-CN"/>
        </w:rPr>
        <w:t xml:space="preserve">盖单位章）                        </w:t>
      </w:r>
      <w:r>
        <w:rPr>
          <w:rFonts w:hint="eastAsia" w:cs="宋体"/>
          <w:color w:val="auto"/>
          <w:spacing w:val="0"/>
          <w:szCs w:val="24"/>
          <w:highlight w:val="none"/>
          <w:u w:val="none"/>
          <w:lang w:eastAsia="zh-CN"/>
        </w:rPr>
        <w:tab/>
      </w:r>
      <w:r>
        <w:rPr>
          <w:rFonts w:cs="宋体"/>
          <w:color w:val="auto"/>
          <w:spacing w:val="0"/>
          <w:szCs w:val="24"/>
          <w:highlight w:val="none"/>
          <w:u w:val="none"/>
          <w:lang w:eastAsia="zh-CN"/>
        </w:rPr>
        <w:t>乙方</w:t>
      </w:r>
      <w:r>
        <w:rPr>
          <w:rFonts w:cs="宋体"/>
          <w:color w:val="auto"/>
          <w:szCs w:val="24"/>
          <w:highlight w:val="none"/>
          <w:u w:val="none"/>
          <w:lang w:eastAsia="zh-CN"/>
        </w:rPr>
        <w:t>：（</w:t>
      </w:r>
      <w:r>
        <w:rPr>
          <w:rFonts w:cs="宋体"/>
          <w:color w:val="auto"/>
          <w:spacing w:val="0"/>
          <w:szCs w:val="24"/>
          <w:highlight w:val="none"/>
          <w:u w:val="none"/>
          <w:lang w:eastAsia="zh-CN"/>
        </w:rPr>
        <w:t>盖单位章）</w:t>
      </w:r>
    </w:p>
    <w:p w14:paraId="68ED2F75">
      <w:pPr>
        <w:kinsoku/>
        <w:spacing w:before="0" w:beforeLines="0" w:afterLines="0"/>
        <w:ind w:left="0" w:firstLine="420"/>
        <w:jc w:val="left"/>
        <w:rPr>
          <w:rFonts w:cs="宋体"/>
          <w:color w:val="auto"/>
          <w:szCs w:val="24"/>
          <w:highlight w:val="none"/>
          <w:u w:val="none"/>
          <w:lang w:eastAsia="zh-CN"/>
        </w:rPr>
      </w:pPr>
      <w:r>
        <w:rPr>
          <w:rFonts w:cs="宋体"/>
          <w:color w:val="auto"/>
          <w:spacing w:val="0"/>
          <w:szCs w:val="24"/>
          <w:highlight w:val="none"/>
          <w:u w:val="none"/>
          <w:lang w:eastAsia="zh-CN"/>
        </w:rPr>
        <w:t xml:space="preserve">法定代表人或其委托代理人：（签字）   </w:t>
      </w:r>
      <w:r>
        <w:rPr>
          <w:rFonts w:hint="eastAsia" w:cs="宋体"/>
          <w:color w:val="auto"/>
          <w:spacing w:val="0"/>
          <w:szCs w:val="24"/>
          <w:highlight w:val="none"/>
          <w:u w:val="none"/>
          <w:lang w:val="en-US" w:eastAsia="zh-CN"/>
        </w:rPr>
        <w:tab/>
      </w:r>
      <w:r>
        <w:rPr>
          <w:rFonts w:hint="eastAsia" w:cs="宋体"/>
          <w:color w:val="auto"/>
          <w:spacing w:val="0"/>
          <w:szCs w:val="24"/>
          <w:highlight w:val="none"/>
          <w:u w:val="none"/>
          <w:lang w:val="en-US" w:eastAsia="zh-CN"/>
        </w:rPr>
        <w:tab/>
      </w:r>
      <w:r>
        <w:rPr>
          <w:rFonts w:cs="宋体"/>
          <w:color w:val="auto"/>
          <w:spacing w:val="0"/>
          <w:szCs w:val="24"/>
          <w:highlight w:val="none"/>
          <w:u w:val="none"/>
          <w:lang w:eastAsia="zh-CN"/>
        </w:rPr>
        <w:t>法定代表人或其委托代理人：（签字）</w:t>
      </w:r>
    </w:p>
    <w:p w14:paraId="23A37FBE">
      <w:pPr>
        <w:tabs>
          <w:tab w:val="left" w:pos="2726"/>
        </w:tabs>
        <w:kinsoku/>
        <w:spacing w:before="0" w:beforeLines="0" w:afterLines="0"/>
        <w:ind w:left="0" w:firstLine="420"/>
        <w:jc w:val="left"/>
        <w:rPr>
          <w:rFonts w:cs="宋体"/>
          <w:color w:val="auto"/>
          <w:szCs w:val="24"/>
          <w:highlight w:val="none"/>
          <w:u w:val="none"/>
          <w:lang w:eastAsia="zh-CN"/>
        </w:rPr>
      </w:pPr>
      <w:r>
        <w:rPr>
          <w:rFonts w:hint="eastAsia" w:cs="宋体"/>
          <w:color w:val="auto"/>
          <w:szCs w:val="24"/>
          <w:highlight w:val="none"/>
          <w:u w:val="none"/>
          <w:lang w:eastAsia="zh-CN"/>
        </w:rPr>
        <w:t xml:space="preserve"> </w:t>
      </w:r>
      <w:r>
        <w:rPr>
          <w:rFonts w:hint="eastAsia" w:cs="宋体"/>
          <w:color w:val="auto"/>
          <w:szCs w:val="24"/>
          <w:highlight w:val="none"/>
          <w:u w:val="none"/>
          <w:lang w:val="en-US" w:eastAsia="zh-CN"/>
        </w:rPr>
        <w:t xml:space="preserve">   </w:t>
      </w:r>
      <w:r>
        <w:rPr>
          <w:rFonts w:cs="宋体"/>
          <w:color w:val="auto"/>
          <w:spacing w:val="0"/>
          <w:szCs w:val="24"/>
          <w:highlight w:val="none"/>
          <w:u w:val="none"/>
          <w:lang w:eastAsia="zh-CN"/>
        </w:rPr>
        <w:t>年</w:t>
      </w:r>
      <w:r>
        <w:rPr>
          <w:rFonts w:hint="eastAsia" w:cs="宋体"/>
          <w:color w:val="auto"/>
          <w:spacing w:val="0"/>
          <w:szCs w:val="24"/>
          <w:highlight w:val="none"/>
          <w:u w:val="none"/>
          <w:lang w:val="en-US" w:eastAsia="zh-CN"/>
        </w:rPr>
        <w:t xml:space="preserve">   </w:t>
      </w:r>
      <w:r>
        <w:rPr>
          <w:rFonts w:cs="宋体"/>
          <w:color w:val="auto"/>
          <w:spacing w:val="0"/>
          <w:szCs w:val="24"/>
          <w:highlight w:val="none"/>
          <w:u w:val="none"/>
          <w:lang w:eastAsia="zh-CN"/>
        </w:rPr>
        <w:t>月</w:t>
      </w:r>
      <w:r>
        <w:rPr>
          <w:rFonts w:hint="eastAsia" w:cs="宋体"/>
          <w:color w:val="auto"/>
          <w:spacing w:val="0"/>
          <w:szCs w:val="24"/>
          <w:highlight w:val="none"/>
          <w:u w:val="none"/>
          <w:lang w:eastAsia="zh-CN"/>
        </w:rPr>
        <w:t xml:space="preserve"> </w:t>
      </w:r>
      <w:r>
        <w:rPr>
          <w:rFonts w:hint="eastAsia" w:cs="宋体"/>
          <w:color w:val="auto"/>
          <w:spacing w:val="0"/>
          <w:szCs w:val="24"/>
          <w:highlight w:val="none"/>
          <w:u w:val="none"/>
          <w:lang w:val="en-US" w:eastAsia="zh-CN"/>
        </w:rPr>
        <w:t xml:space="preserve">   </w:t>
      </w:r>
      <w:r>
        <w:rPr>
          <w:rFonts w:cs="宋体"/>
          <w:color w:val="auto"/>
          <w:spacing w:val="0"/>
          <w:szCs w:val="24"/>
          <w:highlight w:val="none"/>
          <w:u w:val="none"/>
          <w:lang w:eastAsia="zh-CN"/>
        </w:rPr>
        <w:t>日                              年</w:t>
      </w:r>
      <w:r>
        <w:rPr>
          <w:rFonts w:hint="eastAsia" w:cs="宋体"/>
          <w:color w:val="auto"/>
          <w:spacing w:val="0"/>
          <w:szCs w:val="24"/>
          <w:highlight w:val="none"/>
          <w:u w:val="none"/>
          <w:lang w:val="en-US" w:eastAsia="zh-CN"/>
        </w:rPr>
        <w:t xml:space="preserve">    </w:t>
      </w:r>
      <w:r>
        <w:rPr>
          <w:rFonts w:cs="宋体"/>
          <w:color w:val="auto"/>
          <w:spacing w:val="0"/>
          <w:szCs w:val="24"/>
          <w:highlight w:val="none"/>
          <w:u w:val="none"/>
          <w:lang w:eastAsia="zh-CN"/>
        </w:rPr>
        <w:t>月</w:t>
      </w:r>
      <w:r>
        <w:rPr>
          <w:rFonts w:hint="eastAsia" w:cs="宋体"/>
          <w:color w:val="auto"/>
          <w:spacing w:val="0"/>
          <w:szCs w:val="24"/>
          <w:highlight w:val="none"/>
          <w:u w:val="none"/>
          <w:lang w:eastAsia="zh-CN"/>
        </w:rPr>
        <w:t xml:space="preserve"> </w:t>
      </w:r>
      <w:r>
        <w:rPr>
          <w:rFonts w:hint="eastAsia" w:cs="宋体"/>
          <w:color w:val="auto"/>
          <w:spacing w:val="0"/>
          <w:szCs w:val="24"/>
          <w:highlight w:val="none"/>
          <w:u w:val="none"/>
          <w:lang w:val="en-US" w:eastAsia="zh-CN"/>
        </w:rPr>
        <w:t xml:space="preserve">   </w:t>
      </w:r>
      <w:r>
        <w:rPr>
          <w:rFonts w:cs="宋体"/>
          <w:color w:val="auto"/>
          <w:spacing w:val="0"/>
          <w:szCs w:val="24"/>
          <w:highlight w:val="none"/>
          <w:u w:val="none"/>
          <w:lang w:eastAsia="zh-CN"/>
        </w:rPr>
        <w:t>日</w:t>
      </w:r>
    </w:p>
    <w:p w14:paraId="533F1025">
      <w:pPr>
        <w:kinsoku/>
        <w:spacing w:beforeLines="0" w:afterLines="0"/>
        <w:ind w:firstLine="420"/>
        <w:jc w:val="left"/>
        <w:rPr>
          <w:rFonts w:cs="宋体"/>
          <w:color w:val="auto"/>
          <w:szCs w:val="24"/>
          <w:highlight w:val="none"/>
          <w:lang w:eastAsia="zh-CN"/>
        </w:rPr>
      </w:pPr>
    </w:p>
    <w:p w14:paraId="713D5B83">
      <w:pPr>
        <w:kinsoku/>
        <w:spacing w:beforeLines="0" w:afterLines="0"/>
        <w:ind w:firstLine="420"/>
        <w:jc w:val="left"/>
        <w:rPr>
          <w:rFonts w:cs="宋体"/>
          <w:color w:val="auto"/>
          <w:szCs w:val="24"/>
          <w:highlight w:val="none"/>
          <w:lang w:eastAsia="zh-CN"/>
        </w:rPr>
      </w:pPr>
    </w:p>
    <w:p w14:paraId="17C5A043">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0F6B5739">
      <w:pPr>
        <w:pStyle w:val="4"/>
        <w:kinsoku/>
        <w:spacing w:beforeLines="0" w:afterLines="0"/>
        <w:outlineLvl w:val="2"/>
        <w:rPr>
          <w:rFonts w:hint="eastAsia" w:ascii="宋体" w:eastAsia="宋体" w:cs="宋体"/>
          <w:b/>
          <w:bCs/>
          <w:color w:val="auto"/>
          <w:sz w:val="24"/>
          <w:szCs w:val="24"/>
          <w:highlight w:val="none"/>
          <w:lang w:eastAsia="zh-CN"/>
        </w:rPr>
      </w:pPr>
      <w:bookmarkStart w:id="1495" w:name="_Toc14571"/>
      <w:bookmarkStart w:id="1496" w:name="_Toc15394"/>
      <w:bookmarkStart w:id="1497" w:name="_Toc9820"/>
      <w:bookmarkStart w:id="1498" w:name="_Toc12668"/>
      <w:bookmarkStart w:id="1499" w:name="_Toc2042"/>
      <w:bookmarkStart w:id="1500" w:name="_Toc405968565"/>
      <w:bookmarkStart w:id="1501" w:name="_Toc517531946"/>
      <w:bookmarkStart w:id="1502" w:name="_Toc517530670"/>
      <w:bookmarkStart w:id="1503" w:name="_Toc517529708"/>
      <w:bookmarkStart w:id="1504" w:name="_Toc517528615"/>
      <w:r>
        <w:rPr>
          <w:rFonts w:hint="eastAsia" w:eastAsia="宋体" w:cs="宋体"/>
          <w:b/>
          <w:bCs/>
          <w:color w:val="auto"/>
          <w:sz w:val="24"/>
          <w:szCs w:val="24"/>
          <w:highlight w:val="none"/>
          <w:lang w:eastAsia="zh-CN"/>
        </w:rPr>
        <w:t>附件五</w:t>
      </w:r>
      <w:r>
        <w:rPr>
          <w:rFonts w:hint="eastAsia" w:cs="宋体"/>
          <w:b/>
          <w:bCs/>
          <w:color w:val="auto"/>
          <w:sz w:val="24"/>
          <w:szCs w:val="24"/>
          <w:highlight w:val="none"/>
          <w:lang w:eastAsia="zh-CN"/>
        </w:rPr>
        <w:t>　</w:t>
      </w:r>
      <w:r>
        <w:rPr>
          <w:rStyle w:val="41"/>
          <w:rFonts w:hint="eastAsia" w:eastAsia="宋体" w:cs="宋体"/>
          <w:b/>
          <w:bCs/>
          <w:color w:val="auto"/>
          <w:sz w:val="24"/>
          <w:szCs w:val="24"/>
          <w:highlight w:val="none"/>
          <w:lang w:eastAsia="zh-CN"/>
        </w:rPr>
        <w:t>预付款</w:t>
      </w:r>
      <w:r>
        <w:rPr>
          <w:rFonts w:hint="eastAsia" w:eastAsia="宋体" w:cs="宋体"/>
          <w:b/>
          <w:bCs/>
          <w:color w:val="auto"/>
          <w:sz w:val="24"/>
          <w:szCs w:val="24"/>
          <w:highlight w:val="none"/>
          <w:lang w:eastAsia="zh-CN"/>
        </w:rPr>
        <w:t>担保（格式</w:t>
      </w:r>
      <w:r>
        <w:rPr>
          <w:rFonts w:hint="eastAsia" w:ascii="宋体" w:eastAsia="宋体" w:cs="宋体"/>
          <w:b/>
          <w:bCs/>
          <w:color w:val="auto"/>
          <w:sz w:val="24"/>
          <w:szCs w:val="24"/>
          <w:highlight w:val="none"/>
          <w:lang w:eastAsia="zh-CN"/>
        </w:rPr>
        <w:t>）</w:t>
      </w:r>
      <w:bookmarkEnd w:id="1495"/>
      <w:bookmarkEnd w:id="1496"/>
      <w:bookmarkEnd w:id="1497"/>
      <w:bookmarkEnd w:id="1498"/>
    </w:p>
    <w:bookmarkEnd w:id="1499"/>
    <w:p w14:paraId="6BF508FF">
      <w:pPr>
        <w:pStyle w:val="4"/>
        <w:kinsoku/>
        <w:wordWrap/>
        <w:spacing w:beforeLines="0" w:afterLines="0"/>
        <w:jc w:val="center"/>
        <w:rPr>
          <w:rFonts w:hint="eastAsia" w:cs="宋体"/>
          <w:bCs/>
          <w:color w:val="auto"/>
          <w:szCs w:val="24"/>
          <w:highlight w:val="none"/>
          <w:lang w:eastAsia="zh-CN"/>
        </w:rPr>
      </w:pPr>
      <w:bookmarkStart w:id="1505" w:name="_Toc5108"/>
      <w:bookmarkStart w:id="1506" w:name="_Toc15025"/>
      <w:bookmarkStart w:id="1507" w:name="_Toc4493"/>
      <w:r>
        <w:rPr>
          <w:rFonts w:hint="eastAsia" w:cs="宋体"/>
          <w:bCs/>
          <w:color w:val="auto"/>
          <w:szCs w:val="24"/>
          <w:highlight w:val="none"/>
          <w:lang w:eastAsia="zh-CN"/>
        </w:rPr>
        <w:t>预付款保函</w:t>
      </w:r>
      <w:bookmarkEnd w:id="1505"/>
      <w:bookmarkEnd w:id="1506"/>
      <w:bookmarkEnd w:id="1507"/>
    </w:p>
    <w:p w14:paraId="08CCD213">
      <w:pPr>
        <w:kinsoku/>
        <w:wordWrap w:val="0"/>
        <w:spacing w:beforeLines="0" w:afterLines="0"/>
        <w:ind w:left="6000" w:leftChars="2500" w:firstLine="420"/>
        <w:jc w:val="left"/>
        <w:rPr>
          <w:color w:val="auto"/>
          <w:highlight w:val="none"/>
          <w:lang w:eastAsia="zh-CN"/>
        </w:rPr>
      </w:pPr>
      <w:r>
        <w:rPr>
          <w:rFonts w:hint="eastAsia"/>
          <w:color w:val="auto"/>
          <w:highlight w:val="none"/>
          <w:lang w:eastAsia="zh-CN"/>
        </w:rPr>
        <w:t xml:space="preserve">编号： </w:t>
      </w:r>
      <w:r>
        <w:rPr>
          <w:color w:val="auto"/>
          <w:highlight w:val="none"/>
          <w:lang w:eastAsia="zh-CN"/>
        </w:rPr>
        <w:t xml:space="preserve">          </w:t>
      </w:r>
    </w:p>
    <w:p w14:paraId="6A28AAF8">
      <w:pPr>
        <w:kinsoku/>
        <w:spacing w:beforeLines="0" w:afterLines="0"/>
        <w:ind w:firstLine="0" w:firstLineChars="0"/>
        <w:jc w:val="left"/>
        <w:rPr>
          <w:color w:val="auto"/>
          <w:highlight w:val="none"/>
          <w:lang w:eastAsia="zh-CN"/>
        </w:rPr>
      </w:pPr>
      <w:r>
        <w:rPr>
          <w:rFonts w:hint="eastAsia"/>
          <w:color w:val="auto"/>
          <w:highlight w:val="none"/>
          <w:lang w:eastAsia="zh-CN"/>
        </w:rPr>
        <w:t>申请人：</w:t>
      </w:r>
    </w:p>
    <w:p w14:paraId="7CAB82BD">
      <w:pPr>
        <w:kinsoku/>
        <w:spacing w:beforeLines="0" w:afterLines="0"/>
        <w:ind w:firstLine="0" w:firstLineChars="0"/>
        <w:jc w:val="left"/>
        <w:rPr>
          <w:color w:val="auto"/>
          <w:highlight w:val="none"/>
          <w:lang w:eastAsia="zh-CN"/>
        </w:rPr>
      </w:pPr>
      <w:r>
        <w:rPr>
          <w:rFonts w:hint="eastAsia"/>
          <w:color w:val="auto"/>
          <w:highlight w:val="none"/>
          <w:lang w:eastAsia="zh-CN"/>
        </w:rPr>
        <w:t>地址：</w:t>
      </w:r>
    </w:p>
    <w:p w14:paraId="2A574FBA">
      <w:pPr>
        <w:kinsoku/>
        <w:spacing w:beforeLines="0" w:afterLines="0"/>
        <w:ind w:firstLine="0" w:firstLineChars="0"/>
        <w:jc w:val="left"/>
        <w:rPr>
          <w:color w:val="auto"/>
          <w:highlight w:val="none"/>
          <w:lang w:eastAsia="zh-CN"/>
        </w:rPr>
      </w:pPr>
      <w:r>
        <w:rPr>
          <w:rFonts w:hint="eastAsia"/>
          <w:color w:val="auto"/>
          <w:highlight w:val="none"/>
          <w:lang w:eastAsia="zh-CN"/>
        </w:rPr>
        <w:t>受益人：</w:t>
      </w:r>
    </w:p>
    <w:p w14:paraId="71A93BB3">
      <w:pPr>
        <w:kinsoku/>
        <w:spacing w:beforeLines="0" w:afterLines="0"/>
        <w:ind w:firstLine="0" w:firstLineChars="0"/>
        <w:jc w:val="left"/>
        <w:rPr>
          <w:color w:val="auto"/>
          <w:highlight w:val="none"/>
          <w:lang w:eastAsia="zh-CN"/>
        </w:rPr>
      </w:pPr>
      <w:r>
        <w:rPr>
          <w:rFonts w:hint="eastAsia"/>
          <w:color w:val="auto"/>
          <w:highlight w:val="none"/>
          <w:lang w:eastAsia="zh-CN"/>
        </w:rPr>
        <w:t>地址：</w:t>
      </w:r>
    </w:p>
    <w:p w14:paraId="720CBB01">
      <w:pPr>
        <w:kinsoku/>
        <w:spacing w:beforeLines="0" w:afterLines="0"/>
        <w:ind w:firstLine="0" w:firstLineChars="0"/>
        <w:jc w:val="left"/>
        <w:rPr>
          <w:color w:val="auto"/>
          <w:highlight w:val="none"/>
          <w:lang w:eastAsia="zh-CN"/>
        </w:rPr>
      </w:pPr>
      <w:r>
        <w:rPr>
          <w:rFonts w:hint="eastAsia"/>
          <w:color w:val="auto"/>
          <w:highlight w:val="none"/>
          <w:lang w:eastAsia="zh-CN"/>
        </w:rPr>
        <w:t>开立人：</w:t>
      </w:r>
    </w:p>
    <w:p w14:paraId="59F9E580">
      <w:pPr>
        <w:kinsoku/>
        <w:spacing w:beforeLines="0" w:afterLines="0"/>
        <w:ind w:firstLine="0" w:firstLineChars="0"/>
        <w:jc w:val="left"/>
        <w:rPr>
          <w:color w:val="auto"/>
          <w:highlight w:val="none"/>
          <w:lang w:eastAsia="zh-CN"/>
        </w:rPr>
      </w:pPr>
      <w:r>
        <w:rPr>
          <w:rFonts w:hint="eastAsia"/>
          <w:color w:val="auto"/>
          <w:highlight w:val="none"/>
          <w:lang w:eastAsia="zh-CN"/>
        </w:rPr>
        <w:t>地址：</w:t>
      </w:r>
    </w:p>
    <w:p w14:paraId="73ED9016">
      <w:pPr>
        <w:kinsoku/>
        <w:spacing w:beforeLines="0" w:afterLines="0"/>
        <w:ind w:firstLine="0" w:firstLineChars="0"/>
        <w:jc w:val="left"/>
        <w:rPr>
          <w:color w:val="auto"/>
          <w:highlight w:val="none"/>
          <w:lang w:eastAsia="zh-CN"/>
        </w:rPr>
      </w:pPr>
      <w:r>
        <w:rPr>
          <w:rFonts w:hint="eastAsia"/>
          <w:color w:val="auto"/>
          <w:highlight w:val="none"/>
          <w:u w:val="single"/>
          <w:lang w:eastAsia="zh-CN"/>
        </w:rPr>
        <w:t xml:space="preserve">              </w:t>
      </w:r>
      <w:r>
        <w:rPr>
          <w:rFonts w:hint="eastAsia"/>
          <w:color w:val="auto"/>
          <w:highlight w:val="none"/>
          <w:lang w:eastAsia="zh-CN"/>
        </w:rPr>
        <w:t xml:space="preserve">（受益人名称）： </w:t>
      </w:r>
    </w:p>
    <w:p w14:paraId="2AC72F04">
      <w:pPr>
        <w:kinsoku/>
        <w:spacing w:beforeLines="0" w:afterLines="0"/>
        <w:ind w:firstLine="420"/>
        <w:jc w:val="left"/>
        <w:rPr>
          <w:color w:val="auto"/>
          <w:highlight w:val="none"/>
          <w:lang w:eastAsia="zh-CN"/>
        </w:rPr>
      </w:pPr>
    </w:p>
    <w:p w14:paraId="12F3A639">
      <w:pPr>
        <w:kinsoku/>
        <w:spacing w:beforeLines="0" w:afterLines="0"/>
        <w:ind w:firstLine="420"/>
        <w:jc w:val="left"/>
        <w:rPr>
          <w:color w:val="auto"/>
          <w:highlight w:val="none"/>
          <w:lang w:eastAsia="zh-CN"/>
        </w:rPr>
      </w:pPr>
      <w:r>
        <w:rPr>
          <w:rFonts w:hint="eastAsia"/>
          <w:color w:val="auto"/>
          <w:highlight w:val="none"/>
          <w:lang w:eastAsia="zh-CN"/>
        </w:rPr>
        <w:t>鉴于</w:t>
      </w:r>
      <w:r>
        <w:rPr>
          <w:rFonts w:hint="eastAsia"/>
          <w:color w:val="auto"/>
          <w:highlight w:val="none"/>
          <w:u w:val="single"/>
          <w:lang w:eastAsia="zh-CN"/>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    </w:t>
      </w:r>
      <w:r>
        <w:rPr>
          <w:rFonts w:hint="eastAsia"/>
          <w:color w:val="auto"/>
          <w:highlight w:val="none"/>
          <w:lang w:eastAsia="zh-CN"/>
        </w:rPr>
        <w:t>（以下简称“受益人”）与</w:t>
      </w:r>
      <w:r>
        <w:rPr>
          <w:rFonts w:hint="eastAsia"/>
          <w:color w:val="auto"/>
          <w:highlight w:val="none"/>
          <w:u w:val="single"/>
          <w:lang w:eastAsia="zh-CN"/>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   </w:t>
      </w:r>
      <w:r>
        <w:rPr>
          <w:rFonts w:hint="eastAsia"/>
          <w:color w:val="auto"/>
          <w:highlight w:val="none"/>
          <w:lang w:eastAsia="zh-CN"/>
        </w:rPr>
        <w:t>（以下简称“申请人”）于</w:t>
      </w:r>
      <w:r>
        <w:rPr>
          <w:rFonts w:hint="eastAsia"/>
          <w:color w:val="auto"/>
          <w:highlight w:val="none"/>
          <w:u w:val="single"/>
          <w:lang w:eastAsia="zh-CN"/>
        </w:rPr>
        <w:t xml:space="preserve">     </w:t>
      </w:r>
      <w:r>
        <w:rPr>
          <w:rFonts w:hint="eastAsia"/>
          <w:color w:val="auto"/>
          <w:highlight w:val="none"/>
          <w:lang w:eastAsia="zh-CN"/>
        </w:rPr>
        <w:t>年</w:t>
      </w:r>
      <w:r>
        <w:rPr>
          <w:rFonts w:hint="eastAsia"/>
          <w:color w:val="auto"/>
          <w:highlight w:val="none"/>
          <w:u w:val="single"/>
          <w:lang w:eastAsia="zh-CN"/>
        </w:rPr>
        <w:t xml:space="preserve">   </w:t>
      </w:r>
      <w:r>
        <w:rPr>
          <w:rFonts w:hint="eastAsia"/>
          <w:color w:val="auto"/>
          <w:highlight w:val="none"/>
          <w:lang w:eastAsia="zh-CN"/>
        </w:rPr>
        <w:t>月</w:t>
      </w:r>
      <w:r>
        <w:rPr>
          <w:rFonts w:hint="eastAsia"/>
          <w:color w:val="auto"/>
          <w:highlight w:val="none"/>
          <w:u w:val="single"/>
          <w:lang w:eastAsia="zh-CN"/>
        </w:rPr>
        <w:t xml:space="preserve">     </w:t>
      </w:r>
      <w:r>
        <w:rPr>
          <w:rFonts w:hint="eastAsia"/>
          <w:color w:val="auto"/>
          <w:highlight w:val="none"/>
          <w:lang w:eastAsia="zh-CN"/>
        </w:rPr>
        <w:t>日就</w:t>
      </w:r>
      <w:r>
        <w:rPr>
          <w:rFonts w:hint="eastAsia"/>
          <w:color w:val="auto"/>
          <w:highlight w:val="none"/>
          <w:u w:val="single"/>
          <w:lang w:eastAsia="zh-CN"/>
        </w:rPr>
        <w:t xml:space="preserve">                 </w:t>
      </w:r>
      <w:r>
        <w:rPr>
          <w:rFonts w:hint="eastAsia"/>
          <w:color w:val="auto"/>
          <w:highlight w:val="none"/>
          <w:lang w:eastAsia="zh-CN"/>
        </w:rPr>
        <w:t>工程（以下简称“本工程”）施工和有关事项协商一致共同签订</w:t>
      </w:r>
      <w:r>
        <w:rPr>
          <w:rFonts w:hint="eastAsia"/>
          <w:color w:val="auto"/>
          <w:highlight w:val="none"/>
          <w:u w:val="single"/>
          <w:lang w:eastAsia="zh-CN"/>
        </w:rPr>
        <w:t>《               》</w:t>
      </w:r>
      <w:r>
        <w:rPr>
          <w:rFonts w:hint="eastAsia"/>
          <w:color w:val="auto"/>
          <w:highlight w:val="none"/>
          <w:lang w:eastAsia="zh-CN"/>
        </w:rPr>
        <w:t>（以下简称“基础合同”），我方（即“开立人”）根据主合同了解到申请人为主合同项下之承包人，受益人为主合同项下之发包人，基于申请人的请求，</w:t>
      </w:r>
    </w:p>
    <w:p w14:paraId="46BBE227">
      <w:pPr>
        <w:kinsoku/>
        <w:spacing w:beforeLines="0" w:afterLines="0"/>
        <w:ind w:firstLine="420"/>
        <w:jc w:val="left"/>
        <w:rPr>
          <w:color w:val="auto"/>
          <w:highlight w:val="none"/>
          <w:lang w:eastAsia="zh-CN"/>
        </w:rPr>
      </w:pPr>
      <w:r>
        <w:rPr>
          <w:rFonts w:hint="eastAsia"/>
          <w:color w:val="auto"/>
          <w:highlight w:val="none"/>
          <w:lang w:eastAsia="zh-CN"/>
        </w:rPr>
        <w:t xml:space="preserve">我方同意就申请人按照合同约定正确和合理地为合同目的使用预付款，向贵方提供不可撤销、不可转让的见索即付独立保函（以下简称“本保函”）。 </w:t>
      </w:r>
    </w:p>
    <w:p w14:paraId="141FD3EC">
      <w:pPr>
        <w:kinsoku/>
        <w:spacing w:beforeLines="0" w:afterLines="0"/>
        <w:ind w:firstLine="420"/>
        <w:jc w:val="left"/>
        <w:rPr>
          <w:color w:val="auto"/>
          <w:highlight w:val="none"/>
          <w:lang w:eastAsia="zh-CN"/>
        </w:rPr>
      </w:pPr>
      <w:r>
        <w:rPr>
          <w:rFonts w:hint="eastAsia"/>
          <w:color w:val="auto"/>
          <w:highlight w:val="none"/>
          <w:lang w:eastAsia="zh-CN"/>
        </w:rPr>
        <w:t>一、本保函担保范围：申请人未按照合同约定正确和合理地为合同目的使用预付款，应当向贵方承担的违约责任和赔偿因此造成的损失、利息、律师费、诉讼费用等实现债权的费用。</w:t>
      </w:r>
    </w:p>
    <w:p w14:paraId="45F8E24D">
      <w:pPr>
        <w:kinsoku/>
        <w:spacing w:beforeLines="0" w:afterLines="0"/>
        <w:ind w:firstLine="420"/>
        <w:jc w:val="left"/>
        <w:rPr>
          <w:color w:val="auto"/>
          <w:highlight w:val="none"/>
          <w:lang w:eastAsia="zh-CN"/>
        </w:rPr>
      </w:pPr>
      <w:r>
        <w:rPr>
          <w:rFonts w:hint="eastAsia"/>
          <w:color w:val="auto"/>
          <w:highlight w:val="none"/>
          <w:lang w:eastAsia="zh-CN"/>
        </w:rPr>
        <w:t>二、本保函担保金额最高不超过人民币（大写）</w:t>
      </w:r>
      <w:r>
        <w:rPr>
          <w:rFonts w:hint="eastAsia"/>
          <w:color w:val="auto"/>
          <w:highlight w:val="none"/>
          <w:u w:val="single"/>
          <w:lang w:eastAsia="zh-CN"/>
        </w:rPr>
        <w:t xml:space="preserve">          </w:t>
      </w:r>
      <w:r>
        <w:rPr>
          <w:rFonts w:hint="eastAsia"/>
          <w:color w:val="auto"/>
          <w:highlight w:val="none"/>
          <w:lang w:eastAsia="zh-CN"/>
        </w:rPr>
        <w:t>元（¥</w:t>
      </w:r>
      <w:r>
        <w:rPr>
          <w:rFonts w:hint="eastAsia"/>
          <w:color w:val="auto"/>
          <w:highlight w:val="none"/>
          <w:u w:val="single"/>
          <w:lang w:eastAsia="zh-CN"/>
        </w:rPr>
        <w:t xml:space="preserve">       </w:t>
      </w:r>
      <w:r>
        <w:rPr>
          <w:rFonts w:hint="eastAsia"/>
          <w:color w:val="auto"/>
          <w:highlight w:val="none"/>
          <w:lang w:eastAsia="zh-CN"/>
        </w:rPr>
        <w:t xml:space="preserve">）。 </w:t>
      </w:r>
    </w:p>
    <w:p w14:paraId="22A0E2F7">
      <w:pPr>
        <w:kinsoku/>
        <w:spacing w:beforeLines="0" w:afterLines="0"/>
        <w:ind w:firstLine="420"/>
        <w:jc w:val="left"/>
        <w:rPr>
          <w:color w:val="auto"/>
          <w:highlight w:val="none"/>
          <w:lang w:eastAsia="zh-CN"/>
        </w:rPr>
      </w:pPr>
      <w:r>
        <w:rPr>
          <w:rFonts w:hint="eastAsia"/>
          <w:color w:val="auto"/>
          <w:highlight w:val="none"/>
          <w:lang w:eastAsia="zh-CN"/>
        </w:rPr>
        <w:t>三、本保函有效期自开立之日起至发包人全额扣回预付款后</w:t>
      </w:r>
      <w:r>
        <w:rPr>
          <w:rFonts w:hint="eastAsia"/>
          <w:color w:val="auto"/>
          <w:highlight w:val="none"/>
          <w:u w:val="single"/>
          <w:lang w:eastAsia="zh-CN"/>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  </w:t>
      </w:r>
      <w:r>
        <w:rPr>
          <w:rFonts w:hint="eastAsia"/>
          <w:color w:val="auto"/>
          <w:highlight w:val="none"/>
          <w:lang w:eastAsia="zh-CN"/>
        </w:rPr>
        <w:t>日止，最迟不超过</w:t>
      </w:r>
      <w:r>
        <w:rPr>
          <w:rFonts w:hint="eastAsia"/>
          <w:color w:val="auto"/>
          <w:highlight w:val="none"/>
          <w:u w:val="single"/>
          <w:lang w:eastAsia="zh-CN"/>
        </w:rPr>
        <w:t xml:space="preserve">    </w:t>
      </w:r>
      <w:r>
        <w:rPr>
          <w:rFonts w:hint="eastAsia"/>
          <w:color w:val="auto"/>
          <w:highlight w:val="none"/>
          <w:lang w:eastAsia="zh-CN"/>
        </w:rPr>
        <w:t>年</w:t>
      </w:r>
      <w:r>
        <w:rPr>
          <w:rFonts w:hint="eastAsia"/>
          <w:color w:val="auto"/>
          <w:highlight w:val="none"/>
          <w:u w:val="single"/>
          <w:lang w:eastAsia="zh-CN"/>
        </w:rPr>
        <w:t xml:space="preserve">    </w:t>
      </w:r>
      <w:r>
        <w:rPr>
          <w:rFonts w:hint="eastAsia"/>
          <w:color w:val="auto"/>
          <w:highlight w:val="none"/>
          <w:lang w:eastAsia="zh-CN"/>
        </w:rPr>
        <w:t>月</w:t>
      </w:r>
      <w:r>
        <w:rPr>
          <w:rFonts w:hint="eastAsia"/>
          <w:color w:val="auto"/>
          <w:highlight w:val="none"/>
          <w:u w:val="single"/>
          <w:lang w:eastAsia="zh-CN"/>
        </w:rPr>
        <w:t xml:space="preserve">    </w:t>
      </w:r>
      <w:r>
        <w:rPr>
          <w:rFonts w:hint="eastAsia"/>
          <w:color w:val="auto"/>
          <w:highlight w:val="none"/>
          <w:lang w:eastAsia="zh-CN"/>
        </w:rPr>
        <w:t>日。</w:t>
      </w:r>
    </w:p>
    <w:p w14:paraId="3A815C48">
      <w:pPr>
        <w:kinsoku/>
        <w:spacing w:beforeLines="0" w:afterLines="0"/>
        <w:ind w:firstLine="420"/>
        <w:jc w:val="left"/>
        <w:rPr>
          <w:color w:val="auto"/>
          <w:highlight w:val="none"/>
          <w:lang w:eastAsia="zh-CN"/>
        </w:rPr>
      </w:pPr>
      <w:r>
        <w:rPr>
          <w:rFonts w:hint="eastAsia"/>
          <w:color w:val="auto"/>
          <w:highlight w:val="none"/>
          <w:lang w:eastAsia="zh-CN"/>
        </w:rPr>
        <w:t>四、我方承诺，在收到受益人发来的书面付款通知后的</w:t>
      </w:r>
      <w:r>
        <w:rPr>
          <w:rFonts w:hint="eastAsia"/>
          <w:color w:val="auto"/>
          <w:highlight w:val="none"/>
          <w:u w:val="single"/>
          <w:lang w:eastAsia="zh-CN"/>
        </w:rPr>
        <w:t xml:space="preserve">  </w:t>
      </w:r>
      <w:r>
        <w:rPr>
          <w:rFonts w:hint="eastAsia"/>
          <w:color w:val="auto"/>
          <w:highlight w:val="none"/>
          <w:lang w:eastAsia="zh-CN"/>
        </w:rPr>
        <w:t>日内无条件支付，前述书面付款通知即为付款要求之单据，且应满足以下要求：</w:t>
      </w:r>
    </w:p>
    <w:p w14:paraId="43682927">
      <w:pPr>
        <w:kinsoku/>
        <w:spacing w:beforeLines="0" w:afterLines="0"/>
        <w:ind w:firstLine="420"/>
        <w:jc w:val="left"/>
        <w:rPr>
          <w:color w:val="auto"/>
          <w:highlight w:val="none"/>
          <w:lang w:eastAsia="zh-CN"/>
        </w:rPr>
      </w:pPr>
      <w:r>
        <w:rPr>
          <w:rFonts w:hint="eastAsia"/>
          <w:color w:val="auto"/>
          <w:highlight w:val="none"/>
          <w:lang w:eastAsia="zh-CN"/>
        </w:rPr>
        <w:t>（1）付款通知到达的日期在本保函的有效期内；</w:t>
      </w:r>
    </w:p>
    <w:p w14:paraId="4657C54C">
      <w:pPr>
        <w:kinsoku/>
        <w:spacing w:beforeLines="0" w:afterLines="0"/>
        <w:ind w:firstLine="420"/>
        <w:jc w:val="left"/>
        <w:rPr>
          <w:color w:val="auto"/>
          <w:highlight w:val="none"/>
          <w:lang w:eastAsia="zh-CN"/>
        </w:rPr>
      </w:pPr>
      <w:r>
        <w:rPr>
          <w:rFonts w:hint="eastAsia"/>
          <w:color w:val="auto"/>
          <w:highlight w:val="none"/>
          <w:lang w:eastAsia="zh-CN"/>
        </w:rPr>
        <w:t>（2）载明要求支付的金额；</w:t>
      </w:r>
    </w:p>
    <w:p w14:paraId="5C9B0F1F">
      <w:pPr>
        <w:kinsoku/>
        <w:spacing w:beforeLines="0" w:afterLines="0"/>
        <w:ind w:firstLine="420"/>
        <w:jc w:val="left"/>
        <w:rPr>
          <w:color w:val="auto"/>
          <w:highlight w:val="none"/>
          <w:lang w:eastAsia="zh-CN"/>
        </w:rPr>
      </w:pPr>
      <w:r>
        <w:rPr>
          <w:rFonts w:hint="eastAsia"/>
          <w:color w:val="auto"/>
          <w:highlight w:val="none"/>
          <w:lang w:eastAsia="zh-CN"/>
        </w:rPr>
        <w:t>（3）载明申请人违反合同义务的条款和内容；</w:t>
      </w:r>
    </w:p>
    <w:p w14:paraId="667DB4FF">
      <w:pPr>
        <w:kinsoku/>
        <w:spacing w:beforeLines="0" w:afterLines="0"/>
        <w:ind w:firstLine="420"/>
        <w:jc w:val="left"/>
        <w:rPr>
          <w:color w:val="auto"/>
          <w:highlight w:val="none"/>
          <w:lang w:eastAsia="zh-CN"/>
        </w:rPr>
      </w:pPr>
      <w:r>
        <w:rPr>
          <w:rFonts w:hint="eastAsia"/>
          <w:color w:val="auto"/>
          <w:highlight w:val="none"/>
          <w:lang w:eastAsia="zh-CN"/>
        </w:rPr>
        <w:t>（4）声明不存在合同文件约定或我国法律规定免除申请人或开立人支付责任的情形；</w:t>
      </w:r>
    </w:p>
    <w:p w14:paraId="00D317D1">
      <w:pPr>
        <w:kinsoku/>
        <w:spacing w:beforeLines="0" w:afterLines="0"/>
        <w:ind w:firstLine="420"/>
        <w:jc w:val="left"/>
        <w:rPr>
          <w:color w:val="auto"/>
          <w:highlight w:val="none"/>
          <w:lang w:eastAsia="zh-CN"/>
        </w:rPr>
      </w:pPr>
      <w:r>
        <w:rPr>
          <w:rFonts w:hint="eastAsia"/>
          <w:color w:val="auto"/>
          <w:highlight w:val="none"/>
          <w:lang w:eastAsia="zh-CN"/>
        </w:rPr>
        <w:t>（5）付款通知应在本保函有效期内到达的地址是：             。</w:t>
      </w:r>
    </w:p>
    <w:p w14:paraId="106F05B9">
      <w:pPr>
        <w:kinsoku/>
        <w:spacing w:beforeLines="0" w:afterLines="0"/>
        <w:ind w:firstLine="420"/>
        <w:jc w:val="left"/>
        <w:rPr>
          <w:color w:val="auto"/>
          <w:highlight w:val="none"/>
          <w:lang w:eastAsia="zh-CN"/>
        </w:rPr>
      </w:pPr>
      <w:r>
        <w:rPr>
          <w:rFonts w:hint="eastAsia"/>
          <w:color w:val="auto"/>
          <w:highlight w:val="none"/>
          <w:lang w:eastAsia="zh-CN"/>
        </w:rPr>
        <w:t>受益人发出的书面付款通知应由其为鉴明受益人法定代表人（负责人）或授权代理人签字并加盖公章。</w:t>
      </w:r>
    </w:p>
    <w:p w14:paraId="24B7EB18">
      <w:pPr>
        <w:kinsoku/>
        <w:spacing w:beforeLines="0" w:afterLines="0"/>
        <w:ind w:firstLine="420"/>
        <w:jc w:val="left"/>
        <w:rPr>
          <w:color w:val="auto"/>
          <w:highlight w:val="none"/>
          <w:lang w:eastAsia="zh-CN"/>
        </w:rPr>
      </w:pPr>
      <w:r>
        <w:rPr>
          <w:rFonts w:hint="eastAsia"/>
          <w:color w:val="auto"/>
          <w:highlight w:val="none"/>
          <w:lang w:eastAsia="zh-CN"/>
        </w:rPr>
        <w:t xml:space="preserve">五、本保函项下的权利不得转让，不得设定担保。贵方未经我方书面同意转 让本保函或其项下任何权利，对我方不发生法律效力。 </w:t>
      </w:r>
    </w:p>
    <w:p w14:paraId="28014DC8">
      <w:pPr>
        <w:kinsoku/>
        <w:spacing w:beforeLines="0" w:afterLines="0"/>
        <w:ind w:firstLine="420"/>
        <w:rPr>
          <w:color w:val="auto"/>
          <w:highlight w:val="none"/>
          <w:lang w:eastAsia="zh-CN"/>
        </w:rPr>
      </w:pPr>
      <w:r>
        <w:rPr>
          <w:rFonts w:hint="eastAsia"/>
          <w:color w:val="auto"/>
          <w:highlight w:val="none"/>
          <w:lang w:eastAsia="zh-CN"/>
        </w:rPr>
        <w:t>六、与本保函有关的基础合同不成立、不生效、无效、被撤销、被解除，不影响本保函的独立有效。</w:t>
      </w:r>
    </w:p>
    <w:p w14:paraId="07D5F157">
      <w:pPr>
        <w:kinsoku/>
        <w:spacing w:beforeLines="0" w:afterLines="0"/>
        <w:ind w:firstLine="420"/>
        <w:rPr>
          <w:color w:val="auto"/>
          <w:highlight w:val="none"/>
          <w:lang w:eastAsia="zh-CN"/>
        </w:rPr>
      </w:pPr>
      <w:r>
        <w:rPr>
          <w:rFonts w:hint="eastAsia"/>
          <w:color w:val="auto"/>
          <w:highlight w:val="none"/>
          <w:lang w:eastAsia="zh-CN"/>
        </w:rPr>
        <w:t>七、贵方应在本保函到期后的七日内将本保函正本退回我方注销，但是不论贵方是否按此要求将本保函正本退回我方，我方在本保函项下的义务和责任均在保函有效期到期后自动消灭。</w:t>
      </w:r>
    </w:p>
    <w:p w14:paraId="52270D32">
      <w:pPr>
        <w:kinsoku/>
        <w:spacing w:beforeLines="0" w:afterLines="0"/>
        <w:ind w:firstLine="420"/>
        <w:jc w:val="left"/>
        <w:rPr>
          <w:color w:val="auto"/>
          <w:highlight w:val="none"/>
          <w:lang w:eastAsia="zh-CN"/>
        </w:rPr>
      </w:pPr>
      <w:r>
        <w:rPr>
          <w:rFonts w:hint="eastAsia"/>
          <w:color w:val="auto"/>
          <w:highlight w:val="none"/>
          <w:lang w:eastAsia="zh-CN"/>
        </w:rPr>
        <w:t xml:space="preserve">八、本保函适用的法律为中华人民共和国法律，争议裁判管辖地为中华人民共和国。 </w:t>
      </w:r>
    </w:p>
    <w:p w14:paraId="4D6C7729">
      <w:pPr>
        <w:kinsoku/>
        <w:spacing w:beforeLines="0" w:afterLines="0"/>
        <w:ind w:firstLine="420"/>
        <w:rPr>
          <w:color w:val="auto"/>
          <w:highlight w:val="none"/>
          <w:lang w:eastAsia="zh-CN"/>
        </w:rPr>
      </w:pPr>
      <w:r>
        <w:rPr>
          <w:rFonts w:hint="eastAsia"/>
          <w:color w:val="auto"/>
          <w:highlight w:val="none"/>
          <w:lang w:eastAsia="zh-CN"/>
        </w:rPr>
        <w:t>九、本保函自我方法定代表人或授权代表签字并加盖公章之日起生效。</w:t>
      </w:r>
    </w:p>
    <w:p w14:paraId="12514551">
      <w:pPr>
        <w:kinsoku/>
        <w:spacing w:beforeLines="0" w:afterLines="0"/>
        <w:ind w:firstLine="420"/>
        <w:jc w:val="left"/>
        <w:rPr>
          <w:color w:val="auto"/>
          <w:highlight w:val="none"/>
          <w:lang w:eastAsia="zh-CN"/>
        </w:rPr>
      </w:pPr>
    </w:p>
    <w:p w14:paraId="43100B47">
      <w:pPr>
        <w:kinsoku/>
        <w:spacing w:beforeLines="0" w:afterLines="0"/>
        <w:ind w:firstLine="420"/>
        <w:jc w:val="left"/>
        <w:rPr>
          <w:color w:val="auto"/>
          <w:highlight w:val="none"/>
          <w:lang w:eastAsia="zh-CN"/>
        </w:rPr>
      </w:pPr>
    </w:p>
    <w:p w14:paraId="404D86D3">
      <w:pPr>
        <w:kinsoku/>
        <w:spacing w:beforeLines="0" w:afterLines="0"/>
        <w:ind w:firstLine="420"/>
        <w:jc w:val="left"/>
        <w:rPr>
          <w:color w:val="auto"/>
          <w:highlight w:val="none"/>
          <w:lang w:eastAsia="zh-CN"/>
        </w:rPr>
      </w:pPr>
      <w:r>
        <w:rPr>
          <w:rFonts w:hint="eastAsia"/>
          <w:color w:val="auto"/>
          <w:highlight w:val="none"/>
          <w:lang w:eastAsia="zh-CN"/>
        </w:rPr>
        <w:t xml:space="preserve">开 立 人：                              （公章） </w:t>
      </w:r>
    </w:p>
    <w:p w14:paraId="39299A36">
      <w:pPr>
        <w:kinsoku/>
        <w:spacing w:beforeLines="0" w:afterLines="0"/>
        <w:ind w:firstLine="420"/>
        <w:jc w:val="left"/>
        <w:rPr>
          <w:color w:val="auto"/>
          <w:highlight w:val="none"/>
          <w:lang w:eastAsia="zh-CN"/>
        </w:rPr>
      </w:pPr>
      <w:r>
        <w:rPr>
          <w:rFonts w:hint="eastAsia"/>
          <w:color w:val="auto"/>
          <w:highlight w:val="none"/>
          <w:lang w:eastAsia="zh-CN"/>
        </w:rPr>
        <w:t xml:space="preserve">法定代表人（或授权代表）：              （签字） </w:t>
      </w:r>
    </w:p>
    <w:p w14:paraId="60D5C207">
      <w:pPr>
        <w:kinsoku/>
        <w:spacing w:beforeLines="0" w:afterLines="0"/>
        <w:ind w:firstLine="420"/>
        <w:jc w:val="left"/>
        <w:rPr>
          <w:color w:val="auto"/>
          <w:highlight w:val="none"/>
          <w:lang w:eastAsia="zh-CN"/>
        </w:rPr>
      </w:pPr>
      <w:r>
        <w:rPr>
          <w:rFonts w:hint="eastAsia"/>
          <w:color w:val="auto"/>
          <w:highlight w:val="none"/>
          <w:lang w:eastAsia="zh-CN"/>
        </w:rPr>
        <w:t xml:space="preserve">地    址：                                       </w:t>
      </w:r>
    </w:p>
    <w:p w14:paraId="0A3DD753">
      <w:pPr>
        <w:kinsoku/>
        <w:spacing w:beforeLines="0" w:afterLines="0"/>
        <w:ind w:firstLine="420"/>
        <w:jc w:val="left"/>
        <w:rPr>
          <w:color w:val="auto"/>
          <w:highlight w:val="none"/>
          <w:lang w:eastAsia="zh-CN"/>
        </w:rPr>
      </w:pPr>
      <w:r>
        <w:rPr>
          <w:rFonts w:hint="eastAsia"/>
          <w:color w:val="auto"/>
          <w:highlight w:val="none"/>
          <w:lang w:eastAsia="zh-CN"/>
        </w:rPr>
        <w:t xml:space="preserve">邮政编码：                 </w:t>
      </w:r>
    </w:p>
    <w:p w14:paraId="56279E91">
      <w:pPr>
        <w:kinsoku/>
        <w:spacing w:beforeLines="0" w:afterLines="0"/>
        <w:ind w:firstLine="420"/>
        <w:jc w:val="left"/>
        <w:rPr>
          <w:color w:val="auto"/>
          <w:highlight w:val="none"/>
          <w:lang w:eastAsia="zh-CN"/>
        </w:rPr>
      </w:pPr>
      <w:r>
        <w:rPr>
          <w:rFonts w:hint="eastAsia"/>
          <w:color w:val="auto"/>
          <w:highlight w:val="none"/>
          <w:lang w:eastAsia="zh-CN"/>
        </w:rPr>
        <w:t xml:space="preserve">电    话：                 </w:t>
      </w:r>
    </w:p>
    <w:p w14:paraId="528B9A47">
      <w:pPr>
        <w:kinsoku/>
        <w:spacing w:beforeLines="0" w:afterLines="0"/>
        <w:ind w:firstLine="420"/>
        <w:jc w:val="left"/>
        <w:rPr>
          <w:color w:val="auto"/>
          <w:highlight w:val="none"/>
          <w:lang w:eastAsia="zh-CN"/>
        </w:rPr>
      </w:pPr>
      <w:r>
        <w:rPr>
          <w:rFonts w:hint="eastAsia"/>
          <w:color w:val="auto"/>
          <w:highlight w:val="none"/>
          <w:lang w:eastAsia="zh-CN"/>
        </w:rPr>
        <w:t xml:space="preserve">传    真：                 </w:t>
      </w:r>
    </w:p>
    <w:p w14:paraId="786A1FDD">
      <w:pPr>
        <w:kinsoku/>
        <w:spacing w:beforeLines="0" w:afterLines="0"/>
        <w:ind w:firstLine="420"/>
        <w:jc w:val="left"/>
        <w:rPr>
          <w:color w:val="auto"/>
          <w:highlight w:val="none"/>
          <w:lang w:eastAsia="zh-CN"/>
        </w:rPr>
      </w:pPr>
      <w:r>
        <w:rPr>
          <w:rFonts w:hint="eastAsia"/>
          <w:color w:val="auto"/>
          <w:highlight w:val="none"/>
          <w:lang w:eastAsia="zh-CN"/>
        </w:rPr>
        <w:t>开立时间：      年      月        日</w:t>
      </w:r>
    </w:p>
    <w:p w14:paraId="60DBAF3E">
      <w:pPr>
        <w:kinsoku/>
        <w:spacing w:beforeLines="0" w:afterLines="0"/>
        <w:ind w:firstLine="420"/>
        <w:jc w:val="left"/>
        <w:rPr>
          <w:color w:val="auto"/>
          <w:highlight w:val="none"/>
          <w:lang w:eastAsia="zh-CN"/>
        </w:rPr>
      </w:pPr>
    </w:p>
    <w:p w14:paraId="7E8294BA">
      <w:pPr>
        <w:kinsoku/>
        <w:spacing w:beforeLines="0" w:afterLines="0"/>
        <w:ind w:firstLine="420"/>
        <w:jc w:val="left"/>
        <w:rPr>
          <w:color w:val="auto"/>
          <w:highlight w:val="none"/>
          <w:lang w:eastAsia="zh-CN"/>
        </w:rPr>
      </w:pPr>
    </w:p>
    <w:p w14:paraId="18054A10">
      <w:pPr>
        <w:kinsoku/>
        <w:spacing w:beforeLines="0" w:afterLines="0"/>
        <w:ind w:firstLine="420"/>
        <w:jc w:val="left"/>
        <w:rPr>
          <w:color w:val="auto"/>
          <w:highlight w:val="none"/>
          <w:lang w:eastAsia="zh-CN"/>
        </w:rPr>
      </w:pPr>
    </w:p>
    <w:p w14:paraId="2A104AC5">
      <w:pPr>
        <w:kinsoku/>
        <w:spacing w:beforeLines="0" w:afterLines="0"/>
        <w:ind w:firstLine="420"/>
        <w:jc w:val="left"/>
        <w:rPr>
          <w:color w:val="auto"/>
          <w:highlight w:val="none"/>
          <w:lang w:eastAsia="zh-CN"/>
        </w:rPr>
      </w:pPr>
    </w:p>
    <w:p w14:paraId="1851A031">
      <w:pPr>
        <w:kinsoku/>
        <w:spacing w:beforeLines="0" w:afterLines="0"/>
        <w:ind w:firstLine="420"/>
        <w:jc w:val="left"/>
        <w:rPr>
          <w:color w:val="auto"/>
          <w:highlight w:val="none"/>
          <w:lang w:eastAsia="zh-CN"/>
        </w:rPr>
      </w:pPr>
    </w:p>
    <w:p w14:paraId="76842EB5">
      <w:pPr>
        <w:kinsoku/>
        <w:spacing w:before="0" w:line="240" w:lineRule="auto"/>
        <w:ind w:left="0"/>
        <w:outlineLvl w:val="9"/>
        <w:rPr>
          <w:rFonts w:cs="宋体"/>
          <w:b/>
          <w:bCs/>
          <w:color w:val="auto"/>
          <w:spacing w:val="0"/>
          <w:sz w:val="27"/>
          <w:szCs w:val="27"/>
          <w:highlight w:val="none"/>
          <w:lang w:eastAsia="zh-CN"/>
        </w:rPr>
      </w:pPr>
      <w:r>
        <w:rPr>
          <w:rFonts w:cs="宋体"/>
          <w:b/>
          <w:bCs/>
          <w:color w:val="auto"/>
          <w:spacing w:val="0"/>
          <w:sz w:val="27"/>
          <w:szCs w:val="27"/>
          <w:highlight w:val="none"/>
          <w:lang w:eastAsia="zh-CN"/>
        </w:rPr>
        <w:br w:type="page"/>
      </w:r>
    </w:p>
    <w:p w14:paraId="53AE4BBA">
      <w:pPr>
        <w:pStyle w:val="4"/>
        <w:kinsoku/>
        <w:spacing w:before="0" w:beforeLines="0" w:afterLines="0" w:line="336" w:lineRule="auto"/>
        <w:ind w:left="40"/>
        <w:outlineLvl w:val="2"/>
        <w:rPr>
          <w:rFonts w:cs="宋体"/>
          <w:bCs/>
          <w:color w:val="auto"/>
          <w:sz w:val="24"/>
          <w:szCs w:val="24"/>
          <w:highlight w:val="none"/>
          <w:lang w:eastAsia="zh-CN"/>
        </w:rPr>
      </w:pPr>
      <w:bookmarkStart w:id="1508" w:name="_Toc32434"/>
      <w:bookmarkStart w:id="1509" w:name="_Toc5853"/>
      <w:bookmarkStart w:id="1510" w:name="_Toc28709"/>
      <w:r>
        <w:rPr>
          <w:rFonts w:cs="宋体"/>
          <w:b/>
          <w:bCs/>
          <w:color w:val="auto"/>
          <w:spacing w:val="0"/>
          <w:sz w:val="24"/>
          <w:szCs w:val="24"/>
          <w:highlight w:val="none"/>
          <w:lang w:eastAsia="zh-CN"/>
        </w:rPr>
        <w:t>附件</w:t>
      </w:r>
      <w:r>
        <w:rPr>
          <w:rFonts w:hint="eastAsia" w:cs="宋体"/>
          <w:b/>
          <w:bCs/>
          <w:color w:val="auto"/>
          <w:spacing w:val="0"/>
          <w:sz w:val="24"/>
          <w:szCs w:val="24"/>
          <w:highlight w:val="none"/>
          <w:lang w:eastAsia="zh-CN"/>
        </w:rPr>
        <w:t>六</w:t>
      </w:r>
      <w:r>
        <w:rPr>
          <w:rFonts w:cs="宋体"/>
          <w:bCs/>
          <w:color w:val="auto"/>
          <w:spacing w:val="0"/>
          <w:sz w:val="24"/>
          <w:szCs w:val="24"/>
          <w:highlight w:val="none"/>
          <w:lang w:eastAsia="zh-CN"/>
        </w:rPr>
        <w:t xml:space="preserve">  </w:t>
      </w:r>
      <w:r>
        <w:rPr>
          <w:rFonts w:cs="宋体"/>
          <w:b/>
          <w:bCs/>
          <w:color w:val="auto"/>
          <w:spacing w:val="0"/>
          <w:sz w:val="24"/>
          <w:szCs w:val="24"/>
          <w:highlight w:val="none"/>
          <w:lang w:eastAsia="zh-CN"/>
        </w:rPr>
        <w:t>增发国债资金支付三方协议书（</w:t>
      </w:r>
      <w:r>
        <w:rPr>
          <w:rFonts w:hint="eastAsia" w:cs="宋体"/>
          <w:b/>
          <w:bCs/>
          <w:color w:val="auto"/>
          <w:spacing w:val="0"/>
          <w:sz w:val="24"/>
          <w:szCs w:val="24"/>
          <w:highlight w:val="none"/>
          <w:lang w:eastAsia="zh-CN"/>
        </w:rPr>
        <w:t>样版</w:t>
      </w:r>
      <w:r>
        <w:rPr>
          <w:rFonts w:cs="宋体"/>
          <w:b/>
          <w:bCs/>
          <w:color w:val="auto"/>
          <w:spacing w:val="0"/>
          <w:sz w:val="24"/>
          <w:szCs w:val="24"/>
          <w:highlight w:val="none"/>
          <w:lang w:eastAsia="zh-CN"/>
        </w:rPr>
        <w:t>）</w:t>
      </w:r>
      <w:bookmarkEnd w:id="1508"/>
      <w:bookmarkEnd w:id="1509"/>
      <w:bookmarkEnd w:id="1510"/>
    </w:p>
    <w:p w14:paraId="22D035BB">
      <w:pPr>
        <w:pStyle w:val="4"/>
        <w:kinsoku/>
        <w:spacing w:beforeLines="0" w:afterLines="0" w:line="336" w:lineRule="auto"/>
        <w:jc w:val="center"/>
        <w:rPr>
          <w:rFonts w:hint="eastAsia" w:cs="宋体"/>
          <w:bCs/>
          <w:color w:val="auto"/>
          <w:szCs w:val="24"/>
          <w:highlight w:val="none"/>
          <w:lang w:eastAsia="zh-CN"/>
        </w:rPr>
      </w:pPr>
      <w:bookmarkStart w:id="1511" w:name="_Toc14496"/>
      <w:bookmarkStart w:id="1512" w:name="_Toc16327"/>
      <w:bookmarkStart w:id="1513" w:name="_Toc19959"/>
      <w:r>
        <w:rPr>
          <w:rFonts w:hint="eastAsia" w:cs="宋体"/>
          <w:b/>
          <w:bCs/>
          <w:color w:val="auto"/>
          <w:spacing w:val="0"/>
          <w:szCs w:val="24"/>
          <w:highlight w:val="none"/>
          <w:lang w:eastAsia="zh-CN"/>
        </w:rPr>
        <w:t>增发国债资金支付三方协议书</w:t>
      </w:r>
      <w:bookmarkEnd w:id="1511"/>
      <w:bookmarkEnd w:id="1512"/>
      <w:bookmarkEnd w:id="1513"/>
    </w:p>
    <w:p w14:paraId="58292087">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甲方：浙江镜岭水库有限公司</w:t>
      </w:r>
    </w:p>
    <w:p w14:paraId="277A5BF9">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乙方：</w:t>
      </w:r>
    </w:p>
    <w:p w14:paraId="1ABDD418">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丙方：绍兴市镜岭水库建设运行中心</w:t>
      </w:r>
    </w:p>
    <w:p w14:paraId="4570F84F">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根据《财政部关于印发〈增发2023年国债资金管理办法〉的通知</w:t>
      </w:r>
      <w:r>
        <w:rPr>
          <w:rFonts w:hint="eastAsia" w:cs="宋体"/>
          <w:color w:val="auto"/>
          <w:spacing w:val="0"/>
          <w:szCs w:val="24"/>
          <w:highlight w:val="none"/>
          <w:lang w:eastAsia="zh-CN"/>
        </w:rPr>
        <w:t>》《</w:t>
      </w:r>
      <w:r>
        <w:rPr>
          <w:rFonts w:cs="宋体"/>
          <w:color w:val="auto"/>
          <w:spacing w:val="0"/>
          <w:szCs w:val="24"/>
          <w:highlight w:val="none"/>
          <w:lang w:eastAsia="zh-CN"/>
        </w:rPr>
        <w:t>财政部办公厅关于印发〈各地监管局开展增发国债资金监管工作方案〉的通知》要求，“严格遵守国库集中支付制度有关要求，将资金支付到最终收款人</w:t>
      </w:r>
      <w:r>
        <w:rPr>
          <w:rFonts w:hint="eastAsia" w:cs="宋体"/>
          <w:color w:val="auto"/>
          <w:spacing w:val="0"/>
          <w:szCs w:val="24"/>
          <w:highlight w:val="none"/>
          <w:lang w:eastAsia="zh-CN"/>
        </w:rPr>
        <w:t>”“</w:t>
      </w:r>
      <w:r>
        <w:rPr>
          <w:rFonts w:cs="宋体"/>
          <w:color w:val="auto"/>
          <w:spacing w:val="0"/>
          <w:szCs w:val="24"/>
          <w:highlight w:val="none"/>
          <w:lang w:eastAsia="zh-CN"/>
        </w:rPr>
        <w:t>不得违规将资金拨付至地方融资平台或中转支付到最终收款人”。甲、乙、丙三方，就《               》增发国债资金支付事项，经协商一致，签订本协议。</w:t>
      </w:r>
    </w:p>
    <w:p w14:paraId="584EFC18">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1.甲方按照项目实施中的合同约定，对乙方提供的要求进行资金支付相关材料进行审核，审核通过后，由丙方直接将增发国债资金支付至乙方指定账户。</w:t>
      </w:r>
    </w:p>
    <w:p w14:paraId="4792256D">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2.乙方应开具发票给甲方，开收款收据给丙方，直至增发国债资金使用完毕。</w:t>
      </w:r>
    </w:p>
    <w:p w14:paraId="2E93D5E9">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3.除本协议约定情形外，原合同其他内容不变。</w:t>
      </w:r>
    </w:p>
    <w:p w14:paraId="46EFBC3F">
      <w:pPr>
        <w:spacing w:before="0" w:beforeLines="0" w:afterLines="0" w:line="336" w:lineRule="auto"/>
        <w:ind w:firstLine="420"/>
        <w:jc w:val="left"/>
        <w:rPr>
          <w:rFonts w:cs="宋体"/>
          <w:color w:val="auto"/>
          <w:spacing w:val="0"/>
          <w:szCs w:val="24"/>
          <w:highlight w:val="none"/>
          <w:lang w:eastAsia="zh-CN"/>
        </w:rPr>
      </w:pPr>
      <w:r>
        <w:rPr>
          <w:rFonts w:cs="宋体"/>
          <w:color w:val="auto"/>
          <w:spacing w:val="0"/>
          <w:szCs w:val="24"/>
          <w:highlight w:val="none"/>
          <w:lang w:eastAsia="zh-CN"/>
        </w:rPr>
        <w:t>4.本协议壹式陆份，甲、乙、丙三方各执贰份，具有同等法律效力，自三方签字盖章之日起生效。本协议是原合同的组成部分。</w:t>
      </w:r>
    </w:p>
    <w:p w14:paraId="7CE2560A">
      <w:pPr>
        <w:spacing w:before="0" w:beforeLines="0" w:afterLines="0" w:line="336" w:lineRule="auto"/>
        <w:ind w:firstLine="420"/>
        <w:jc w:val="left"/>
        <w:rPr>
          <w:rFonts w:cs="宋体"/>
          <w:color w:val="auto"/>
          <w:spacing w:val="0"/>
          <w:szCs w:val="24"/>
          <w:highlight w:val="none"/>
          <w:lang w:eastAsia="zh-CN"/>
        </w:rPr>
      </w:pPr>
    </w:p>
    <w:p w14:paraId="049F1341">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（以下无正文）</w:t>
      </w:r>
    </w:p>
    <w:p w14:paraId="5A73D2D6">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甲方：</w:t>
      </w:r>
    </w:p>
    <w:p w14:paraId="19EA2A80">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法定代表人或授权代表：</w:t>
      </w:r>
    </w:p>
    <w:p w14:paraId="09B28945">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定代表人或授权代</w:t>
      </w:r>
    </w:p>
    <w:p w14:paraId="15441532">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乙方：</w:t>
      </w:r>
    </w:p>
    <w:p w14:paraId="4CADE0AF">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法定代表人或授权代表：</w:t>
      </w:r>
    </w:p>
    <w:p w14:paraId="22E20FCC">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定代表人或授权代表：</w:t>
      </w:r>
    </w:p>
    <w:p w14:paraId="21786D90">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丙方：</w:t>
      </w:r>
    </w:p>
    <w:p w14:paraId="5F15FA3F">
      <w:pPr>
        <w:spacing w:before="0" w:beforeLines="0" w:afterLines="0" w:line="336" w:lineRule="auto"/>
        <w:ind w:firstLine="420"/>
        <w:rPr>
          <w:rFonts w:cs="宋体"/>
          <w:color w:val="auto"/>
          <w:spacing w:val="0"/>
          <w:szCs w:val="24"/>
          <w:highlight w:val="none"/>
          <w:lang w:eastAsia="zh-CN"/>
        </w:rPr>
      </w:pPr>
      <w:r>
        <w:rPr>
          <w:rFonts w:cs="宋体"/>
          <w:color w:val="auto"/>
          <w:spacing w:val="0"/>
          <w:szCs w:val="24"/>
          <w:highlight w:val="none"/>
          <w:lang w:eastAsia="zh-CN"/>
        </w:rPr>
        <w:t>法定代表人或授权代表：</w:t>
      </w:r>
    </w:p>
    <w:p w14:paraId="1A5E1E70">
      <w:pPr>
        <w:spacing w:before="0" w:beforeLines="0" w:afterLines="0" w:line="336" w:lineRule="auto"/>
        <w:ind w:firstLine="420"/>
        <w:rPr>
          <w:rFonts w:hint="default" w:cs="宋体"/>
          <w:color w:val="auto"/>
          <w:spacing w:val="0"/>
          <w:szCs w:val="24"/>
          <w:highlight w:val="none"/>
          <w:lang w:val="en-US" w:eastAsia="zh-CN"/>
        </w:rPr>
      </w:pPr>
      <w:r>
        <w:rPr>
          <w:rFonts w:cs="宋体"/>
          <w:color w:val="auto"/>
          <w:spacing w:val="0"/>
          <w:szCs w:val="24"/>
          <w:highlight w:val="none"/>
          <w:lang w:eastAsia="zh-CN"/>
        </w:rPr>
        <w:t>定代表人或授权代</w:t>
      </w:r>
      <w:r>
        <w:rPr>
          <w:rFonts w:hint="eastAsia" w:cs="宋体"/>
          <w:color w:val="auto"/>
          <w:spacing w:val="0"/>
          <w:szCs w:val="24"/>
          <w:highlight w:val="none"/>
          <w:lang w:val="en-US" w:eastAsia="zh-CN"/>
        </w:rPr>
        <w:t>表</w:t>
      </w:r>
    </w:p>
    <w:p w14:paraId="45E10703">
      <w:pPr>
        <w:spacing w:before="0" w:beforeLines="0" w:afterLines="0" w:line="336" w:lineRule="auto"/>
        <w:ind w:left="0" w:firstLine="420"/>
        <w:jc w:val="both"/>
        <w:rPr>
          <w:rFonts w:cs="宋体"/>
          <w:color w:val="auto"/>
          <w:spacing w:val="0"/>
          <w:szCs w:val="24"/>
          <w:highlight w:val="none"/>
          <w:lang w:eastAsia="zh-CN"/>
        </w:rPr>
      </w:pPr>
      <w:r>
        <w:rPr>
          <w:rFonts w:cs="宋体"/>
          <w:color w:val="auto"/>
          <w:spacing w:val="0"/>
          <w:szCs w:val="24"/>
          <w:highlight w:val="none"/>
          <w:lang w:eastAsia="zh-CN"/>
        </w:rPr>
        <w:t>日期：    年     月    日</w:t>
      </w:r>
    </w:p>
    <w:p w14:paraId="4A107372">
      <w:pPr>
        <w:kinsoku/>
        <w:spacing w:beforeLines="0" w:afterLines="0"/>
        <w:ind w:firstLine="420"/>
        <w:jc w:val="left"/>
        <w:rPr>
          <w:color w:val="auto"/>
          <w:highlight w:val="none"/>
          <w:lang w:eastAsia="zh-CN"/>
        </w:rPr>
      </w:pPr>
    </w:p>
    <w:bookmarkEnd w:id="1500"/>
    <w:bookmarkEnd w:id="1501"/>
    <w:bookmarkEnd w:id="1502"/>
    <w:bookmarkEnd w:id="1503"/>
    <w:bookmarkEnd w:id="1504"/>
    <w:p w14:paraId="6A100130">
      <w:pPr>
        <w:kinsoku/>
        <w:spacing w:before="0" w:line="240" w:lineRule="auto"/>
        <w:ind w:left="0"/>
        <w:outlineLvl w:val="9"/>
        <w:rPr>
          <w:rFonts w:cs="宋体"/>
          <w:b/>
          <w:bCs/>
          <w:color w:val="auto"/>
          <w:spacing w:val="0"/>
          <w:sz w:val="36"/>
          <w:szCs w:val="36"/>
          <w:highlight w:val="none"/>
          <w:lang w:eastAsia="zh-CN"/>
        </w:rPr>
      </w:pPr>
      <w:bookmarkStart w:id="1514" w:name="_Toc1201"/>
      <w:r>
        <w:rPr>
          <w:rFonts w:cs="宋体"/>
          <w:b/>
          <w:bCs/>
          <w:color w:val="auto"/>
          <w:spacing w:val="0"/>
          <w:sz w:val="36"/>
          <w:szCs w:val="36"/>
          <w:highlight w:val="none"/>
          <w:lang w:eastAsia="zh-CN"/>
        </w:rPr>
        <w:br w:type="page"/>
      </w:r>
    </w:p>
    <w:p w14:paraId="2F9B2B44">
      <w:pPr>
        <w:pStyle w:val="2"/>
        <w:kinsoku/>
        <w:spacing w:before="71" w:beforeLines="0" w:afterLines="0" w:line="219" w:lineRule="auto"/>
        <w:ind w:left="0"/>
        <w:outlineLvl w:val="0"/>
        <w:rPr>
          <w:rFonts w:cs="宋体"/>
          <w:color w:val="auto"/>
          <w:sz w:val="32"/>
          <w:szCs w:val="32"/>
          <w:highlight w:val="none"/>
          <w:lang w:eastAsia="zh-CN"/>
        </w:rPr>
      </w:pPr>
      <w:bookmarkStart w:id="1515" w:name="_Toc9237"/>
      <w:bookmarkStart w:id="1516" w:name="_Toc12489"/>
      <w:bookmarkStart w:id="1517" w:name="_Toc13223"/>
      <w:bookmarkStart w:id="1518" w:name="_Toc9589"/>
      <w:bookmarkStart w:id="1519" w:name="_Toc26131"/>
      <w:bookmarkStart w:id="1520" w:name="_Toc2939"/>
      <w:bookmarkStart w:id="1521" w:name="_Toc20270"/>
      <w:bookmarkStart w:id="1522" w:name="_Toc785"/>
      <w:bookmarkStart w:id="1523" w:name="_Toc13098"/>
      <w:bookmarkStart w:id="1524" w:name="_Toc31223"/>
      <w:bookmarkStart w:id="1525" w:name="_Toc22762"/>
      <w:bookmarkStart w:id="1526" w:name="_Toc22485"/>
      <w:bookmarkStart w:id="1527" w:name="_Toc4259"/>
      <w:bookmarkStart w:id="1528" w:name="_Toc2797"/>
      <w:r>
        <w:rPr>
          <w:rStyle w:val="59"/>
          <w:rFonts w:cs="宋体"/>
          <w:b/>
          <w:bCs/>
          <w:color w:val="auto"/>
          <w:spacing w:val="-4"/>
          <w:sz w:val="32"/>
          <w:szCs w:val="32"/>
          <w:highlight w:val="none"/>
          <w:lang w:eastAsia="zh-CN"/>
        </w:rPr>
        <w:t>第五章</w:t>
      </w:r>
      <w:r>
        <w:rPr>
          <w:rStyle w:val="59"/>
          <w:rFonts w:cs="宋体"/>
          <w:b/>
          <w:color w:val="auto"/>
          <w:spacing w:val="-4"/>
          <w:sz w:val="32"/>
          <w:szCs w:val="32"/>
          <w:highlight w:val="none"/>
          <w:lang w:eastAsia="zh-CN"/>
        </w:rPr>
        <w:t xml:space="preserve"> </w:t>
      </w:r>
      <w:r>
        <w:rPr>
          <w:rStyle w:val="59"/>
          <w:rFonts w:hint="eastAsia" w:cs="宋体"/>
          <w:b/>
          <w:color w:val="auto"/>
          <w:spacing w:val="-4"/>
          <w:sz w:val="32"/>
          <w:szCs w:val="32"/>
          <w:highlight w:val="none"/>
          <w:lang w:val="en-US" w:eastAsia="zh-CN"/>
        </w:rPr>
        <w:t xml:space="preserve"> </w:t>
      </w:r>
      <w:r>
        <w:rPr>
          <w:rFonts w:cs="宋体"/>
          <w:b/>
          <w:bCs/>
          <w:color w:val="auto"/>
          <w:spacing w:val="0"/>
          <w:sz w:val="32"/>
          <w:szCs w:val="32"/>
          <w:highlight w:val="none"/>
          <w:lang w:eastAsia="zh-CN"/>
        </w:rPr>
        <w:t>工程量清单</w:t>
      </w:r>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p>
    <w:p w14:paraId="7266DBD7">
      <w:pPr>
        <w:kinsoku/>
        <w:autoSpaceDE w:val="0"/>
        <w:autoSpaceDN w:val="0"/>
        <w:adjustRightInd w:val="0"/>
        <w:snapToGrid w:val="0"/>
        <w:spacing w:beforeLines="0" w:afterLines="0" w:line="336" w:lineRule="auto"/>
        <w:ind w:firstLine="420"/>
        <w:jc w:val="left"/>
        <w:textAlignment w:val="baseline"/>
        <w:rPr>
          <w:rFonts w:ascii="Arial" w:hAnsi="Arial" w:cs="Arial"/>
          <w:color w:val="auto"/>
          <w:sz w:val="20"/>
          <w:szCs w:val="24"/>
          <w:highlight w:val="none"/>
          <w:lang w:eastAsia="en-US"/>
        </w:rPr>
      </w:pPr>
    </w:p>
    <w:p w14:paraId="41B5EE95">
      <w:pPr>
        <w:kinsoku/>
        <w:autoSpaceDE w:val="0"/>
        <w:autoSpaceDN w:val="0"/>
        <w:adjustRightInd w:val="0"/>
        <w:snapToGrid w:val="0"/>
        <w:spacing w:beforeLines="0" w:afterLines="0" w:line="336" w:lineRule="auto"/>
        <w:ind w:firstLine="420"/>
        <w:jc w:val="left"/>
        <w:textAlignment w:val="baseline"/>
        <w:rPr>
          <w:rFonts w:ascii="Arial" w:hAnsi="Arial" w:eastAsia="宋体" w:cs="Arial"/>
          <w:snapToGrid w:val="0"/>
          <w:color w:val="auto"/>
          <w:sz w:val="20"/>
          <w:szCs w:val="24"/>
          <w:highlight w:val="none"/>
          <w:lang w:val="en-US" w:eastAsia="en-US" w:bidi="ar-SA"/>
        </w:rPr>
      </w:pPr>
      <w:r>
        <w:rPr>
          <w:rFonts w:hint="default" w:ascii="Arial" w:hAnsi="Arial" w:eastAsia="宋体" w:cs="Arial"/>
          <w:snapToGrid w:val="0"/>
          <w:color w:val="auto"/>
          <w:sz w:val="20"/>
          <w:szCs w:val="24"/>
          <w:highlight w:val="none"/>
          <w:lang w:val="en-US" w:eastAsia="en-US" w:bidi="ar-SA"/>
        </w:rPr>
        <w:t>另册。</w:t>
      </w:r>
    </w:p>
    <w:p w14:paraId="63FC4562">
      <w:pPr>
        <w:kinsoku/>
        <w:autoSpaceDE w:val="0"/>
        <w:autoSpaceDN w:val="0"/>
        <w:adjustRightInd w:val="0"/>
        <w:snapToGrid w:val="0"/>
        <w:spacing w:beforeLines="0" w:afterLines="0" w:line="336" w:lineRule="auto"/>
        <w:ind w:firstLine="420"/>
        <w:jc w:val="left"/>
        <w:textAlignment w:val="baseline"/>
        <w:rPr>
          <w:rFonts w:ascii="Arial" w:hAnsi="Arial" w:cs="Arial"/>
          <w:strike/>
          <w:color w:val="auto"/>
          <w:sz w:val="20"/>
          <w:szCs w:val="24"/>
          <w:highlight w:val="none"/>
          <w:lang w:eastAsia="en-US"/>
        </w:rPr>
      </w:pPr>
    </w:p>
    <w:p w14:paraId="517ACA79">
      <w:pPr>
        <w:kinsoku/>
        <w:autoSpaceDE w:val="0"/>
        <w:autoSpaceDN w:val="0"/>
        <w:spacing w:before="0" w:beforeLines="0" w:afterLines="0" w:line="336" w:lineRule="auto"/>
        <w:ind w:left="0" w:firstLine="420"/>
        <w:jc w:val="left"/>
        <w:rPr>
          <w:rFonts w:ascii="Arial" w:hAnsi="Arial" w:cs="Arial"/>
          <w:color w:val="auto"/>
          <w:sz w:val="20"/>
          <w:szCs w:val="24"/>
          <w:highlight w:val="none"/>
          <w:lang w:eastAsia="en-US"/>
        </w:rPr>
      </w:pPr>
      <w:r>
        <w:rPr>
          <w:rFonts w:ascii="宋体" w:hAnsi="宋体" w:eastAsia="宋体" w:cs="Times New Roman"/>
          <w:strike/>
          <w:snapToGrid/>
          <w:color w:val="auto"/>
          <w:kern w:val="2"/>
          <w:highlight w:val="none"/>
          <w:lang w:eastAsia="zh-CN"/>
        </w:rPr>
        <w:br w:type="page"/>
      </w:r>
    </w:p>
    <w:p w14:paraId="31D3E8D7">
      <w:pPr>
        <w:kinsoku/>
        <w:autoSpaceDE w:val="0"/>
        <w:autoSpaceDN w:val="0"/>
        <w:spacing w:beforeLines="0" w:afterLines="0" w:line="336" w:lineRule="auto"/>
        <w:ind w:firstLine="420"/>
        <w:jc w:val="left"/>
        <w:rPr>
          <w:rFonts w:ascii="Arial" w:hAnsi="Arial" w:cs="Arial"/>
          <w:color w:val="auto"/>
          <w:sz w:val="20"/>
          <w:szCs w:val="24"/>
          <w:highlight w:val="none"/>
          <w:lang w:eastAsia="en-US"/>
        </w:rPr>
        <w:sectPr>
          <w:footerReference r:id="rId7" w:type="default"/>
          <w:pgSz w:w="11905" w:h="16840"/>
          <w:pgMar w:top="1616" w:right="1418" w:bottom="1616" w:left="1418" w:header="851" w:footer="1304" w:gutter="0"/>
          <w:pgNumType w:fmt="decimal"/>
          <w:cols w:space="720" w:num="1"/>
          <w:docGrid w:linePitch="381" w:charSpace="0"/>
        </w:sectPr>
      </w:pPr>
    </w:p>
    <w:p w14:paraId="4A7A3483">
      <w:pPr>
        <w:kinsoku/>
        <w:spacing w:line="360" w:lineRule="auto"/>
        <w:rPr>
          <w:color w:val="auto"/>
          <w:highlight w:val="none"/>
          <w:lang w:eastAsia="zh-CN"/>
        </w:rPr>
      </w:pPr>
      <w:bookmarkStart w:id="1529" w:name="_Toc10886"/>
      <w:bookmarkStart w:id="1530" w:name="_Toc7405"/>
      <w:bookmarkStart w:id="1531" w:name="_Toc8641"/>
    </w:p>
    <w:p w14:paraId="743D98CC">
      <w:pPr>
        <w:kinsoku/>
        <w:spacing w:line="360" w:lineRule="auto"/>
        <w:rPr>
          <w:color w:val="auto"/>
          <w:highlight w:val="none"/>
          <w:lang w:eastAsia="zh-CN"/>
        </w:rPr>
      </w:pPr>
    </w:p>
    <w:p w14:paraId="17F5EA78">
      <w:pPr>
        <w:kinsoku/>
        <w:spacing w:line="360" w:lineRule="auto"/>
        <w:rPr>
          <w:color w:val="auto"/>
          <w:highlight w:val="none"/>
          <w:lang w:eastAsia="zh-CN"/>
        </w:rPr>
      </w:pPr>
    </w:p>
    <w:p w14:paraId="64EAFE5A">
      <w:pPr>
        <w:kinsoku/>
        <w:spacing w:line="360" w:lineRule="auto"/>
        <w:rPr>
          <w:color w:val="auto"/>
          <w:highlight w:val="none"/>
          <w:lang w:eastAsia="zh-CN"/>
        </w:rPr>
      </w:pPr>
    </w:p>
    <w:p w14:paraId="46A07012">
      <w:pPr>
        <w:kinsoku/>
        <w:spacing w:line="360" w:lineRule="auto"/>
        <w:rPr>
          <w:color w:val="auto"/>
          <w:highlight w:val="none"/>
          <w:lang w:eastAsia="zh-CN"/>
        </w:rPr>
      </w:pPr>
    </w:p>
    <w:p w14:paraId="0A64EF54">
      <w:pPr>
        <w:kinsoku/>
        <w:spacing w:line="360" w:lineRule="auto"/>
        <w:rPr>
          <w:color w:val="auto"/>
          <w:highlight w:val="none"/>
          <w:lang w:eastAsia="zh-CN"/>
        </w:rPr>
      </w:pPr>
    </w:p>
    <w:p w14:paraId="356F445E">
      <w:pPr>
        <w:kinsoku/>
        <w:spacing w:line="360" w:lineRule="auto"/>
        <w:rPr>
          <w:color w:val="auto"/>
          <w:highlight w:val="none"/>
          <w:lang w:eastAsia="zh-CN"/>
        </w:rPr>
      </w:pPr>
    </w:p>
    <w:p w14:paraId="5D4BA3D7">
      <w:pPr>
        <w:kinsoku/>
        <w:spacing w:line="360" w:lineRule="auto"/>
        <w:rPr>
          <w:color w:val="auto"/>
          <w:highlight w:val="none"/>
          <w:lang w:eastAsia="zh-CN"/>
        </w:rPr>
      </w:pPr>
    </w:p>
    <w:p w14:paraId="62952F26">
      <w:pPr>
        <w:pStyle w:val="2"/>
        <w:kinsoku/>
        <w:spacing w:before="156" w:beforeLines="0" w:afterLines="0" w:line="224" w:lineRule="auto"/>
        <w:ind w:left="0"/>
        <w:outlineLvl w:val="0"/>
        <w:rPr>
          <w:rFonts w:hint="eastAsia" w:ascii="宋体" w:hAnsi="宋体" w:eastAsia="宋体" w:cs="宋体"/>
          <w:color w:val="auto"/>
          <w:sz w:val="52"/>
          <w:szCs w:val="52"/>
          <w:highlight w:val="none"/>
          <w:lang w:eastAsia="zh-CN"/>
        </w:rPr>
      </w:pPr>
      <w:bookmarkStart w:id="1532" w:name="_Toc27081"/>
      <w:bookmarkStart w:id="1533" w:name="_Toc20678"/>
      <w:bookmarkStart w:id="1534" w:name="_Toc26513"/>
      <w:bookmarkStart w:id="1535" w:name="_Toc3479"/>
      <w:bookmarkStart w:id="1536" w:name="_Toc11100"/>
      <w:bookmarkStart w:id="1537" w:name="_Toc20967"/>
      <w:bookmarkStart w:id="1538" w:name="_Toc32328"/>
      <w:bookmarkStart w:id="1539" w:name="_Toc6475"/>
      <w:bookmarkStart w:id="1540" w:name="_Toc7484"/>
      <w:bookmarkStart w:id="1541" w:name="_Toc8023"/>
      <w:bookmarkStart w:id="1542" w:name="_Toc28224"/>
      <w:bookmarkStart w:id="1543" w:name="_Toc8261"/>
      <w:r>
        <w:rPr>
          <w:rFonts w:hint="eastAsia" w:ascii="宋体" w:hAnsi="宋体" w:eastAsia="宋体" w:cs="宋体"/>
          <w:b/>
          <w:bCs/>
          <w:color w:val="auto"/>
          <w:spacing w:val="0"/>
          <w:sz w:val="52"/>
          <w:szCs w:val="52"/>
          <w:highlight w:val="none"/>
          <w:lang w:eastAsia="zh-CN"/>
        </w:rPr>
        <w:t>第</w:t>
      </w:r>
      <w:r>
        <w:rPr>
          <w:rFonts w:hint="eastAsia" w:ascii="宋体" w:hAnsi="宋体" w:eastAsia="宋体" w:cs="宋体"/>
          <w:color w:val="auto"/>
          <w:spacing w:val="0"/>
          <w:sz w:val="52"/>
          <w:szCs w:val="52"/>
          <w:highlight w:val="none"/>
          <w:lang w:eastAsia="zh-CN"/>
        </w:rPr>
        <w:t xml:space="preserve"> </w:t>
      </w:r>
      <w:r>
        <w:rPr>
          <w:rFonts w:hint="eastAsia" w:ascii="宋体" w:hAnsi="宋体" w:eastAsia="宋体" w:cs="宋体"/>
          <w:b/>
          <w:bCs/>
          <w:color w:val="auto"/>
          <w:spacing w:val="0"/>
          <w:sz w:val="52"/>
          <w:szCs w:val="52"/>
          <w:highlight w:val="none"/>
          <w:lang w:eastAsia="zh-CN"/>
        </w:rPr>
        <w:t>二</w:t>
      </w:r>
      <w:r>
        <w:rPr>
          <w:rFonts w:hint="eastAsia" w:ascii="宋体" w:hAnsi="宋体" w:eastAsia="宋体" w:cs="宋体"/>
          <w:color w:val="auto"/>
          <w:spacing w:val="0"/>
          <w:sz w:val="52"/>
          <w:szCs w:val="52"/>
          <w:highlight w:val="none"/>
          <w:lang w:eastAsia="zh-CN"/>
        </w:rPr>
        <w:t xml:space="preserve"> </w:t>
      </w:r>
      <w:r>
        <w:rPr>
          <w:rFonts w:hint="eastAsia" w:ascii="宋体" w:hAnsi="宋体" w:eastAsia="宋体" w:cs="宋体"/>
          <w:b/>
          <w:bCs/>
          <w:color w:val="auto"/>
          <w:spacing w:val="0"/>
          <w:sz w:val="52"/>
          <w:szCs w:val="52"/>
          <w:highlight w:val="none"/>
          <w:lang w:eastAsia="zh-CN"/>
        </w:rPr>
        <w:t>卷</w:t>
      </w:r>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p>
    <w:p w14:paraId="2600B408">
      <w:pPr>
        <w:pStyle w:val="7"/>
        <w:kinsoku/>
        <w:spacing w:beforeLines="0" w:afterLines="0" w:line="245" w:lineRule="auto"/>
        <w:ind w:firstLine="420"/>
        <w:jc w:val="left"/>
        <w:rPr>
          <w:color w:val="auto"/>
          <w:highlight w:val="none"/>
          <w:lang w:eastAsia="zh-CN"/>
        </w:rPr>
      </w:pPr>
    </w:p>
    <w:p w14:paraId="76032123">
      <w:pPr>
        <w:pStyle w:val="7"/>
        <w:kinsoku/>
        <w:spacing w:beforeLines="0" w:afterLines="0" w:line="245" w:lineRule="auto"/>
        <w:ind w:firstLine="420"/>
        <w:jc w:val="left"/>
        <w:rPr>
          <w:color w:val="auto"/>
          <w:highlight w:val="none"/>
          <w:lang w:eastAsia="zh-CN"/>
        </w:rPr>
      </w:pPr>
    </w:p>
    <w:p w14:paraId="1F5D3F12">
      <w:pPr>
        <w:pStyle w:val="7"/>
        <w:kinsoku/>
        <w:spacing w:beforeLines="0" w:afterLines="0" w:line="245" w:lineRule="auto"/>
        <w:ind w:firstLine="420"/>
        <w:jc w:val="left"/>
        <w:rPr>
          <w:color w:val="auto"/>
          <w:highlight w:val="none"/>
          <w:lang w:eastAsia="zh-CN"/>
        </w:rPr>
      </w:pPr>
    </w:p>
    <w:p w14:paraId="73042C86">
      <w:pPr>
        <w:pStyle w:val="7"/>
        <w:kinsoku/>
        <w:spacing w:beforeLines="0" w:afterLines="0" w:line="245" w:lineRule="auto"/>
        <w:ind w:firstLine="420"/>
        <w:jc w:val="left"/>
        <w:rPr>
          <w:color w:val="auto"/>
          <w:highlight w:val="none"/>
          <w:lang w:eastAsia="zh-CN"/>
        </w:rPr>
      </w:pPr>
    </w:p>
    <w:p w14:paraId="255CBC9B">
      <w:pPr>
        <w:pStyle w:val="7"/>
        <w:kinsoku/>
        <w:spacing w:beforeLines="0" w:afterLines="0" w:line="245" w:lineRule="auto"/>
        <w:ind w:firstLine="420"/>
        <w:jc w:val="left"/>
        <w:rPr>
          <w:color w:val="auto"/>
          <w:highlight w:val="none"/>
          <w:lang w:eastAsia="zh-CN"/>
        </w:rPr>
      </w:pPr>
    </w:p>
    <w:p w14:paraId="1C32E868">
      <w:pPr>
        <w:pStyle w:val="7"/>
        <w:kinsoku/>
        <w:spacing w:beforeLines="0" w:afterLines="0" w:line="245" w:lineRule="auto"/>
        <w:ind w:firstLine="420"/>
        <w:jc w:val="left"/>
        <w:rPr>
          <w:color w:val="auto"/>
          <w:highlight w:val="none"/>
          <w:lang w:eastAsia="zh-CN"/>
        </w:rPr>
      </w:pPr>
    </w:p>
    <w:p w14:paraId="11104D79">
      <w:pPr>
        <w:pStyle w:val="7"/>
        <w:kinsoku/>
        <w:spacing w:beforeLines="0" w:afterLines="0" w:line="245" w:lineRule="auto"/>
        <w:ind w:firstLine="420"/>
        <w:jc w:val="left"/>
        <w:rPr>
          <w:color w:val="auto"/>
          <w:highlight w:val="none"/>
          <w:lang w:eastAsia="zh-CN"/>
        </w:rPr>
      </w:pPr>
    </w:p>
    <w:p w14:paraId="2BAF9F87">
      <w:pPr>
        <w:pStyle w:val="7"/>
        <w:kinsoku/>
        <w:spacing w:beforeLines="0" w:afterLines="0" w:line="245" w:lineRule="auto"/>
        <w:ind w:firstLine="420"/>
        <w:jc w:val="left"/>
        <w:rPr>
          <w:color w:val="auto"/>
          <w:highlight w:val="none"/>
          <w:lang w:eastAsia="zh-CN"/>
        </w:rPr>
      </w:pPr>
    </w:p>
    <w:p w14:paraId="6521E266">
      <w:pPr>
        <w:pStyle w:val="7"/>
        <w:kinsoku/>
        <w:spacing w:beforeLines="0" w:afterLines="0" w:line="245" w:lineRule="auto"/>
        <w:ind w:firstLine="420"/>
        <w:jc w:val="left"/>
        <w:rPr>
          <w:color w:val="auto"/>
          <w:highlight w:val="none"/>
          <w:lang w:eastAsia="zh-CN"/>
        </w:rPr>
      </w:pPr>
    </w:p>
    <w:p w14:paraId="06A750EC">
      <w:pPr>
        <w:pStyle w:val="7"/>
        <w:kinsoku/>
        <w:spacing w:beforeLines="0" w:afterLines="0" w:line="245" w:lineRule="auto"/>
        <w:ind w:firstLine="420"/>
        <w:jc w:val="left"/>
        <w:rPr>
          <w:color w:val="auto"/>
          <w:highlight w:val="none"/>
          <w:lang w:eastAsia="zh-CN"/>
        </w:rPr>
      </w:pPr>
    </w:p>
    <w:p w14:paraId="47515527">
      <w:pPr>
        <w:pStyle w:val="7"/>
        <w:kinsoku/>
        <w:spacing w:beforeLines="0" w:afterLines="0" w:line="245" w:lineRule="auto"/>
        <w:ind w:firstLine="420"/>
        <w:jc w:val="left"/>
        <w:rPr>
          <w:color w:val="auto"/>
          <w:highlight w:val="none"/>
          <w:lang w:eastAsia="zh-CN"/>
        </w:rPr>
      </w:pPr>
    </w:p>
    <w:p w14:paraId="2BD13970">
      <w:pPr>
        <w:pStyle w:val="7"/>
        <w:kinsoku/>
        <w:spacing w:beforeLines="0" w:afterLines="0" w:line="245" w:lineRule="auto"/>
        <w:ind w:firstLine="420"/>
        <w:jc w:val="left"/>
        <w:rPr>
          <w:color w:val="auto"/>
          <w:highlight w:val="none"/>
          <w:lang w:eastAsia="zh-CN"/>
        </w:rPr>
      </w:pPr>
    </w:p>
    <w:p w14:paraId="76915424">
      <w:pPr>
        <w:pStyle w:val="7"/>
        <w:kinsoku/>
        <w:spacing w:beforeLines="0" w:afterLines="0" w:line="245" w:lineRule="auto"/>
        <w:ind w:firstLine="420"/>
        <w:jc w:val="left"/>
        <w:rPr>
          <w:color w:val="auto"/>
          <w:highlight w:val="none"/>
          <w:lang w:eastAsia="zh-CN"/>
        </w:rPr>
      </w:pPr>
    </w:p>
    <w:p w14:paraId="46629A08">
      <w:pPr>
        <w:pStyle w:val="7"/>
        <w:kinsoku/>
        <w:spacing w:beforeLines="0" w:afterLines="0" w:line="245" w:lineRule="auto"/>
        <w:ind w:firstLine="420"/>
        <w:jc w:val="left"/>
        <w:rPr>
          <w:color w:val="auto"/>
          <w:highlight w:val="none"/>
          <w:lang w:eastAsia="zh-CN"/>
        </w:rPr>
      </w:pPr>
    </w:p>
    <w:p w14:paraId="3CC1A296">
      <w:pPr>
        <w:pStyle w:val="7"/>
        <w:kinsoku/>
        <w:spacing w:beforeLines="0" w:afterLines="0" w:line="245" w:lineRule="auto"/>
        <w:ind w:firstLine="420"/>
        <w:jc w:val="left"/>
        <w:rPr>
          <w:color w:val="auto"/>
          <w:highlight w:val="none"/>
          <w:lang w:eastAsia="zh-CN"/>
        </w:rPr>
      </w:pPr>
    </w:p>
    <w:p w14:paraId="1B22A053">
      <w:pPr>
        <w:kinsoku/>
        <w:spacing w:before="0"/>
        <w:ind w:left="0"/>
        <w:outlineLvl w:val="9"/>
        <w:rPr>
          <w:rFonts w:cs="宋体"/>
          <w:b/>
          <w:bCs/>
          <w:color w:val="auto"/>
          <w:sz w:val="36"/>
          <w:szCs w:val="36"/>
          <w:highlight w:val="none"/>
          <w:lang w:eastAsia="zh-CN"/>
        </w:rPr>
      </w:pPr>
      <w:bookmarkStart w:id="1544" w:name="bookmark104"/>
      <w:bookmarkEnd w:id="1544"/>
      <w:bookmarkStart w:id="1545" w:name="_Toc20029"/>
      <w:r>
        <w:rPr>
          <w:rFonts w:cs="宋体"/>
          <w:b/>
          <w:bCs/>
          <w:color w:val="auto"/>
          <w:sz w:val="36"/>
          <w:szCs w:val="36"/>
          <w:highlight w:val="none"/>
          <w:lang w:eastAsia="zh-CN"/>
        </w:rPr>
        <w:br w:type="page"/>
      </w:r>
    </w:p>
    <w:p w14:paraId="5AF8BE0C">
      <w:pPr>
        <w:pStyle w:val="2"/>
        <w:kinsoku/>
        <w:spacing w:before="301" w:beforeLines="0" w:afterLines="0"/>
        <w:ind w:left="1455"/>
        <w:outlineLvl w:val="0"/>
        <w:rPr>
          <w:rFonts w:cs="宋体"/>
          <w:color w:val="auto"/>
          <w:sz w:val="32"/>
          <w:szCs w:val="32"/>
          <w:highlight w:val="none"/>
          <w:lang w:eastAsia="zh-CN"/>
        </w:rPr>
      </w:pPr>
      <w:bookmarkStart w:id="1546" w:name="_Toc14824"/>
      <w:bookmarkStart w:id="1547" w:name="_Toc16807"/>
      <w:bookmarkStart w:id="1548" w:name="_Toc26419"/>
      <w:bookmarkStart w:id="1549" w:name="_Toc9650"/>
      <w:bookmarkStart w:id="1550" w:name="_Toc10151"/>
      <w:bookmarkStart w:id="1551" w:name="_Toc7919"/>
      <w:bookmarkStart w:id="1552" w:name="_Toc27807"/>
      <w:bookmarkStart w:id="1553" w:name="_Toc23155"/>
      <w:bookmarkStart w:id="1554" w:name="_Toc3941"/>
      <w:bookmarkStart w:id="1555" w:name="_Toc8643"/>
      <w:bookmarkStart w:id="1556" w:name="_Toc22788"/>
      <w:bookmarkStart w:id="1557" w:name="_Toc9002"/>
      <w:bookmarkStart w:id="1558" w:name="_Toc18153"/>
      <w:bookmarkStart w:id="1559" w:name="_Toc18405"/>
      <w:r>
        <w:rPr>
          <w:rFonts w:cs="宋体"/>
          <w:b/>
          <w:bCs/>
          <w:color w:val="auto"/>
          <w:sz w:val="32"/>
          <w:szCs w:val="32"/>
          <w:highlight w:val="none"/>
          <w:lang w:eastAsia="zh-CN"/>
        </w:rPr>
        <w:t>第六章</w:t>
      </w:r>
      <w:r>
        <w:rPr>
          <w:rFonts w:hint="eastAsia" w:cs="宋体"/>
          <w:b/>
          <w:bCs/>
          <w:color w:val="auto"/>
          <w:sz w:val="32"/>
          <w:szCs w:val="32"/>
          <w:highlight w:val="none"/>
          <w:lang w:val="en-US" w:eastAsia="zh-CN"/>
        </w:rPr>
        <w:t xml:space="preserve">  </w:t>
      </w:r>
      <w:r>
        <w:rPr>
          <w:rFonts w:cs="宋体"/>
          <w:b/>
          <w:bCs/>
          <w:color w:val="auto"/>
          <w:sz w:val="32"/>
          <w:szCs w:val="32"/>
          <w:highlight w:val="none"/>
          <w:lang w:eastAsia="zh-CN"/>
        </w:rPr>
        <w:t>图纸（招标图纸）及其他资</w:t>
      </w:r>
      <w:r>
        <w:rPr>
          <w:rFonts w:cs="宋体"/>
          <w:b/>
          <w:bCs/>
          <w:color w:val="auto"/>
          <w:spacing w:val="0"/>
          <w:sz w:val="32"/>
          <w:szCs w:val="32"/>
          <w:highlight w:val="none"/>
          <w:lang w:eastAsia="zh-CN"/>
        </w:rPr>
        <w:t>料</w:t>
      </w:r>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p>
    <w:p w14:paraId="689D3C6D">
      <w:pPr>
        <w:pStyle w:val="3"/>
        <w:kinsoku/>
        <w:spacing w:beforeLines="0" w:afterLines="0"/>
        <w:outlineLvl w:val="1"/>
        <w:rPr>
          <w:rFonts w:hint="eastAsia" w:cs="宋体"/>
          <w:color w:val="auto"/>
          <w:szCs w:val="30"/>
          <w:highlight w:val="none"/>
        </w:rPr>
      </w:pPr>
      <w:bookmarkStart w:id="1560" w:name="_Toc11067"/>
      <w:bookmarkStart w:id="1561" w:name="_Toc16832"/>
      <w:bookmarkStart w:id="1562" w:name="_Toc19263"/>
      <w:bookmarkStart w:id="1563" w:name="_Toc17323"/>
      <w:bookmarkStart w:id="1564" w:name="_Toc19875"/>
      <w:bookmarkStart w:id="1565" w:name="_Toc7392"/>
      <w:bookmarkStart w:id="1566" w:name="_Toc16634"/>
      <w:bookmarkStart w:id="1567" w:name="_Toc4742"/>
      <w:bookmarkStart w:id="1568" w:name="_Toc24651"/>
      <w:bookmarkStart w:id="1569" w:name="_Toc12890"/>
      <w:bookmarkStart w:id="1570" w:name="_Toc15001"/>
      <w:bookmarkStart w:id="1571" w:name="_Toc31930"/>
      <w:bookmarkStart w:id="1572" w:name="_Toc1237"/>
      <w:bookmarkStart w:id="1573" w:name="_Toc23160"/>
      <w:r>
        <w:rPr>
          <w:rFonts w:hint="eastAsia" w:cs="宋体"/>
          <w:color w:val="auto"/>
          <w:szCs w:val="30"/>
          <w:highlight w:val="none"/>
        </w:rPr>
        <w:t>1</w:t>
      </w:r>
      <w:r>
        <w:rPr>
          <w:rFonts w:hint="eastAsia" w:cs="宋体"/>
          <w:color w:val="auto"/>
          <w:szCs w:val="30"/>
          <w:highlight w:val="none"/>
          <w:lang w:eastAsia="zh-CN"/>
        </w:rPr>
        <w:t>　</w:t>
      </w:r>
      <w:r>
        <w:rPr>
          <w:rFonts w:hint="eastAsia" w:cs="宋体"/>
          <w:color w:val="auto"/>
          <w:szCs w:val="30"/>
          <w:highlight w:val="none"/>
        </w:rPr>
        <w:t>说明</w:t>
      </w:r>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p>
    <w:p w14:paraId="10181874">
      <w:pPr>
        <w:kinsoku/>
        <w:spacing w:before="0"/>
        <w:ind w:left="0" w:right="0" w:firstLine="0"/>
        <w:rPr>
          <w:rFonts w:cs="Arial"/>
          <w:color w:val="auto"/>
          <w:spacing w:val="0"/>
          <w:szCs w:val="21"/>
          <w:highlight w:val="none"/>
          <w:lang w:eastAsia="zh-CN"/>
        </w:rPr>
      </w:pPr>
      <w:r>
        <w:rPr>
          <w:rFonts w:cs="Arial"/>
          <w:color w:val="auto"/>
          <w:spacing w:val="0"/>
          <w:szCs w:val="21"/>
          <w:highlight w:val="none"/>
          <w:lang w:eastAsia="zh-CN"/>
        </w:rPr>
        <w:t>本招标文件所附的全部图纸及其它资料均为招标阶段的中间成果，仅供投标人在编制投标文件时使用，不得作为施工的依据。否则，由此而造成的一切后果均由承包</w:t>
      </w:r>
      <w:r>
        <w:rPr>
          <w:rFonts w:cs="宋体"/>
          <w:color w:val="auto"/>
          <w:spacing w:val="0"/>
          <w:szCs w:val="24"/>
          <w:highlight w:val="none"/>
          <w:lang w:eastAsia="zh-CN"/>
        </w:rPr>
        <w:t>人自负。</w:t>
      </w:r>
    </w:p>
    <w:p w14:paraId="620C7690">
      <w:pPr>
        <w:pStyle w:val="3"/>
        <w:kinsoku/>
        <w:spacing w:beforeLines="0" w:afterLines="0"/>
        <w:outlineLvl w:val="1"/>
        <w:rPr>
          <w:rFonts w:hint="eastAsia" w:cs="宋体"/>
          <w:color w:val="auto"/>
          <w:szCs w:val="30"/>
          <w:highlight w:val="none"/>
        </w:rPr>
      </w:pPr>
      <w:bookmarkStart w:id="1574" w:name="_Toc19999"/>
      <w:bookmarkStart w:id="1575" w:name="_Toc3174"/>
      <w:bookmarkStart w:id="1576" w:name="_Toc32276"/>
      <w:bookmarkStart w:id="1577" w:name="_Toc7661"/>
      <w:bookmarkStart w:id="1578" w:name="_Toc24165"/>
      <w:bookmarkStart w:id="1579" w:name="_Toc19337"/>
      <w:bookmarkStart w:id="1580" w:name="_Toc1740"/>
      <w:bookmarkStart w:id="1581" w:name="_Toc3019"/>
      <w:bookmarkStart w:id="1582" w:name="_Toc8143"/>
      <w:bookmarkStart w:id="1583" w:name="_Toc23316"/>
      <w:bookmarkStart w:id="1584" w:name="_Toc815"/>
      <w:bookmarkStart w:id="1585" w:name="_Toc23379"/>
      <w:bookmarkStart w:id="1586" w:name="_Toc15699"/>
      <w:bookmarkStart w:id="1587" w:name="_Toc8486"/>
      <w:r>
        <w:rPr>
          <w:rFonts w:hint="eastAsia" w:cs="宋体"/>
          <w:color w:val="auto"/>
          <w:szCs w:val="30"/>
          <w:highlight w:val="none"/>
        </w:rPr>
        <w:t>2</w:t>
      </w:r>
      <w:r>
        <w:rPr>
          <w:rFonts w:hint="eastAsia" w:cs="宋体"/>
          <w:color w:val="auto"/>
          <w:szCs w:val="30"/>
          <w:highlight w:val="none"/>
          <w:lang w:eastAsia="zh-CN"/>
        </w:rPr>
        <w:t>　</w:t>
      </w:r>
      <w:r>
        <w:rPr>
          <w:rFonts w:hint="eastAsia" w:cs="宋体"/>
          <w:color w:val="auto"/>
          <w:szCs w:val="30"/>
          <w:highlight w:val="none"/>
        </w:rPr>
        <w:t>图纸及其他资料目录</w:t>
      </w:r>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45"/>
        <w:gridCol w:w="2468"/>
        <w:gridCol w:w="2059"/>
        <w:gridCol w:w="2605"/>
        <w:gridCol w:w="1044"/>
      </w:tblGrid>
      <w:tr w14:paraId="3B03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3CCE2E02">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序号</w:t>
            </w:r>
          </w:p>
        </w:tc>
        <w:tc>
          <w:tcPr>
            <w:tcW w:w="1352" w:type="pct"/>
            <w:tcBorders>
              <w:tl2br w:val="nil"/>
              <w:tr2bl w:val="nil"/>
            </w:tcBorders>
            <w:vAlign w:val="center"/>
          </w:tcPr>
          <w:p w14:paraId="18EE81CE">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图名或资料名称</w:t>
            </w:r>
          </w:p>
        </w:tc>
        <w:tc>
          <w:tcPr>
            <w:tcW w:w="1128" w:type="pct"/>
            <w:tcBorders>
              <w:tl2br w:val="nil"/>
              <w:tr2bl w:val="nil"/>
            </w:tcBorders>
            <w:vAlign w:val="center"/>
          </w:tcPr>
          <w:p w14:paraId="6F8246B1">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图号或资料编号</w:t>
            </w:r>
          </w:p>
        </w:tc>
        <w:tc>
          <w:tcPr>
            <w:tcW w:w="1427" w:type="pct"/>
            <w:tcBorders>
              <w:tl2br w:val="nil"/>
              <w:tr2bl w:val="nil"/>
            </w:tcBorders>
            <w:vAlign w:val="center"/>
          </w:tcPr>
          <w:p w14:paraId="7D768B34">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出图日期或资料日期</w:t>
            </w:r>
          </w:p>
        </w:tc>
        <w:tc>
          <w:tcPr>
            <w:tcW w:w="572" w:type="pct"/>
            <w:tcBorders>
              <w:tl2br w:val="nil"/>
              <w:tr2bl w:val="nil"/>
            </w:tcBorders>
            <w:vAlign w:val="center"/>
          </w:tcPr>
          <w:p w14:paraId="0FB60093">
            <w:pPr>
              <w:pStyle w:val="23"/>
              <w:kinsoku/>
              <w:spacing w:before="0" w:beforeLines="0" w:afterLines="0" w:line="0" w:lineRule="atLeast"/>
              <w:ind w:left="0" w:firstLine="0" w:firstLineChars="0"/>
              <w:jc w:val="center"/>
              <w:rPr>
                <w:color w:val="auto"/>
                <w:sz w:val="21"/>
                <w:szCs w:val="21"/>
                <w:highlight w:val="none"/>
              </w:rPr>
            </w:pPr>
            <w:r>
              <w:rPr>
                <w:color w:val="auto"/>
                <w:spacing w:val="0"/>
                <w:sz w:val="21"/>
                <w:szCs w:val="21"/>
                <w:highlight w:val="none"/>
              </w:rPr>
              <w:t>备注</w:t>
            </w:r>
          </w:p>
        </w:tc>
      </w:tr>
      <w:tr w14:paraId="445B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62EC9AEB">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35D69B53">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7E948BD8">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06456104">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460D8C01">
            <w:pPr>
              <w:kinsoku/>
              <w:spacing w:beforeLines="0" w:afterLines="0" w:line="0" w:lineRule="atLeast"/>
              <w:ind w:firstLine="0" w:firstLineChars="0"/>
              <w:jc w:val="center"/>
              <w:rPr>
                <w:color w:val="auto"/>
                <w:sz w:val="21"/>
                <w:highlight w:val="none"/>
              </w:rPr>
            </w:pPr>
          </w:p>
        </w:tc>
      </w:tr>
      <w:tr w14:paraId="76F3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772758CE">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29BB10EE">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6DFB754E">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1383D462">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690593CA">
            <w:pPr>
              <w:kinsoku/>
              <w:spacing w:beforeLines="0" w:afterLines="0" w:line="0" w:lineRule="atLeast"/>
              <w:ind w:firstLine="0" w:firstLineChars="0"/>
              <w:jc w:val="center"/>
              <w:rPr>
                <w:color w:val="auto"/>
                <w:sz w:val="21"/>
                <w:highlight w:val="none"/>
              </w:rPr>
            </w:pPr>
          </w:p>
        </w:tc>
      </w:tr>
      <w:tr w14:paraId="7C77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483D0C72">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605FD9E7">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38030357">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6A36FB7F">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290505F7">
            <w:pPr>
              <w:kinsoku/>
              <w:spacing w:beforeLines="0" w:afterLines="0" w:line="0" w:lineRule="atLeast"/>
              <w:ind w:firstLine="0" w:firstLineChars="0"/>
              <w:jc w:val="center"/>
              <w:rPr>
                <w:color w:val="auto"/>
                <w:sz w:val="21"/>
                <w:highlight w:val="none"/>
              </w:rPr>
            </w:pPr>
          </w:p>
        </w:tc>
      </w:tr>
      <w:tr w14:paraId="7183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06827DEF">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510A342F">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2405317A">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4096E54A">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32480590">
            <w:pPr>
              <w:kinsoku/>
              <w:spacing w:beforeLines="0" w:afterLines="0" w:line="0" w:lineRule="atLeast"/>
              <w:ind w:firstLine="0" w:firstLineChars="0"/>
              <w:jc w:val="center"/>
              <w:rPr>
                <w:color w:val="auto"/>
                <w:sz w:val="21"/>
                <w:highlight w:val="none"/>
              </w:rPr>
            </w:pPr>
          </w:p>
        </w:tc>
      </w:tr>
      <w:tr w14:paraId="7800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739888D3">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7020F466">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75E5B788">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3EB6E8C1">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69102DA8">
            <w:pPr>
              <w:kinsoku/>
              <w:spacing w:beforeLines="0" w:afterLines="0" w:line="0" w:lineRule="atLeast"/>
              <w:ind w:firstLine="0" w:firstLineChars="0"/>
              <w:jc w:val="center"/>
              <w:rPr>
                <w:color w:val="auto"/>
                <w:sz w:val="21"/>
                <w:highlight w:val="none"/>
              </w:rPr>
            </w:pPr>
          </w:p>
        </w:tc>
      </w:tr>
      <w:tr w14:paraId="072EF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127AFFD5">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4F236480">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6418CDF4">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282DFF33">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2955C88E">
            <w:pPr>
              <w:kinsoku/>
              <w:spacing w:beforeLines="0" w:afterLines="0" w:line="0" w:lineRule="atLeast"/>
              <w:ind w:firstLine="0" w:firstLineChars="0"/>
              <w:jc w:val="center"/>
              <w:rPr>
                <w:color w:val="auto"/>
                <w:sz w:val="21"/>
                <w:highlight w:val="none"/>
              </w:rPr>
            </w:pPr>
          </w:p>
        </w:tc>
      </w:tr>
      <w:tr w14:paraId="56DB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18" w:type="pct"/>
            <w:tcBorders>
              <w:tl2br w:val="nil"/>
              <w:tr2bl w:val="nil"/>
            </w:tcBorders>
            <w:vAlign w:val="center"/>
          </w:tcPr>
          <w:p w14:paraId="267C045D">
            <w:pPr>
              <w:kinsoku/>
              <w:spacing w:beforeLines="0" w:afterLines="0" w:line="0" w:lineRule="atLeast"/>
              <w:ind w:firstLine="0" w:firstLineChars="0"/>
              <w:jc w:val="center"/>
              <w:rPr>
                <w:color w:val="auto"/>
                <w:sz w:val="21"/>
                <w:highlight w:val="none"/>
              </w:rPr>
            </w:pPr>
          </w:p>
        </w:tc>
        <w:tc>
          <w:tcPr>
            <w:tcW w:w="1352" w:type="pct"/>
            <w:tcBorders>
              <w:tl2br w:val="nil"/>
              <w:tr2bl w:val="nil"/>
            </w:tcBorders>
            <w:vAlign w:val="center"/>
          </w:tcPr>
          <w:p w14:paraId="1A6B8477">
            <w:pPr>
              <w:kinsoku/>
              <w:spacing w:beforeLines="0" w:afterLines="0" w:line="0" w:lineRule="atLeast"/>
              <w:ind w:firstLine="0" w:firstLineChars="0"/>
              <w:jc w:val="center"/>
              <w:rPr>
                <w:color w:val="auto"/>
                <w:sz w:val="21"/>
                <w:highlight w:val="none"/>
              </w:rPr>
            </w:pPr>
          </w:p>
        </w:tc>
        <w:tc>
          <w:tcPr>
            <w:tcW w:w="1128" w:type="pct"/>
            <w:tcBorders>
              <w:tl2br w:val="nil"/>
              <w:tr2bl w:val="nil"/>
            </w:tcBorders>
            <w:vAlign w:val="center"/>
          </w:tcPr>
          <w:p w14:paraId="5CD1BF74">
            <w:pPr>
              <w:kinsoku/>
              <w:spacing w:beforeLines="0" w:afterLines="0" w:line="0" w:lineRule="atLeast"/>
              <w:ind w:firstLine="0" w:firstLineChars="0"/>
              <w:jc w:val="center"/>
              <w:rPr>
                <w:color w:val="auto"/>
                <w:sz w:val="21"/>
                <w:highlight w:val="none"/>
              </w:rPr>
            </w:pPr>
          </w:p>
        </w:tc>
        <w:tc>
          <w:tcPr>
            <w:tcW w:w="1427" w:type="pct"/>
            <w:tcBorders>
              <w:tl2br w:val="nil"/>
              <w:tr2bl w:val="nil"/>
            </w:tcBorders>
            <w:vAlign w:val="center"/>
          </w:tcPr>
          <w:p w14:paraId="2E0FF373">
            <w:pPr>
              <w:kinsoku/>
              <w:spacing w:beforeLines="0" w:afterLines="0" w:line="0" w:lineRule="atLeast"/>
              <w:ind w:firstLine="0" w:firstLineChars="0"/>
              <w:jc w:val="center"/>
              <w:rPr>
                <w:color w:val="auto"/>
                <w:sz w:val="21"/>
                <w:highlight w:val="none"/>
              </w:rPr>
            </w:pPr>
          </w:p>
        </w:tc>
        <w:tc>
          <w:tcPr>
            <w:tcW w:w="572" w:type="pct"/>
            <w:tcBorders>
              <w:tl2br w:val="nil"/>
              <w:tr2bl w:val="nil"/>
            </w:tcBorders>
            <w:vAlign w:val="center"/>
          </w:tcPr>
          <w:p w14:paraId="24CDED0D">
            <w:pPr>
              <w:kinsoku/>
              <w:spacing w:beforeLines="0" w:afterLines="0" w:line="0" w:lineRule="atLeast"/>
              <w:ind w:firstLine="0" w:firstLineChars="0"/>
              <w:jc w:val="center"/>
              <w:rPr>
                <w:color w:val="auto"/>
                <w:sz w:val="21"/>
                <w:highlight w:val="none"/>
              </w:rPr>
            </w:pPr>
          </w:p>
        </w:tc>
      </w:tr>
    </w:tbl>
    <w:p w14:paraId="7B8785F0">
      <w:pPr>
        <w:kinsoku/>
        <w:rPr>
          <w:color w:val="auto"/>
          <w:highlight w:val="none"/>
        </w:rPr>
      </w:pPr>
    </w:p>
    <w:p w14:paraId="42E3165B">
      <w:pPr>
        <w:pStyle w:val="3"/>
        <w:kinsoku/>
        <w:spacing w:beforeLines="0" w:afterLines="0"/>
        <w:outlineLvl w:val="1"/>
        <w:rPr>
          <w:rFonts w:hint="eastAsia" w:cs="宋体"/>
          <w:color w:val="auto"/>
          <w:szCs w:val="30"/>
          <w:highlight w:val="none"/>
        </w:rPr>
      </w:pPr>
      <w:bookmarkStart w:id="1588" w:name="_Toc29548"/>
      <w:bookmarkStart w:id="1589" w:name="_Toc24981"/>
      <w:bookmarkStart w:id="1590" w:name="_Toc21414"/>
      <w:bookmarkStart w:id="1591" w:name="_Toc10707"/>
      <w:bookmarkStart w:id="1592" w:name="_Toc20661"/>
      <w:bookmarkStart w:id="1593" w:name="_Toc3163"/>
      <w:bookmarkStart w:id="1594" w:name="_Toc22388"/>
      <w:bookmarkStart w:id="1595" w:name="_Toc30800"/>
      <w:bookmarkStart w:id="1596" w:name="_Toc31456"/>
      <w:bookmarkStart w:id="1597" w:name="_Toc3180"/>
      <w:bookmarkStart w:id="1598" w:name="_Toc13827"/>
      <w:bookmarkStart w:id="1599" w:name="_Toc29156"/>
      <w:bookmarkStart w:id="1600" w:name="_Toc11687"/>
      <w:bookmarkStart w:id="1601" w:name="_Toc17625"/>
      <w:r>
        <w:rPr>
          <w:rFonts w:hint="eastAsia" w:cs="宋体"/>
          <w:color w:val="auto"/>
          <w:szCs w:val="30"/>
          <w:highlight w:val="none"/>
        </w:rPr>
        <w:t>3</w:t>
      </w:r>
      <w:r>
        <w:rPr>
          <w:rFonts w:hint="eastAsia" w:cs="宋体"/>
          <w:color w:val="auto"/>
          <w:szCs w:val="30"/>
          <w:highlight w:val="none"/>
          <w:lang w:eastAsia="zh-CN"/>
        </w:rPr>
        <w:t>　</w:t>
      </w:r>
      <w:r>
        <w:rPr>
          <w:rFonts w:hint="eastAsia" w:cs="宋体"/>
          <w:color w:val="auto"/>
          <w:szCs w:val="30"/>
          <w:highlight w:val="none"/>
        </w:rPr>
        <w:t>图纸及其它资料</w:t>
      </w:r>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p>
    <w:p w14:paraId="31A73FAD">
      <w:pPr>
        <w:kinsoku/>
        <w:spacing w:before="0"/>
        <w:ind w:left="0"/>
        <w:rPr>
          <w:color w:val="auto"/>
          <w:highlight w:val="none"/>
        </w:rPr>
      </w:pPr>
      <w:r>
        <w:rPr>
          <w:rFonts w:cs="Arial"/>
          <w:color w:val="auto"/>
          <w:spacing w:val="0"/>
          <w:szCs w:val="21"/>
          <w:highlight w:val="none"/>
        </w:rPr>
        <w:t>另册。</w:t>
      </w:r>
    </w:p>
    <w:p w14:paraId="6DAC03FF">
      <w:pPr>
        <w:kinsoku/>
        <w:spacing w:beforeLines="0" w:afterLines="0"/>
        <w:ind w:firstLine="420"/>
        <w:jc w:val="left"/>
        <w:rPr>
          <w:rFonts w:cs="宋体"/>
          <w:color w:val="auto"/>
          <w:szCs w:val="24"/>
          <w:highlight w:val="none"/>
        </w:rPr>
        <w:sectPr>
          <w:pgSz w:w="11905" w:h="16840"/>
          <w:pgMar w:top="1616" w:right="1418" w:bottom="1616" w:left="1418" w:header="851" w:footer="1304" w:gutter="0"/>
          <w:pgNumType w:fmt="decimal"/>
          <w:cols w:space="720" w:num="1"/>
          <w:docGrid w:linePitch="381" w:charSpace="0"/>
        </w:sectPr>
      </w:pPr>
    </w:p>
    <w:p w14:paraId="2DC8010D">
      <w:pPr>
        <w:kinsoku/>
        <w:spacing w:line="360" w:lineRule="auto"/>
        <w:rPr>
          <w:color w:val="auto"/>
          <w:highlight w:val="none"/>
          <w:lang w:eastAsia="zh-CN"/>
        </w:rPr>
      </w:pPr>
      <w:bookmarkStart w:id="1602" w:name="bookmark106"/>
      <w:bookmarkEnd w:id="1602"/>
      <w:bookmarkStart w:id="1603" w:name="bookmark105"/>
      <w:bookmarkEnd w:id="1603"/>
      <w:bookmarkStart w:id="1604" w:name="bookmark107"/>
      <w:bookmarkEnd w:id="1604"/>
    </w:p>
    <w:p w14:paraId="166D1BFF">
      <w:pPr>
        <w:kinsoku/>
        <w:spacing w:line="360" w:lineRule="auto"/>
        <w:rPr>
          <w:color w:val="auto"/>
          <w:highlight w:val="none"/>
          <w:lang w:eastAsia="zh-CN"/>
        </w:rPr>
      </w:pPr>
    </w:p>
    <w:p w14:paraId="68E0DF82">
      <w:pPr>
        <w:kinsoku/>
        <w:spacing w:line="360" w:lineRule="auto"/>
        <w:rPr>
          <w:color w:val="auto"/>
          <w:highlight w:val="none"/>
          <w:lang w:eastAsia="zh-CN"/>
        </w:rPr>
      </w:pPr>
    </w:p>
    <w:p w14:paraId="22118831">
      <w:pPr>
        <w:kinsoku/>
        <w:spacing w:line="360" w:lineRule="auto"/>
        <w:rPr>
          <w:color w:val="auto"/>
          <w:highlight w:val="none"/>
          <w:lang w:eastAsia="zh-CN"/>
        </w:rPr>
      </w:pPr>
    </w:p>
    <w:p w14:paraId="0E3FBCA1">
      <w:pPr>
        <w:kinsoku/>
        <w:spacing w:line="360" w:lineRule="auto"/>
        <w:rPr>
          <w:color w:val="auto"/>
          <w:highlight w:val="none"/>
          <w:lang w:eastAsia="zh-CN"/>
        </w:rPr>
      </w:pPr>
    </w:p>
    <w:p w14:paraId="4D4A6812">
      <w:pPr>
        <w:kinsoku/>
        <w:spacing w:line="360" w:lineRule="auto"/>
        <w:rPr>
          <w:color w:val="auto"/>
          <w:highlight w:val="none"/>
          <w:lang w:eastAsia="zh-CN"/>
        </w:rPr>
      </w:pPr>
    </w:p>
    <w:p w14:paraId="7B896F99">
      <w:pPr>
        <w:kinsoku/>
        <w:spacing w:line="360" w:lineRule="auto"/>
        <w:rPr>
          <w:color w:val="auto"/>
          <w:highlight w:val="none"/>
          <w:lang w:eastAsia="zh-CN"/>
        </w:rPr>
      </w:pPr>
    </w:p>
    <w:p w14:paraId="03A5A022">
      <w:pPr>
        <w:kinsoku/>
        <w:spacing w:line="360" w:lineRule="auto"/>
        <w:rPr>
          <w:color w:val="auto"/>
          <w:highlight w:val="none"/>
          <w:lang w:eastAsia="zh-CN"/>
        </w:rPr>
      </w:pPr>
    </w:p>
    <w:p w14:paraId="1C8D9F1B">
      <w:pPr>
        <w:pStyle w:val="2"/>
        <w:kinsoku/>
        <w:spacing w:before="156" w:beforeLines="0" w:afterLines="0" w:line="224" w:lineRule="auto"/>
        <w:ind w:left="0"/>
        <w:outlineLvl w:val="0"/>
        <w:rPr>
          <w:rFonts w:hint="eastAsia" w:ascii="宋体" w:hAnsi="宋体" w:eastAsia="宋体" w:cs="宋体"/>
          <w:color w:val="auto"/>
          <w:sz w:val="52"/>
          <w:szCs w:val="52"/>
          <w:highlight w:val="none"/>
        </w:rPr>
      </w:pPr>
      <w:bookmarkStart w:id="1605" w:name="_Toc32750"/>
      <w:bookmarkStart w:id="1606" w:name="_Toc19615"/>
      <w:bookmarkStart w:id="1607" w:name="_Toc26012"/>
      <w:bookmarkStart w:id="1608" w:name="_Toc14535"/>
      <w:bookmarkStart w:id="1609" w:name="_Toc25999"/>
      <w:bookmarkStart w:id="1610" w:name="_Toc27933"/>
      <w:bookmarkStart w:id="1611" w:name="_Toc30323"/>
      <w:bookmarkStart w:id="1612" w:name="_Toc23889"/>
      <w:bookmarkStart w:id="1613" w:name="_Toc10346"/>
      <w:bookmarkStart w:id="1614" w:name="_Toc27083"/>
      <w:bookmarkStart w:id="1615" w:name="_Toc14029"/>
      <w:bookmarkStart w:id="1616" w:name="_Toc22286"/>
      <w:bookmarkStart w:id="1617" w:name="_Toc12565"/>
      <w:bookmarkStart w:id="1618" w:name="_Toc14859"/>
      <w:bookmarkStart w:id="1619" w:name="_Toc22460"/>
      <w:r>
        <w:rPr>
          <w:rFonts w:hint="eastAsia" w:ascii="宋体" w:hAnsi="宋体" w:eastAsia="宋体" w:cs="宋体"/>
          <w:b/>
          <w:bCs/>
          <w:color w:val="auto"/>
          <w:spacing w:val="0"/>
          <w:sz w:val="52"/>
          <w:szCs w:val="52"/>
          <w:highlight w:val="none"/>
        </w:rPr>
        <w:t>第</w:t>
      </w:r>
      <w:r>
        <w:rPr>
          <w:rFonts w:hint="eastAsia" w:ascii="宋体" w:hAnsi="宋体" w:eastAsia="宋体" w:cs="宋体"/>
          <w:color w:val="auto"/>
          <w:spacing w:val="0"/>
          <w:sz w:val="52"/>
          <w:szCs w:val="52"/>
          <w:highlight w:val="none"/>
        </w:rPr>
        <w:t xml:space="preserve"> </w:t>
      </w:r>
      <w:r>
        <w:rPr>
          <w:rFonts w:hint="eastAsia" w:ascii="宋体" w:hAnsi="宋体" w:eastAsia="宋体" w:cs="宋体"/>
          <w:b/>
          <w:bCs/>
          <w:color w:val="auto"/>
          <w:spacing w:val="0"/>
          <w:sz w:val="52"/>
          <w:szCs w:val="52"/>
          <w:highlight w:val="none"/>
          <w:lang w:eastAsia="zh-CN"/>
        </w:rPr>
        <w:t>三</w:t>
      </w:r>
      <w:r>
        <w:rPr>
          <w:rFonts w:hint="eastAsia" w:ascii="宋体" w:hAnsi="宋体" w:eastAsia="宋体" w:cs="宋体"/>
          <w:color w:val="auto"/>
          <w:spacing w:val="0"/>
          <w:sz w:val="52"/>
          <w:szCs w:val="52"/>
          <w:highlight w:val="none"/>
        </w:rPr>
        <w:t xml:space="preserve"> </w:t>
      </w:r>
      <w:r>
        <w:rPr>
          <w:rFonts w:hint="eastAsia" w:ascii="宋体" w:hAnsi="宋体" w:eastAsia="宋体" w:cs="宋体"/>
          <w:b/>
          <w:bCs/>
          <w:color w:val="auto"/>
          <w:spacing w:val="0"/>
          <w:sz w:val="52"/>
          <w:szCs w:val="52"/>
          <w:highlight w:val="none"/>
        </w:rPr>
        <w:t>卷</w:t>
      </w:r>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p>
    <w:p w14:paraId="03182A6D">
      <w:pPr>
        <w:pStyle w:val="7"/>
        <w:kinsoku/>
        <w:spacing w:beforeLines="0" w:afterLines="0" w:line="245" w:lineRule="auto"/>
        <w:ind w:firstLine="420"/>
        <w:jc w:val="left"/>
        <w:rPr>
          <w:color w:val="auto"/>
          <w:highlight w:val="none"/>
        </w:rPr>
      </w:pPr>
    </w:p>
    <w:p w14:paraId="611B3DEE">
      <w:pPr>
        <w:pStyle w:val="7"/>
        <w:kinsoku/>
        <w:spacing w:beforeLines="0" w:afterLines="0" w:line="245" w:lineRule="auto"/>
        <w:ind w:firstLine="420"/>
        <w:jc w:val="left"/>
        <w:rPr>
          <w:color w:val="auto"/>
          <w:highlight w:val="none"/>
        </w:rPr>
      </w:pPr>
    </w:p>
    <w:p w14:paraId="0104FDEE">
      <w:pPr>
        <w:pStyle w:val="7"/>
        <w:kinsoku/>
        <w:spacing w:beforeLines="0" w:afterLines="0" w:line="245" w:lineRule="auto"/>
        <w:ind w:firstLine="420"/>
        <w:jc w:val="left"/>
        <w:rPr>
          <w:color w:val="auto"/>
          <w:highlight w:val="none"/>
        </w:rPr>
      </w:pPr>
    </w:p>
    <w:p w14:paraId="7A63605E">
      <w:pPr>
        <w:pStyle w:val="7"/>
        <w:kinsoku/>
        <w:spacing w:beforeLines="0" w:afterLines="0"/>
        <w:ind w:firstLine="420"/>
        <w:jc w:val="left"/>
        <w:rPr>
          <w:color w:val="auto"/>
          <w:highlight w:val="none"/>
          <w:lang w:eastAsia="zh-CN"/>
        </w:rPr>
      </w:pPr>
      <w:bookmarkStart w:id="1620" w:name="_Toc118"/>
    </w:p>
    <w:p w14:paraId="67B74E1A">
      <w:pPr>
        <w:kinsoku/>
        <w:spacing w:beforeLines="0" w:afterLines="0"/>
        <w:ind w:firstLine="964"/>
        <w:jc w:val="left"/>
        <w:rPr>
          <w:rFonts w:ascii="黑体" w:hAnsi="黑体" w:eastAsia="黑体" w:cs="黑体"/>
          <w:b/>
          <w:bCs/>
          <w:color w:val="auto"/>
          <w:szCs w:val="48"/>
          <w:highlight w:val="none"/>
          <w:lang w:eastAsia="zh-CN"/>
        </w:rPr>
        <w:sectPr>
          <w:pgSz w:w="11905" w:h="16840"/>
          <w:pgMar w:top="1616" w:right="1418" w:bottom="1616" w:left="1418" w:header="851" w:footer="1304" w:gutter="0"/>
          <w:pgNumType w:fmt="decimal"/>
          <w:cols w:space="720" w:num="1"/>
          <w:docGrid w:linePitch="381" w:charSpace="0"/>
        </w:sectPr>
      </w:pPr>
    </w:p>
    <w:p w14:paraId="74613FF3">
      <w:pPr>
        <w:pStyle w:val="2"/>
        <w:wordWrap w:val="0"/>
        <w:adjustRightInd/>
        <w:snapToGrid/>
        <w:spacing w:before="301" w:beforeLines="0" w:afterLines="0" w:line="360" w:lineRule="auto"/>
        <w:ind w:left="0"/>
        <w:textAlignment w:val="auto"/>
        <w:rPr>
          <w:rFonts w:hint="eastAsia" w:cs="宋体"/>
          <w:color w:val="auto"/>
          <w:szCs w:val="30"/>
          <w:highlight w:val="none"/>
          <w:lang w:eastAsia="zh-CN"/>
        </w:rPr>
      </w:pPr>
      <w:bookmarkStart w:id="1621" w:name="_Toc16566"/>
      <w:bookmarkStart w:id="1622" w:name="_Toc736"/>
      <w:bookmarkStart w:id="1623" w:name="_Toc20557"/>
      <w:bookmarkStart w:id="1624" w:name="_Toc30696"/>
      <w:bookmarkStart w:id="1625" w:name="_Toc21397"/>
      <w:bookmarkStart w:id="1626" w:name="_Toc8867"/>
      <w:bookmarkStart w:id="1627" w:name="_Toc2712"/>
      <w:bookmarkStart w:id="1628" w:name="_Toc23724"/>
      <w:bookmarkStart w:id="1629" w:name="_Toc32541"/>
      <w:bookmarkStart w:id="1630" w:name="_Toc7169"/>
      <w:bookmarkStart w:id="1631" w:name="_Toc30841"/>
      <w:bookmarkStart w:id="1632" w:name="_Toc16378"/>
      <w:bookmarkStart w:id="1633" w:name="_Toc20439"/>
      <w:bookmarkStart w:id="1634" w:name="_Toc4800"/>
      <w:r>
        <w:rPr>
          <w:rFonts w:hint="eastAsia" w:cs="宋体"/>
          <w:color w:val="auto"/>
          <w:szCs w:val="30"/>
          <w:highlight w:val="none"/>
          <w:lang w:eastAsia="zh-CN"/>
        </w:rPr>
        <w:t>第七章</w:t>
      </w:r>
      <w:r>
        <w:rPr>
          <w:rFonts w:hint="eastAsia" w:cs="宋体"/>
          <w:color w:val="auto"/>
          <w:szCs w:val="30"/>
          <w:highlight w:val="none"/>
          <w:lang w:val="en-US" w:eastAsia="zh-CN"/>
        </w:rPr>
        <w:t xml:space="preserve">  </w:t>
      </w:r>
      <w:r>
        <w:rPr>
          <w:rFonts w:hint="eastAsia" w:cs="宋体"/>
          <w:color w:val="auto"/>
          <w:szCs w:val="30"/>
          <w:highlight w:val="none"/>
          <w:lang w:eastAsia="zh-CN"/>
        </w:rPr>
        <w:t>技术标准和要求（合同技术条款）</w:t>
      </w:r>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p>
    <w:p w14:paraId="0D04F7E9">
      <w:pPr>
        <w:ind w:firstLine="0"/>
        <w:jc w:val="left"/>
        <w:rPr>
          <w:rFonts w:hint="eastAsia"/>
          <w:color w:val="auto"/>
          <w:highlight w:val="none"/>
          <w:lang w:eastAsia="zh-CN"/>
        </w:rPr>
      </w:pPr>
    </w:p>
    <w:p w14:paraId="574F57C0">
      <w:pPr>
        <w:ind w:firstLine="0"/>
        <w:jc w:val="left"/>
        <w:rPr>
          <w:rFonts w:hint="eastAsia"/>
          <w:color w:val="auto"/>
          <w:highlight w:val="none"/>
          <w:lang w:eastAsia="zh-CN"/>
        </w:rPr>
      </w:pPr>
      <w:r>
        <w:rPr>
          <w:rFonts w:hint="eastAsia"/>
          <w:color w:val="auto"/>
          <w:highlight w:val="none"/>
          <w:lang w:eastAsia="zh-CN"/>
        </w:rPr>
        <w:t>特别说明：本章技术标准和要求（合同技术条款）不明确或与招标图纸</w:t>
      </w:r>
      <w:r>
        <w:rPr>
          <w:rFonts w:hint="eastAsia"/>
          <w:color w:val="auto"/>
          <w:highlight w:val="none"/>
          <w:lang w:val="en-US" w:eastAsia="zh-CN"/>
        </w:rPr>
        <w:t>不一致</w:t>
      </w:r>
      <w:r>
        <w:rPr>
          <w:rFonts w:hint="eastAsia"/>
          <w:color w:val="auto"/>
          <w:highlight w:val="none"/>
          <w:lang w:eastAsia="zh-CN"/>
        </w:rPr>
        <w:t>的</w:t>
      </w:r>
      <w:r>
        <w:rPr>
          <w:rFonts w:hint="eastAsia"/>
          <w:color w:val="auto"/>
          <w:highlight w:val="none"/>
          <w:lang w:val="en-US" w:eastAsia="zh-CN"/>
        </w:rPr>
        <w:t>部分</w:t>
      </w:r>
      <w:r>
        <w:rPr>
          <w:rFonts w:hint="eastAsia"/>
          <w:color w:val="auto"/>
          <w:highlight w:val="none"/>
          <w:lang w:eastAsia="zh-CN"/>
        </w:rPr>
        <w:t>，除计量与支付规定外，以招标图纸为准。</w:t>
      </w:r>
    </w:p>
    <w:p w14:paraId="075D4D4B">
      <w:pPr>
        <w:suppressAutoHyphens/>
        <w:kinsoku/>
        <w:adjustRightInd/>
        <w:snapToGrid/>
        <w:spacing w:line="460" w:lineRule="exact"/>
        <w:ind w:firstLine="480"/>
        <w:textAlignment w:val="auto"/>
        <w:rPr>
          <w:rFonts w:ascii="宋体" w:hAnsi="Calibri" w:eastAsia="宋体" w:cs="Times New Roman"/>
          <w:snapToGrid/>
          <w:color w:val="auto"/>
          <w:kern w:val="2"/>
          <w:highlight w:val="none"/>
          <w:lang w:eastAsia="zh-CN"/>
        </w:rPr>
      </w:pPr>
      <w:r>
        <w:rPr>
          <w:rFonts w:hint="eastAsia" w:hAnsi="Calibri" w:cs="Times New Roman"/>
          <w:snapToGrid/>
          <w:color w:val="auto"/>
          <w:kern w:val="2"/>
          <w:highlight w:val="none"/>
          <w:lang w:val="en-US" w:eastAsia="zh-CN"/>
        </w:rPr>
        <w:t>本章</w:t>
      </w:r>
      <w:r>
        <w:rPr>
          <w:rFonts w:hint="eastAsia" w:ascii="宋体" w:hAnsi="Calibri" w:eastAsia="宋体" w:cs="Times New Roman"/>
          <w:snapToGrid/>
          <w:color w:val="auto"/>
          <w:kern w:val="2"/>
          <w:highlight w:val="none"/>
          <w:lang w:eastAsia="zh-CN"/>
        </w:rPr>
        <w:t>所提供的水文气象、工程地质、水文地质、天然建材、参考指标、参考图等基本资料仅作为参考，承包人应进行现场调查，了解施工条件，由此所作的一切决定和推断由承包人自行负责。</w:t>
      </w:r>
    </w:p>
    <w:p w14:paraId="121C1AF3">
      <w:pPr>
        <w:ind w:firstLine="0"/>
        <w:jc w:val="left"/>
        <w:rPr>
          <w:rFonts w:hint="eastAsia"/>
          <w:color w:val="auto"/>
          <w:highlight w:val="none"/>
          <w:lang w:eastAsia="zh-CN"/>
        </w:rPr>
      </w:pPr>
    </w:p>
    <w:p w14:paraId="55299B6D">
      <w:pPr>
        <w:pStyle w:val="3"/>
        <w:tabs>
          <w:tab w:val="left" w:pos="3229"/>
        </w:tabs>
        <w:spacing w:beforeLines="0" w:afterLines="0"/>
        <w:rPr>
          <w:rFonts w:hint="eastAsia" w:cs="宋体"/>
          <w:color w:val="auto"/>
          <w:szCs w:val="30"/>
          <w:highlight w:val="none"/>
        </w:rPr>
      </w:pPr>
      <w:bookmarkStart w:id="1635" w:name="_Toc25191"/>
      <w:bookmarkStart w:id="1636" w:name="_Toc18946"/>
      <w:bookmarkStart w:id="1637" w:name="_Toc27613"/>
      <w:bookmarkStart w:id="1638" w:name="_Toc29943"/>
      <w:r>
        <w:rPr>
          <w:rFonts w:hint="eastAsia" w:cs="宋体"/>
          <w:color w:val="auto"/>
          <w:szCs w:val="30"/>
          <w:highlight w:val="none"/>
        </w:rPr>
        <w:t>1</w:t>
      </w:r>
      <w:r>
        <w:rPr>
          <w:rFonts w:hint="eastAsia" w:cs="宋体"/>
          <w:color w:val="auto"/>
          <w:szCs w:val="30"/>
          <w:highlight w:val="none"/>
          <w:lang w:eastAsia="zh-CN"/>
        </w:rPr>
        <w:t>　</w:t>
      </w:r>
      <w:r>
        <w:rPr>
          <w:rFonts w:hint="eastAsia" w:cs="宋体"/>
          <w:color w:val="auto"/>
          <w:szCs w:val="30"/>
          <w:highlight w:val="none"/>
        </w:rPr>
        <w:t>一般规定</w:t>
      </w:r>
      <w:bookmarkEnd w:id="1635"/>
      <w:bookmarkEnd w:id="1636"/>
      <w:bookmarkEnd w:id="1637"/>
      <w:bookmarkEnd w:id="1638"/>
    </w:p>
    <w:p w14:paraId="769F4F48">
      <w:pPr>
        <w:pStyle w:val="4"/>
        <w:spacing w:beforeLines="0" w:afterLines="0"/>
        <w:rPr>
          <w:rFonts w:hint="eastAsia" w:cs="宋体"/>
          <w:bCs/>
          <w:color w:val="auto"/>
          <w:szCs w:val="24"/>
          <w:highlight w:val="none"/>
        </w:rPr>
      </w:pPr>
      <w:r>
        <w:rPr>
          <w:rFonts w:hint="eastAsia" w:hAnsi="宋体" w:cs="宋体"/>
          <w:bCs/>
          <w:color w:val="auto"/>
          <w:szCs w:val="24"/>
          <w:highlight w:val="none"/>
        </w:rPr>
        <w:t>1.1</w:t>
      </w:r>
      <w:r>
        <w:rPr>
          <w:rFonts w:hint="eastAsia" w:cs="宋体"/>
          <w:bCs/>
          <w:color w:val="auto"/>
          <w:szCs w:val="24"/>
          <w:highlight w:val="none"/>
          <w:lang w:eastAsia="zh-CN"/>
        </w:rPr>
        <w:t>　</w:t>
      </w:r>
      <w:r>
        <w:rPr>
          <w:rFonts w:hint="eastAsia" w:hAnsi="宋体" w:cs="宋体"/>
          <w:bCs/>
          <w:color w:val="auto"/>
          <w:szCs w:val="24"/>
          <w:highlight w:val="none"/>
        </w:rPr>
        <w:t>工程说明</w:t>
      </w:r>
    </w:p>
    <w:p w14:paraId="603B8984">
      <w:pPr>
        <w:pStyle w:val="5"/>
        <w:rPr>
          <w:rFonts w:hAnsi="Times New Roman" w:cs="楷体"/>
          <w:color w:val="auto"/>
          <w:highlight w:val="none"/>
          <w:lang w:eastAsia="zh-CN"/>
        </w:rPr>
      </w:pPr>
      <w:r>
        <w:rPr>
          <w:rFonts w:hAnsi="Times New Roman" w:cs="Times New Roman"/>
          <w:color w:val="auto"/>
          <w:highlight w:val="none"/>
          <w:lang w:eastAsia="zh-CN"/>
        </w:rPr>
        <w:t>1.1.1</w:t>
      </w:r>
      <w:r>
        <w:rPr>
          <w:rFonts w:hint="eastAsia" w:hAnsi="Times New Roman" w:cs="Times New Roman"/>
          <w:color w:val="auto"/>
          <w:highlight w:val="none"/>
          <w:lang w:eastAsia="zh-CN"/>
        </w:rPr>
        <w:t>　</w:t>
      </w:r>
      <w:r>
        <w:rPr>
          <w:rFonts w:hint="eastAsia" w:hAnsi="Times New Roman" w:cs="楷体"/>
          <w:color w:val="auto"/>
          <w:highlight w:val="none"/>
          <w:lang w:eastAsia="zh-CN"/>
        </w:rPr>
        <w:t>工程概况</w:t>
      </w:r>
    </w:p>
    <w:p w14:paraId="138B749D">
      <w:pPr>
        <w:kinsoku/>
        <w:spacing w:beforeLines="0" w:afterLines="0"/>
        <w:ind w:firstLine="420"/>
        <w:jc w:val="left"/>
        <w:rPr>
          <w:rFonts w:hint="eastAsia" w:hAnsiTheme="minorEastAsia" w:cstheme="minorEastAsia"/>
          <w:color w:val="auto"/>
          <w:highlight w:val="none"/>
          <w:lang w:eastAsia="zh-CN"/>
        </w:rPr>
      </w:pPr>
      <w:r>
        <w:rPr>
          <w:rFonts w:ascii="宋体" w:eastAsia="宋体" w:hAnsiTheme="minorEastAsia" w:cstheme="minorEastAsia"/>
          <w:color w:val="auto"/>
          <w:szCs w:val="21"/>
          <w:highlight w:val="none"/>
          <w:lang w:eastAsia="zh-CN"/>
        </w:rPr>
        <w:t>项目概况：</w:t>
      </w:r>
      <w:r>
        <w:rPr>
          <w:rFonts w:hint="eastAsia" w:ascii="宋体" w:eastAsia="宋体" w:hAnsiTheme="minorEastAsia" w:cstheme="minorEastAsia"/>
          <w:color w:val="auto"/>
          <w:szCs w:val="21"/>
          <w:highlight w:val="none"/>
          <w:lang w:eastAsia="zh-CN"/>
        </w:rPr>
        <w:t>镜岭水库位于曹娥江主源澄潭江上，坝址距新昌县城区约30km，距浙江省绍兴市区约90km</w:t>
      </w:r>
      <w:r>
        <w:rPr>
          <w:rFonts w:hint="eastAsia" w:hAnsiTheme="minorEastAsia" w:cstheme="minorEastAsia"/>
          <w:color w:val="auto"/>
          <w:szCs w:val="21"/>
          <w:highlight w:val="none"/>
          <w:lang w:eastAsia="zh-CN"/>
        </w:rPr>
        <w:t>。</w:t>
      </w:r>
      <w:r>
        <w:rPr>
          <w:rFonts w:hint="eastAsia" w:ascii="宋体" w:eastAsia="宋体" w:hAnsiTheme="minorEastAsia" w:cstheme="minorEastAsia"/>
          <w:color w:val="auto"/>
          <w:szCs w:val="21"/>
          <w:highlight w:val="none"/>
          <w:lang w:eastAsia="zh-CN"/>
        </w:rPr>
        <w:t>工程任务以防洪、供水为主，结合灌溉、发电，为改善流域水生态环境创造条件。水库正常蓄水位128.00m，水库总库容3.13亿m</w:t>
      </w:r>
      <w:r>
        <w:rPr>
          <w:rFonts w:hint="eastAsia" w:ascii="宋体" w:eastAsia="宋体" w:hAnsiTheme="minorEastAsia" w:cstheme="minorEastAsia"/>
          <w:color w:val="auto"/>
          <w:szCs w:val="21"/>
          <w:highlight w:val="none"/>
          <w:vertAlign w:val="superscript"/>
          <w:lang w:eastAsia="zh-CN"/>
        </w:rPr>
        <w:t>3</w:t>
      </w:r>
      <w:r>
        <w:rPr>
          <w:rFonts w:hint="eastAsia" w:ascii="宋体" w:eastAsia="宋体" w:hAnsiTheme="minorEastAsia" w:cstheme="minorEastAsia"/>
          <w:color w:val="auto"/>
          <w:szCs w:val="21"/>
          <w:highlight w:val="none"/>
          <w:lang w:eastAsia="zh-CN"/>
        </w:rPr>
        <w:t>，年引水量1.09亿m</w:t>
      </w:r>
      <w:r>
        <w:rPr>
          <w:rFonts w:hint="eastAsia" w:ascii="宋体" w:eastAsia="宋体" w:hAnsiTheme="minorEastAsia" w:cstheme="minorEastAsia"/>
          <w:color w:val="auto"/>
          <w:szCs w:val="21"/>
          <w:highlight w:val="none"/>
          <w:vertAlign w:val="superscript"/>
          <w:lang w:eastAsia="zh-CN"/>
        </w:rPr>
        <w:t>3</w:t>
      </w:r>
      <w:r>
        <w:rPr>
          <w:rFonts w:hint="eastAsia" w:ascii="宋体" w:eastAsia="宋体" w:hAnsiTheme="minorEastAsia" w:cstheme="minorEastAsia"/>
          <w:color w:val="auto"/>
          <w:szCs w:val="21"/>
          <w:highlight w:val="none"/>
          <w:lang w:eastAsia="zh-CN"/>
        </w:rPr>
        <w:t>，设计引水流量为8.0m</w:t>
      </w:r>
      <w:r>
        <w:rPr>
          <w:rFonts w:hint="eastAsia" w:ascii="宋体" w:eastAsia="宋体" w:hAnsiTheme="minorEastAsia" w:cstheme="minorEastAsia"/>
          <w:color w:val="auto"/>
          <w:szCs w:val="21"/>
          <w:highlight w:val="none"/>
          <w:vertAlign w:val="superscript"/>
          <w:lang w:eastAsia="zh-CN"/>
        </w:rPr>
        <w:t>3</w:t>
      </w:r>
      <w:r>
        <w:rPr>
          <w:rFonts w:hint="eastAsia" w:ascii="宋体" w:eastAsia="宋体" w:hAnsiTheme="minorEastAsia" w:cstheme="minorEastAsia"/>
          <w:color w:val="auto"/>
          <w:szCs w:val="21"/>
          <w:highlight w:val="none"/>
          <w:lang w:eastAsia="zh-CN"/>
        </w:rPr>
        <w:t>/s。镜岭水库为大（2）型Ⅱ等工程。</w:t>
      </w:r>
      <w:r>
        <w:rPr>
          <w:rFonts w:hint="eastAsia" w:hAnsiTheme="minorEastAsia" w:cstheme="minorEastAsia"/>
          <w:color w:val="auto"/>
          <w:highlight w:val="none"/>
          <w:lang w:eastAsia="zh-CN"/>
        </w:rPr>
        <w:t>工程由水库枢纽工程和输水工程两部分组成。</w:t>
      </w:r>
    </w:p>
    <w:p w14:paraId="02632567">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水库</w:t>
      </w:r>
      <w:r>
        <w:rPr>
          <w:rFonts w:hint="eastAsia" w:hAnsiTheme="minorEastAsia" w:cstheme="minorEastAsia"/>
          <w:color w:val="auto"/>
          <w:highlight w:val="none"/>
          <w:lang w:eastAsia="zh-CN"/>
        </w:rPr>
        <w:t>枢纽</w:t>
      </w:r>
      <w:r>
        <w:rPr>
          <w:rFonts w:hint="eastAsia" w:hAnsi="Times New Roman" w:cs="宋体"/>
          <w:color w:val="auto"/>
          <w:highlight w:val="none"/>
          <w:lang w:eastAsia="zh-CN"/>
        </w:rPr>
        <w:t>工程主要由拦河主坝、副坝、坝后发电厂房及生态放水管、升鱼机及交通工程等组成。主坝为常态混凝土重力坝，包括挡水坝段、泄水坝段、引水坝段，坝轴线呈直线布置，坝顶长度265.0m，坝顶高程138.00m，最大坝高83.0m，坝顶宽度10.0m，泄水建筑物为溢流坝段，位于主河床右侧，由溢流表孔和泄水深孔下泄，表孔共3孔，单孔净宽为8.0m，泄水深孔共1孔。副坝共4座，均采用黏土心墙土石坝，坝顶高程均为139.50m，坝顶宽度均为8.0m；1#副坝坝高12.0m，坝长73.0m；2#副坝坝高9.0m，坝长58.0m；3#副坝坝高19.0m，坝长72.0m；4#副坝坝高7.5m，坝长36.0m。</w:t>
      </w:r>
    </w:p>
    <w:p w14:paraId="6CEDAF24">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输水工程采用有压重力流输水，由输水隧洞、输水管道、分水口、检修排水阀井、调压井、动能回收电站、调节池等建筑物组成。输水线路全长约76.30km，其中钻爆隧洞段长41.86km，TBM隧洞段长26.84km，管道段长7.60km；沿线设施工支洞12个，总长8.31km；沿线设分水口5个，检修排水阀井7座，调压井1座，动能回收电站1座，调节池1座。动能回收电站装机容量2×1200kW，调节池最低供水水位55.00m，洞池结合调蓄容积4.40万m</w:t>
      </w:r>
      <w:r>
        <w:rPr>
          <w:rFonts w:hint="eastAsia" w:hAnsi="Times New Roman" w:cs="宋体"/>
          <w:color w:val="auto"/>
          <w:highlight w:val="none"/>
          <w:vertAlign w:val="superscript"/>
          <w:lang w:eastAsia="zh-CN"/>
        </w:rPr>
        <w:t>3</w:t>
      </w:r>
      <w:r>
        <w:rPr>
          <w:rFonts w:hint="eastAsia" w:hAnsi="Times New Roman" w:cs="宋体"/>
          <w:color w:val="auto"/>
          <w:highlight w:val="none"/>
          <w:lang w:eastAsia="zh-CN"/>
        </w:rPr>
        <w:t>。</w:t>
      </w:r>
    </w:p>
    <w:p w14:paraId="7FEE6835">
      <w:pPr>
        <w:kinsoku/>
        <w:spacing w:beforeLines="0" w:afterLines="0"/>
        <w:ind w:firstLine="420"/>
        <w:jc w:val="left"/>
        <w:rPr>
          <w:rFonts w:hint="eastAsia" w:hAnsiTheme="minorEastAsia" w:cstheme="minorEastAsia"/>
          <w:color w:val="auto"/>
          <w:highlight w:val="none"/>
          <w:lang w:eastAsia="zh-CN"/>
        </w:rPr>
      </w:pPr>
      <w:r>
        <w:rPr>
          <w:rFonts w:ascii="宋体" w:eastAsia="宋体" w:hAnsiTheme="minorEastAsia" w:cstheme="minorEastAsia"/>
          <w:color w:val="auto"/>
          <w:szCs w:val="21"/>
          <w:highlight w:val="none"/>
          <w:lang w:eastAsia="zh-CN"/>
        </w:rPr>
        <w:t>本标段招标范围为</w:t>
      </w:r>
      <w:r>
        <w:rPr>
          <w:rFonts w:hint="eastAsia" w:ascii="宋体" w:eastAsia="宋体" w:hAnsiTheme="minorEastAsia" w:cstheme="minorEastAsia"/>
          <w:color w:val="auto"/>
          <w:szCs w:val="21"/>
          <w:highlight w:val="none"/>
          <w:lang w:eastAsia="zh-CN"/>
        </w:rPr>
        <w:t>：</w:t>
      </w:r>
      <w:r>
        <w:rPr>
          <w:rFonts w:hint="eastAsia" w:hAnsiTheme="minorEastAsia" w:cstheme="minorEastAsia"/>
          <w:color w:val="auto"/>
          <w:highlight w:val="none"/>
          <w:lang w:eastAsia="zh-CN"/>
        </w:rPr>
        <w:t>合心支洞施工段（会31+300.000～会35+880.000）主洞及合心支洞工程施工，其中输水主洞长约4580m，合心支洞长553.49m，包括：施工图范围内的所有工程内容以及完成上述工程所需的措施项目和其它项目，水土保持工程、环境保护工程、文明标化工地、施工临时用电、临时用地复垦等工程施工、缺陷责任修复，超前地质预报作业及配合第三方超前地质预报，工程安全监测、建设期信息化、验收、调研及科研项目等配合工作，合同约定的其他相关工作，具体详见工程量清单及图纸。</w:t>
      </w:r>
    </w:p>
    <w:p w14:paraId="50AE66E5">
      <w:pPr>
        <w:kinsoku/>
        <w:spacing w:beforeLines="0" w:afterLines="0"/>
        <w:ind w:firstLine="420"/>
        <w:jc w:val="left"/>
        <w:rPr>
          <w:rFonts w:ascii="宋体" w:eastAsia="宋体" w:hAnsiTheme="minorEastAsia" w:cstheme="minorEastAsia"/>
          <w:color w:val="auto"/>
          <w:szCs w:val="21"/>
          <w:highlight w:val="none"/>
          <w:lang w:eastAsia="zh-CN"/>
        </w:rPr>
      </w:pPr>
      <w:r>
        <w:rPr>
          <w:rFonts w:hint="eastAsia" w:hAnsiTheme="minorEastAsia" w:cstheme="minorEastAsia"/>
          <w:color w:val="auto"/>
          <w:highlight w:val="none"/>
          <w:lang w:eastAsia="zh-CN"/>
        </w:rPr>
        <w:t>本标段计划总工期</w:t>
      </w:r>
      <w:r>
        <w:rPr>
          <w:rFonts w:hint="eastAsia" w:hAnsiTheme="minorEastAsia" w:cstheme="minorEastAsia"/>
          <w:color w:val="auto"/>
          <w:highlight w:val="none"/>
          <w:u w:val="single"/>
          <w:lang w:val="en-US" w:eastAsia="zh-CN"/>
        </w:rPr>
        <w:t xml:space="preserve"> </w:t>
      </w:r>
      <w:r>
        <w:rPr>
          <w:rFonts w:hint="eastAsia" w:hAnsiTheme="minorEastAsia" w:cstheme="minorEastAsia"/>
          <w:color w:val="auto"/>
          <w:highlight w:val="none"/>
          <w:u w:val="single"/>
          <w:lang w:eastAsia="zh-CN"/>
        </w:rPr>
        <w:t>1380</w:t>
      </w:r>
      <w:r>
        <w:rPr>
          <w:rFonts w:hint="eastAsia" w:hAnsiTheme="minorEastAsia" w:cstheme="minorEastAsia"/>
          <w:color w:val="auto"/>
          <w:highlight w:val="none"/>
          <w:u w:val="single"/>
          <w:lang w:val="en-US" w:eastAsia="zh-CN"/>
        </w:rPr>
        <w:t xml:space="preserve"> </w:t>
      </w:r>
      <w:r>
        <w:rPr>
          <w:rFonts w:hint="eastAsia" w:hAnsiTheme="minorEastAsia" w:cstheme="minorEastAsia"/>
          <w:color w:val="auto"/>
          <w:highlight w:val="none"/>
          <w:lang w:eastAsia="zh-CN"/>
        </w:rPr>
        <w:t>日历天</w:t>
      </w:r>
      <w:r>
        <w:rPr>
          <w:rFonts w:hint="eastAsia" w:cs="宋体"/>
          <w:color w:val="auto"/>
          <w:highlight w:val="none"/>
          <w:lang w:eastAsia="zh-CN"/>
        </w:rPr>
        <w:t>。</w:t>
      </w:r>
    </w:p>
    <w:p w14:paraId="463B4F9E">
      <w:pPr>
        <w:widowControl/>
        <w:kinsoku w:val="0"/>
        <w:autoSpaceDE w:val="0"/>
        <w:autoSpaceDN w:val="0"/>
        <w:adjustRightInd w:val="0"/>
        <w:snapToGrid w:val="0"/>
        <w:spacing w:line="360" w:lineRule="auto"/>
        <w:ind w:firstLine="0" w:firstLineChars="0"/>
        <w:jc w:val="left"/>
        <w:textAlignment w:val="baseline"/>
        <w:rPr>
          <w:rFonts w:ascii="Arial" w:hAnsi="Times New Roman" w:eastAsia="宋体" w:cs="Times New Roman"/>
          <w:snapToGrid w:val="0"/>
          <w:color w:val="auto"/>
          <w:sz w:val="24"/>
          <w:szCs w:val="24"/>
          <w:highlight w:val="none"/>
          <w:lang w:val="en-US" w:eastAsia="zh-CN" w:bidi="ar-SA"/>
        </w:rPr>
      </w:pPr>
      <w:r>
        <w:rPr>
          <w:rFonts w:hAnsi="Times New Roman" w:cs="Times New Roman"/>
          <w:color w:val="auto"/>
          <w:szCs w:val="24"/>
          <w:highlight w:val="none"/>
          <w:lang w:eastAsia="zh-CN"/>
        </w:rPr>
        <w:t>1.1.2</w:t>
      </w:r>
      <w:r>
        <w:rPr>
          <w:rFonts w:hint="eastAsia" w:hAnsi="Times New Roman" w:cs="Times New Roman"/>
          <w:color w:val="auto"/>
          <w:szCs w:val="24"/>
          <w:highlight w:val="none"/>
          <w:lang w:eastAsia="zh-CN"/>
        </w:rPr>
        <w:t>　</w:t>
      </w:r>
      <w:r>
        <w:rPr>
          <w:rFonts w:hint="eastAsia" w:ascii="Arial" w:hAnsi="Times New Roman" w:eastAsia="宋体" w:cs="Times New Roman"/>
          <w:snapToGrid w:val="0"/>
          <w:color w:val="auto"/>
          <w:sz w:val="24"/>
          <w:szCs w:val="24"/>
          <w:highlight w:val="none"/>
          <w:lang w:val="en-US" w:eastAsia="zh-CN" w:bidi="ar-SA"/>
        </w:rPr>
        <w:t>水文气象和工程地质资料</w:t>
      </w:r>
    </w:p>
    <w:p w14:paraId="34CFF9A1">
      <w:pPr>
        <w:ind w:firstLine="468"/>
        <w:jc w:val="left"/>
        <w:rPr>
          <w:rFonts w:hint="eastAsia" w:asciiTheme="minorEastAsia" w:hAnsiTheme="minorEastAsia" w:eastAsiaTheme="minorEastAsia" w:cstheme="minorEastAsia"/>
          <w:b w:val="0"/>
          <w:bCs w:val="0"/>
          <w:color w:val="auto"/>
          <w:szCs w:val="24"/>
          <w:highlight w:val="none"/>
          <w:lang w:eastAsia="zh-CN"/>
        </w:rPr>
      </w:pPr>
      <w:r>
        <w:rPr>
          <w:rFonts w:hint="eastAsia" w:hAnsi="Times New Roman" w:cs="宋体"/>
          <w:color w:val="auto"/>
          <w:highlight w:val="none"/>
          <w:lang w:val="en-US" w:eastAsia="zh-CN"/>
        </w:rPr>
        <w:t>详见招标设计图纸。</w:t>
      </w:r>
    </w:p>
    <w:p w14:paraId="20ED3662">
      <w:pPr>
        <w:widowControl/>
        <w:autoSpaceDE w:val="0"/>
        <w:autoSpaceDN w:val="0"/>
        <w:ind w:firstLine="0" w:firstLineChars="0"/>
        <w:jc w:val="left"/>
        <w:rPr>
          <w:rFonts w:hAnsi="Times New Roman" w:cs="楷体"/>
          <w:color w:val="auto"/>
          <w:highlight w:val="none"/>
          <w:lang w:eastAsia="zh-CN"/>
        </w:rPr>
      </w:pPr>
      <w:r>
        <w:rPr>
          <w:rFonts w:hAnsi="Times New Roman" w:cs="Times New Roman"/>
          <w:color w:val="auto"/>
          <w:highlight w:val="none"/>
          <w:lang w:eastAsia="zh-CN"/>
        </w:rPr>
        <w:t>1.1.3</w:t>
      </w:r>
      <w:r>
        <w:rPr>
          <w:rFonts w:hint="eastAsia" w:hAnsi="Times New Roman" w:cs="Times New Roman"/>
          <w:color w:val="auto"/>
          <w:highlight w:val="none"/>
          <w:lang w:eastAsia="zh-CN"/>
        </w:rPr>
        <w:t>　</w:t>
      </w:r>
      <w:r>
        <w:rPr>
          <w:rFonts w:hint="eastAsia" w:hAnsi="Times New Roman" w:cs="楷体"/>
          <w:color w:val="auto"/>
          <w:highlight w:val="none"/>
          <w:lang w:eastAsia="zh-CN"/>
        </w:rPr>
        <w:t>施工条件</w:t>
      </w:r>
    </w:p>
    <w:p w14:paraId="5F1DAE8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）交通条件</w:t>
      </w:r>
    </w:p>
    <w:p w14:paraId="0D5E9FDA">
      <w:pPr>
        <w:ind w:firstLine="420"/>
        <w:jc w:val="left"/>
        <w:rPr>
          <w:rFonts w:hAnsi="Times New Roman" w:cs="Times New Roman"/>
          <w:color w:val="auto"/>
          <w:highlight w:val="none"/>
          <w:lang w:eastAsia="zh-CN"/>
        </w:rPr>
      </w:pPr>
      <w:r>
        <w:rPr>
          <w:rFonts w:hint="eastAsia" w:hAnsi="Times New Roman" w:cs="Times New Roman"/>
          <w:color w:val="auto"/>
          <w:highlight w:val="none"/>
          <w:lang w:val="en-US" w:eastAsia="zh-CN"/>
        </w:rPr>
        <w:t>承包人自行踏勘</w:t>
      </w:r>
      <w:r>
        <w:rPr>
          <w:rFonts w:hint="eastAsia" w:hAnsi="Times New Roman" w:cs="Times New Roman"/>
          <w:color w:val="auto"/>
          <w:highlight w:val="none"/>
          <w:lang w:eastAsia="zh-CN"/>
        </w:rPr>
        <w:t>。</w:t>
      </w:r>
    </w:p>
    <w:p w14:paraId="74D1274C">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）发包人按本技术条款第</w:t>
      </w:r>
      <w:r>
        <w:rPr>
          <w:rFonts w:hAnsi="Times New Roman" w:cs="Times New Roman"/>
          <w:color w:val="auto"/>
          <w:highlight w:val="none"/>
          <w:lang w:eastAsia="zh-CN"/>
        </w:rPr>
        <w:t>2</w:t>
      </w:r>
      <w:r>
        <w:rPr>
          <w:rFonts w:hint="eastAsia" w:hAnsi="Times New Roman" w:cs="宋体"/>
          <w:color w:val="auto"/>
          <w:highlight w:val="none"/>
          <w:lang w:eastAsia="zh-CN"/>
        </w:rPr>
        <w:t>章提供的施工临时工程和临时设施</w:t>
      </w:r>
    </w:p>
    <w:p w14:paraId="6A2D8166">
      <w:pPr>
        <w:ind w:firstLine="420"/>
        <w:jc w:val="left"/>
        <w:rPr>
          <w:rFonts w:hint="default" w:hAnsi="Times New Roman" w:cs="宋体"/>
          <w:color w:val="auto"/>
          <w:highlight w:val="none"/>
          <w:lang w:val="en-US" w:eastAsia="zh-CN"/>
        </w:rPr>
      </w:pPr>
      <w:r>
        <w:rPr>
          <w:rFonts w:hint="eastAsia" w:hAnsi="Times New Roman" w:cs="宋体"/>
          <w:color w:val="auto"/>
          <w:highlight w:val="none"/>
          <w:lang w:val="en-US" w:eastAsia="zh-CN"/>
        </w:rPr>
        <w:t>无。</w:t>
      </w:r>
    </w:p>
    <w:p w14:paraId="0AE1F06C">
      <w:pPr>
        <w:numPr>
          <w:ilvl w:val="0"/>
          <w:numId w:val="3"/>
        </w:num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发包人提供的其它施工条件说明</w:t>
      </w:r>
    </w:p>
    <w:p w14:paraId="2D553845">
      <w:pPr>
        <w:numPr>
          <w:ilvl w:val="-1"/>
          <w:numId w:val="0"/>
        </w:numPr>
        <w:ind w:firstLine="480" w:firstLineChars="200"/>
        <w:jc w:val="left"/>
        <w:rPr>
          <w:rFonts w:hAnsi="Times New Roman" w:cs="宋体"/>
          <w:color w:val="auto"/>
          <w:highlight w:val="none"/>
          <w:lang w:eastAsia="zh-CN"/>
        </w:rPr>
      </w:pPr>
      <w:r>
        <w:rPr>
          <w:rFonts w:hint="eastAsia" w:hAnsi="Times New Roman" w:cs="宋体"/>
          <w:color w:val="auto"/>
          <w:highlight w:val="none"/>
          <w:lang w:val="en-US" w:eastAsia="zh-CN"/>
        </w:rPr>
        <w:t>无</w:t>
      </w:r>
      <w:r>
        <w:rPr>
          <w:rFonts w:hint="eastAsia" w:hAnsi="Times New Roman" w:cs="宋体"/>
          <w:color w:val="auto"/>
          <w:highlight w:val="none"/>
          <w:lang w:eastAsia="zh-CN"/>
        </w:rPr>
        <w:t>。</w:t>
      </w:r>
    </w:p>
    <w:p w14:paraId="4EEA9142">
      <w:pPr>
        <w:ind w:firstLine="420"/>
        <w:jc w:val="left"/>
        <w:rPr>
          <w:rFonts w:hAnsi="Times New Roman" w:cs="Times New Roman"/>
          <w:color w:val="auto"/>
          <w:highlight w:val="none"/>
          <w:lang w:eastAsia="zh-CN"/>
        </w:rPr>
      </w:pPr>
      <w:r>
        <w:rPr>
          <w:rFonts w:hint="eastAsia" w:hAnsi="Times New Roman" w:cs="Times New Roman"/>
          <w:color w:val="auto"/>
          <w:highlight w:val="none"/>
          <w:lang w:eastAsia="zh-CN"/>
        </w:rPr>
        <w:t>1）建材供应条件</w:t>
      </w:r>
    </w:p>
    <w:p w14:paraId="75C4622E">
      <w:pPr>
        <w:ind w:firstLine="420"/>
        <w:jc w:val="left"/>
        <w:rPr>
          <w:rFonts w:hAnsi="Times New Roman" w:cs="Times New Roman"/>
          <w:color w:val="auto"/>
          <w:highlight w:val="none"/>
          <w:lang w:eastAsia="zh-CN"/>
        </w:rPr>
      </w:pPr>
      <w:r>
        <w:rPr>
          <w:rFonts w:hint="eastAsia" w:hAnsi="Times New Roman" w:cs="Times New Roman"/>
          <w:color w:val="auto"/>
          <w:highlight w:val="none"/>
          <w:lang w:eastAsia="zh-CN"/>
        </w:rPr>
        <w:t>工程建设所需外来物资主要包括水泥、粉煤灰、钢筋钢材、木材、火工材料和油料等均可在周边地区采购。</w:t>
      </w:r>
    </w:p>
    <w:p w14:paraId="1FEF8708">
      <w:pPr>
        <w:ind w:firstLine="420"/>
        <w:jc w:val="left"/>
        <w:rPr>
          <w:rFonts w:hAnsi="Times New Roman" w:cs="Times New Roman"/>
          <w:color w:val="auto"/>
          <w:highlight w:val="none"/>
          <w:lang w:eastAsia="zh-CN"/>
        </w:rPr>
      </w:pPr>
      <w:r>
        <w:rPr>
          <w:rFonts w:hint="eastAsia" w:hAnsi="Times New Roman" w:cs="Times New Roman"/>
          <w:color w:val="auto"/>
          <w:highlight w:val="none"/>
          <w:lang w:eastAsia="zh-CN"/>
        </w:rPr>
        <w:t>2）</w:t>
      </w:r>
      <w:r>
        <w:rPr>
          <w:rFonts w:hint="eastAsia" w:hAnsi="Times New Roman" w:cs="Times New Roman"/>
          <w:color w:val="auto"/>
          <w:highlight w:val="none"/>
          <w:lang w:val="en-US" w:eastAsia="zh-CN"/>
        </w:rPr>
        <w:t>施工及生活用</w:t>
      </w:r>
      <w:r>
        <w:rPr>
          <w:rFonts w:hint="eastAsia" w:hAnsi="Times New Roman" w:cs="Times New Roman"/>
          <w:color w:val="auto"/>
          <w:highlight w:val="none"/>
          <w:lang w:eastAsia="zh-CN"/>
        </w:rPr>
        <w:t>水、</w:t>
      </w:r>
      <w:r>
        <w:rPr>
          <w:rFonts w:hint="eastAsia" w:hAnsi="Times New Roman" w:cs="Times New Roman"/>
          <w:color w:val="auto"/>
          <w:highlight w:val="none"/>
          <w:lang w:val="en-US" w:eastAsia="zh-CN"/>
        </w:rPr>
        <w:t>施工用电</w:t>
      </w:r>
      <w:r>
        <w:rPr>
          <w:rFonts w:hint="eastAsia" w:hAnsi="Times New Roman" w:cs="Times New Roman"/>
          <w:color w:val="auto"/>
          <w:highlight w:val="none"/>
          <w:lang w:eastAsia="zh-CN"/>
        </w:rPr>
        <w:t>供应条件</w:t>
      </w:r>
    </w:p>
    <w:p w14:paraId="2BD34E77">
      <w:pPr>
        <w:ind w:firstLine="420"/>
        <w:jc w:val="left"/>
        <w:rPr>
          <w:rFonts w:hint="eastAsia" w:hAnsi="Times New Roman" w:cs="Times New Roman"/>
          <w:color w:val="auto"/>
          <w:highlight w:val="none"/>
          <w:lang w:eastAsia="zh-CN"/>
        </w:rPr>
      </w:pPr>
      <w:r>
        <w:rPr>
          <w:rFonts w:hint="eastAsia" w:hAnsi="Times New Roman" w:cs="Times New Roman"/>
          <w:color w:val="auto"/>
          <w:highlight w:val="none"/>
          <w:lang w:eastAsia="zh-CN"/>
        </w:rPr>
        <w:t>施工用电</w:t>
      </w:r>
      <w:r>
        <w:rPr>
          <w:rFonts w:hint="eastAsia" w:hAnsi="Times New Roman" w:cs="Times New Roman"/>
          <w:color w:val="auto"/>
          <w:highlight w:val="none"/>
          <w:lang w:val="en-US" w:eastAsia="zh-CN"/>
        </w:rPr>
        <w:t>主要</w:t>
      </w:r>
      <w:r>
        <w:rPr>
          <w:rFonts w:hint="eastAsia" w:hAnsi="Times New Roman" w:cs="Times New Roman"/>
          <w:color w:val="auto"/>
          <w:highlight w:val="none"/>
          <w:lang w:eastAsia="zh-CN"/>
        </w:rPr>
        <w:t>采用电网电，</w:t>
      </w:r>
      <w:r>
        <w:rPr>
          <w:rFonts w:hint="eastAsia" w:hAnsi="Times New Roman" w:cs="Times New Roman"/>
          <w:color w:val="auto"/>
          <w:highlight w:val="none"/>
          <w:lang w:val="en-US" w:eastAsia="zh-CN"/>
        </w:rPr>
        <w:t>电网供电可</w:t>
      </w:r>
      <w:r>
        <w:rPr>
          <w:rFonts w:hint="eastAsia" w:hAnsi="Times New Roman" w:cs="Times New Roman"/>
          <w:color w:val="auto"/>
          <w:highlight w:val="none"/>
          <w:lang w:eastAsia="zh-CN"/>
        </w:rPr>
        <w:t>从平水供电所引入</w:t>
      </w:r>
      <w:r>
        <w:rPr>
          <w:rFonts w:hint="eastAsia" w:hAnsi="Times New Roman" w:cs="Times New Roman"/>
          <w:color w:val="auto"/>
          <w:highlight w:val="none"/>
          <w:lang w:val="en-US" w:eastAsia="zh-CN"/>
        </w:rPr>
        <w:t>；承包人应</w:t>
      </w:r>
      <w:r>
        <w:rPr>
          <w:rFonts w:hint="eastAsia" w:hAnsi="Times New Roman" w:cs="Times New Roman"/>
          <w:color w:val="auto"/>
          <w:highlight w:val="none"/>
          <w:lang w:eastAsia="zh-CN"/>
        </w:rPr>
        <w:t>配备一定容量的柴油发电机作为自备电，以防止断电等突发事件。</w:t>
      </w:r>
    </w:p>
    <w:p w14:paraId="6714E02E">
      <w:pPr>
        <w:ind w:firstLine="420"/>
        <w:jc w:val="left"/>
        <w:rPr>
          <w:rFonts w:hAnsi="Times New Roman" w:cs="Times New Roman"/>
          <w:color w:val="auto"/>
          <w:highlight w:val="none"/>
          <w:lang w:eastAsia="zh-CN"/>
        </w:rPr>
      </w:pPr>
      <w:r>
        <w:rPr>
          <w:rFonts w:hint="eastAsia" w:hAnsi="Times New Roman" w:cs="Times New Roman"/>
          <w:color w:val="auto"/>
          <w:highlight w:val="none"/>
          <w:lang w:eastAsia="zh-CN"/>
        </w:rPr>
        <w:t>本工程施工用水主要为土石方开挖用水、混凝土拌制浇筑用水、混凝土养护用水、施工机械用水、施工辅助企业用水、消防用水以及生活用水等。生产用水设泵抽取附近水源解决（不足时由自来水补充），生活用水可采用自来水。</w:t>
      </w:r>
    </w:p>
    <w:p w14:paraId="34A89F73">
      <w:pPr>
        <w:pStyle w:val="4"/>
        <w:spacing w:beforeLines="0" w:afterLines="0"/>
        <w:rPr>
          <w:rFonts w:hint="eastAsia" w:cs="宋体"/>
          <w:bCs/>
          <w:color w:val="auto"/>
          <w:szCs w:val="24"/>
          <w:highlight w:val="none"/>
        </w:rPr>
      </w:pPr>
      <w:r>
        <w:rPr>
          <w:rFonts w:hint="eastAsia" w:hAnsi="宋体" w:cs="宋体"/>
          <w:bCs/>
          <w:color w:val="auto"/>
          <w:szCs w:val="24"/>
          <w:highlight w:val="none"/>
        </w:rPr>
        <w:t>1.2</w:t>
      </w:r>
      <w:r>
        <w:rPr>
          <w:rFonts w:hint="eastAsia" w:cs="宋体"/>
          <w:bCs/>
          <w:color w:val="auto"/>
          <w:szCs w:val="24"/>
          <w:highlight w:val="none"/>
          <w:lang w:eastAsia="zh-CN"/>
        </w:rPr>
        <w:t>　</w:t>
      </w:r>
      <w:r>
        <w:rPr>
          <w:rFonts w:hint="eastAsia" w:hAnsi="宋体" w:cs="宋体"/>
          <w:bCs/>
          <w:color w:val="auto"/>
          <w:szCs w:val="24"/>
          <w:highlight w:val="none"/>
        </w:rPr>
        <w:t>主体工程项目及其工作内容</w:t>
      </w:r>
    </w:p>
    <w:p w14:paraId="10B4E762">
      <w:pPr>
        <w:pStyle w:val="5"/>
        <w:rPr>
          <w:color w:val="auto"/>
          <w:highlight w:val="none"/>
          <w:lang w:eastAsia="zh-CN"/>
        </w:rPr>
      </w:pPr>
      <w:r>
        <w:rPr>
          <w:color w:val="auto"/>
          <w:highlight w:val="none"/>
          <w:lang w:eastAsia="zh-CN"/>
        </w:rPr>
        <w:t>1.2.1</w:t>
      </w:r>
      <w:r>
        <w:rPr>
          <w:rFonts w:hint="eastAsia"/>
          <w:color w:val="auto"/>
          <w:highlight w:val="none"/>
          <w:lang w:eastAsia="zh-CN"/>
        </w:rPr>
        <w:t>　本合同承包人承担的主体工程项目及其工作内容</w:t>
      </w:r>
    </w:p>
    <w:p w14:paraId="5B4A9DBE">
      <w:pPr>
        <w:ind w:firstLine="420"/>
        <w:jc w:val="left"/>
        <w:rPr>
          <w:rFonts w:hAnsi="Times New Roman" w:cs="宋体"/>
          <w:color w:val="auto"/>
          <w:highlight w:val="none"/>
          <w:lang w:eastAsia="zh-CN"/>
        </w:rPr>
      </w:pPr>
      <w:r>
        <w:rPr>
          <w:rFonts w:hint="eastAsia" w:eastAsia="宋体"/>
          <w:color w:val="auto"/>
          <w:highlight w:val="none"/>
          <w:lang w:eastAsia="zh-CN"/>
        </w:rPr>
        <w:t>本合同承包人承担的主体工程项目及其工作内容</w:t>
      </w:r>
      <w:r>
        <w:rPr>
          <w:rFonts w:hint="eastAsia"/>
          <w:color w:val="auto"/>
          <w:highlight w:val="none"/>
          <w:lang w:val="en-US" w:eastAsia="zh-CN"/>
        </w:rPr>
        <w:t>为：</w:t>
      </w:r>
      <w:r>
        <w:rPr>
          <w:rFonts w:hint="eastAsia" w:hAnsi="Times New Roman" w:cs="宋体"/>
          <w:color w:val="auto"/>
          <w:highlight w:val="none"/>
          <w:lang w:eastAsia="zh-CN"/>
        </w:rPr>
        <w:t>合心支洞施工段（会31+300.000～会35+880.000）主洞及合心支洞工程施工，其中输水主洞长约4580m，合心支洞长553.49m，包括：施工图范围内的所有工程内容以及完成上述工程所需的措施项目和其它项目，水土保持工程、环境保护工程、文明标化工地、施工临时用电、临时用地复垦等工程施工、缺陷责任修复，超前地质预报作业及配合第三方超前地质预报，工程安全监测、建设期信息化、验收、调研及科研项目等配合工作，合同约定的其他相关工作，具体详见工程量清单及图纸。</w:t>
      </w:r>
    </w:p>
    <w:p w14:paraId="178DB269">
      <w:pPr>
        <w:pStyle w:val="5"/>
        <w:rPr>
          <w:color w:val="auto"/>
          <w:highlight w:val="none"/>
          <w:lang w:eastAsia="zh-CN"/>
        </w:rPr>
      </w:pPr>
      <w:r>
        <w:rPr>
          <w:color w:val="auto"/>
          <w:highlight w:val="none"/>
          <w:lang w:eastAsia="zh-CN"/>
        </w:rPr>
        <w:t>1.2.2</w:t>
      </w:r>
      <w:r>
        <w:rPr>
          <w:rFonts w:hint="eastAsia"/>
          <w:color w:val="auto"/>
          <w:highlight w:val="none"/>
          <w:lang w:eastAsia="zh-CN"/>
        </w:rPr>
        <w:t>　发包人（包括其它承包人）承担的相关工程项目及其工作内容</w:t>
      </w:r>
    </w:p>
    <w:p w14:paraId="47A32A19">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无。</w:t>
      </w:r>
    </w:p>
    <w:p w14:paraId="0B47E647">
      <w:pPr>
        <w:pStyle w:val="4"/>
        <w:spacing w:beforeLines="0" w:afterLines="0"/>
        <w:rPr>
          <w:rFonts w:hint="eastAsia" w:cs="宋体"/>
          <w:bCs/>
          <w:color w:val="auto"/>
          <w:szCs w:val="24"/>
          <w:highlight w:val="none"/>
        </w:rPr>
      </w:pPr>
      <w:r>
        <w:rPr>
          <w:rFonts w:hint="eastAsia" w:cs="宋体"/>
          <w:bCs/>
          <w:color w:val="auto"/>
          <w:szCs w:val="24"/>
          <w:highlight w:val="none"/>
        </w:rPr>
        <w:t>1.3</w:t>
      </w:r>
      <w:r>
        <w:rPr>
          <w:rFonts w:hint="eastAsia" w:cs="宋体"/>
          <w:bCs/>
          <w:color w:val="auto"/>
          <w:szCs w:val="24"/>
          <w:highlight w:val="none"/>
          <w:lang w:eastAsia="zh-CN"/>
        </w:rPr>
        <w:t>　</w:t>
      </w:r>
      <w:r>
        <w:rPr>
          <w:rFonts w:hint="eastAsia" w:cs="宋体"/>
          <w:bCs/>
          <w:color w:val="auto"/>
          <w:szCs w:val="24"/>
          <w:highlight w:val="none"/>
        </w:rPr>
        <w:t>发包人提供的施工图纸和文件</w:t>
      </w:r>
    </w:p>
    <w:p w14:paraId="56D9EAF2">
      <w:pPr>
        <w:pStyle w:val="5"/>
        <w:rPr>
          <w:color w:val="auto"/>
          <w:highlight w:val="none"/>
          <w:lang w:eastAsia="zh-CN"/>
        </w:rPr>
      </w:pPr>
      <w:r>
        <w:rPr>
          <w:color w:val="auto"/>
          <w:highlight w:val="none"/>
          <w:lang w:eastAsia="zh-CN"/>
        </w:rPr>
        <w:t>1.3.1</w:t>
      </w:r>
      <w:r>
        <w:rPr>
          <w:rFonts w:hint="eastAsia"/>
          <w:color w:val="auto"/>
          <w:highlight w:val="none"/>
          <w:lang w:eastAsia="zh-CN"/>
        </w:rPr>
        <w:t>　发包人负责提供的施工图纸和文件</w:t>
      </w:r>
    </w:p>
    <w:p w14:paraId="78EFDF1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）由发包人负责设计的工程项目，应由监理人按本章第</w:t>
      </w:r>
      <w:r>
        <w:rPr>
          <w:rFonts w:hAnsi="Times New Roman" w:cs="Times New Roman"/>
          <w:color w:val="auto"/>
          <w:highlight w:val="none"/>
          <w:lang w:eastAsia="zh-CN"/>
        </w:rPr>
        <w:t>1.3.2</w:t>
      </w:r>
      <w:r>
        <w:rPr>
          <w:rFonts w:hint="eastAsia" w:hAnsi="Times New Roman" w:cs="宋体"/>
          <w:color w:val="auto"/>
          <w:highlight w:val="none"/>
          <w:lang w:eastAsia="zh-CN"/>
        </w:rPr>
        <w:t>项签订的供图计划提供施工图纸给承包人。</w:t>
      </w:r>
    </w:p>
    <w:p w14:paraId="79AF513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）发包人按合同约定向承包人提供的设计基本资料、材料样品、试验成果，以及根据合同要求提供的录像、照片、会议纪要等所有图纸、文件（包括软件、移动硬盘）和影像资料等，发包人不再另行收取费用。</w:t>
      </w:r>
    </w:p>
    <w:p w14:paraId="2894C325">
      <w:pPr>
        <w:pStyle w:val="5"/>
        <w:rPr>
          <w:color w:val="auto"/>
          <w:highlight w:val="none"/>
          <w:lang w:eastAsia="zh-CN"/>
        </w:rPr>
      </w:pPr>
      <w:r>
        <w:rPr>
          <w:rFonts w:hint="eastAsia"/>
          <w:color w:val="auto"/>
          <w:highlight w:val="none"/>
          <w:lang w:eastAsia="zh-CN"/>
        </w:rPr>
        <w:t>1.3.2　发包人供图计划</w:t>
      </w:r>
    </w:p>
    <w:p w14:paraId="2C179C62">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）发包人应在发出开工通知后</w:t>
      </w:r>
      <w:r>
        <w:rPr>
          <w:rFonts w:hint="eastAsia" w:hAnsi="Times New Roman" w:cs="宋体"/>
          <w:color w:val="auto"/>
          <w:highlight w:val="none"/>
          <w:u w:val="single"/>
          <w:lang w:val="en-US" w:eastAsia="zh-CN"/>
        </w:rPr>
        <w:t xml:space="preserve">  </w:t>
      </w:r>
      <w:r>
        <w:rPr>
          <w:rFonts w:hint="eastAsia" w:hAnsi="Times New Roman" w:cs="宋体"/>
          <w:color w:val="auto"/>
          <w:highlight w:val="none"/>
          <w:u w:val="single"/>
          <w:lang w:eastAsia="zh-CN"/>
        </w:rPr>
        <w:t>1</w:t>
      </w:r>
      <w:r>
        <w:rPr>
          <w:rFonts w:hint="eastAsia" w:hAnsi="Times New Roman" w:cs="宋体"/>
          <w:color w:val="auto"/>
          <w:highlight w:val="none"/>
          <w:u w:val="single"/>
          <w:lang w:val="en-US" w:eastAsia="zh-CN"/>
        </w:rPr>
        <w:t xml:space="preserve">4  </w:t>
      </w:r>
      <w:r>
        <w:rPr>
          <w:rFonts w:hint="eastAsia" w:hAnsi="Times New Roman" w:cs="宋体"/>
          <w:color w:val="auto"/>
          <w:highlight w:val="none"/>
          <w:lang w:eastAsia="zh-CN"/>
        </w:rPr>
        <w:t>天内，与承包人共同商签发包人供图计划，经合同双方签订的供图计划作为合同的补充文件。</w:t>
      </w:r>
    </w:p>
    <w:p w14:paraId="2BBAD35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）每年第四季度末，监理人应根据上述供图计划，提供详细的下年度供图计划给承包人。</w:t>
      </w:r>
    </w:p>
    <w:p w14:paraId="026B0BB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）不论何种原因调整和修订了合同进度计划，监理人应及时与承包人共同修订供图计划，并作为执行合同进度计划的补充文件。</w:t>
      </w:r>
    </w:p>
    <w:p w14:paraId="6890A38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）发包人应向承包人提供</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8</w:t>
      </w:r>
      <w:r>
        <w:rPr>
          <w:rFonts w:hint="eastAsia" w:hAnsi="Times New Roman" w:cs="宋体"/>
          <w:color w:val="auto"/>
          <w:highlight w:val="none"/>
          <w:u w:val="single"/>
          <w:lang w:val="en-US" w:eastAsia="zh-CN"/>
        </w:rPr>
        <w:t xml:space="preserve">  </w:t>
      </w:r>
      <w:r>
        <w:rPr>
          <w:rFonts w:cs="宋体"/>
          <w:color w:val="auto"/>
          <w:highlight w:val="none"/>
          <w:lang w:eastAsia="zh-CN"/>
        </w:rPr>
        <w:t>份各类施工图纸（包括设计修改图）。承包人可根据施工需要，要求增加提供图纸份数，并为增供的图纸支付费用。</w:t>
      </w:r>
    </w:p>
    <w:p w14:paraId="1B6EFAE3">
      <w:pPr>
        <w:pStyle w:val="5"/>
        <w:rPr>
          <w:rFonts w:hAnsi="Times New Roman" w:cs="楷体"/>
          <w:color w:val="auto"/>
          <w:highlight w:val="none"/>
          <w:lang w:eastAsia="zh-CN"/>
        </w:rPr>
      </w:pPr>
      <w:r>
        <w:rPr>
          <w:rFonts w:hAnsi="Times New Roman" w:cs="Times New Roman"/>
          <w:color w:val="auto"/>
          <w:highlight w:val="none"/>
          <w:lang w:eastAsia="zh-CN"/>
        </w:rPr>
        <w:t>1.3.3</w:t>
      </w:r>
      <w:r>
        <w:rPr>
          <w:rFonts w:hint="eastAsia" w:hAnsi="Times New Roman" w:cs="Times New Roman"/>
          <w:color w:val="auto"/>
          <w:highlight w:val="none"/>
          <w:lang w:eastAsia="zh-CN"/>
        </w:rPr>
        <w:t>　</w:t>
      </w:r>
      <w:r>
        <w:rPr>
          <w:rFonts w:hAnsi="楷体" w:cs="楷体"/>
          <w:color w:val="auto"/>
          <w:highlight w:val="none"/>
          <w:lang w:eastAsia="zh-CN"/>
        </w:rPr>
        <w:t>发包人提供施工图纸的期限</w:t>
      </w:r>
    </w:p>
    <w:p w14:paraId="531A3FB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）用于承包人编制施工进度计划和施工总布置所需的工程枢纽总布置图和主要工程建筑物布置图在签署合同协议</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cs="宋体"/>
          <w:color w:val="auto"/>
          <w:highlight w:val="none"/>
          <w:lang w:eastAsia="zh-CN"/>
        </w:rPr>
        <w:t>后天内提供给承包人。</w:t>
      </w:r>
    </w:p>
    <w:p w14:paraId="1992E3D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）用于各工程项目施工的工程建筑物结构布置图、体形图等施工图纸，应在该项目工程施工前</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cs="宋体"/>
          <w:color w:val="auto"/>
          <w:highlight w:val="none"/>
          <w:lang w:eastAsia="zh-CN"/>
        </w:rPr>
        <w:t>天提供给承包人。</w:t>
      </w:r>
    </w:p>
    <w:p w14:paraId="0CE0D0C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）用于工程施工的开挖支护图、配筋图、细部设计图和浇筑图等施工图纸应在该部位施工前</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28</w:t>
      </w:r>
      <w:r>
        <w:rPr>
          <w:rFonts w:hint="eastAsia" w:hAnsi="Times New Roman" w:cs="宋体"/>
          <w:color w:val="auto"/>
          <w:highlight w:val="none"/>
          <w:u w:val="single"/>
          <w:lang w:val="en-US" w:eastAsia="zh-CN"/>
        </w:rPr>
        <w:t xml:space="preserve">  </w:t>
      </w:r>
      <w:r>
        <w:rPr>
          <w:rFonts w:cs="宋体"/>
          <w:color w:val="auto"/>
          <w:highlight w:val="none"/>
          <w:lang w:eastAsia="zh-CN"/>
        </w:rPr>
        <w:t>天提供给承包人。</w:t>
      </w:r>
    </w:p>
    <w:p w14:paraId="089A3DC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）用于机电设备安装的安装总图及其有关的图纸和技术文件（包括由设备供货商提交的图纸和技术文件）应在机电设备安装开始前</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28</w:t>
      </w:r>
      <w:r>
        <w:rPr>
          <w:rFonts w:hint="eastAsia" w:hAnsi="Times New Roman" w:cs="宋体"/>
          <w:color w:val="auto"/>
          <w:highlight w:val="none"/>
          <w:u w:val="single"/>
          <w:lang w:val="en-US" w:eastAsia="zh-CN"/>
        </w:rPr>
        <w:t xml:space="preserve">  </w:t>
      </w:r>
      <w:r>
        <w:rPr>
          <w:rFonts w:cs="宋体"/>
          <w:color w:val="auto"/>
          <w:highlight w:val="none"/>
          <w:lang w:eastAsia="zh-CN"/>
        </w:rPr>
        <w:t>天提供给承包人。用于机电设备安装的埋设件图纸应在安装埋设前</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28</w:t>
      </w:r>
      <w:r>
        <w:rPr>
          <w:rFonts w:hint="eastAsia" w:hAnsi="Times New Roman" w:cs="宋体"/>
          <w:color w:val="auto"/>
          <w:highlight w:val="none"/>
          <w:u w:val="single"/>
          <w:lang w:val="en-US" w:eastAsia="zh-CN"/>
        </w:rPr>
        <w:t xml:space="preserve">  </w:t>
      </w:r>
      <w:r>
        <w:rPr>
          <w:rFonts w:cs="宋体"/>
          <w:color w:val="auto"/>
          <w:highlight w:val="none"/>
          <w:lang w:eastAsia="zh-CN"/>
        </w:rPr>
        <w:t>天提供给承包人。</w:t>
      </w:r>
    </w:p>
    <w:p w14:paraId="47440CE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）用于金属结构的制作和安装（如压力钢管、钢结构的制作和安装以及闸门和启闭机的安装等）的安装总图、分件图、安装说明书等图纸和文件，应在开始制作安装前</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28</w:t>
      </w:r>
      <w:r>
        <w:rPr>
          <w:rFonts w:hint="eastAsia" w:hAnsi="Times New Roman" w:cs="宋体"/>
          <w:color w:val="auto"/>
          <w:highlight w:val="none"/>
          <w:u w:val="single"/>
          <w:lang w:val="en-US" w:eastAsia="zh-CN"/>
        </w:rPr>
        <w:t xml:space="preserve">  </w:t>
      </w:r>
      <w:r>
        <w:rPr>
          <w:rFonts w:cs="宋体"/>
          <w:color w:val="auto"/>
          <w:highlight w:val="none"/>
          <w:lang w:eastAsia="zh-CN"/>
        </w:rPr>
        <w:t>天提供给承包人。</w:t>
      </w:r>
    </w:p>
    <w:p w14:paraId="571E1B9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）用于安装监测仪器安装和埋设的施工图纸和技术文件应在开始安装埋设前</w:t>
      </w:r>
      <w:r>
        <w:rPr>
          <w:rFonts w:hint="eastAsia" w:cs="宋体"/>
          <w:color w:val="auto"/>
          <w:highlight w:val="none"/>
          <w:u w:val="single"/>
          <w:lang w:val="en-US" w:eastAsia="zh-CN"/>
        </w:rPr>
        <w:t xml:space="preserve">  </w:t>
      </w:r>
      <w:r>
        <w:rPr>
          <w:rFonts w:hAnsi="Times New Roman" w:cs="宋体"/>
          <w:color w:val="auto"/>
          <w:highlight w:val="none"/>
          <w:u w:val="single"/>
          <w:lang w:eastAsia="zh-CN"/>
        </w:rPr>
        <w:t>28</w:t>
      </w:r>
      <w:r>
        <w:rPr>
          <w:rFonts w:hint="eastAsia" w:hAnsi="Times New Roman" w:cs="宋体"/>
          <w:color w:val="auto"/>
          <w:highlight w:val="none"/>
          <w:u w:val="single"/>
          <w:lang w:val="en-US" w:eastAsia="zh-CN"/>
        </w:rPr>
        <w:t xml:space="preserve">  </w:t>
      </w:r>
      <w:r>
        <w:rPr>
          <w:rFonts w:cs="宋体"/>
          <w:color w:val="auto"/>
          <w:highlight w:val="none"/>
          <w:lang w:eastAsia="zh-CN"/>
        </w:rPr>
        <w:t>天提供给承包人。</w:t>
      </w:r>
    </w:p>
    <w:p w14:paraId="0995652A">
      <w:pPr>
        <w:pStyle w:val="5"/>
        <w:jc w:val="left"/>
        <w:rPr>
          <w:rFonts w:hAnsi="Times New Roman" w:cs="楷体"/>
          <w:color w:val="auto"/>
          <w:highlight w:val="none"/>
          <w:lang w:eastAsia="zh-CN"/>
        </w:rPr>
      </w:pPr>
      <w:r>
        <w:rPr>
          <w:rFonts w:hAnsi="Times New Roman" w:cs="Times New Roman"/>
          <w:color w:val="auto"/>
          <w:highlight w:val="none"/>
          <w:lang w:eastAsia="zh-CN"/>
        </w:rPr>
        <w:t>1.3.4</w:t>
      </w:r>
      <w:r>
        <w:rPr>
          <w:rFonts w:hint="eastAsia" w:hAnsi="Times New Roman" w:cs="Times New Roman"/>
          <w:color w:val="auto"/>
          <w:highlight w:val="none"/>
          <w:lang w:eastAsia="zh-CN"/>
        </w:rPr>
        <w:t>　</w:t>
      </w:r>
      <w:r>
        <w:rPr>
          <w:rFonts w:hAnsi="楷体" w:cs="楷体"/>
          <w:color w:val="auto"/>
          <w:highlight w:val="none"/>
          <w:lang w:eastAsia="zh-CN"/>
        </w:rPr>
        <w:t>施工图纸的修改</w:t>
      </w:r>
    </w:p>
    <w:p w14:paraId="5494397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）承包人收到发包人按上述第</w:t>
      </w:r>
      <w:r>
        <w:rPr>
          <w:rFonts w:hAnsi="Times New Roman" w:cs="Times New Roman"/>
          <w:color w:val="auto"/>
          <w:highlight w:val="none"/>
          <w:lang w:eastAsia="zh-CN"/>
        </w:rPr>
        <w:t>1.3.3</w:t>
      </w:r>
      <w:r>
        <w:rPr>
          <w:rFonts w:cs="宋体"/>
          <w:color w:val="auto"/>
          <w:highlight w:val="none"/>
          <w:lang w:eastAsia="zh-CN"/>
        </w:rPr>
        <w:t>项的规定提交施工图纸后，应进行详细检查，若发现错误或表达不清楚时，应在收到图纸后的</w:t>
      </w:r>
      <w:r>
        <w:rPr>
          <w:rFonts w:hint="eastAsia" w:cs="宋体"/>
          <w:color w:val="auto"/>
          <w:highlight w:val="none"/>
          <w:u w:val="single"/>
          <w:lang w:val="en-US" w:eastAsia="zh-CN"/>
        </w:rPr>
        <w:t xml:space="preserve">  </w:t>
      </w:r>
      <w:r>
        <w:rPr>
          <w:rFonts w:hint="eastAsia" w:hAnsi="Times New Roman" w:cs="宋体"/>
          <w:color w:val="auto"/>
          <w:highlight w:val="none"/>
          <w:u w:val="single"/>
          <w:lang w:val="en-US" w:eastAsia="zh-CN"/>
        </w:rPr>
        <w:t xml:space="preserve">7  </w:t>
      </w:r>
      <w:r>
        <w:rPr>
          <w:rFonts w:cs="宋体"/>
          <w:color w:val="auto"/>
          <w:highlight w:val="none"/>
          <w:lang w:eastAsia="zh-CN"/>
        </w:rPr>
        <w:t>天内书面通知监理人。若监理人确认需要作出修改或补充时，应在接件后</w:t>
      </w:r>
      <w:r>
        <w:rPr>
          <w:rFonts w:hint="eastAsia" w:cs="宋体"/>
          <w:color w:val="auto"/>
          <w:highlight w:val="none"/>
          <w:u w:val="single"/>
          <w:lang w:val="en-US" w:eastAsia="zh-CN"/>
        </w:rPr>
        <w:t xml:space="preserve">  </w:t>
      </w:r>
      <w:r>
        <w:rPr>
          <w:rFonts w:hint="eastAsia" w:hAnsi="Times New Roman" w:cs="宋体"/>
          <w:color w:val="auto"/>
          <w:highlight w:val="none"/>
          <w:u w:val="single"/>
          <w:lang w:val="en-US" w:eastAsia="zh-CN"/>
        </w:rPr>
        <w:t xml:space="preserve">7  </w:t>
      </w:r>
      <w:r>
        <w:rPr>
          <w:rFonts w:cs="宋体"/>
          <w:color w:val="auto"/>
          <w:highlight w:val="none"/>
          <w:lang w:eastAsia="zh-CN"/>
        </w:rPr>
        <w:t>天内将修改和补充后的施工图纸重新提供给承包人。</w:t>
      </w:r>
    </w:p>
    <w:p w14:paraId="7A8DE9F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）监理人发出施工图纸后，需要对某些工程设计进行修改和补充时，应在该部位开始施工</w:t>
      </w:r>
      <w:r>
        <w:rPr>
          <w:rFonts w:hint="eastAsia" w:cs="宋体"/>
          <w:color w:val="auto"/>
          <w:highlight w:val="none"/>
          <w:u w:val="single"/>
          <w:lang w:val="en-US" w:eastAsia="zh-CN"/>
        </w:rPr>
        <w:t xml:space="preserve">  </w:t>
      </w:r>
      <w:r>
        <w:rPr>
          <w:rFonts w:hint="eastAsia" w:hAnsi="Times New Roman" w:cs="宋体"/>
          <w:color w:val="auto"/>
          <w:highlight w:val="none"/>
          <w:u w:val="single"/>
          <w:lang w:val="en-US" w:eastAsia="zh-CN"/>
        </w:rPr>
        <w:t xml:space="preserve">7  </w:t>
      </w:r>
      <w:r>
        <w:rPr>
          <w:rFonts w:cs="宋体"/>
          <w:color w:val="auto"/>
          <w:highlight w:val="none"/>
          <w:lang w:eastAsia="zh-CN"/>
        </w:rPr>
        <w:t>天前及时签发设计修改图。</w:t>
      </w:r>
    </w:p>
    <w:p w14:paraId="077AD5F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）若因施工情况紧急，监理人无法在上述规定的时间内签发修改施工图纸，</w:t>
      </w:r>
      <w:r>
        <w:rPr>
          <w:rFonts w:hint="eastAsia" w:cs="宋体"/>
          <w:color w:val="auto"/>
          <w:highlight w:val="none"/>
          <w:lang w:val="en-US" w:eastAsia="zh-CN"/>
        </w:rPr>
        <w:t>可</w:t>
      </w:r>
      <w:r>
        <w:rPr>
          <w:rFonts w:cs="宋体"/>
          <w:color w:val="auto"/>
          <w:highlight w:val="none"/>
          <w:lang w:eastAsia="zh-CN"/>
        </w:rPr>
        <w:t>以临时发出施工图修改通知单，但应在此后的合理时限内补发正式施工图纸。</w:t>
      </w:r>
    </w:p>
    <w:p w14:paraId="1B6D7700">
      <w:pPr>
        <w:pStyle w:val="4"/>
        <w:spacing w:beforeLines="0" w:afterLines="0"/>
        <w:rPr>
          <w:rFonts w:hint="eastAsia" w:cs="宋体"/>
          <w:bCs/>
          <w:color w:val="auto"/>
          <w:szCs w:val="24"/>
          <w:highlight w:val="none"/>
        </w:rPr>
      </w:pPr>
      <w:r>
        <w:rPr>
          <w:rFonts w:hint="eastAsia" w:cs="宋体"/>
          <w:bCs/>
          <w:color w:val="auto"/>
          <w:szCs w:val="24"/>
          <w:highlight w:val="none"/>
        </w:rPr>
        <w:t>1.4</w:t>
      </w:r>
      <w:r>
        <w:rPr>
          <w:rFonts w:hint="eastAsia" w:cs="宋体"/>
          <w:bCs/>
          <w:color w:val="auto"/>
          <w:szCs w:val="24"/>
          <w:highlight w:val="none"/>
          <w:lang w:eastAsia="zh-CN"/>
        </w:rPr>
        <w:t>　</w:t>
      </w:r>
      <w:r>
        <w:rPr>
          <w:rFonts w:hint="eastAsia" w:cs="宋体"/>
          <w:bCs/>
          <w:color w:val="auto"/>
          <w:szCs w:val="24"/>
          <w:highlight w:val="none"/>
        </w:rPr>
        <w:t>承包人提交的文件</w:t>
      </w:r>
    </w:p>
    <w:p w14:paraId="079708BE">
      <w:pPr>
        <w:pStyle w:val="5"/>
        <w:rPr>
          <w:rFonts w:hAnsi="Times New Roman" w:cs="楷体"/>
          <w:color w:val="auto"/>
          <w:highlight w:val="none"/>
          <w:lang w:eastAsia="zh-CN"/>
        </w:rPr>
      </w:pPr>
      <w:r>
        <w:rPr>
          <w:rFonts w:hAnsi="Times New Roman" w:cs="Times New Roman"/>
          <w:color w:val="auto"/>
          <w:highlight w:val="none"/>
          <w:lang w:eastAsia="zh-CN"/>
        </w:rPr>
        <w:t>1.4.1</w:t>
      </w:r>
      <w:r>
        <w:rPr>
          <w:rFonts w:hint="eastAsia" w:hAnsi="Times New Roman" w:cs="Times New Roman"/>
          <w:color w:val="auto"/>
          <w:highlight w:val="none"/>
          <w:lang w:eastAsia="zh-CN"/>
        </w:rPr>
        <w:t>　</w:t>
      </w:r>
      <w:r>
        <w:rPr>
          <w:rFonts w:hAnsi="楷体" w:cs="楷体"/>
          <w:color w:val="auto"/>
          <w:highlight w:val="none"/>
          <w:lang w:eastAsia="zh-CN"/>
        </w:rPr>
        <w:t>承包人文件的提交计划</w:t>
      </w:r>
    </w:p>
    <w:p w14:paraId="0D1841B6">
      <w:pPr>
        <w:ind w:firstLine="420"/>
        <w:jc w:val="left"/>
        <w:rPr>
          <w:rFonts w:hAnsi="Times New Roman" w:cs="宋体"/>
          <w:color w:val="auto"/>
          <w:highlight w:val="none"/>
          <w:lang w:eastAsia="zh-CN"/>
        </w:rPr>
      </w:pPr>
      <w:r>
        <w:rPr>
          <w:rFonts w:cs="宋体"/>
          <w:color w:val="auto"/>
          <w:highlight w:val="none"/>
          <w:lang w:eastAsia="zh-CN"/>
        </w:rPr>
        <w:t>承包人应在签署协议书后</w:t>
      </w:r>
      <w:r>
        <w:rPr>
          <w:rFonts w:hint="eastAsia" w:cs="宋体"/>
          <w:color w:val="auto"/>
          <w:highlight w:val="none"/>
          <w:u w:val="single"/>
          <w:lang w:val="en-US" w:eastAsia="zh-CN"/>
        </w:rPr>
        <w:t xml:space="preserve"> </w:t>
      </w:r>
      <w:r>
        <w:rPr>
          <w:rFonts w:hint="eastAsia" w:hAnsi="Times New Roman" w:cs="宋体"/>
          <w:color w:val="auto"/>
          <w:highlight w:val="none"/>
          <w:u w:val="single"/>
          <w:lang w:val="en-US" w:eastAsia="zh-CN"/>
        </w:rPr>
        <w:t>14 天</w:t>
      </w:r>
      <w:r>
        <w:rPr>
          <w:rFonts w:cs="宋体"/>
          <w:color w:val="auto"/>
          <w:highlight w:val="none"/>
          <w:lang w:eastAsia="zh-CN"/>
        </w:rPr>
        <w:t>内，根据监理人批准的合同进度计划，编制一份由项目负责人签署的承包人文件提交计划，提交监理人审批，监理人应在收到该提交计划后的</w:t>
      </w:r>
      <w:r>
        <w:rPr>
          <w:rFonts w:hint="eastAsia" w:cs="宋体"/>
          <w:color w:val="auto"/>
          <w:highlight w:val="none"/>
          <w:u w:val="single"/>
          <w:lang w:val="en-US" w:eastAsia="zh-CN"/>
        </w:rPr>
        <w:t xml:space="preserve">  </w:t>
      </w:r>
      <w:r>
        <w:rPr>
          <w:rFonts w:hint="eastAsia" w:hAnsi="Times New Roman" w:cs="宋体"/>
          <w:color w:val="auto"/>
          <w:highlight w:val="none"/>
          <w:u w:val="single"/>
          <w:lang w:val="en-US" w:eastAsia="zh-CN"/>
        </w:rPr>
        <w:t xml:space="preserve">28  </w:t>
      </w:r>
      <w:r>
        <w:rPr>
          <w:rFonts w:cs="宋体"/>
          <w:color w:val="auto"/>
          <w:highlight w:val="none"/>
          <w:lang w:eastAsia="zh-CN"/>
        </w:rPr>
        <w:t>天内批复承包人。承包人文件的内容应包括本章第</w:t>
      </w:r>
      <w:r>
        <w:rPr>
          <w:rFonts w:hAnsi="Times New Roman" w:cs="Times New Roman"/>
          <w:color w:val="auto"/>
          <w:highlight w:val="none"/>
          <w:lang w:eastAsia="zh-CN"/>
        </w:rPr>
        <w:t>1.4.2</w:t>
      </w:r>
      <w:r>
        <w:rPr>
          <w:rFonts w:cs="宋体"/>
          <w:color w:val="auto"/>
          <w:highlight w:val="none"/>
          <w:lang w:eastAsia="zh-CN"/>
        </w:rPr>
        <w:t>～</w:t>
      </w:r>
      <w:r>
        <w:rPr>
          <w:rFonts w:hAnsi="Times New Roman" w:cs="Times New Roman"/>
          <w:color w:val="auto"/>
          <w:highlight w:val="none"/>
          <w:lang w:eastAsia="zh-CN"/>
        </w:rPr>
        <w:t>1.4.5</w:t>
      </w:r>
      <w:r>
        <w:rPr>
          <w:rFonts w:cs="宋体"/>
          <w:color w:val="auto"/>
          <w:highlight w:val="none"/>
          <w:lang w:eastAsia="zh-CN"/>
        </w:rPr>
        <w:t>项规定的各项提交件，以及按合同约定应由承包人提交的其它图纸和文件。</w:t>
      </w:r>
    </w:p>
    <w:p w14:paraId="45A3C1DA">
      <w:pPr>
        <w:ind w:firstLine="420"/>
        <w:jc w:val="left"/>
        <w:rPr>
          <w:rFonts w:hAnsi="Times New Roman" w:cs="宋体"/>
          <w:color w:val="auto"/>
          <w:highlight w:val="none"/>
          <w:lang w:eastAsia="zh-CN"/>
        </w:rPr>
      </w:pPr>
      <w:r>
        <w:rPr>
          <w:rFonts w:hint="eastAsia" w:cs="宋体"/>
          <w:color w:val="auto"/>
          <w:highlight w:val="none"/>
          <w:lang w:eastAsia="zh-CN"/>
        </w:rPr>
        <w:t>承包人提供给监理人的所有图纸、文件、影像资料等费用，均应包括在承包人的各项目报价中。</w:t>
      </w:r>
    </w:p>
    <w:p w14:paraId="0241CBA9">
      <w:pPr>
        <w:pStyle w:val="5"/>
        <w:rPr>
          <w:rFonts w:hAnsi="Times New Roman" w:cs="楷体"/>
          <w:color w:val="auto"/>
          <w:highlight w:val="none"/>
          <w:lang w:eastAsia="zh-CN"/>
        </w:rPr>
      </w:pPr>
      <w:r>
        <w:rPr>
          <w:rFonts w:hAnsi="Times New Roman" w:cs="Times New Roman"/>
          <w:color w:val="auto"/>
          <w:highlight w:val="none"/>
          <w:lang w:eastAsia="zh-CN"/>
        </w:rPr>
        <w:t>1.4.2</w:t>
      </w:r>
      <w:r>
        <w:rPr>
          <w:rFonts w:hint="eastAsia" w:hAnsi="Times New Roman" w:cs="Times New Roman"/>
          <w:color w:val="auto"/>
          <w:highlight w:val="none"/>
          <w:lang w:eastAsia="zh-CN"/>
        </w:rPr>
        <w:t>　</w:t>
      </w:r>
      <w:r>
        <w:rPr>
          <w:rFonts w:hAnsi="楷体" w:cs="楷体"/>
          <w:color w:val="auto"/>
          <w:highlight w:val="none"/>
          <w:lang w:eastAsia="zh-CN"/>
        </w:rPr>
        <w:t>承包人负责设计的临时工程图纸和文件</w:t>
      </w:r>
    </w:p>
    <w:p w14:paraId="7DD5DB3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）由承包人负责设计的临时工程项目，应在该项目开工前</w:t>
      </w:r>
      <w:r>
        <w:rPr>
          <w:rFonts w:hAnsi="Times New Roman" w:cs="宋体"/>
          <w:color w:val="auto"/>
          <w:highlight w:val="none"/>
          <w:lang w:eastAsia="zh-CN"/>
        </w:rPr>
        <w:t>14</w:t>
      </w:r>
      <w:r>
        <w:rPr>
          <w:rFonts w:cs="宋体"/>
          <w:color w:val="auto"/>
          <w:highlight w:val="none"/>
          <w:lang w:eastAsia="zh-CN"/>
        </w:rPr>
        <w:t>天，提交该项目的总布置图、结构详图及其设计依据，以及监理人认为需要提交的其它图纸和文件，提交监理人批准。</w:t>
      </w:r>
    </w:p>
    <w:p w14:paraId="3C5A6AA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）承包人提交的上述临时工程项目的基本资料、试验成果、施工样品，以及所有图纸、文件和影像资料等，其所需的费用均包括在相关项目的报价中，发包人不另行支付。</w:t>
      </w:r>
    </w:p>
    <w:p w14:paraId="5B77519D">
      <w:pPr>
        <w:pStyle w:val="5"/>
        <w:rPr>
          <w:rFonts w:hAnsi="Times New Roman" w:cs="楷体"/>
          <w:color w:val="auto"/>
          <w:highlight w:val="none"/>
          <w:lang w:eastAsia="zh-CN"/>
        </w:rPr>
      </w:pPr>
      <w:r>
        <w:rPr>
          <w:rFonts w:hAnsi="Times New Roman" w:cs="Times New Roman"/>
          <w:color w:val="auto"/>
          <w:highlight w:val="none"/>
          <w:lang w:eastAsia="zh-CN"/>
        </w:rPr>
        <w:t>1.4.3</w:t>
      </w:r>
      <w:r>
        <w:rPr>
          <w:rFonts w:hint="eastAsia" w:hAnsi="Times New Roman" w:cs="Times New Roman"/>
          <w:color w:val="auto"/>
          <w:highlight w:val="none"/>
          <w:lang w:eastAsia="zh-CN"/>
        </w:rPr>
        <w:t>　</w:t>
      </w:r>
      <w:r>
        <w:rPr>
          <w:rFonts w:hAnsi="楷体" w:cs="楷体"/>
          <w:color w:val="auto"/>
          <w:highlight w:val="none"/>
          <w:lang w:eastAsia="zh-CN"/>
        </w:rPr>
        <w:t>施工总进度计划</w:t>
      </w:r>
    </w:p>
    <w:p w14:paraId="2BBDFA2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）承包人按本合同通用合同条款第</w:t>
      </w:r>
      <w:r>
        <w:rPr>
          <w:rFonts w:hAnsi="Times New Roman" w:cs="Times New Roman"/>
          <w:color w:val="auto"/>
          <w:highlight w:val="none"/>
          <w:lang w:eastAsia="zh-CN"/>
        </w:rPr>
        <w:t>10.1</w:t>
      </w:r>
      <w:r>
        <w:rPr>
          <w:rFonts w:cs="宋体"/>
          <w:color w:val="auto"/>
          <w:highlight w:val="none"/>
          <w:lang w:eastAsia="zh-CN"/>
        </w:rPr>
        <w:t>款要求提交的施工总进度计划，应采用关键线路法编制网络图。网络图应包括以下各项数据和内容，表述全部工程施工作业间的逻辑关系：</w:t>
      </w:r>
    </w:p>
    <w:p w14:paraId="26380FB8">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）作业和相应节点编号。</w:t>
      </w:r>
    </w:p>
    <w:p w14:paraId="7CA81AA7">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）各项施工作业间的衔接逻辑和协调关系。</w:t>
      </w:r>
    </w:p>
    <w:p w14:paraId="23D1B93F">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）持续时间。</w:t>
      </w:r>
    </w:p>
    <w:p w14:paraId="00EB4F32">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）最早开工及最早完工日期。</w:t>
      </w:r>
    </w:p>
    <w:p w14:paraId="15A36776">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）最迟开工及最迟完工日期。</w:t>
      </w:r>
    </w:p>
    <w:p w14:paraId="42A8A2FD">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）总时差和自由时差。</w:t>
      </w:r>
    </w:p>
    <w:p w14:paraId="4A790787">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）主要</w:t>
      </w:r>
      <w:r>
        <w:rPr>
          <w:rFonts w:hint="eastAsia" w:hAnsi="Times New Roman" w:cs="宋体"/>
          <w:color w:val="auto"/>
          <w:highlight w:val="none"/>
          <w:lang w:eastAsia="zh-CN"/>
        </w:rPr>
        <w:t>项目施工强度曲线。</w:t>
      </w:r>
    </w:p>
    <w:p w14:paraId="6BA367B8">
      <w:pPr>
        <w:ind w:firstLine="420"/>
        <w:jc w:val="left"/>
        <w:rPr>
          <w:rFonts w:hAnsi="Times New Roman" w:cs="宋体"/>
          <w:color w:val="auto"/>
          <w:highlight w:val="none"/>
          <w:lang w:eastAsia="zh-CN"/>
        </w:rPr>
      </w:pPr>
      <w:r>
        <w:rPr>
          <w:rFonts w:hAnsi="Times New Roman" w:cs="Times New Roman"/>
          <w:color w:val="auto"/>
          <w:highlight w:val="none"/>
          <w:lang w:eastAsia="zh-CN"/>
        </w:rPr>
        <w:t>8</w:t>
      </w:r>
      <w:r>
        <w:rPr>
          <w:rFonts w:hint="eastAsia" w:hAnsi="Times New Roman" w:cs="宋体"/>
          <w:color w:val="auto"/>
          <w:highlight w:val="none"/>
          <w:lang w:eastAsia="zh-CN"/>
        </w:rPr>
        <w:t>）附需要的资源和说明。</w:t>
      </w:r>
    </w:p>
    <w:p w14:paraId="64B88222">
      <w:pPr>
        <w:ind w:firstLine="420"/>
        <w:jc w:val="left"/>
        <w:rPr>
          <w:rFonts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）承包人编制</w:t>
      </w:r>
      <w:r>
        <w:rPr>
          <w:rFonts w:cs="宋体"/>
          <w:color w:val="auto"/>
          <w:highlight w:val="none"/>
          <w:lang w:eastAsia="zh-CN"/>
        </w:rPr>
        <w:t>的施工总进度计划应满足本合同约定的各工程施工控制节点工期要求。</w:t>
      </w:r>
    </w:p>
    <w:p w14:paraId="2558AB6F">
      <w:pPr>
        <w:ind w:firstLine="420"/>
        <w:jc w:val="left"/>
        <w:rPr>
          <w:rFonts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3</w:t>
      </w:r>
      <w:r>
        <w:rPr>
          <w:rFonts w:hint="eastAsia" w:cs="宋体"/>
          <w:color w:val="auto"/>
          <w:highlight w:val="none"/>
          <w:lang w:eastAsia="zh-CN"/>
        </w:rPr>
        <w:t>）</w:t>
      </w:r>
      <w:r>
        <w:rPr>
          <w:rFonts w:hint="eastAsia" w:hAnsi="Times New Roman" w:cs="宋体"/>
          <w:color w:val="auto"/>
          <w:highlight w:val="none"/>
          <w:lang w:eastAsia="zh-CN"/>
        </w:rPr>
        <w:t>承包人</w:t>
      </w:r>
      <w:r>
        <w:rPr>
          <w:rFonts w:hint="eastAsia" w:hAnsi="Times New Roman" w:cs="宋体"/>
          <w:color w:val="auto"/>
          <w:highlight w:val="none"/>
          <w:lang w:val="en-US" w:eastAsia="zh-CN"/>
        </w:rPr>
        <w:t>应采用</w:t>
      </w:r>
      <w:r>
        <w:rPr>
          <w:rFonts w:hint="eastAsia" w:hAnsi="Times New Roman" w:cs="宋体"/>
          <w:color w:val="auto"/>
          <w:highlight w:val="none"/>
          <w:lang w:eastAsia="zh-CN"/>
        </w:rPr>
        <w:t>project或者P6等</w:t>
      </w:r>
      <w:r>
        <w:rPr>
          <w:rFonts w:hint="eastAsia" w:hAnsi="Times New Roman" w:cs="宋体"/>
          <w:color w:val="auto"/>
          <w:highlight w:val="none"/>
          <w:lang w:val="en-US" w:eastAsia="zh-CN"/>
        </w:rPr>
        <w:t>编制软件编制</w:t>
      </w:r>
      <w:r>
        <w:rPr>
          <w:rFonts w:hint="eastAsia" w:hAnsi="Times New Roman" w:cs="宋体"/>
          <w:color w:val="auto"/>
          <w:highlight w:val="none"/>
          <w:lang w:eastAsia="zh-CN"/>
        </w:rPr>
        <w:t>施工总进度计划</w:t>
      </w:r>
      <w:r>
        <w:rPr>
          <w:rFonts w:cs="宋体"/>
          <w:color w:val="auto"/>
          <w:highlight w:val="none"/>
          <w:lang w:eastAsia="zh-CN"/>
        </w:rPr>
        <w:t>。</w:t>
      </w:r>
    </w:p>
    <w:p w14:paraId="726E07FC">
      <w:pPr>
        <w:pStyle w:val="5"/>
        <w:rPr>
          <w:color w:val="auto"/>
          <w:highlight w:val="none"/>
          <w:lang w:eastAsia="zh-CN"/>
        </w:rPr>
      </w:pPr>
      <w:r>
        <w:rPr>
          <w:color w:val="auto"/>
          <w:highlight w:val="none"/>
          <w:lang w:eastAsia="zh-CN"/>
        </w:rPr>
        <w:t>1.4.4</w:t>
      </w:r>
      <w:r>
        <w:rPr>
          <w:rFonts w:hint="eastAsia"/>
          <w:color w:val="auto"/>
          <w:highlight w:val="none"/>
          <w:lang w:eastAsia="zh-CN"/>
        </w:rPr>
        <w:t>　施工总布置设计</w:t>
      </w:r>
    </w:p>
    <w:p w14:paraId="041DF3F7">
      <w:pPr>
        <w:ind w:firstLine="420"/>
        <w:jc w:val="left"/>
        <w:rPr>
          <w:rFonts w:hAnsi="Times New Roman" w:cs="宋体"/>
          <w:color w:val="auto"/>
          <w:highlight w:val="none"/>
          <w:lang w:eastAsia="zh-CN"/>
        </w:rPr>
      </w:pPr>
      <w:r>
        <w:rPr>
          <w:rFonts w:hint="eastAsia" w:hAnsi="Times New Roman" w:cs="宋体"/>
          <w:color w:val="auto"/>
          <w:highlight w:val="none"/>
          <w:lang w:eastAsia="zh-CN"/>
        </w:rPr>
        <w:t>（1）承包人应在收到开工通知后的</w:t>
      </w:r>
      <w:r>
        <w:rPr>
          <w:rFonts w:hint="eastAsia" w:hAnsi="Times New Roman"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hint="eastAsia" w:hAnsi="Times New Roman" w:cs="宋体"/>
          <w:color w:val="auto"/>
          <w:highlight w:val="none"/>
          <w:lang w:eastAsia="zh-CN"/>
        </w:rPr>
        <w:t>天内，将本合同工程的施工总布置设计文件，提交监理人批准。监理人应在签收后</w:t>
      </w:r>
      <w:r>
        <w:rPr>
          <w:rFonts w:hint="eastAsia" w:hAnsi="Times New Roman"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hint="eastAsia" w:hAnsi="Times New Roman" w:cs="宋体"/>
          <w:color w:val="auto"/>
          <w:highlight w:val="none"/>
          <w:lang w:eastAsia="zh-CN"/>
        </w:rPr>
        <w:t>天内批复承包人。</w:t>
      </w:r>
    </w:p>
    <w:p w14:paraId="2469FAD4">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）承包人提交的施工总布置设计文件，其内容应包括施工总平面布置图、主要剖面图和设计说明书。承包人应按本技术条款第</w:t>
      </w:r>
      <w:r>
        <w:rPr>
          <w:rFonts w:hAnsi="Times New Roman" w:cs="Times New Roman"/>
          <w:color w:val="auto"/>
          <w:highlight w:val="none"/>
          <w:lang w:eastAsia="zh-CN"/>
        </w:rPr>
        <w:t>2</w:t>
      </w:r>
      <w:r>
        <w:rPr>
          <w:rFonts w:hint="eastAsia" w:hAnsi="Times New Roman" w:cs="宋体"/>
          <w:color w:val="auto"/>
          <w:highlight w:val="none"/>
          <w:lang w:eastAsia="zh-CN"/>
        </w:rPr>
        <w:t>节所列各项临时设施的设计和使用要求进行总平面布置，施工总布置的占地范围不得超过发包人划定的界线。</w:t>
      </w:r>
    </w:p>
    <w:p w14:paraId="1C112D9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）承包人应按本技术条款第</w:t>
      </w:r>
      <w:r>
        <w:rPr>
          <w:rFonts w:hAnsi="Times New Roman" w:cs="Times New Roman"/>
          <w:color w:val="auto"/>
          <w:highlight w:val="none"/>
          <w:lang w:eastAsia="zh-CN"/>
        </w:rPr>
        <w:t>3</w:t>
      </w:r>
      <w:r>
        <w:rPr>
          <w:rFonts w:hint="eastAsia" w:hAnsi="Times New Roman" w:cs="宋体"/>
          <w:color w:val="auto"/>
          <w:highlight w:val="none"/>
          <w:lang w:eastAsia="zh-CN"/>
        </w:rPr>
        <w:t>节有关</w:t>
      </w:r>
      <w:r>
        <w:rPr>
          <w:rFonts w:hAnsi="Times New Roman" w:cs="宋体"/>
          <w:color w:val="auto"/>
          <w:highlight w:val="none"/>
          <w:lang w:eastAsia="zh-CN"/>
        </w:rPr>
        <w:t>“</w:t>
      </w:r>
      <w:r>
        <w:rPr>
          <w:rFonts w:hint="eastAsia" w:hAnsi="Times New Roman" w:cs="宋体"/>
          <w:color w:val="auto"/>
          <w:highlight w:val="none"/>
          <w:lang w:eastAsia="zh-CN"/>
        </w:rPr>
        <w:t>施工安全文明措施</w:t>
      </w:r>
      <w:r>
        <w:rPr>
          <w:rFonts w:hAnsi="Times New Roman" w:cs="宋体"/>
          <w:color w:val="auto"/>
          <w:highlight w:val="none"/>
          <w:lang w:eastAsia="zh-CN"/>
        </w:rPr>
        <w:t>”</w:t>
      </w:r>
      <w:r>
        <w:rPr>
          <w:rFonts w:hint="eastAsia" w:hAnsi="Times New Roman" w:cs="宋体"/>
          <w:color w:val="auto"/>
          <w:highlight w:val="none"/>
          <w:lang w:eastAsia="zh-CN"/>
        </w:rPr>
        <w:t>和第</w:t>
      </w:r>
      <w:r>
        <w:rPr>
          <w:rFonts w:hAnsi="Times New Roman" w:cs="Times New Roman"/>
          <w:color w:val="auto"/>
          <w:highlight w:val="none"/>
          <w:lang w:eastAsia="zh-CN"/>
        </w:rPr>
        <w:t>4</w:t>
      </w:r>
      <w:r>
        <w:rPr>
          <w:rFonts w:hint="eastAsia" w:hAnsi="Times New Roman" w:cs="宋体"/>
          <w:color w:val="auto"/>
          <w:highlight w:val="none"/>
          <w:lang w:eastAsia="zh-CN"/>
        </w:rPr>
        <w:t>节</w:t>
      </w:r>
      <w:r>
        <w:rPr>
          <w:rFonts w:hAnsi="Times New Roman" w:cs="宋体"/>
          <w:color w:val="auto"/>
          <w:highlight w:val="none"/>
          <w:lang w:eastAsia="zh-CN"/>
        </w:rPr>
        <w:t>“</w:t>
      </w:r>
      <w:r>
        <w:rPr>
          <w:rFonts w:hint="eastAsia" w:hAnsi="Times New Roman" w:cs="宋体"/>
          <w:color w:val="auto"/>
          <w:highlight w:val="none"/>
          <w:lang w:eastAsia="zh-CN"/>
        </w:rPr>
        <w:t>环境保护和水土保持</w:t>
      </w:r>
      <w:r>
        <w:rPr>
          <w:rFonts w:hAnsi="Times New Roman" w:cs="宋体"/>
          <w:color w:val="auto"/>
          <w:highlight w:val="none"/>
          <w:lang w:eastAsia="zh-CN"/>
        </w:rPr>
        <w:t>”</w:t>
      </w:r>
      <w:r>
        <w:rPr>
          <w:rFonts w:hint="eastAsia" w:hAnsi="Times New Roman" w:cs="宋体"/>
          <w:color w:val="auto"/>
          <w:highlight w:val="none"/>
          <w:lang w:eastAsia="zh-CN"/>
        </w:rPr>
        <w:t>的要求，保护好临时设施周围的边坡、冲沟、河道、河岸的稳定和安全。</w:t>
      </w:r>
    </w:p>
    <w:p w14:paraId="4DF83DDF">
      <w:pPr>
        <w:pStyle w:val="5"/>
        <w:rPr>
          <w:color w:val="auto"/>
          <w:highlight w:val="none"/>
          <w:lang w:eastAsia="zh-CN"/>
        </w:rPr>
      </w:pPr>
      <w:r>
        <w:rPr>
          <w:color w:val="auto"/>
          <w:highlight w:val="none"/>
          <w:lang w:eastAsia="zh-CN"/>
        </w:rPr>
        <w:t>1.4.5</w:t>
      </w:r>
      <w:r>
        <w:rPr>
          <w:rFonts w:hint="eastAsia"/>
          <w:color w:val="auto"/>
          <w:highlight w:val="none"/>
          <w:lang w:eastAsia="zh-CN"/>
        </w:rPr>
        <w:t>　主要施工方法和措施</w:t>
      </w:r>
    </w:p>
    <w:p w14:paraId="0ACD33BB">
      <w:pPr>
        <w:ind w:firstLine="420"/>
        <w:jc w:val="left"/>
        <w:rPr>
          <w:rFonts w:hAnsi="Times New Roman" w:cs="宋体"/>
          <w:color w:val="auto"/>
          <w:highlight w:val="none"/>
          <w:lang w:eastAsia="zh-CN"/>
        </w:rPr>
      </w:pPr>
      <w:r>
        <w:rPr>
          <w:rFonts w:hint="eastAsia" w:hAnsi="Times New Roman" w:cs="宋体"/>
          <w:color w:val="auto"/>
          <w:highlight w:val="none"/>
          <w:lang w:eastAsia="zh-CN"/>
        </w:rPr>
        <w:t>（1）承包人应在每项工程开始施工或安装前</w:t>
      </w:r>
      <w:r>
        <w:rPr>
          <w:rFonts w:hint="eastAsia" w:hAnsi="Times New Roman"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hint="eastAsia" w:hAnsi="Times New Roman" w:cs="宋体"/>
          <w:color w:val="auto"/>
          <w:highlight w:val="none"/>
          <w:lang w:eastAsia="zh-CN"/>
        </w:rPr>
        <w:t>天，编制各工程项目的施工方法和措施，提交监理人批准。监理人应在收到文件后的</w:t>
      </w:r>
      <w:r>
        <w:rPr>
          <w:rFonts w:hint="eastAsia" w:hAnsi="Times New Roman"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hint="eastAsia" w:hAnsi="Times New Roman" w:cs="宋体"/>
          <w:color w:val="auto"/>
          <w:highlight w:val="none"/>
          <w:lang w:eastAsia="zh-CN"/>
        </w:rPr>
        <w:t>天内批复承包人。</w:t>
      </w:r>
    </w:p>
    <w:p w14:paraId="232079E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）承包人按监理人指示提交的施工方法和措施，应包括施工需要的浇筑图、</w:t>
      </w:r>
    </w:p>
    <w:p w14:paraId="117DA397">
      <w:pPr>
        <w:ind w:firstLine="420"/>
        <w:jc w:val="left"/>
        <w:rPr>
          <w:rFonts w:hAnsi="Times New Roman" w:cs="宋体"/>
          <w:color w:val="auto"/>
          <w:highlight w:val="none"/>
          <w:lang w:eastAsia="zh-CN"/>
        </w:rPr>
      </w:pPr>
      <w:r>
        <w:rPr>
          <w:rFonts w:hint="eastAsia" w:hAnsi="Times New Roman" w:cs="宋体"/>
          <w:color w:val="auto"/>
          <w:highlight w:val="none"/>
          <w:lang w:eastAsia="zh-CN"/>
        </w:rPr>
        <w:t>车间加工图和安装图等施工文件。</w:t>
      </w:r>
    </w:p>
    <w:p w14:paraId="25DC7834">
      <w:pPr>
        <w:pStyle w:val="5"/>
        <w:rPr>
          <w:rFonts w:hAnsi="Times New Roman" w:cs="楷体"/>
          <w:color w:val="auto"/>
          <w:highlight w:val="none"/>
          <w:lang w:eastAsia="zh-CN"/>
        </w:rPr>
      </w:pPr>
      <w:r>
        <w:rPr>
          <w:rFonts w:hAnsi="Times New Roman" w:cs="Times New Roman"/>
          <w:color w:val="auto"/>
          <w:highlight w:val="none"/>
          <w:lang w:eastAsia="zh-CN"/>
        </w:rPr>
        <w:t>1.4.6</w:t>
      </w:r>
      <w:r>
        <w:rPr>
          <w:rFonts w:hint="eastAsia" w:hAnsi="Times New Roman" w:cs="Times New Roman"/>
          <w:color w:val="auto"/>
          <w:highlight w:val="none"/>
          <w:lang w:eastAsia="zh-CN"/>
        </w:rPr>
        <w:t>　</w:t>
      </w:r>
      <w:r>
        <w:rPr>
          <w:rFonts w:hAnsi="楷体" w:cs="楷体"/>
          <w:color w:val="auto"/>
          <w:highlight w:val="none"/>
          <w:lang w:eastAsia="zh-CN"/>
        </w:rPr>
        <w:t>承包人文件的审批</w:t>
      </w:r>
    </w:p>
    <w:p w14:paraId="091671E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）除合同另有约定外，凡须经监理人审批的承包人文件，应在收到文件后</w:t>
      </w:r>
      <w:r>
        <w:rPr>
          <w:rFonts w:hint="eastAsia" w:hAnsi="Times New Roman"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cs="宋体"/>
          <w:color w:val="auto"/>
          <w:highlight w:val="none"/>
          <w:lang w:eastAsia="zh-CN"/>
        </w:rPr>
        <w:t>天内批复承包人，逾期不批复，则视为已经监理人批准。监理人的审批意见包括：</w:t>
      </w:r>
    </w:p>
    <w:p w14:paraId="1931B65E">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）同意按此执行。</w:t>
      </w:r>
    </w:p>
    <w:p w14:paraId="020FDC24">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）按修改意见执行。</w:t>
      </w:r>
    </w:p>
    <w:p w14:paraId="0AEEA52E">
      <w:pPr>
        <w:ind w:firstLine="420"/>
        <w:jc w:val="left"/>
        <w:rPr>
          <w:rFonts w:hAnsi="Times New Roman" w:cs="宋体"/>
          <w:color w:val="auto"/>
          <w:highlight w:val="none"/>
        </w:rPr>
      </w:pPr>
      <w:r>
        <w:rPr>
          <w:rFonts w:hAnsi="Times New Roman" w:cs="Times New Roman"/>
          <w:color w:val="auto"/>
          <w:highlight w:val="none"/>
        </w:rPr>
        <w:t>3</w:t>
      </w:r>
      <w:r>
        <w:rPr>
          <w:rFonts w:cs="宋体"/>
          <w:color w:val="auto"/>
          <w:highlight w:val="none"/>
        </w:rPr>
        <w:t>）修改后重新提交。</w:t>
      </w:r>
    </w:p>
    <w:p w14:paraId="5DEA495F">
      <w:pPr>
        <w:ind w:firstLine="420"/>
        <w:jc w:val="left"/>
        <w:rPr>
          <w:rFonts w:hAnsi="Times New Roman" w:cs="宋体"/>
          <w:color w:val="auto"/>
          <w:highlight w:val="none"/>
        </w:rPr>
      </w:pPr>
      <w:r>
        <w:rPr>
          <w:rFonts w:hAnsi="Times New Roman" w:cs="Times New Roman"/>
          <w:color w:val="auto"/>
          <w:highlight w:val="none"/>
        </w:rPr>
        <w:t>4</w:t>
      </w:r>
      <w:r>
        <w:rPr>
          <w:rFonts w:cs="宋体"/>
          <w:color w:val="auto"/>
          <w:highlight w:val="none"/>
        </w:rPr>
        <w:t>）不予批准。</w:t>
      </w:r>
    </w:p>
    <w:p w14:paraId="7793A1F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）凡标有</w:t>
      </w:r>
      <w:r>
        <w:rPr>
          <w:rFonts w:hAnsi="Times New Roman" w:cs="宋体"/>
          <w:color w:val="auto"/>
          <w:highlight w:val="none"/>
          <w:lang w:eastAsia="zh-CN"/>
        </w:rPr>
        <w:t>“</w:t>
      </w:r>
      <w:r>
        <w:rPr>
          <w:rFonts w:cs="宋体"/>
          <w:color w:val="auto"/>
          <w:highlight w:val="none"/>
          <w:lang w:eastAsia="zh-CN"/>
        </w:rPr>
        <w:t>按修改意见执行</w:t>
      </w:r>
      <w:r>
        <w:rPr>
          <w:rFonts w:hAnsi="Times New Roman" w:cs="宋体"/>
          <w:color w:val="auto"/>
          <w:highlight w:val="none"/>
          <w:lang w:eastAsia="zh-CN"/>
        </w:rPr>
        <w:t>”</w:t>
      </w:r>
      <w:r>
        <w:rPr>
          <w:rFonts w:cs="宋体"/>
          <w:color w:val="auto"/>
          <w:highlight w:val="none"/>
          <w:lang w:eastAsia="zh-CN"/>
        </w:rPr>
        <w:t>或</w:t>
      </w:r>
      <w:r>
        <w:rPr>
          <w:rFonts w:hAnsi="Times New Roman" w:cs="宋体"/>
          <w:color w:val="auto"/>
          <w:highlight w:val="none"/>
          <w:lang w:eastAsia="zh-CN"/>
        </w:rPr>
        <w:t>“</w:t>
      </w:r>
      <w:r>
        <w:rPr>
          <w:rFonts w:cs="宋体"/>
          <w:color w:val="auto"/>
          <w:highlight w:val="none"/>
          <w:lang w:eastAsia="zh-CN"/>
        </w:rPr>
        <w:t>修改后重新提交</w:t>
      </w:r>
      <w:r>
        <w:rPr>
          <w:rFonts w:hAnsi="Times New Roman" w:cs="宋体"/>
          <w:color w:val="auto"/>
          <w:highlight w:val="none"/>
          <w:lang w:eastAsia="zh-CN"/>
        </w:rPr>
        <w:t>”</w:t>
      </w:r>
      <w:r>
        <w:rPr>
          <w:rFonts w:cs="宋体"/>
          <w:color w:val="auto"/>
          <w:highlight w:val="none"/>
          <w:lang w:eastAsia="zh-CN"/>
        </w:rPr>
        <w:t>的图纸和文件，应由承包人在收到批复件后</w:t>
      </w:r>
      <w:r>
        <w:rPr>
          <w:rFonts w:hint="eastAsia" w:hAnsi="Times New Roman" w:cs="宋体"/>
          <w:color w:val="auto"/>
          <w:highlight w:val="none"/>
          <w:u w:val="single"/>
          <w:lang w:val="en-US" w:eastAsia="zh-CN"/>
        </w:rPr>
        <w:t xml:space="preserve">  </w:t>
      </w:r>
      <w:r>
        <w:rPr>
          <w:rFonts w:hAnsi="Times New Roman" w:cs="宋体"/>
          <w:color w:val="auto"/>
          <w:highlight w:val="none"/>
          <w:u w:val="single"/>
          <w:lang w:eastAsia="zh-CN"/>
        </w:rPr>
        <w:t>7</w:t>
      </w:r>
      <w:r>
        <w:rPr>
          <w:rFonts w:hint="eastAsia" w:hAnsi="Times New Roman" w:cs="宋体"/>
          <w:color w:val="auto"/>
          <w:highlight w:val="none"/>
          <w:u w:val="single"/>
          <w:lang w:val="en-US" w:eastAsia="zh-CN"/>
        </w:rPr>
        <w:t xml:space="preserve">  </w:t>
      </w:r>
      <w:r>
        <w:rPr>
          <w:rFonts w:cs="宋体"/>
          <w:color w:val="auto"/>
          <w:highlight w:val="none"/>
          <w:lang w:eastAsia="zh-CN"/>
        </w:rPr>
        <w:t>天内作出相应修改。所有修改都应由承包人在修改的图纸和文件上标明编号、日期以及说明的修改范围和内容，并由承包人项目负责人签字后，重新提交监理人批复，监理人应在图纸的角签部位和文件的签署栏签注处理意见后，发还承包人执行。</w:t>
      </w:r>
    </w:p>
    <w:p w14:paraId="20A6678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）凡合同约定由承包人提交监理人批准的图纸和文件，必须由项目负责人或其授权代表签名，否则均属无效。凡未经监理人按上述第（</w:t>
      </w:r>
      <w:r>
        <w:rPr>
          <w:rFonts w:hAnsi="Times New Roman" w:cs="Times New Roman"/>
          <w:color w:val="auto"/>
          <w:highlight w:val="none"/>
          <w:lang w:eastAsia="zh-CN"/>
        </w:rPr>
        <w:t>1</w:t>
      </w:r>
      <w:r>
        <w:rPr>
          <w:rFonts w:cs="宋体"/>
          <w:color w:val="auto"/>
          <w:highlight w:val="none"/>
          <w:lang w:eastAsia="zh-CN"/>
        </w:rPr>
        <w:t>）项规定签署的图纸和文件，均属无效。</w:t>
      </w:r>
    </w:p>
    <w:p w14:paraId="557021E3">
      <w:pPr>
        <w:pStyle w:val="4"/>
        <w:spacing w:beforeLines="0" w:afterLines="0"/>
        <w:rPr>
          <w:rFonts w:hint="eastAsia" w:hAnsi="宋体" w:cs="宋体"/>
          <w:bCs/>
          <w:color w:val="auto"/>
          <w:szCs w:val="24"/>
          <w:highlight w:val="none"/>
        </w:rPr>
      </w:pPr>
      <w:r>
        <w:rPr>
          <w:rFonts w:hint="eastAsia" w:hAnsi="宋体" w:cs="宋体"/>
          <w:bCs/>
          <w:color w:val="auto"/>
          <w:szCs w:val="24"/>
          <w:highlight w:val="none"/>
        </w:rPr>
        <w:t>1.5</w:t>
      </w:r>
      <w:r>
        <w:rPr>
          <w:rFonts w:hint="eastAsia" w:cs="宋体"/>
          <w:bCs/>
          <w:color w:val="auto"/>
          <w:szCs w:val="24"/>
          <w:highlight w:val="none"/>
          <w:lang w:eastAsia="zh-CN"/>
        </w:rPr>
        <w:t>　</w:t>
      </w:r>
      <w:r>
        <w:rPr>
          <w:rFonts w:hint="eastAsia" w:hAnsi="宋体" w:cs="宋体"/>
          <w:bCs/>
          <w:color w:val="auto"/>
          <w:szCs w:val="24"/>
          <w:highlight w:val="none"/>
        </w:rPr>
        <w:t>发包人提供的材料和工程设备</w:t>
      </w:r>
    </w:p>
    <w:p w14:paraId="0A135C3D">
      <w:pPr>
        <w:ind w:firstLine="420"/>
        <w:jc w:val="left"/>
        <w:rPr>
          <w:rFonts w:hint="eastAsia" w:cs="宋体"/>
          <w:color w:val="auto"/>
          <w:highlight w:val="none"/>
          <w:lang w:val="en-US" w:eastAsia="zh-CN"/>
        </w:rPr>
      </w:pPr>
      <w:r>
        <w:rPr>
          <w:rFonts w:hint="eastAsia" w:cs="宋体"/>
          <w:color w:val="auto"/>
          <w:highlight w:val="none"/>
          <w:lang w:val="en-US" w:eastAsia="zh-CN"/>
        </w:rPr>
        <w:t>无。</w:t>
      </w:r>
    </w:p>
    <w:p w14:paraId="59BD5291">
      <w:pPr>
        <w:pStyle w:val="4"/>
        <w:spacing w:beforeLines="0" w:afterLines="0"/>
        <w:rPr>
          <w:rFonts w:hint="eastAsia" w:cs="宋体"/>
          <w:bCs/>
          <w:color w:val="auto"/>
          <w:szCs w:val="24"/>
          <w:highlight w:val="none"/>
        </w:rPr>
      </w:pPr>
      <w:r>
        <w:rPr>
          <w:rFonts w:hint="eastAsia" w:hAnsi="宋体" w:cs="宋体"/>
          <w:bCs/>
          <w:color w:val="auto"/>
          <w:szCs w:val="24"/>
          <w:highlight w:val="none"/>
        </w:rPr>
        <w:t>1.6</w:t>
      </w:r>
      <w:r>
        <w:rPr>
          <w:rFonts w:hint="eastAsia" w:cs="宋体"/>
          <w:bCs/>
          <w:color w:val="auto"/>
          <w:szCs w:val="24"/>
          <w:highlight w:val="none"/>
          <w:lang w:eastAsia="zh-CN"/>
        </w:rPr>
        <w:t>　</w:t>
      </w:r>
      <w:r>
        <w:rPr>
          <w:rFonts w:hint="eastAsia" w:hAnsi="宋体" w:cs="宋体"/>
          <w:bCs/>
          <w:color w:val="auto"/>
          <w:szCs w:val="24"/>
          <w:highlight w:val="none"/>
        </w:rPr>
        <w:t>承包人提供的材料和设备</w:t>
      </w:r>
    </w:p>
    <w:p w14:paraId="4BA126AA">
      <w:pPr>
        <w:pStyle w:val="5"/>
        <w:rPr>
          <w:rFonts w:hAnsi="Times New Roman" w:cs="楷体"/>
          <w:color w:val="auto"/>
          <w:highlight w:val="none"/>
          <w:lang w:eastAsia="zh-CN"/>
        </w:rPr>
      </w:pPr>
      <w:r>
        <w:rPr>
          <w:rFonts w:hAnsi="Times New Roman" w:cs="Times New Roman"/>
          <w:color w:val="auto"/>
          <w:highlight w:val="none"/>
          <w:lang w:eastAsia="zh-CN"/>
        </w:rPr>
        <w:t>1.6.1</w:t>
      </w:r>
      <w:r>
        <w:rPr>
          <w:rFonts w:hint="eastAsia" w:hAnsi="Times New Roman" w:cs="Times New Roman"/>
          <w:color w:val="auto"/>
          <w:highlight w:val="none"/>
          <w:lang w:eastAsia="zh-CN"/>
        </w:rPr>
        <w:t>　</w:t>
      </w:r>
      <w:r>
        <w:rPr>
          <w:rFonts w:hAnsi="楷体" w:cs="楷体"/>
          <w:color w:val="auto"/>
          <w:highlight w:val="none"/>
          <w:lang w:eastAsia="zh-CN"/>
        </w:rPr>
        <w:t>承包人提供的材料</w:t>
      </w:r>
    </w:p>
    <w:p w14:paraId="7CFCB45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）承包人提供的材料应由监理人按以下程序进行检查和验收：</w:t>
      </w:r>
    </w:p>
    <w:p w14:paraId="6A7C920B">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）查验证件：承包人应按供货合同的要求查验每批材料的发货单、计量单、装箱材料的合格证书、化验单以及其它有关图纸、文件和证件，并应将上述图纸，以及文件、证件的复印件提交监理人。</w:t>
      </w:r>
    </w:p>
    <w:p w14:paraId="71F6ADF5">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）抽样检验：承包人应会同监理人按本合同约定和技术条款各章的有关规定进行材料抽样检验，检验结果应提交监理人。并对每批材料是否合格作出鉴定。</w:t>
      </w:r>
    </w:p>
    <w:p w14:paraId="495EF25D">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）材料验收：经鉴定合格的材料方能验收，承包人应与监理人共同核对每批材料的品名、规格、数量，并作好记录，共同验点入库。</w:t>
      </w:r>
    </w:p>
    <w:p w14:paraId="3514AEB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）不合格材料的处理</w:t>
      </w:r>
    </w:p>
    <w:p w14:paraId="6AA7E210">
      <w:pPr>
        <w:ind w:firstLine="420"/>
        <w:jc w:val="left"/>
        <w:rPr>
          <w:rFonts w:hAnsi="Times New Roman" w:cs="宋体"/>
          <w:color w:val="auto"/>
          <w:highlight w:val="none"/>
          <w:lang w:eastAsia="zh-CN"/>
        </w:rPr>
      </w:pPr>
      <w:r>
        <w:rPr>
          <w:rFonts w:cs="宋体"/>
          <w:color w:val="auto"/>
          <w:highlight w:val="none"/>
          <w:lang w:eastAsia="zh-CN"/>
        </w:rPr>
        <w:t>经监理人查库发现的不合格材料，应禁止使用，并清除出场。承包人违约使用了不合格材料，应按本合同约定予以清除或返工至合格为止。</w:t>
      </w:r>
    </w:p>
    <w:p w14:paraId="3A56CC0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）代用材料</w:t>
      </w:r>
    </w:p>
    <w:p w14:paraId="13E03D8B">
      <w:pPr>
        <w:ind w:firstLine="420"/>
        <w:jc w:val="left"/>
        <w:rPr>
          <w:rFonts w:hAnsi="Times New Roman" w:cs="宋体"/>
          <w:color w:val="auto"/>
          <w:highlight w:val="none"/>
          <w:lang w:eastAsia="zh-CN"/>
        </w:rPr>
      </w:pPr>
      <w:r>
        <w:rPr>
          <w:rFonts w:cs="宋体"/>
          <w:color w:val="auto"/>
          <w:highlight w:val="none"/>
          <w:lang w:eastAsia="zh-CN"/>
        </w:rPr>
        <w:t>承包人申请代用材料，应将代用材料的技术标准、质量证明书和试验报告提交监理人。只有在证明其材料不降低工程质量和不影响施工进度的前提下，经监理人批准后，才能采用代用材料。</w:t>
      </w:r>
    </w:p>
    <w:p w14:paraId="4304DCFF">
      <w:pPr>
        <w:pStyle w:val="5"/>
        <w:rPr>
          <w:rFonts w:hAnsi="Times New Roman" w:cs="楷体"/>
          <w:color w:val="auto"/>
          <w:highlight w:val="none"/>
          <w:lang w:eastAsia="zh-CN"/>
        </w:rPr>
      </w:pPr>
      <w:r>
        <w:rPr>
          <w:rFonts w:hAnsi="Times New Roman" w:cs="Times New Roman"/>
          <w:color w:val="auto"/>
          <w:highlight w:val="none"/>
          <w:lang w:eastAsia="zh-CN"/>
        </w:rPr>
        <w:t>1.6.2</w:t>
      </w:r>
      <w:r>
        <w:rPr>
          <w:rFonts w:hint="eastAsia" w:hAnsi="Times New Roman" w:cs="Times New Roman"/>
          <w:color w:val="auto"/>
          <w:highlight w:val="none"/>
          <w:lang w:eastAsia="zh-CN"/>
        </w:rPr>
        <w:t>　</w:t>
      </w:r>
      <w:r>
        <w:rPr>
          <w:rFonts w:hAnsi="楷体" w:cs="楷体"/>
          <w:color w:val="auto"/>
          <w:highlight w:val="none"/>
          <w:lang w:eastAsia="zh-CN"/>
        </w:rPr>
        <w:t>承包人提供的工程设备</w:t>
      </w:r>
    </w:p>
    <w:p w14:paraId="24E56595">
      <w:pPr>
        <w:ind w:firstLine="420"/>
        <w:jc w:val="left"/>
        <w:rPr>
          <w:rFonts w:cs="宋体"/>
          <w:color w:val="auto"/>
          <w:highlight w:val="none"/>
          <w:lang w:eastAsia="zh-CN"/>
        </w:rPr>
      </w:pPr>
      <w:r>
        <w:rPr>
          <w:rFonts w:cs="宋体"/>
          <w:color w:val="auto"/>
          <w:highlight w:val="none"/>
          <w:lang w:eastAsia="zh-CN"/>
        </w:rPr>
        <w:t>按合同约定由承包人负责采购和安装的工程设备，应由承包人将工程设备的订货清单提交监理人批准。承包人应按监理人批准的工程设备订货清单办理订货，并应将订货协议副本提交监理人。承包人应承担工程设备的采购、验收、运输和保管的责任。</w:t>
      </w:r>
    </w:p>
    <w:p w14:paraId="6844EA56">
      <w:pPr>
        <w:pStyle w:val="5"/>
        <w:rPr>
          <w:rFonts w:hAnsi="Times New Roman" w:cs="楷体"/>
          <w:color w:val="auto"/>
          <w:highlight w:val="none"/>
          <w:lang w:eastAsia="zh-CN"/>
        </w:rPr>
      </w:pPr>
      <w:r>
        <w:rPr>
          <w:rFonts w:hAnsi="Times New Roman" w:cs="Times New Roman"/>
          <w:color w:val="auto"/>
          <w:highlight w:val="none"/>
          <w:lang w:eastAsia="zh-CN"/>
        </w:rPr>
        <w:t>1.6.3</w:t>
      </w:r>
      <w:r>
        <w:rPr>
          <w:rFonts w:hint="eastAsia" w:hAnsi="Times New Roman" w:cs="Times New Roman"/>
          <w:color w:val="auto"/>
          <w:highlight w:val="none"/>
          <w:lang w:eastAsia="zh-CN"/>
        </w:rPr>
        <w:t>　</w:t>
      </w:r>
      <w:r>
        <w:rPr>
          <w:rFonts w:hAnsi="楷体" w:cs="楷体"/>
          <w:color w:val="auto"/>
          <w:highlight w:val="none"/>
          <w:lang w:eastAsia="zh-CN"/>
        </w:rPr>
        <w:t>承包人施工设备</w:t>
      </w:r>
    </w:p>
    <w:p w14:paraId="2B7EBE7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宋体"/>
          <w:color w:val="auto"/>
          <w:highlight w:val="none"/>
          <w:lang w:eastAsia="zh-CN"/>
        </w:rPr>
        <w:t>1</w:t>
      </w:r>
      <w:r>
        <w:rPr>
          <w:rFonts w:cs="宋体"/>
          <w:color w:val="auto"/>
          <w:highlight w:val="none"/>
          <w:lang w:eastAsia="zh-CN"/>
        </w:rPr>
        <w:t>）承包人应在签署合同协议书后</w:t>
      </w:r>
      <w:r>
        <w:rPr>
          <w:rFonts w:hint="eastAsia" w:hAnsi="Times New Roman" w:cs="宋体"/>
          <w:color w:val="auto"/>
          <w:highlight w:val="none"/>
          <w:u w:val="single"/>
          <w:lang w:val="en-US" w:eastAsia="zh-CN"/>
        </w:rPr>
        <w:t xml:space="preserve">  14  </w:t>
      </w:r>
      <w:r>
        <w:rPr>
          <w:rFonts w:cs="宋体"/>
          <w:color w:val="auto"/>
          <w:highlight w:val="none"/>
          <w:lang w:eastAsia="zh-CN"/>
        </w:rPr>
        <w:t>天内，提交一份为完成本合同各项工作所需的施工设备清单，提交监理人批准。施工设备清单的内容应包括：</w:t>
      </w:r>
    </w:p>
    <w:p w14:paraId="4D13F19F">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）新购设备的生产厂家、品名、型号、规格、主要性能、数量和预计进场时间，承包人应向监理人提交新购置主要施工设备的订货协议复印件。</w:t>
      </w:r>
    </w:p>
    <w:p w14:paraId="1565A26C">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）旧施工设备的购置时间、残值、运行和检修记录以及维修保养证书等。</w:t>
      </w:r>
    </w:p>
    <w:p w14:paraId="6413ECBE">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）租赁设备的购置时间、租赁期限、租赁价格、运行检修记录以及维修保养证书等。</w:t>
      </w:r>
    </w:p>
    <w:p w14:paraId="5A903B4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）承包人配置的旧施工设备（包括租赁的旧设备），应由监理人进行检查，并须进行试运行，确认其符合使用要求后方可投</w:t>
      </w:r>
      <w:r>
        <w:rPr>
          <w:rFonts w:hint="eastAsia" w:cs="宋体"/>
          <w:color w:val="auto"/>
          <w:highlight w:val="none"/>
          <w:lang w:val="en-US" w:eastAsia="zh-CN"/>
        </w:rPr>
        <w:t>入</w:t>
      </w:r>
      <w:r>
        <w:rPr>
          <w:rFonts w:cs="宋体"/>
          <w:color w:val="auto"/>
          <w:highlight w:val="none"/>
          <w:lang w:eastAsia="zh-CN"/>
        </w:rPr>
        <w:t>使用。</w:t>
      </w:r>
    </w:p>
    <w:p w14:paraId="6A20B847">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施工设备进场后，监理人应按承包人提供的施工设备清单，仔细核查进场施工设备的数量、规格和性能是否符合施工进度计划和质量控制的要求，监理人有权索取必要的施工设备资料，如发现进场的施工设备不能满足施工要求时，监理人有权责令撤换。</w:t>
      </w:r>
    </w:p>
    <w:p w14:paraId="27D5C32E">
      <w:pPr>
        <w:pStyle w:val="5"/>
        <w:rPr>
          <w:rFonts w:hAnsi="Times New Roman" w:cs="楷体"/>
          <w:color w:val="auto"/>
          <w:highlight w:val="none"/>
          <w:lang w:eastAsia="zh-CN"/>
        </w:rPr>
      </w:pPr>
      <w:r>
        <w:rPr>
          <w:rFonts w:hAnsi="Times New Roman" w:cs="Times New Roman"/>
          <w:color w:val="auto"/>
          <w:highlight w:val="none"/>
          <w:lang w:eastAsia="zh-CN"/>
        </w:rPr>
        <w:t>1.6.4</w:t>
      </w:r>
      <w:r>
        <w:rPr>
          <w:rFonts w:hint="eastAsia" w:hAnsi="Times New Roman" w:cs="Times New Roman"/>
          <w:color w:val="auto"/>
          <w:highlight w:val="none"/>
          <w:lang w:eastAsia="zh-CN"/>
        </w:rPr>
        <w:t>　</w:t>
      </w:r>
      <w:r>
        <w:rPr>
          <w:rFonts w:hAnsi="楷体" w:cs="楷体"/>
          <w:color w:val="auto"/>
          <w:highlight w:val="none"/>
          <w:lang w:eastAsia="zh-CN"/>
        </w:rPr>
        <w:t>不合格的材料和工程设备的处理</w:t>
      </w:r>
    </w:p>
    <w:p w14:paraId="5501C771">
      <w:pPr>
        <w:ind w:firstLine="420"/>
        <w:jc w:val="left"/>
        <w:rPr>
          <w:rFonts w:cs="宋体"/>
          <w:color w:val="auto"/>
          <w:highlight w:val="none"/>
          <w:lang w:eastAsia="zh-CN"/>
        </w:rPr>
      </w:pPr>
      <w:r>
        <w:rPr>
          <w:rFonts w:cs="宋体"/>
          <w:color w:val="auto"/>
          <w:highlight w:val="none"/>
          <w:lang w:eastAsia="zh-CN"/>
        </w:rPr>
        <w:t>由于承包人使用了不合格材料和工程设备造成了工程损害，监理人可要求承包人立即采取措施进行补救，直至彻底清除工程的不合格部位以及不合格的材料或工程设备，由此增加的费用和工期延误责任由承包人承担。</w:t>
      </w:r>
    </w:p>
    <w:p w14:paraId="72B3B521">
      <w:pPr>
        <w:pStyle w:val="4"/>
        <w:spacing w:beforeLines="0" w:afterLines="0"/>
        <w:rPr>
          <w:rFonts w:hint="eastAsia" w:cs="宋体"/>
          <w:bCs/>
          <w:color w:val="auto"/>
          <w:szCs w:val="24"/>
          <w:highlight w:val="none"/>
        </w:rPr>
      </w:pPr>
      <w:r>
        <w:rPr>
          <w:rFonts w:hint="eastAsia" w:hAnsi="宋体" w:cs="宋体"/>
          <w:bCs/>
          <w:color w:val="auto"/>
          <w:szCs w:val="24"/>
          <w:highlight w:val="none"/>
        </w:rPr>
        <w:t>1.7</w:t>
      </w:r>
      <w:r>
        <w:rPr>
          <w:rFonts w:hint="eastAsia" w:cs="宋体"/>
          <w:bCs/>
          <w:color w:val="auto"/>
          <w:szCs w:val="24"/>
          <w:highlight w:val="none"/>
          <w:lang w:eastAsia="zh-CN"/>
        </w:rPr>
        <w:t>　</w:t>
      </w:r>
      <w:r>
        <w:rPr>
          <w:rFonts w:hint="eastAsia" w:hAnsi="宋体" w:cs="宋体"/>
          <w:bCs/>
          <w:color w:val="auto"/>
          <w:szCs w:val="24"/>
          <w:highlight w:val="none"/>
        </w:rPr>
        <w:t>进度计划的实施</w:t>
      </w:r>
    </w:p>
    <w:p w14:paraId="27BC85C1">
      <w:pPr>
        <w:pStyle w:val="5"/>
        <w:rPr>
          <w:rFonts w:hAnsi="Times New Roman" w:cs="楷体"/>
          <w:color w:val="auto"/>
          <w:highlight w:val="none"/>
          <w:lang w:eastAsia="zh-CN"/>
        </w:rPr>
      </w:pPr>
      <w:r>
        <w:rPr>
          <w:rFonts w:hAnsi="Times New Roman" w:cs="Times New Roman"/>
          <w:color w:val="auto"/>
          <w:highlight w:val="none"/>
          <w:lang w:eastAsia="zh-CN"/>
        </w:rPr>
        <w:t>1.7.1</w:t>
      </w:r>
      <w:r>
        <w:rPr>
          <w:rFonts w:hint="eastAsia" w:hAnsi="Times New Roman" w:cs="Times New Roman"/>
          <w:color w:val="auto"/>
          <w:highlight w:val="none"/>
          <w:lang w:eastAsia="zh-CN"/>
        </w:rPr>
        <w:t>　</w:t>
      </w:r>
      <w:r>
        <w:rPr>
          <w:rFonts w:hAnsi="楷体" w:cs="楷体"/>
          <w:color w:val="auto"/>
          <w:highlight w:val="none"/>
          <w:lang w:eastAsia="zh-CN"/>
        </w:rPr>
        <w:t>施工总进度实施措施</w:t>
      </w:r>
    </w:p>
    <w:p w14:paraId="6F65A8DB">
      <w:pPr>
        <w:ind w:firstLine="420"/>
        <w:jc w:val="left"/>
        <w:rPr>
          <w:rFonts w:cs="宋体"/>
          <w:color w:val="auto"/>
          <w:highlight w:val="none"/>
          <w:lang w:eastAsia="zh-CN"/>
        </w:rPr>
      </w:pPr>
      <w:r>
        <w:rPr>
          <w:rFonts w:cs="宋体"/>
          <w:color w:val="auto"/>
          <w:highlight w:val="none"/>
          <w:lang w:eastAsia="zh-CN"/>
        </w:rPr>
        <w:t>承包人应按监理人根据本章第</w:t>
      </w:r>
      <w:r>
        <w:rPr>
          <w:rFonts w:hAnsi="Times New Roman" w:cs="Times New Roman"/>
          <w:color w:val="auto"/>
          <w:highlight w:val="none"/>
          <w:lang w:eastAsia="zh-CN"/>
        </w:rPr>
        <w:t>1.4.3</w:t>
      </w:r>
      <w:r>
        <w:rPr>
          <w:rFonts w:cs="宋体"/>
          <w:color w:val="auto"/>
          <w:highlight w:val="none"/>
          <w:lang w:eastAsia="zh-CN"/>
        </w:rPr>
        <w:t>项要求批准的施工总进度实施计划，编制详细的施工总进度计划的实施措施，提交监理人批准。实施措施应说明以下内容：</w:t>
      </w:r>
    </w:p>
    <w:p w14:paraId="1AB33FE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）各永久工程和临时工程项目按期完成的年、月工程量计划和各年度形象面貌。</w:t>
      </w:r>
    </w:p>
    <w:p w14:paraId="40EE1A6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）主要物资材料（如钢材、钢筋、木材、水泥、粉煤灰、外加剂、砂石骨料、土料和石料、炸药、柴油、用水和用电等）使用计划及主要材料订货安排。</w:t>
      </w:r>
    </w:p>
    <w:p w14:paraId="08A570B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）施工现场各类人员配备和劳务计划。</w:t>
      </w:r>
    </w:p>
    <w:p w14:paraId="058CC03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）工程设备的订货、交货计划。</w:t>
      </w:r>
    </w:p>
    <w:p w14:paraId="3D4C81F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）其它说明。</w:t>
      </w:r>
    </w:p>
    <w:p w14:paraId="6DBADC4B">
      <w:pPr>
        <w:pStyle w:val="5"/>
        <w:rPr>
          <w:rFonts w:hAnsi="Times New Roman" w:cs="楷体"/>
          <w:color w:val="auto"/>
          <w:highlight w:val="none"/>
          <w:lang w:eastAsia="zh-CN"/>
        </w:rPr>
      </w:pPr>
      <w:r>
        <w:rPr>
          <w:rFonts w:hAnsi="Times New Roman" w:cs="Times New Roman"/>
          <w:color w:val="auto"/>
          <w:highlight w:val="none"/>
          <w:lang w:eastAsia="zh-CN"/>
        </w:rPr>
        <w:t>1.7.2</w:t>
      </w:r>
      <w:r>
        <w:rPr>
          <w:rFonts w:hint="eastAsia" w:hAnsi="Times New Roman" w:cs="Times New Roman"/>
          <w:color w:val="auto"/>
          <w:highlight w:val="none"/>
          <w:lang w:eastAsia="zh-CN"/>
        </w:rPr>
        <w:t>　</w:t>
      </w:r>
      <w:r>
        <w:rPr>
          <w:rFonts w:hAnsi="楷体" w:cs="楷体"/>
          <w:color w:val="auto"/>
          <w:highlight w:val="none"/>
          <w:lang w:eastAsia="zh-CN"/>
        </w:rPr>
        <w:t>年进度计划</w:t>
      </w:r>
    </w:p>
    <w:p w14:paraId="27581F08">
      <w:pPr>
        <w:ind w:firstLine="420"/>
        <w:jc w:val="left"/>
        <w:rPr>
          <w:rFonts w:hAnsi="Times New Roman" w:cs="宋体"/>
          <w:color w:val="auto"/>
          <w:highlight w:val="none"/>
          <w:lang w:eastAsia="zh-CN"/>
        </w:rPr>
      </w:pPr>
      <w:r>
        <w:rPr>
          <w:rFonts w:cs="宋体"/>
          <w:color w:val="auto"/>
          <w:highlight w:val="none"/>
          <w:lang w:eastAsia="zh-CN"/>
        </w:rPr>
        <w:t>承包人应在每年</w:t>
      </w:r>
      <w:r>
        <w:rPr>
          <w:rFonts w:hint="eastAsia" w:cs="宋体"/>
          <w:color w:val="auto"/>
          <w:highlight w:val="none"/>
          <w:u w:val="single"/>
          <w:lang w:val="en-US" w:eastAsia="zh-CN"/>
        </w:rPr>
        <w:t xml:space="preserve">  </w:t>
      </w:r>
      <w:r>
        <w:rPr>
          <w:rFonts w:hAnsi="Times New Roman" w:cs="Times New Roman"/>
          <w:color w:val="auto"/>
          <w:highlight w:val="none"/>
          <w:u w:val="single"/>
          <w:lang w:eastAsia="zh-CN"/>
        </w:rPr>
        <w:t>12</w:t>
      </w:r>
      <w:r>
        <w:rPr>
          <w:rFonts w:hint="eastAsia" w:hAnsi="Times New Roman" w:cs="Times New Roman"/>
          <w:color w:val="auto"/>
          <w:highlight w:val="none"/>
          <w:u w:val="single"/>
          <w:lang w:val="en-US" w:eastAsia="zh-CN"/>
        </w:rPr>
        <w:t xml:space="preserve">  </w:t>
      </w:r>
      <w:r>
        <w:rPr>
          <w:rFonts w:cs="宋体"/>
          <w:color w:val="auto"/>
          <w:highlight w:val="none"/>
          <w:lang w:eastAsia="zh-CN"/>
        </w:rPr>
        <w:t>月，将下年度的进度计划，提交监理人批准，其内容包括：</w:t>
      </w:r>
    </w:p>
    <w:p w14:paraId="5AD8190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）计划完成的年工程量及其施工面貌。</w:t>
      </w:r>
    </w:p>
    <w:p w14:paraId="31F2836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）该年施工所需的机具、设备、材料的数量和需要补充采购的计划。</w:t>
      </w:r>
    </w:p>
    <w:p w14:paraId="63D3575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）要求发包人提供的施工图纸计划。</w:t>
      </w:r>
    </w:p>
    <w:p w14:paraId="694377D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）提出发包人和其它承包人提供工程设备预埋件的计划要求。</w:t>
      </w:r>
    </w:p>
    <w:p w14:paraId="179C278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）该年施工工作面移交计划日期和要求其它承包人提供工作面的计划日期。</w:t>
      </w:r>
    </w:p>
    <w:p w14:paraId="1EFF1CA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）该年各施工工程项目的试验检验计划。</w:t>
      </w:r>
    </w:p>
    <w:p w14:paraId="71A6238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）工程安全措施实施计划等。</w:t>
      </w:r>
    </w:p>
    <w:p w14:paraId="40C078E6">
      <w:pPr>
        <w:ind w:firstLine="420"/>
        <w:jc w:val="left"/>
        <w:rPr>
          <w:rFonts w:hAnsi="Times New Roman"/>
          <w:color w:val="auto"/>
          <w:highlight w:val="none"/>
          <w:lang w:eastAsia="zh-CN"/>
        </w:rPr>
      </w:pPr>
      <w:r>
        <w:rPr>
          <w:rFonts w:hint="eastAsia"/>
          <w:color w:val="auto"/>
          <w:highlight w:val="none"/>
          <w:lang w:eastAsia="zh-CN"/>
        </w:rPr>
        <w:t>承包人还应根据合同进度计划，编制更为详细的分阶段或单位工程或分部工程进度计划，报监理人审批。</w:t>
      </w:r>
    </w:p>
    <w:p w14:paraId="3B71C0CF">
      <w:pPr>
        <w:pStyle w:val="5"/>
        <w:rPr>
          <w:rFonts w:hAnsi="Times New Roman" w:cs="楷体"/>
          <w:color w:val="auto"/>
          <w:highlight w:val="none"/>
          <w:lang w:eastAsia="zh-CN"/>
        </w:rPr>
      </w:pPr>
      <w:r>
        <w:rPr>
          <w:rFonts w:hAnsi="Times New Roman" w:cs="Times New Roman"/>
          <w:color w:val="auto"/>
          <w:highlight w:val="none"/>
          <w:lang w:eastAsia="zh-CN"/>
        </w:rPr>
        <w:t>1.7.3</w:t>
      </w:r>
      <w:r>
        <w:rPr>
          <w:rFonts w:hint="eastAsia" w:hAnsi="Times New Roman" w:cs="Times New Roman"/>
          <w:color w:val="auto"/>
          <w:highlight w:val="none"/>
          <w:lang w:eastAsia="zh-CN"/>
        </w:rPr>
        <w:t>　</w:t>
      </w:r>
      <w:r>
        <w:rPr>
          <w:rFonts w:hAnsi="楷体" w:cs="楷体"/>
          <w:color w:val="auto"/>
          <w:highlight w:val="none"/>
          <w:lang w:eastAsia="zh-CN"/>
        </w:rPr>
        <w:t>季、月进度计划</w:t>
      </w:r>
    </w:p>
    <w:p w14:paraId="1DFC7393">
      <w:pPr>
        <w:ind w:firstLine="420"/>
        <w:jc w:val="left"/>
        <w:rPr>
          <w:rFonts w:hAnsi="Times New Roman" w:cs="宋体"/>
          <w:color w:val="auto"/>
          <w:spacing w:val="-4"/>
          <w:highlight w:val="none"/>
          <w:lang w:eastAsia="zh-CN"/>
        </w:rPr>
      </w:pPr>
      <w:r>
        <w:rPr>
          <w:rFonts w:cs="宋体"/>
          <w:color w:val="auto"/>
          <w:spacing w:val="-4"/>
          <w:highlight w:val="none"/>
          <w:lang w:eastAsia="zh-CN"/>
        </w:rPr>
        <w:t>监理人认为有必要时，可要求承包人向监理人提交季、月进度计划，其内容包括：</w:t>
      </w:r>
    </w:p>
    <w:p w14:paraId="15D2096D">
      <w:pPr>
        <w:ind w:firstLine="420"/>
        <w:jc w:val="left"/>
        <w:rPr>
          <w:rFonts w:hAnsi="Times New Roman" w:cs="宋体"/>
          <w:color w:val="auto"/>
          <w:highlight w:val="none"/>
        </w:rPr>
      </w:pPr>
      <w:r>
        <w:rPr>
          <w:rFonts w:cs="宋体"/>
          <w:color w:val="auto"/>
          <w:highlight w:val="none"/>
        </w:rPr>
        <w:t>（</w:t>
      </w:r>
      <w:r>
        <w:rPr>
          <w:rFonts w:hAnsi="Times New Roman" w:cs="Times New Roman"/>
          <w:color w:val="auto"/>
          <w:highlight w:val="none"/>
        </w:rPr>
        <w:t>1</w:t>
      </w:r>
      <w:r>
        <w:rPr>
          <w:rFonts w:cs="宋体"/>
          <w:color w:val="auto"/>
          <w:highlight w:val="none"/>
        </w:rPr>
        <w:t>）季、月工程量及其施工面貌。</w:t>
      </w:r>
    </w:p>
    <w:p w14:paraId="56421FB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）该季、月所需施工设备数量及材料用量。</w:t>
      </w:r>
    </w:p>
    <w:p w14:paraId="4A33066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）该季、月发包人应提供的施工图纸目录等。</w:t>
      </w:r>
    </w:p>
    <w:p w14:paraId="693A3840">
      <w:pPr>
        <w:pStyle w:val="5"/>
        <w:rPr>
          <w:rFonts w:hAnsi="Times New Roman" w:cs="楷体"/>
          <w:color w:val="auto"/>
          <w:highlight w:val="none"/>
          <w:lang w:eastAsia="zh-CN"/>
        </w:rPr>
      </w:pPr>
      <w:r>
        <w:rPr>
          <w:rFonts w:hAnsi="Times New Roman" w:cs="Times New Roman"/>
          <w:color w:val="auto"/>
          <w:highlight w:val="none"/>
          <w:lang w:eastAsia="zh-CN"/>
        </w:rPr>
        <w:t>1.7.4</w:t>
      </w:r>
      <w:r>
        <w:rPr>
          <w:rFonts w:hint="eastAsia" w:hAnsi="Times New Roman" w:cs="Times New Roman"/>
          <w:color w:val="auto"/>
          <w:highlight w:val="none"/>
          <w:lang w:eastAsia="zh-CN"/>
        </w:rPr>
        <w:t>　</w:t>
      </w:r>
      <w:r>
        <w:rPr>
          <w:rFonts w:hAnsi="楷体" w:cs="楷体"/>
          <w:color w:val="auto"/>
          <w:highlight w:val="none"/>
          <w:lang w:eastAsia="zh-CN"/>
        </w:rPr>
        <w:t>月、周进度报告</w:t>
      </w:r>
    </w:p>
    <w:p w14:paraId="5805774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）承包人应在每月底按批准的格式，向监理人提交月进度实施报告，其内容包括：</w:t>
      </w:r>
    </w:p>
    <w:p w14:paraId="7E30D3C9">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）月完成工程量和累计完成工程量（包括永久工程和临时工程）。</w:t>
      </w:r>
    </w:p>
    <w:p w14:paraId="1B21C00B">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）月完成的工程面貌图。</w:t>
      </w:r>
    </w:p>
    <w:p w14:paraId="1CBC7A87">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）材料实际进货、消耗和库存量。</w:t>
      </w:r>
    </w:p>
    <w:p w14:paraId="1BF08903">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）现场施工设备的投运数量和运行状况。</w:t>
      </w:r>
    </w:p>
    <w:p w14:paraId="0B9C534B">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）工程设备的到货情况。</w:t>
      </w:r>
    </w:p>
    <w:p w14:paraId="5297F2B1">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）劳动力数量（本月及预计未来</w:t>
      </w:r>
      <w:r>
        <w:rPr>
          <w:rFonts w:hAnsi="Times New Roman" w:cs="Times New Roman"/>
          <w:color w:val="auto"/>
          <w:highlight w:val="none"/>
          <w:lang w:eastAsia="zh-CN"/>
        </w:rPr>
        <w:t>3</w:t>
      </w:r>
      <w:r>
        <w:rPr>
          <w:rFonts w:cs="宋体"/>
          <w:color w:val="auto"/>
          <w:highlight w:val="none"/>
          <w:lang w:eastAsia="zh-CN"/>
        </w:rPr>
        <w:t>个月劳动力的数量）。</w:t>
      </w:r>
    </w:p>
    <w:p w14:paraId="7E5E2DB3">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）当前影响施工进度计划的因素和采取的改进措施。</w:t>
      </w:r>
    </w:p>
    <w:p w14:paraId="07CDD164">
      <w:pPr>
        <w:ind w:firstLine="420"/>
        <w:jc w:val="left"/>
        <w:rPr>
          <w:rFonts w:hAnsi="Times New Roman" w:cs="宋体"/>
          <w:color w:val="auto"/>
          <w:highlight w:val="none"/>
          <w:lang w:eastAsia="zh-CN"/>
        </w:rPr>
      </w:pPr>
      <w:r>
        <w:rPr>
          <w:rFonts w:hAnsi="Times New Roman" w:cs="Times New Roman"/>
          <w:color w:val="auto"/>
          <w:highlight w:val="none"/>
          <w:lang w:eastAsia="zh-CN"/>
        </w:rPr>
        <w:t>8</w:t>
      </w:r>
      <w:r>
        <w:rPr>
          <w:rFonts w:cs="宋体"/>
          <w:color w:val="auto"/>
          <w:highlight w:val="none"/>
          <w:lang w:eastAsia="zh-CN"/>
        </w:rPr>
        <w:t>）质量事故和质量缺陷处理记录，质量状况评价。</w:t>
      </w:r>
    </w:p>
    <w:p w14:paraId="7814D73F">
      <w:pPr>
        <w:ind w:firstLine="420"/>
        <w:jc w:val="left"/>
        <w:rPr>
          <w:rFonts w:hAnsi="Times New Roman" w:cs="宋体"/>
          <w:color w:val="auto"/>
          <w:highlight w:val="none"/>
          <w:lang w:eastAsia="zh-CN"/>
        </w:rPr>
      </w:pPr>
      <w:r>
        <w:rPr>
          <w:rFonts w:hAnsi="Times New Roman" w:cs="Times New Roman"/>
          <w:color w:val="auto"/>
          <w:highlight w:val="none"/>
          <w:lang w:eastAsia="zh-CN"/>
        </w:rPr>
        <w:t>9</w:t>
      </w:r>
      <w:r>
        <w:rPr>
          <w:rFonts w:cs="宋体"/>
          <w:color w:val="auto"/>
          <w:highlight w:val="none"/>
          <w:lang w:eastAsia="zh-CN"/>
        </w:rPr>
        <w:t>）安全施工措施实施情况（包括安全事故处理情况）。</w:t>
      </w:r>
    </w:p>
    <w:p w14:paraId="6228C161">
      <w:pPr>
        <w:ind w:firstLine="420"/>
        <w:jc w:val="left"/>
        <w:rPr>
          <w:rFonts w:hAnsi="Times New Roman" w:cs="宋体"/>
          <w:color w:val="auto"/>
          <w:highlight w:val="none"/>
          <w:lang w:eastAsia="zh-CN"/>
        </w:rPr>
      </w:pPr>
      <w:r>
        <w:rPr>
          <w:rFonts w:hAnsi="Times New Roman" w:cs="Times New Roman"/>
          <w:color w:val="auto"/>
          <w:highlight w:val="none"/>
          <w:lang w:eastAsia="zh-CN"/>
        </w:rPr>
        <w:t>10</w:t>
      </w:r>
      <w:r>
        <w:rPr>
          <w:rFonts w:cs="宋体"/>
          <w:color w:val="auto"/>
          <w:highlight w:val="none"/>
          <w:lang w:eastAsia="zh-CN"/>
        </w:rPr>
        <w:t>）环境保护及水土保持措施实施情况。</w:t>
      </w:r>
    </w:p>
    <w:p w14:paraId="4FAB0988">
      <w:pPr>
        <w:ind w:firstLine="420"/>
        <w:jc w:val="left"/>
        <w:rPr>
          <w:rFonts w:hAnsi="Times New Roman" w:cs="宋体"/>
          <w:color w:val="auto"/>
          <w:highlight w:val="none"/>
          <w:lang w:eastAsia="zh-CN"/>
        </w:rPr>
      </w:pPr>
      <w:r>
        <w:rPr>
          <w:rFonts w:cs="宋体"/>
          <w:color w:val="auto"/>
          <w:highlight w:val="none"/>
          <w:lang w:eastAsia="zh-CN"/>
        </w:rPr>
        <w:t>月进度报告应附有一组充分显示工程施工面貌与实际进度相对应的定点摄影照片。</w:t>
      </w:r>
    </w:p>
    <w:p w14:paraId="27B84D1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）承包人应在每周进度会议上按批准的格式，向监理人提交周进度报表，其内容包括：</w:t>
      </w:r>
    </w:p>
    <w:p w14:paraId="03963018">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）上周之前合同进度计划要求、实际完成工程量和累计完成工程量统计。</w:t>
      </w:r>
    </w:p>
    <w:p w14:paraId="5F7DC7FB">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）上周实际完成工程量统计。</w:t>
      </w:r>
    </w:p>
    <w:p w14:paraId="0E450DF7">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）下周计划完成的工程量。</w:t>
      </w:r>
    </w:p>
    <w:p w14:paraId="5166734C">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）要求监理人协调解决的主要问题。</w:t>
      </w:r>
    </w:p>
    <w:p w14:paraId="022E3E08">
      <w:pPr>
        <w:pStyle w:val="5"/>
        <w:rPr>
          <w:rFonts w:hAnsi="Times New Roman" w:cs="楷体"/>
          <w:color w:val="auto"/>
          <w:highlight w:val="none"/>
          <w:lang w:eastAsia="zh-CN"/>
        </w:rPr>
      </w:pPr>
      <w:r>
        <w:rPr>
          <w:rFonts w:hAnsi="Times New Roman" w:cs="Times New Roman"/>
          <w:color w:val="auto"/>
          <w:highlight w:val="none"/>
          <w:lang w:eastAsia="zh-CN"/>
        </w:rPr>
        <w:t>1.7.5</w:t>
      </w:r>
      <w:r>
        <w:rPr>
          <w:rFonts w:hint="eastAsia" w:hAnsi="Times New Roman" w:cs="Times New Roman"/>
          <w:color w:val="auto"/>
          <w:highlight w:val="none"/>
          <w:lang w:eastAsia="zh-CN"/>
        </w:rPr>
        <w:t>　</w:t>
      </w:r>
      <w:r>
        <w:rPr>
          <w:rFonts w:hAnsi="楷体" w:cs="楷体"/>
          <w:color w:val="auto"/>
          <w:highlight w:val="none"/>
          <w:lang w:eastAsia="zh-CN"/>
        </w:rPr>
        <w:t>进度会议</w:t>
      </w:r>
    </w:p>
    <w:p w14:paraId="13063C9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）监理人应在每周的某一日和每月末定期召开周、月进度会议，检查承包人合同进度计划的执行情况，协调解决工程施工中发生的工程变更、质量缺陷处理等问题，以及与其它承包人的相互干扰和矛盾。</w:t>
      </w:r>
    </w:p>
    <w:p w14:paraId="5966933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）承包人应在每周、月进度会议上按规定的格式提交周、月进度报表。</w:t>
      </w:r>
    </w:p>
    <w:p w14:paraId="5FB153C1">
      <w:pPr>
        <w:pStyle w:val="5"/>
        <w:rPr>
          <w:rFonts w:hAnsi="Times New Roman" w:cs="楷体"/>
          <w:color w:val="auto"/>
          <w:highlight w:val="none"/>
          <w:lang w:eastAsia="zh-CN"/>
        </w:rPr>
      </w:pPr>
      <w:r>
        <w:rPr>
          <w:rFonts w:hAnsi="Times New Roman" w:cs="Times New Roman"/>
          <w:color w:val="auto"/>
          <w:highlight w:val="none"/>
          <w:lang w:eastAsia="zh-CN"/>
        </w:rPr>
        <w:t>1.7.6</w:t>
      </w:r>
      <w:r>
        <w:rPr>
          <w:rFonts w:hint="eastAsia" w:hAnsi="Times New Roman" w:cs="Times New Roman"/>
          <w:color w:val="auto"/>
          <w:highlight w:val="none"/>
          <w:lang w:eastAsia="zh-CN"/>
        </w:rPr>
        <w:t>　</w:t>
      </w:r>
      <w:r>
        <w:rPr>
          <w:rFonts w:hAnsi="楷体" w:cs="楷体"/>
          <w:color w:val="auto"/>
          <w:highlight w:val="none"/>
          <w:lang w:eastAsia="zh-CN"/>
        </w:rPr>
        <w:t>进度计划的调整和修订</w:t>
      </w:r>
    </w:p>
    <w:p w14:paraId="3BC72A9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w:t>
      </w:r>
      <w:r>
        <w:rPr>
          <w:rFonts w:hint="eastAsia"/>
          <w:color w:val="auto"/>
          <w:highlight w:val="none"/>
          <w:lang w:eastAsia="zh-CN"/>
        </w:rPr>
        <w:t>在工程实施过程中，不论何种原因引起的工期延误，承包人均应及时作出调整，并在月进度报告中提出调整后的进度计划及其说明，修订的进度计划需报送监理人审批</w:t>
      </w:r>
      <w:r>
        <w:rPr>
          <w:rFonts w:cs="宋体"/>
          <w:color w:val="auto"/>
          <w:highlight w:val="none"/>
          <w:lang w:eastAsia="zh-CN"/>
        </w:rPr>
        <w:t>。</w:t>
      </w:r>
    </w:p>
    <w:p w14:paraId="1BCB30B7">
      <w:pPr>
        <w:pStyle w:val="4"/>
        <w:spacing w:beforeLines="0" w:afterLines="0"/>
        <w:rPr>
          <w:rFonts w:hint="eastAsia" w:cs="宋体"/>
          <w:bCs/>
          <w:color w:val="auto"/>
          <w:szCs w:val="24"/>
          <w:highlight w:val="none"/>
        </w:rPr>
      </w:pPr>
      <w:r>
        <w:rPr>
          <w:rFonts w:hint="eastAsia" w:cs="宋体"/>
          <w:bCs/>
          <w:color w:val="auto"/>
          <w:szCs w:val="24"/>
          <w:highlight w:val="none"/>
        </w:rPr>
        <w:t>1.8</w:t>
      </w:r>
      <w:r>
        <w:rPr>
          <w:rFonts w:hint="eastAsia" w:cs="宋体"/>
          <w:bCs/>
          <w:color w:val="auto"/>
          <w:szCs w:val="24"/>
          <w:highlight w:val="none"/>
          <w:lang w:eastAsia="zh-CN"/>
        </w:rPr>
        <w:t>　</w:t>
      </w:r>
      <w:r>
        <w:rPr>
          <w:rFonts w:hint="eastAsia" w:cs="宋体"/>
          <w:bCs/>
          <w:color w:val="auto"/>
          <w:szCs w:val="24"/>
          <w:highlight w:val="none"/>
        </w:rPr>
        <w:t>工程质量的检查、检验和验收</w:t>
      </w:r>
    </w:p>
    <w:p w14:paraId="6C884DCC">
      <w:pPr>
        <w:pStyle w:val="5"/>
        <w:rPr>
          <w:rFonts w:hAnsi="Times New Roman" w:cs="楷体"/>
          <w:color w:val="auto"/>
          <w:highlight w:val="none"/>
          <w:lang w:eastAsia="zh-CN"/>
        </w:rPr>
      </w:pPr>
      <w:r>
        <w:rPr>
          <w:rFonts w:hAnsi="Times New Roman" w:cs="Times New Roman"/>
          <w:color w:val="auto"/>
          <w:highlight w:val="none"/>
          <w:lang w:eastAsia="zh-CN"/>
        </w:rPr>
        <w:t>1.8.1</w:t>
      </w:r>
      <w:r>
        <w:rPr>
          <w:rFonts w:hint="eastAsia" w:hAnsi="Times New Roman" w:cs="Times New Roman"/>
          <w:color w:val="auto"/>
          <w:highlight w:val="none"/>
          <w:lang w:eastAsia="zh-CN"/>
        </w:rPr>
        <w:t>　</w:t>
      </w:r>
      <w:r>
        <w:rPr>
          <w:rFonts w:hAnsi="楷体" w:cs="楷体"/>
          <w:color w:val="auto"/>
          <w:highlight w:val="none"/>
          <w:lang w:eastAsia="zh-CN"/>
        </w:rPr>
        <w:t>承包人的质量自检</w:t>
      </w:r>
    </w:p>
    <w:p w14:paraId="154FF44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）承包人应在收到开工通知后的</w:t>
      </w:r>
      <w:r>
        <w:rPr>
          <w:rFonts w:hint="eastAsia" w:cs="宋体"/>
          <w:color w:val="auto"/>
          <w:highlight w:val="none"/>
          <w:u w:val="single"/>
          <w:lang w:val="en-US" w:eastAsia="zh-CN"/>
        </w:rPr>
        <w:t xml:space="preserve">  14  </w:t>
      </w:r>
      <w:r>
        <w:rPr>
          <w:rFonts w:cs="宋体"/>
          <w:color w:val="auto"/>
          <w:highlight w:val="none"/>
          <w:lang w:eastAsia="zh-CN"/>
        </w:rPr>
        <w:t>天内，向监理人提交本工程质量保证措施文件，其内容包括：</w:t>
      </w:r>
    </w:p>
    <w:p w14:paraId="1CD3DD04">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）质量检查机构的组织框图。</w:t>
      </w:r>
    </w:p>
    <w:p w14:paraId="1E0A524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）质量检查的岗位设置及检查人员名单。</w:t>
      </w:r>
    </w:p>
    <w:p w14:paraId="38DE4539">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）各主要工程建筑物施工，以及各施工工种的质量检查程序。</w:t>
      </w:r>
    </w:p>
    <w:p w14:paraId="30C932A4">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）隐蔽工程和工程隐蔽部位的质量检查程序。</w:t>
      </w:r>
    </w:p>
    <w:p w14:paraId="627E90F3">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）质量检查记录及验收单格式。</w:t>
      </w:r>
    </w:p>
    <w:p w14:paraId="4C3D548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）承包人应按监理人指示和批准的格式，编制工程质量报表，定期提交监理人。</w:t>
      </w:r>
    </w:p>
    <w:p w14:paraId="39C53C9E">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）工程发生质量事故时，承包人应约请监理人共同对工程质量事故进行检查，做好质量事故检查的同期记录和事故处理的自检报告。自检报告应提交监理人</w:t>
      </w:r>
    </w:p>
    <w:p w14:paraId="399F1371">
      <w:pPr>
        <w:pStyle w:val="5"/>
        <w:rPr>
          <w:rFonts w:hAnsi="Times New Roman" w:cs="宋体"/>
          <w:color w:val="auto"/>
          <w:highlight w:val="none"/>
          <w:lang w:eastAsia="zh-CN"/>
        </w:rPr>
      </w:pPr>
      <w:r>
        <w:rPr>
          <w:rFonts w:hAnsi="Times New Roman" w:cs="Times New Roman"/>
          <w:color w:val="auto"/>
          <w:highlight w:val="none"/>
          <w:lang w:eastAsia="zh-CN"/>
        </w:rPr>
        <w:t>1.8.2</w:t>
      </w:r>
      <w:r>
        <w:rPr>
          <w:rFonts w:hint="eastAsia" w:hAnsi="Times New Roman" w:cs="Times New Roman"/>
          <w:color w:val="auto"/>
          <w:highlight w:val="none"/>
          <w:lang w:eastAsia="zh-CN"/>
        </w:rPr>
        <w:t>　</w:t>
      </w:r>
      <w:r>
        <w:rPr>
          <w:rFonts w:hAnsi="楷体" w:cs="楷体"/>
          <w:color w:val="auto"/>
          <w:highlight w:val="none"/>
          <w:lang w:eastAsia="zh-CN"/>
        </w:rPr>
        <w:t>监理人的质量检查</w:t>
      </w:r>
    </w:p>
    <w:p w14:paraId="678F746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）监理人为检查工程和工程设备质量的需要，可要求承包人提交材料质量和设备出厂合格证、材料试验和设备检测成果、施工和安装记录等，承包人应及时予以提供。</w:t>
      </w:r>
    </w:p>
    <w:p w14:paraId="2266C9D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）监理人有权要求承包人按合同约定提供试验用的材料样品或在现场钻取试件，并使用承包人的测试设备进行试验检验；监理人还可要求承包人进行补充试验检验。</w:t>
      </w:r>
    </w:p>
    <w:p w14:paraId="3C7F42B7">
      <w:pPr>
        <w:pStyle w:val="4"/>
        <w:spacing w:beforeLines="0" w:afterLines="0"/>
        <w:rPr>
          <w:rFonts w:hint="eastAsia" w:cs="宋体"/>
          <w:bCs/>
          <w:color w:val="auto"/>
          <w:szCs w:val="24"/>
          <w:highlight w:val="none"/>
        </w:rPr>
      </w:pPr>
      <w:r>
        <w:rPr>
          <w:rFonts w:hint="eastAsia" w:cs="宋体"/>
          <w:bCs/>
          <w:color w:val="auto"/>
          <w:szCs w:val="24"/>
          <w:highlight w:val="none"/>
        </w:rPr>
        <w:t>1.9</w:t>
      </w:r>
      <w:r>
        <w:rPr>
          <w:rFonts w:hint="eastAsia" w:cs="宋体"/>
          <w:bCs/>
          <w:color w:val="auto"/>
          <w:szCs w:val="24"/>
          <w:highlight w:val="none"/>
          <w:lang w:eastAsia="zh-CN"/>
        </w:rPr>
        <w:t>　</w:t>
      </w:r>
      <w:r>
        <w:rPr>
          <w:rFonts w:hint="eastAsia" w:cs="宋体"/>
          <w:bCs/>
          <w:color w:val="auto"/>
          <w:szCs w:val="24"/>
          <w:highlight w:val="none"/>
        </w:rPr>
        <w:t>验收</w:t>
      </w:r>
    </w:p>
    <w:p w14:paraId="315072E3">
      <w:pPr>
        <w:pStyle w:val="5"/>
        <w:rPr>
          <w:rFonts w:hAnsi="Times New Roman" w:cs="楷体"/>
          <w:color w:val="auto"/>
          <w:highlight w:val="none"/>
          <w:lang w:eastAsia="zh-CN"/>
        </w:rPr>
      </w:pPr>
      <w:r>
        <w:rPr>
          <w:rFonts w:hAnsi="Times New Roman" w:cs="Times New Roman"/>
          <w:color w:val="auto"/>
          <w:highlight w:val="none"/>
          <w:lang w:eastAsia="zh-CN"/>
        </w:rPr>
        <w:t>1.9.1</w:t>
      </w:r>
      <w:r>
        <w:rPr>
          <w:rFonts w:hint="eastAsia" w:hAnsi="Times New Roman" w:cs="Times New Roman"/>
          <w:color w:val="auto"/>
          <w:highlight w:val="none"/>
          <w:lang w:eastAsia="zh-CN"/>
        </w:rPr>
        <w:t>　</w:t>
      </w:r>
      <w:r>
        <w:rPr>
          <w:rFonts w:hAnsi="楷体" w:cs="楷体"/>
          <w:color w:val="auto"/>
          <w:highlight w:val="none"/>
          <w:lang w:eastAsia="zh-CN"/>
        </w:rPr>
        <w:t>分部工程验收</w:t>
      </w:r>
    </w:p>
    <w:p w14:paraId="74D9B42D">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）分部工程验收应遵守《水利工程建设项目验收管理规定》（水利部令第</w:t>
      </w:r>
      <w:r>
        <w:rPr>
          <w:rFonts w:hAnsi="Times New Roman" w:cs="Times New Roman"/>
          <w:color w:val="auto"/>
          <w:highlight w:val="none"/>
          <w:lang w:eastAsia="zh-CN"/>
        </w:rPr>
        <w:t>30</w:t>
      </w:r>
      <w:r>
        <w:rPr>
          <w:rFonts w:cs="宋体"/>
          <w:color w:val="auto"/>
          <w:highlight w:val="none"/>
          <w:lang w:eastAsia="zh-CN"/>
        </w:rPr>
        <w:t>号）和《水利水电建设工程验收规程》（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）的规定。</w:t>
      </w:r>
    </w:p>
    <w:p w14:paraId="5F242CA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分部工程验收应根据合同约定由发包人或发包人委托监理人主持。验收工作组由发包人以及合同工程有关的勘测、设计、监理、施工、主要设备（供应）商等单位代表组成，可根据情况邀请运行管理单位人员参加。验收工作组成员应具有相应的专业知识或执业资格。参加分部工程验收的每个单位代表人数不宜超过</w:t>
      </w:r>
      <w:r>
        <w:rPr>
          <w:rFonts w:hAnsi="Times New Roman" w:cs="Times New Roman"/>
          <w:color w:val="auto"/>
          <w:highlight w:val="none"/>
          <w:lang w:eastAsia="zh-CN"/>
        </w:rPr>
        <w:t>2</w:t>
      </w:r>
      <w:r>
        <w:rPr>
          <w:rFonts w:cs="宋体"/>
          <w:color w:val="auto"/>
          <w:highlight w:val="none"/>
          <w:lang w:eastAsia="zh-CN"/>
        </w:rPr>
        <w:t>名。</w:t>
      </w:r>
    </w:p>
    <w:p w14:paraId="57D53F4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）分部工程验收应具备的条件、验收主要内容和验收程序分别按《水利水电建设工程验收规程》（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）第</w:t>
      </w:r>
      <w:r>
        <w:rPr>
          <w:rFonts w:hAnsi="Times New Roman" w:cs="Times New Roman"/>
          <w:color w:val="auto"/>
          <w:highlight w:val="none"/>
          <w:lang w:eastAsia="zh-CN"/>
        </w:rPr>
        <w:t>3</w:t>
      </w:r>
      <w:r>
        <w:rPr>
          <w:rFonts w:cs="宋体"/>
          <w:color w:val="auto"/>
          <w:highlight w:val="none"/>
          <w:lang w:eastAsia="zh-CN"/>
        </w:rPr>
        <w:t>章</w:t>
      </w:r>
      <w:r>
        <w:rPr>
          <w:rFonts w:hAnsi="Times New Roman" w:cs="Times New Roman"/>
          <w:color w:val="auto"/>
          <w:highlight w:val="none"/>
          <w:lang w:eastAsia="zh-CN"/>
        </w:rPr>
        <w:t>3.0.4</w:t>
      </w:r>
      <w:r>
        <w:rPr>
          <w:rFonts w:cs="宋体"/>
          <w:color w:val="auto"/>
          <w:highlight w:val="none"/>
          <w:lang w:eastAsia="zh-CN"/>
        </w:rPr>
        <w:t>条、</w:t>
      </w:r>
      <w:r>
        <w:rPr>
          <w:rFonts w:hAnsi="Times New Roman" w:cs="Times New Roman"/>
          <w:color w:val="auto"/>
          <w:highlight w:val="none"/>
          <w:lang w:eastAsia="zh-CN"/>
        </w:rPr>
        <w:t>3.0.5</w:t>
      </w:r>
      <w:r>
        <w:rPr>
          <w:rFonts w:cs="宋体"/>
          <w:color w:val="auto"/>
          <w:highlight w:val="none"/>
          <w:lang w:eastAsia="zh-CN"/>
        </w:rPr>
        <w:t>条和</w:t>
      </w:r>
      <w:r>
        <w:rPr>
          <w:rFonts w:hAnsi="Times New Roman" w:cs="Times New Roman"/>
          <w:color w:val="auto"/>
          <w:highlight w:val="none"/>
          <w:lang w:eastAsia="zh-CN"/>
        </w:rPr>
        <w:t>3.0.6</w:t>
      </w:r>
      <w:r>
        <w:rPr>
          <w:rFonts w:cs="宋体"/>
          <w:color w:val="auto"/>
          <w:highlight w:val="none"/>
          <w:lang w:eastAsia="zh-CN"/>
        </w:rPr>
        <w:t>条要求进行。</w:t>
      </w:r>
    </w:p>
    <w:p w14:paraId="13E2F77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）发包人应在分部工程验收通过之日起</w:t>
      </w:r>
      <w:r>
        <w:rPr>
          <w:rFonts w:hAnsi="Times New Roman" w:cs="Times New Roman"/>
          <w:color w:val="auto"/>
          <w:highlight w:val="none"/>
          <w:lang w:eastAsia="zh-CN"/>
        </w:rPr>
        <w:t>10</w:t>
      </w:r>
      <w:r>
        <w:rPr>
          <w:rFonts w:cs="宋体"/>
          <w:color w:val="auto"/>
          <w:highlight w:val="none"/>
          <w:lang w:eastAsia="zh-CN"/>
        </w:rPr>
        <w:t>个工作日内，将验收质量结论和相关资料报质量监督机构备案。</w:t>
      </w:r>
    </w:p>
    <w:p w14:paraId="06A65300">
      <w:pPr>
        <w:pStyle w:val="5"/>
        <w:rPr>
          <w:rFonts w:hAnsi="Times New Roman" w:cs="楷体"/>
          <w:color w:val="auto"/>
          <w:highlight w:val="none"/>
          <w:lang w:eastAsia="zh-CN"/>
        </w:rPr>
      </w:pPr>
      <w:r>
        <w:rPr>
          <w:rFonts w:hAnsi="Times New Roman" w:cs="Times New Roman"/>
          <w:color w:val="auto"/>
          <w:highlight w:val="none"/>
          <w:lang w:eastAsia="zh-CN"/>
        </w:rPr>
        <w:t>1.9.2</w:t>
      </w:r>
      <w:r>
        <w:rPr>
          <w:rFonts w:hint="eastAsia" w:hAnsi="Times New Roman" w:cs="Times New Roman"/>
          <w:color w:val="auto"/>
          <w:highlight w:val="none"/>
          <w:lang w:eastAsia="zh-CN"/>
        </w:rPr>
        <w:t>　</w:t>
      </w:r>
      <w:r>
        <w:rPr>
          <w:rFonts w:hAnsi="楷体" w:cs="楷体"/>
          <w:color w:val="auto"/>
          <w:highlight w:val="none"/>
          <w:lang w:eastAsia="zh-CN"/>
        </w:rPr>
        <w:t>单位工程验收</w:t>
      </w:r>
    </w:p>
    <w:p w14:paraId="1FA8C631">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）单位工程验收应遵守《水利工程建设项目验收管理规定》（水利部令第</w:t>
      </w:r>
      <w:r>
        <w:rPr>
          <w:rFonts w:hAnsi="Times New Roman" w:cs="Times New Roman"/>
          <w:color w:val="auto"/>
          <w:highlight w:val="none"/>
          <w:lang w:eastAsia="zh-CN"/>
        </w:rPr>
        <w:t>30</w:t>
      </w:r>
      <w:r>
        <w:rPr>
          <w:rFonts w:cs="宋体"/>
          <w:color w:val="auto"/>
          <w:highlight w:val="none"/>
          <w:lang w:eastAsia="zh-CN"/>
        </w:rPr>
        <w:t>号）和《水利水电建设工程验收规程》（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）的规定。</w:t>
      </w:r>
    </w:p>
    <w:p w14:paraId="67166E3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单位工程验收应由发包人主持。验收工作组由发包人以及合同工程有关的勘测、设计、监理、施工、主要设备（供应）商、运行管理等单位代表组成，必要时，可邀请上述单位以外的相关专家参加。验收工作组成员应具有中级及以上技术职称或相应执业资格，每个单位代表人数不宜超过</w:t>
      </w:r>
      <w:r>
        <w:rPr>
          <w:rFonts w:hAnsi="Times New Roman" w:cs="Times New Roman"/>
          <w:color w:val="auto"/>
          <w:highlight w:val="none"/>
          <w:lang w:eastAsia="zh-CN"/>
        </w:rPr>
        <w:t>3</w:t>
      </w:r>
      <w:r>
        <w:rPr>
          <w:rFonts w:cs="宋体"/>
          <w:color w:val="auto"/>
          <w:highlight w:val="none"/>
          <w:lang w:eastAsia="zh-CN"/>
        </w:rPr>
        <w:t>名。</w:t>
      </w:r>
    </w:p>
    <w:p w14:paraId="706BAF2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）单位工程完工并具备验收条件时，施工单位应向发包人提出验收申请报告，发包人应在收到验收申请报告之日起</w:t>
      </w:r>
      <w:r>
        <w:rPr>
          <w:rFonts w:hAnsi="Times New Roman" w:cs="Times New Roman"/>
          <w:color w:val="auto"/>
          <w:highlight w:val="none"/>
          <w:lang w:eastAsia="zh-CN"/>
        </w:rPr>
        <w:t>10</w:t>
      </w:r>
      <w:r>
        <w:rPr>
          <w:rFonts w:cs="宋体"/>
          <w:color w:val="auto"/>
          <w:highlight w:val="none"/>
          <w:lang w:eastAsia="zh-CN"/>
        </w:rPr>
        <w:t>个工作日内决定是否同意验收。</w:t>
      </w:r>
    </w:p>
    <w:p w14:paraId="36682D2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）单位工程验收应具备的条件、验收主要内容和验收程序分别按《水利水电建设工程验收规程》（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）第</w:t>
      </w:r>
      <w:r>
        <w:rPr>
          <w:rFonts w:hAnsi="Times New Roman" w:cs="Times New Roman"/>
          <w:color w:val="auto"/>
          <w:highlight w:val="none"/>
          <w:lang w:eastAsia="zh-CN"/>
        </w:rPr>
        <w:t>4</w:t>
      </w:r>
      <w:r>
        <w:rPr>
          <w:rFonts w:cs="宋体"/>
          <w:color w:val="auto"/>
          <w:highlight w:val="none"/>
          <w:lang w:eastAsia="zh-CN"/>
        </w:rPr>
        <w:t>章</w:t>
      </w:r>
      <w:r>
        <w:rPr>
          <w:rFonts w:hAnsi="Times New Roman" w:cs="Times New Roman"/>
          <w:color w:val="auto"/>
          <w:highlight w:val="none"/>
          <w:lang w:eastAsia="zh-CN"/>
        </w:rPr>
        <w:t>4.0.5</w:t>
      </w:r>
      <w:r>
        <w:rPr>
          <w:rFonts w:cs="宋体"/>
          <w:color w:val="auto"/>
          <w:highlight w:val="none"/>
          <w:lang w:eastAsia="zh-CN"/>
        </w:rPr>
        <w:t>条、</w:t>
      </w:r>
      <w:r>
        <w:rPr>
          <w:rFonts w:hAnsi="Times New Roman" w:cs="Times New Roman"/>
          <w:color w:val="auto"/>
          <w:highlight w:val="none"/>
          <w:lang w:eastAsia="zh-CN"/>
        </w:rPr>
        <w:t>4.0.6</w:t>
      </w:r>
      <w:r>
        <w:rPr>
          <w:rFonts w:cs="宋体"/>
          <w:color w:val="auto"/>
          <w:highlight w:val="none"/>
          <w:lang w:eastAsia="zh-CN"/>
        </w:rPr>
        <w:t>条和</w:t>
      </w:r>
      <w:r>
        <w:rPr>
          <w:rFonts w:hAnsi="Times New Roman" w:cs="Times New Roman"/>
          <w:color w:val="auto"/>
          <w:highlight w:val="none"/>
          <w:lang w:eastAsia="zh-CN"/>
        </w:rPr>
        <w:t>4.0.7</w:t>
      </w:r>
      <w:r>
        <w:rPr>
          <w:rFonts w:cs="宋体"/>
          <w:color w:val="auto"/>
          <w:highlight w:val="none"/>
          <w:lang w:eastAsia="zh-CN"/>
        </w:rPr>
        <w:t>条要求进行。</w:t>
      </w:r>
    </w:p>
    <w:p w14:paraId="7C35D6E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需提前投入使用的单位工程应进行单位工程投入使用验收。单位工程投入使用验收应由发包人主持，根据工程具体情况，经竣工验收主持单位同意，单位工程投入使用验收也可由竣工验收主持单位或其委托的单位主持。</w:t>
      </w:r>
    </w:p>
    <w:p w14:paraId="5E69DBF9">
      <w:pPr>
        <w:pStyle w:val="5"/>
        <w:rPr>
          <w:rFonts w:hAnsi="Times New Roman" w:cs="楷体"/>
          <w:color w:val="auto"/>
          <w:highlight w:val="none"/>
          <w:lang w:eastAsia="zh-CN"/>
        </w:rPr>
      </w:pPr>
      <w:r>
        <w:rPr>
          <w:rFonts w:hAnsi="Times New Roman" w:cs="Times New Roman"/>
          <w:color w:val="auto"/>
          <w:highlight w:val="none"/>
          <w:lang w:eastAsia="zh-CN"/>
        </w:rPr>
        <w:t>1.9.3</w:t>
      </w:r>
      <w:r>
        <w:rPr>
          <w:rFonts w:hint="eastAsia" w:hAnsi="Times New Roman" w:cs="Times New Roman"/>
          <w:color w:val="auto"/>
          <w:highlight w:val="none"/>
          <w:lang w:eastAsia="zh-CN"/>
        </w:rPr>
        <w:t>　</w:t>
      </w:r>
      <w:r>
        <w:rPr>
          <w:rFonts w:hAnsi="楷体" w:cs="楷体"/>
          <w:color w:val="auto"/>
          <w:highlight w:val="none"/>
          <w:lang w:eastAsia="zh-CN"/>
        </w:rPr>
        <w:t>合同工程完工验收</w:t>
      </w:r>
    </w:p>
    <w:p w14:paraId="7EDBF0C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）合同工程完工验收应遵守《水利工程建设项目验收管理规定》（水利部令第</w:t>
      </w:r>
      <w:r>
        <w:rPr>
          <w:rFonts w:hAnsi="Times New Roman" w:cs="Times New Roman"/>
          <w:color w:val="auto"/>
          <w:highlight w:val="none"/>
          <w:lang w:eastAsia="zh-CN"/>
        </w:rPr>
        <w:t>30</w:t>
      </w:r>
      <w:r>
        <w:rPr>
          <w:rFonts w:cs="宋体"/>
          <w:color w:val="auto"/>
          <w:highlight w:val="none"/>
          <w:lang w:eastAsia="zh-CN"/>
        </w:rPr>
        <w:t>号）和《水利水电建设工程验收规程》（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）的规定。</w:t>
      </w:r>
    </w:p>
    <w:p w14:paraId="6437173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）施工合同约定的建设内容全部完成后，应进行合同工程完工验收。当合同工程仅包含一个单位工程（分部工程）时，宜将单位工程（分部工程）验收与合同完工验收一并进行，但应同时满足相应的验收条件。</w:t>
      </w:r>
    </w:p>
    <w:p w14:paraId="40236BF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）合同工程完工验收由发包人主持。验收工作组由发包人以及合同工程有关的勘测、设计、监理、施工、主要设备（供应）商等单位代表组成。</w:t>
      </w:r>
    </w:p>
    <w:p w14:paraId="28CE69E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）合同工程具备验收条件时，施工单位应向发包人提出验收申请报告，发包人应在收到验收申请报告之日起</w:t>
      </w:r>
      <w:r>
        <w:rPr>
          <w:rFonts w:hAnsi="Times New Roman" w:cs="Times New Roman"/>
          <w:color w:val="auto"/>
          <w:highlight w:val="none"/>
          <w:lang w:eastAsia="zh-CN"/>
        </w:rPr>
        <w:t>20</w:t>
      </w:r>
      <w:r>
        <w:rPr>
          <w:rFonts w:cs="宋体"/>
          <w:color w:val="auto"/>
          <w:highlight w:val="none"/>
          <w:lang w:eastAsia="zh-CN"/>
        </w:rPr>
        <w:t>个工作日内决定是否同意进行验收。</w:t>
      </w:r>
    </w:p>
    <w:p w14:paraId="2D55B8F0">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）合同工程完工验收应具备的条件按《水利水电建设工程验收规程》（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）第</w:t>
      </w:r>
      <w:r>
        <w:rPr>
          <w:rFonts w:hAnsi="Times New Roman" w:cs="Times New Roman"/>
          <w:color w:val="auto"/>
          <w:highlight w:val="none"/>
          <w:lang w:eastAsia="zh-CN"/>
        </w:rPr>
        <w:t>5</w:t>
      </w:r>
      <w:r>
        <w:rPr>
          <w:rFonts w:cs="宋体"/>
          <w:color w:val="auto"/>
          <w:highlight w:val="none"/>
          <w:lang w:eastAsia="zh-CN"/>
        </w:rPr>
        <w:t>章</w:t>
      </w:r>
      <w:r>
        <w:rPr>
          <w:rFonts w:hAnsi="Times New Roman" w:cs="Times New Roman"/>
          <w:color w:val="auto"/>
          <w:highlight w:val="none"/>
          <w:lang w:eastAsia="zh-CN"/>
        </w:rPr>
        <w:t>5.0.4</w:t>
      </w:r>
      <w:r>
        <w:rPr>
          <w:rFonts w:cs="宋体"/>
          <w:color w:val="auto"/>
          <w:highlight w:val="none"/>
          <w:lang w:eastAsia="zh-CN"/>
        </w:rPr>
        <w:t>条要求进行。</w:t>
      </w:r>
    </w:p>
    <w:p w14:paraId="42916FEA">
      <w:pPr>
        <w:pStyle w:val="5"/>
        <w:rPr>
          <w:rFonts w:hAnsi="Times New Roman" w:cs="楷体"/>
          <w:color w:val="auto"/>
          <w:highlight w:val="none"/>
          <w:lang w:eastAsia="zh-CN"/>
        </w:rPr>
      </w:pPr>
      <w:r>
        <w:rPr>
          <w:rFonts w:hAnsi="Times New Roman" w:cs="Times New Roman"/>
          <w:color w:val="auto"/>
          <w:highlight w:val="none"/>
          <w:lang w:eastAsia="zh-CN"/>
        </w:rPr>
        <w:t>1.9.4</w:t>
      </w:r>
      <w:r>
        <w:rPr>
          <w:rFonts w:hint="eastAsia" w:hAnsi="Times New Roman" w:cs="Times New Roman"/>
          <w:color w:val="auto"/>
          <w:highlight w:val="none"/>
          <w:lang w:eastAsia="zh-CN"/>
        </w:rPr>
        <w:t>　</w:t>
      </w:r>
      <w:r>
        <w:rPr>
          <w:rFonts w:hAnsi="楷体" w:cs="楷体"/>
          <w:color w:val="auto"/>
          <w:highlight w:val="none"/>
          <w:lang w:eastAsia="zh-CN"/>
        </w:rPr>
        <w:t>阶段验收</w:t>
      </w:r>
    </w:p>
    <w:p w14:paraId="328AFD7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）阶段验收应遵守《水利工程建设项目验收管理规定》（水利部令第</w:t>
      </w:r>
      <w:r>
        <w:rPr>
          <w:rFonts w:hAnsi="Times New Roman" w:cs="Times New Roman"/>
          <w:color w:val="auto"/>
          <w:highlight w:val="none"/>
          <w:lang w:eastAsia="zh-CN"/>
        </w:rPr>
        <w:t>30</w:t>
      </w:r>
      <w:r>
        <w:rPr>
          <w:rFonts w:cs="宋体"/>
          <w:color w:val="auto"/>
          <w:highlight w:val="none"/>
          <w:lang w:eastAsia="zh-CN"/>
        </w:rPr>
        <w:t>号）和《水利水电建设工程验收规程》（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）的规定。</w:t>
      </w:r>
    </w:p>
    <w:p w14:paraId="291588D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）根据国家对工程施工过程的安全管理需要，水利工程应进行以下项目的阶段验收：</w:t>
      </w:r>
    </w:p>
    <w:p w14:paraId="38BDD76F">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）枢纽工程导（截）流验收。</w:t>
      </w:r>
    </w:p>
    <w:p w14:paraId="551A6D61">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）水库下闸蓄水验收。</w:t>
      </w:r>
    </w:p>
    <w:p w14:paraId="28B31D22">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）引（调）排水工程的通水验收。</w:t>
      </w:r>
    </w:p>
    <w:p w14:paraId="118B9CCE">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）水电站（泵站）机组启动验收。</w:t>
      </w:r>
    </w:p>
    <w:p w14:paraId="6A826655">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）部分工程投入使用验收。</w:t>
      </w:r>
    </w:p>
    <w:p w14:paraId="38EE9D8C">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）工程建设需要增加的其它验收。</w:t>
      </w:r>
    </w:p>
    <w:p w14:paraId="2EB38CD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）阶段验收应由竣工验收主持单位或其委托的单位主持。阶段验收委员会应由验收主持单位、质量和安全监督机构、运行管理单位的代表和有关专家组成；必要时，可邀请地方人民政府以及有关部门参加。</w:t>
      </w:r>
    </w:p>
    <w:p w14:paraId="1C1081F6">
      <w:pPr>
        <w:pStyle w:val="5"/>
        <w:rPr>
          <w:rFonts w:hAnsi="Times New Roman" w:cs="楷体"/>
          <w:color w:val="auto"/>
          <w:highlight w:val="none"/>
          <w:lang w:eastAsia="zh-CN"/>
        </w:rPr>
      </w:pPr>
      <w:r>
        <w:rPr>
          <w:rFonts w:hAnsi="Times New Roman" w:cs="Times New Roman"/>
          <w:color w:val="auto"/>
          <w:highlight w:val="none"/>
          <w:lang w:eastAsia="zh-CN"/>
        </w:rPr>
        <w:t>1.9.5</w:t>
      </w:r>
      <w:r>
        <w:rPr>
          <w:rFonts w:hint="eastAsia" w:hAnsi="Times New Roman" w:cs="Times New Roman"/>
          <w:color w:val="auto"/>
          <w:highlight w:val="none"/>
          <w:lang w:eastAsia="zh-CN"/>
        </w:rPr>
        <w:t>　</w:t>
      </w:r>
      <w:r>
        <w:rPr>
          <w:rFonts w:hAnsi="楷体" w:cs="楷体"/>
          <w:color w:val="auto"/>
          <w:highlight w:val="none"/>
          <w:lang w:eastAsia="zh-CN"/>
        </w:rPr>
        <w:t>专项验收</w:t>
      </w:r>
    </w:p>
    <w:p w14:paraId="7DC9D0C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）工程竣工验收前，应按有关规定进行专项验收。专项验收主持单位应按国家和有关行业的有关规定确定。</w:t>
      </w:r>
    </w:p>
    <w:p w14:paraId="1506111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）专项验收是指与国家和地方有关的对外永久交通、移民安置、环境保护、</w:t>
      </w:r>
    </w:p>
    <w:p w14:paraId="133D5607">
      <w:pPr>
        <w:ind w:firstLine="420"/>
        <w:jc w:val="left"/>
        <w:rPr>
          <w:rFonts w:hAnsi="Times New Roman" w:cs="宋体"/>
          <w:color w:val="auto"/>
          <w:highlight w:val="none"/>
          <w:lang w:eastAsia="zh-CN"/>
        </w:rPr>
      </w:pPr>
      <w:r>
        <w:rPr>
          <w:rFonts w:cs="宋体"/>
          <w:color w:val="auto"/>
          <w:highlight w:val="none"/>
          <w:lang w:eastAsia="zh-CN"/>
        </w:rPr>
        <w:t>水土</w:t>
      </w:r>
      <w:r>
        <w:rPr>
          <w:rFonts w:hint="eastAsia" w:cs="宋体"/>
          <w:color w:val="auto"/>
          <w:highlight w:val="none"/>
          <w:lang w:val="en-US" w:eastAsia="zh-CN"/>
        </w:rPr>
        <w:t>保持</w:t>
      </w:r>
      <w:r>
        <w:rPr>
          <w:rFonts w:cs="宋体"/>
          <w:color w:val="auto"/>
          <w:highlight w:val="none"/>
          <w:lang w:eastAsia="zh-CN"/>
        </w:rPr>
        <w:t>及通航等的专项工程验收。</w:t>
      </w:r>
    </w:p>
    <w:p w14:paraId="05538A6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）项目法人应按国家和相关行业主管部门的规定，向有关部门提出专项验收申请报告，并做好准备和配合工作。</w:t>
      </w:r>
    </w:p>
    <w:p w14:paraId="18B25C5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）专项验收成果性文件应是工程竣工验收成果性文件的组成部分，其工程竣工验收资料的整编内容可参照本章第</w:t>
      </w:r>
      <w:r>
        <w:rPr>
          <w:rFonts w:hAnsi="Times New Roman" w:cs="Times New Roman"/>
          <w:color w:val="auto"/>
          <w:highlight w:val="none"/>
          <w:lang w:eastAsia="zh-CN"/>
        </w:rPr>
        <w:t>1.9.6</w:t>
      </w:r>
      <w:r>
        <w:rPr>
          <w:rFonts w:cs="宋体"/>
          <w:color w:val="auto"/>
          <w:highlight w:val="none"/>
          <w:lang w:eastAsia="zh-CN"/>
        </w:rPr>
        <w:t>项的要求进行。</w:t>
      </w:r>
    </w:p>
    <w:p w14:paraId="20B42418">
      <w:pPr>
        <w:pStyle w:val="5"/>
        <w:rPr>
          <w:rFonts w:hAnsi="Times New Roman" w:cs="楷体"/>
          <w:color w:val="auto"/>
          <w:highlight w:val="none"/>
          <w:lang w:eastAsia="zh-CN"/>
        </w:rPr>
      </w:pPr>
      <w:r>
        <w:rPr>
          <w:rFonts w:hAnsi="Times New Roman" w:cs="Times New Roman"/>
          <w:color w:val="auto"/>
          <w:highlight w:val="none"/>
          <w:lang w:eastAsia="zh-CN"/>
        </w:rPr>
        <w:t>1.9.6</w:t>
      </w:r>
      <w:r>
        <w:rPr>
          <w:rFonts w:hint="eastAsia" w:hAnsi="Times New Roman" w:cs="Times New Roman"/>
          <w:color w:val="auto"/>
          <w:highlight w:val="none"/>
          <w:lang w:eastAsia="zh-CN"/>
        </w:rPr>
        <w:t>　</w:t>
      </w:r>
      <w:r>
        <w:rPr>
          <w:rFonts w:hAnsi="楷体" w:cs="楷体"/>
          <w:color w:val="auto"/>
          <w:highlight w:val="none"/>
          <w:lang w:eastAsia="zh-CN"/>
        </w:rPr>
        <w:t>工程竣工验收</w:t>
      </w:r>
    </w:p>
    <w:p w14:paraId="50B3235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）工程竣工验收应遵守《水利工程建设项目验收管理规定》（水利部令第</w:t>
      </w:r>
      <w:r>
        <w:rPr>
          <w:rFonts w:hAnsi="Times New Roman" w:cs="Times New Roman"/>
          <w:color w:val="auto"/>
          <w:highlight w:val="none"/>
          <w:lang w:eastAsia="zh-CN"/>
        </w:rPr>
        <w:t>30</w:t>
      </w:r>
      <w:r>
        <w:rPr>
          <w:rFonts w:cs="宋体"/>
          <w:color w:val="auto"/>
          <w:highlight w:val="none"/>
          <w:lang w:eastAsia="zh-CN"/>
        </w:rPr>
        <w:t>号）和《水利水电建设工程验收规程》（</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223-2008</w:t>
      </w:r>
      <w:r>
        <w:rPr>
          <w:rFonts w:cs="宋体"/>
          <w:color w:val="auto"/>
          <w:highlight w:val="none"/>
          <w:lang w:eastAsia="zh-CN"/>
        </w:rPr>
        <w:t>）的规定。</w:t>
      </w:r>
    </w:p>
    <w:p w14:paraId="697033D8">
      <w:pPr>
        <w:ind w:firstLine="420"/>
        <w:jc w:val="left"/>
        <w:rPr>
          <w:rFonts w:hAnsi="Times New Roman" w:cs="宋体"/>
          <w:color w:val="auto"/>
          <w:highlight w:val="none"/>
          <w:lang w:eastAsia="zh-CN"/>
        </w:rPr>
      </w:pPr>
      <w:r>
        <w:rPr>
          <w:rFonts w:cs="宋体"/>
          <w:color w:val="auto"/>
          <w:highlight w:val="none"/>
          <w:lang w:eastAsia="zh-CN"/>
        </w:rPr>
        <w:t>（2）工程竣工验收前，承包人应积极配合发包人整编以下竣工验收资料提交发包人，其内容包括（但不限于）：</w:t>
      </w:r>
    </w:p>
    <w:p w14:paraId="052E537F">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）验收工程的各项施工材料的试验检验成果。</w:t>
      </w:r>
    </w:p>
    <w:p w14:paraId="1E28FD7F">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）监理人对验收工程及其工程设备的质量检查记录。</w:t>
      </w:r>
    </w:p>
    <w:p w14:paraId="5CCE52F2">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）施工过程中，本项工程及其工程设备的变更文件及资料。</w:t>
      </w:r>
    </w:p>
    <w:p w14:paraId="12F28AAD">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）质量事故记录以及工程及其工程设备的缺陷处理报告。</w:t>
      </w:r>
    </w:p>
    <w:p w14:paraId="10EF42B1">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）施工过程中，对验收工程质量的专题评定报告。</w:t>
      </w:r>
    </w:p>
    <w:p w14:paraId="01AC9EC2">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）质量监督机构签认的质量鉴定报告和有关文件。</w:t>
      </w:r>
    </w:p>
    <w:p w14:paraId="56694491">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）验收工程施工期的安全监测成果，以及工程设备的试运行检测成果。</w:t>
      </w:r>
    </w:p>
    <w:p w14:paraId="1C3499C4">
      <w:pPr>
        <w:ind w:firstLine="420"/>
        <w:jc w:val="left"/>
        <w:rPr>
          <w:rFonts w:hAnsi="Times New Roman" w:cs="宋体"/>
          <w:color w:val="auto"/>
          <w:highlight w:val="none"/>
          <w:lang w:eastAsia="zh-CN"/>
        </w:rPr>
      </w:pPr>
      <w:r>
        <w:rPr>
          <w:rFonts w:hAnsi="Times New Roman" w:cs="Times New Roman"/>
          <w:color w:val="auto"/>
          <w:highlight w:val="none"/>
          <w:lang w:eastAsia="zh-CN"/>
        </w:rPr>
        <w:t>8</w:t>
      </w:r>
      <w:r>
        <w:rPr>
          <w:rFonts w:cs="宋体"/>
          <w:color w:val="auto"/>
          <w:highlight w:val="none"/>
          <w:lang w:eastAsia="zh-CN"/>
        </w:rPr>
        <w:t>）监理人指示提交的其它竣工验收资料。</w:t>
      </w:r>
    </w:p>
    <w:p w14:paraId="403D20DC">
      <w:pPr>
        <w:ind w:firstLine="420"/>
        <w:jc w:val="left"/>
        <w:rPr>
          <w:rFonts w:hAnsi="Times New Roman" w:cs="宋体"/>
          <w:color w:val="auto"/>
          <w:highlight w:val="none"/>
          <w:lang w:eastAsia="zh-CN"/>
        </w:rPr>
      </w:pPr>
      <w:r>
        <w:rPr>
          <w:rFonts w:cs="宋体"/>
          <w:color w:val="auto"/>
          <w:highlight w:val="none"/>
          <w:lang w:eastAsia="zh-CN"/>
        </w:rPr>
        <w:t>（3）工程竣工验收应在工程建设项目全部完成，各单位工程、分部工程和单项工程的验收全部合格，并已满足一定运行条件后</w:t>
      </w:r>
      <w:r>
        <w:rPr>
          <w:rFonts w:hAnsi="Times New Roman" w:cs="Times New Roman"/>
          <w:color w:val="auto"/>
          <w:highlight w:val="none"/>
          <w:lang w:eastAsia="zh-CN"/>
        </w:rPr>
        <w:t>1</w:t>
      </w:r>
      <w:r>
        <w:rPr>
          <w:rFonts w:cs="宋体"/>
          <w:color w:val="auto"/>
          <w:highlight w:val="none"/>
          <w:lang w:eastAsia="zh-CN"/>
        </w:rPr>
        <w:t>年内进行。</w:t>
      </w:r>
    </w:p>
    <w:p w14:paraId="0E824191">
      <w:pPr>
        <w:ind w:firstLine="420"/>
        <w:jc w:val="left"/>
        <w:rPr>
          <w:rFonts w:hAnsi="Times New Roman" w:cs="宋体"/>
          <w:color w:val="auto"/>
          <w:highlight w:val="none"/>
          <w:lang w:eastAsia="zh-CN"/>
        </w:rPr>
      </w:pPr>
      <w:r>
        <w:rPr>
          <w:rFonts w:cs="宋体"/>
          <w:color w:val="auto"/>
          <w:highlight w:val="none"/>
          <w:lang w:eastAsia="zh-CN"/>
        </w:rPr>
        <w:t>（4）工程竣工验收应由发包人向国家主管部门提出工程竣工验收申请，并经国家主管部门批准后，由国家主管部门主持、发包人组织进行。</w:t>
      </w:r>
    </w:p>
    <w:p w14:paraId="37E46DC4">
      <w:pPr>
        <w:pStyle w:val="4"/>
        <w:spacing w:beforeLines="0" w:afterLines="0"/>
        <w:rPr>
          <w:rFonts w:hint="eastAsia" w:cs="宋体"/>
          <w:bCs/>
          <w:color w:val="auto"/>
          <w:szCs w:val="24"/>
          <w:highlight w:val="none"/>
        </w:rPr>
      </w:pPr>
      <w:r>
        <w:rPr>
          <w:rFonts w:hint="eastAsia" w:cs="宋体"/>
          <w:bCs/>
          <w:color w:val="auto"/>
          <w:szCs w:val="24"/>
          <w:highlight w:val="none"/>
        </w:rPr>
        <w:t>1.10</w:t>
      </w:r>
      <w:r>
        <w:rPr>
          <w:rFonts w:hint="eastAsia" w:cs="宋体"/>
          <w:bCs/>
          <w:color w:val="auto"/>
          <w:szCs w:val="24"/>
          <w:highlight w:val="none"/>
          <w:lang w:eastAsia="zh-CN"/>
        </w:rPr>
        <w:t>　</w:t>
      </w:r>
      <w:r>
        <w:rPr>
          <w:rFonts w:hint="eastAsia" w:cs="宋体"/>
          <w:bCs/>
          <w:color w:val="auto"/>
          <w:szCs w:val="24"/>
          <w:highlight w:val="none"/>
        </w:rPr>
        <w:t>工程量计算</w:t>
      </w:r>
    </w:p>
    <w:p w14:paraId="5B0CE765">
      <w:pPr>
        <w:pStyle w:val="5"/>
        <w:rPr>
          <w:rFonts w:hAnsi="Times New Roman" w:cs="楷体"/>
          <w:color w:val="auto"/>
          <w:highlight w:val="none"/>
          <w:lang w:eastAsia="zh-CN"/>
        </w:rPr>
      </w:pPr>
      <w:r>
        <w:rPr>
          <w:rFonts w:hAnsi="Times New Roman" w:cs="Times New Roman"/>
          <w:color w:val="auto"/>
          <w:highlight w:val="none"/>
          <w:lang w:eastAsia="zh-CN"/>
        </w:rPr>
        <w:t>1.10.1</w:t>
      </w:r>
      <w:r>
        <w:rPr>
          <w:rFonts w:hint="eastAsia" w:hAnsi="Times New Roman" w:cs="Times New Roman"/>
          <w:color w:val="auto"/>
          <w:highlight w:val="none"/>
          <w:lang w:eastAsia="zh-CN"/>
        </w:rPr>
        <w:t>　</w:t>
      </w:r>
      <w:r>
        <w:rPr>
          <w:rFonts w:hAnsi="楷体" w:cs="楷体"/>
          <w:color w:val="auto"/>
          <w:highlight w:val="none"/>
          <w:lang w:eastAsia="zh-CN"/>
        </w:rPr>
        <w:t>说明</w:t>
      </w:r>
    </w:p>
    <w:p w14:paraId="2E5B85D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）本合同工程项目应按本合同通用和专用合同条款第</w:t>
      </w:r>
      <w:r>
        <w:rPr>
          <w:rFonts w:hAnsi="Times New Roman" w:cs="Times New Roman"/>
          <w:color w:val="auto"/>
          <w:highlight w:val="none"/>
          <w:lang w:eastAsia="zh-CN"/>
        </w:rPr>
        <w:t>17</w:t>
      </w:r>
      <w:r>
        <w:rPr>
          <w:rFonts w:cs="宋体"/>
          <w:color w:val="auto"/>
          <w:highlight w:val="none"/>
          <w:lang w:eastAsia="zh-CN"/>
        </w:rPr>
        <w:t>条的约定进行计量。计量方法应符合本技术条款各章的有关规定。</w:t>
      </w:r>
    </w:p>
    <w:p w14:paraId="6BC3972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）承包人应保证自供的一切计量设备和用具符合国家度量衡标准的精度要求。</w:t>
      </w:r>
    </w:p>
    <w:p w14:paraId="791912E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）除合同另有约定外，凡超出施工图纸所示和合同技术条款规定的有效工程量以外的超挖、超填工程量，施工附加量，加工、运输损耗量等均不予计量。</w:t>
      </w:r>
    </w:p>
    <w:p w14:paraId="57FC120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根据合同完成的有效工程量，由承包人按施工图纸计算，或采用标准的计量设备进行称量，并经监理人签认后，列入承包人的每月完成工程量报表。当分次结算累计工程量与按完成施工图纸所示及合同文件规定计算的有效工程量不一致时，以按完成施工图纸所示及合同文件规定计算的有效工程量为准。</w:t>
      </w:r>
    </w:p>
    <w:p w14:paraId="14DF7EE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）分次结算工程量的测量工作，应在监理人在场的情况下，由承包人负责。必要时，监理人有权指示承包人对结算工程量重新进行复核测量，并由监理人核查确认。</w:t>
      </w:r>
    </w:p>
    <w:p w14:paraId="7951206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w:t>
      </w:r>
      <w:r>
        <w:rPr>
          <w:rFonts w:hint="eastAsia"/>
          <w:color w:val="auto"/>
          <w:highlight w:val="none"/>
          <w:lang w:eastAsia="zh-CN"/>
        </w:rPr>
        <w:t>合同文件商务文件约定的计量与技术文件约定不一致之处，以商务文件约定为准</w:t>
      </w:r>
      <w:r>
        <w:rPr>
          <w:rFonts w:cs="宋体"/>
          <w:color w:val="auto"/>
          <w:highlight w:val="none"/>
          <w:lang w:eastAsia="zh-CN"/>
        </w:rPr>
        <w:t>。</w:t>
      </w:r>
    </w:p>
    <w:p w14:paraId="2EF56CA5">
      <w:pPr>
        <w:pStyle w:val="5"/>
        <w:rPr>
          <w:rFonts w:hAnsi="Times New Roman" w:cs="楷体"/>
          <w:color w:val="auto"/>
          <w:highlight w:val="none"/>
          <w:lang w:eastAsia="zh-CN"/>
        </w:rPr>
      </w:pPr>
      <w:r>
        <w:rPr>
          <w:rFonts w:hAnsi="Times New Roman" w:cs="Times New Roman"/>
          <w:color w:val="auto"/>
          <w:highlight w:val="none"/>
          <w:lang w:eastAsia="zh-CN"/>
        </w:rPr>
        <w:t>1.10.2</w:t>
      </w:r>
      <w:r>
        <w:rPr>
          <w:rFonts w:hint="eastAsia" w:hAnsi="Times New Roman" w:cs="Times New Roman"/>
          <w:color w:val="auto"/>
          <w:highlight w:val="none"/>
          <w:lang w:eastAsia="zh-CN"/>
        </w:rPr>
        <w:t>　</w:t>
      </w:r>
      <w:r>
        <w:rPr>
          <w:rFonts w:hAnsi="楷体" w:cs="楷体"/>
          <w:color w:val="auto"/>
          <w:highlight w:val="none"/>
          <w:lang w:eastAsia="zh-CN"/>
        </w:rPr>
        <w:t>重量计算</w:t>
      </w:r>
    </w:p>
    <w:p w14:paraId="76AD461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）按施工图纸所示计算的有效重量以吨或千克为单位计量。</w:t>
      </w:r>
    </w:p>
    <w:p w14:paraId="3F15703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）凡以重量计量并需称量的材料，由承包人合格的测量人员使用经国家计量监督部门检验合格的称量设备，根据合同约定，在监理人指定的地点进行称量。</w:t>
      </w:r>
    </w:p>
    <w:p w14:paraId="3ABDF2AE">
      <w:pPr>
        <w:pStyle w:val="5"/>
        <w:rPr>
          <w:rFonts w:hAnsi="Times New Roman" w:cs="楷体"/>
          <w:color w:val="auto"/>
          <w:highlight w:val="none"/>
          <w:lang w:eastAsia="zh-CN"/>
        </w:rPr>
      </w:pPr>
      <w:r>
        <w:rPr>
          <w:rFonts w:hAnsi="Times New Roman" w:cs="Times New Roman"/>
          <w:color w:val="auto"/>
          <w:highlight w:val="none"/>
          <w:lang w:eastAsia="zh-CN"/>
        </w:rPr>
        <w:t>1.10.3</w:t>
      </w:r>
      <w:r>
        <w:rPr>
          <w:rFonts w:hint="eastAsia" w:hAnsi="Times New Roman" w:cs="Times New Roman"/>
          <w:color w:val="auto"/>
          <w:highlight w:val="none"/>
          <w:lang w:eastAsia="zh-CN"/>
        </w:rPr>
        <w:t>　</w:t>
      </w:r>
      <w:r>
        <w:rPr>
          <w:rFonts w:hAnsi="楷体" w:cs="楷体"/>
          <w:color w:val="auto"/>
          <w:highlight w:val="none"/>
          <w:lang w:eastAsia="zh-CN"/>
        </w:rPr>
        <w:t>面积计量</w:t>
      </w:r>
    </w:p>
    <w:p w14:paraId="616D43AA">
      <w:pPr>
        <w:ind w:firstLine="420"/>
        <w:jc w:val="left"/>
        <w:rPr>
          <w:rFonts w:hAnsi="Times New Roman" w:cs="宋体"/>
          <w:color w:val="auto"/>
          <w:highlight w:val="none"/>
          <w:lang w:eastAsia="zh-CN"/>
        </w:rPr>
      </w:pPr>
      <w:r>
        <w:rPr>
          <w:rFonts w:cs="宋体"/>
          <w:color w:val="auto"/>
          <w:highlight w:val="none"/>
          <w:lang w:eastAsia="zh-CN"/>
        </w:rPr>
        <w:t>按施工图纸所示施工轮廓尺寸或结构物尺寸计算的有效面积以平方米为单位计量。</w:t>
      </w:r>
    </w:p>
    <w:p w14:paraId="6CEB73A9">
      <w:pPr>
        <w:pStyle w:val="5"/>
        <w:rPr>
          <w:rFonts w:hAnsi="Times New Roman" w:cs="楷体"/>
          <w:color w:val="auto"/>
          <w:highlight w:val="none"/>
          <w:lang w:eastAsia="zh-CN"/>
        </w:rPr>
      </w:pPr>
      <w:r>
        <w:rPr>
          <w:rFonts w:hAnsi="Times New Roman" w:cs="Times New Roman"/>
          <w:color w:val="auto"/>
          <w:highlight w:val="none"/>
          <w:lang w:eastAsia="zh-CN"/>
        </w:rPr>
        <w:t>1.10.4</w:t>
      </w:r>
      <w:r>
        <w:rPr>
          <w:rFonts w:hint="eastAsia" w:hAnsi="Times New Roman" w:cs="Times New Roman"/>
          <w:color w:val="auto"/>
          <w:highlight w:val="none"/>
          <w:lang w:eastAsia="zh-CN"/>
        </w:rPr>
        <w:t>　</w:t>
      </w:r>
      <w:r>
        <w:rPr>
          <w:rFonts w:hAnsi="楷体" w:cs="楷体"/>
          <w:color w:val="auto"/>
          <w:highlight w:val="none"/>
          <w:lang w:eastAsia="zh-CN"/>
        </w:rPr>
        <w:t>体积计量</w:t>
      </w:r>
    </w:p>
    <w:p w14:paraId="1AC78D2D">
      <w:pPr>
        <w:ind w:firstLine="420"/>
        <w:jc w:val="left"/>
        <w:rPr>
          <w:rFonts w:hAnsi="Times New Roman" w:cs="宋体"/>
          <w:color w:val="auto"/>
          <w:highlight w:val="none"/>
          <w:lang w:eastAsia="zh-CN"/>
        </w:rPr>
      </w:pPr>
      <w:r>
        <w:rPr>
          <w:rFonts w:cs="宋体"/>
          <w:color w:val="auto"/>
          <w:highlight w:val="none"/>
          <w:lang w:eastAsia="zh-CN"/>
        </w:rPr>
        <w:t>按施工图纸所示施工轮廓尺寸或结构物尺寸计算的有效体积以立方米为单位计量。</w:t>
      </w:r>
    </w:p>
    <w:p w14:paraId="79B81466">
      <w:pPr>
        <w:pStyle w:val="5"/>
        <w:rPr>
          <w:rFonts w:hAnsi="Times New Roman" w:cs="楷体"/>
          <w:color w:val="auto"/>
          <w:highlight w:val="none"/>
          <w:lang w:eastAsia="zh-CN"/>
        </w:rPr>
      </w:pPr>
      <w:r>
        <w:rPr>
          <w:rFonts w:hAnsi="Times New Roman" w:cs="Times New Roman"/>
          <w:color w:val="auto"/>
          <w:highlight w:val="none"/>
          <w:lang w:eastAsia="zh-CN"/>
        </w:rPr>
        <w:t>1.10.5</w:t>
      </w:r>
      <w:r>
        <w:rPr>
          <w:rFonts w:hint="eastAsia" w:hAnsi="Times New Roman" w:cs="Times New Roman"/>
          <w:color w:val="auto"/>
          <w:highlight w:val="none"/>
          <w:lang w:eastAsia="zh-CN"/>
        </w:rPr>
        <w:t>　</w:t>
      </w:r>
      <w:r>
        <w:rPr>
          <w:rFonts w:hAnsi="楷体" w:cs="楷体"/>
          <w:color w:val="auto"/>
          <w:highlight w:val="none"/>
          <w:lang w:eastAsia="zh-CN"/>
        </w:rPr>
        <w:t>长度计量</w:t>
      </w:r>
    </w:p>
    <w:p w14:paraId="682BC80D">
      <w:pPr>
        <w:ind w:firstLine="420"/>
        <w:jc w:val="left"/>
        <w:rPr>
          <w:rFonts w:hAnsi="Times New Roman" w:cs="宋体"/>
          <w:color w:val="auto"/>
          <w:highlight w:val="none"/>
          <w:lang w:eastAsia="zh-CN"/>
        </w:rPr>
      </w:pPr>
      <w:r>
        <w:rPr>
          <w:rFonts w:cs="宋体"/>
          <w:color w:val="auto"/>
          <w:highlight w:val="none"/>
          <w:lang w:eastAsia="zh-CN"/>
        </w:rPr>
        <w:t>按施工图纸所示施工轮廓尺寸或结构物尺寸计算的有效长度以米为单位计量。</w:t>
      </w:r>
    </w:p>
    <w:p w14:paraId="62C0200D">
      <w:pPr>
        <w:pStyle w:val="4"/>
        <w:spacing w:beforeLines="0" w:afterLines="0"/>
        <w:rPr>
          <w:rFonts w:hint="eastAsia" w:cs="宋体"/>
          <w:bCs/>
          <w:color w:val="auto"/>
          <w:szCs w:val="24"/>
          <w:highlight w:val="none"/>
        </w:rPr>
      </w:pPr>
      <w:r>
        <w:rPr>
          <w:rFonts w:hint="eastAsia" w:cs="宋体"/>
          <w:bCs/>
          <w:color w:val="auto"/>
          <w:szCs w:val="24"/>
          <w:highlight w:val="none"/>
        </w:rPr>
        <w:t>1.11</w:t>
      </w:r>
      <w:r>
        <w:rPr>
          <w:rFonts w:hint="eastAsia" w:cs="宋体"/>
          <w:bCs/>
          <w:color w:val="auto"/>
          <w:szCs w:val="24"/>
          <w:highlight w:val="none"/>
          <w:lang w:eastAsia="zh-CN"/>
        </w:rPr>
        <w:t>　</w:t>
      </w:r>
      <w:r>
        <w:rPr>
          <w:rFonts w:hint="eastAsia" w:cs="宋体"/>
          <w:bCs/>
          <w:color w:val="auto"/>
          <w:szCs w:val="24"/>
          <w:highlight w:val="none"/>
        </w:rPr>
        <w:t>引用技术标准和规程规范的规定</w:t>
      </w:r>
    </w:p>
    <w:p w14:paraId="3A6F548F">
      <w:pPr>
        <w:pStyle w:val="5"/>
        <w:rPr>
          <w:rFonts w:hAnsi="Times New Roman" w:cs="楷体"/>
          <w:color w:val="auto"/>
          <w:highlight w:val="none"/>
          <w:lang w:eastAsia="zh-CN"/>
        </w:rPr>
      </w:pPr>
      <w:r>
        <w:rPr>
          <w:rFonts w:hAnsi="Times New Roman" w:cs="Times New Roman"/>
          <w:color w:val="auto"/>
          <w:highlight w:val="none"/>
          <w:lang w:eastAsia="zh-CN"/>
        </w:rPr>
        <w:t>1.11.1</w:t>
      </w:r>
      <w:r>
        <w:rPr>
          <w:rFonts w:hint="eastAsia" w:hAnsi="Times New Roman" w:cs="Times New Roman"/>
          <w:color w:val="auto"/>
          <w:highlight w:val="none"/>
          <w:lang w:eastAsia="zh-CN"/>
        </w:rPr>
        <w:t>　</w:t>
      </w:r>
      <w:r>
        <w:rPr>
          <w:rFonts w:hAnsi="楷体" w:cs="楷体"/>
          <w:color w:val="auto"/>
          <w:highlight w:val="none"/>
          <w:lang w:eastAsia="zh-CN"/>
        </w:rPr>
        <w:t>遵守国家和行业标准的强制性规定</w:t>
      </w:r>
    </w:p>
    <w:p w14:paraId="58DEFE9C">
      <w:pPr>
        <w:ind w:firstLine="420"/>
        <w:jc w:val="left"/>
        <w:rPr>
          <w:rFonts w:hAnsi="Times New Roman" w:cs="宋体"/>
          <w:color w:val="auto"/>
          <w:highlight w:val="none"/>
          <w:lang w:eastAsia="zh-CN"/>
        </w:rPr>
      </w:pPr>
      <w:r>
        <w:rPr>
          <w:rFonts w:cs="宋体"/>
          <w:color w:val="auto"/>
          <w:highlight w:val="none"/>
          <w:lang w:eastAsia="zh-CN"/>
        </w:rPr>
        <w:t>技术条款中有关工程等级、防洪标准和工程安全鉴定标准等涉及工程安全的施工安装技术要求及其验收标准，必须严格遵守国家和行业标准中的强制性规定。遇有矛盾时，应由监理人按国家和行业标准的强制性规定进行修正。</w:t>
      </w:r>
    </w:p>
    <w:p w14:paraId="22FE3F06">
      <w:pPr>
        <w:pStyle w:val="5"/>
        <w:rPr>
          <w:rFonts w:hAnsi="Times New Roman" w:cs="楷体"/>
          <w:color w:val="auto"/>
          <w:highlight w:val="none"/>
          <w:lang w:eastAsia="zh-CN"/>
        </w:rPr>
      </w:pPr>
      <w:r>
        <w:rPr>
          <w:rFonts w:hAnsi="Times New Roman" w:cs="Times New Roman"/>
          <w:color w:val="auto"/>
          <w:highlight w:val="none"/>
          <w:lang w:eastAsia="zh-CN"/>
        </w:rPr>
        <w:t>1.11.2</w:t>
      </w:r>
      <w:r>
        <w:rPr>
          <w:rFonts w:hint="eastAsia" w:hAnsi="Times New Roman" w:cs="Times New Roman"/>
          <w:color w:val="auto"/>
          <w:highlight w:val="none"/>
          <w:lang w:eastAsia="zh-CN"/>
        </w:rPr>
        <w:t>　</w:t>
      </w:r>
      <w:r>
        <w:rPr>
          <w:rFonts w:hAnsi="楷体" w:cs="楷体"/>
          <w:color w:val="auto"/>
          <w:highlight w:val="none"/>
          <w:lang w:eastAsia="zh-CN"/>
        </w:rPr>
        <w:t>引用标准和规程规范以最新版本为准</w:t>
      </w:r>
    </w:p>
    <w:p w14:paraId="62A45421">
      <w:pPr>
        <w:ind w:firstLine="420"/>
        <w:jc w:val="left"/>
        <w:rPr>
          <w:rFonts w:hAnsi="Times New Roman" w:cs="Times New Roman"/>
          <w:color w:val="auto"/>
          <w:highlight w:val="none"/>
          <w:lang w:eastAsia="zh-CN"/>
        </w:rPr>
      </w:pPr>
      <w:r>
        <w:rPr>
          <w:rFonts w:cs="宋体"/>
          <w:color w:val="auto"/>
          <w:highlight w:val="none"/>
          <w:lang w:eastAsia="zh-CN"/>
        </w:rPr>
        <w:t>本技术条款中引用的标准和规程规范均标有出版年代，引用截止期为</w:t>
      </w:r>
      <w:r>
        <w:rPr>
          <w:rFonts w:hAnsi="Times New Roman" w:cs="Times New Roman"/>
          <w:color w:val="auto"/>
          <w:highlight w:val="none"/>
          <w:lang w:eastAsia="zh-CN"/>
        </w:rPr>
        <w:t>2023</w:t>
      </w:r>
      <w:r>
        <w:rPr>
          <w:rFonts w:cs="宋体"/>
          <w:color w:val="auto"/>
          <w:highlight w:val="none"/>
          <w:lang w:eastAsia="zh-CN"/>
        </w:rPr>
        <w:t>年</w:t>
      </w:r>
      <w:r>
        <w:rPr>
          <w:rFonts w:hAnsi="Times New Roman" w:cs="Times New Roman"/>
          <w:color w:val="auto"/>
          <w:highlight w:val="none"/>
          <w:lang w:eastAsia="zh-CN"/>
        </w:rPr>
        <w:t>12</w:t>
      </w:r>
      <w:r>
        <w:rPr>
          <w:rFonts w:cs="宋体"/>
          <w:color w:val="auto"/>
          <w:highlight w:val="none"/>
          <w:lang w:eastAsia="zh-CN"/>
        </w:rPr>
        <w:t>月，应用时应执行国家和各行业最新出版的有效版本。</w:t>
      </w:r>
    </w:p>
    <w:p w14:paraId="0C405147">
      <w:pPr>
        <w:pStyle w:val="5"/>
        <w:rPr>
          <w:rFonts w:hAnsi="Times New Roman" w:cs="楷体"/>
          <w:color w:val="auto"/>
          <w:highlight w:val="none"/>
          <w:lang w:eastAsia="zh-CN"/>
        </w:rPr>
      </w:pPr>
      <w:r>
        <w:rPr>
          <w:rFonts w:hAnsi="Times New Roman" w:cs="Times New Roman"/>
          <w:color w:val="auto"/>
          <w:highlight w:val="none"/>
          <w:lang w:eastAsia="zh-CN"/>
        </w:rPr>
        <w:t>1.11.3</w:t>
      </w:r>
      <w:r>
        <w:rPr>
          <w:rFonts w:hint="eastAsia" w:hAnsi="Times New Roman" w:cs="Times New Roman"/>
          <w:color w:val="auto"/>
          <w:highlight w:val="none"/>
          <w:lang w:eastAsia="zh-CN"/>
        </w:rPr>
        <w:t>　</w:t>
      </w:r>
      <w:r>
        <w:rPr>
          <w:rFonts w:hAnsi="楷体" w:cs="楷体"/>
          <w:color w:val="auto"/>
          <w:highlight w:val="none"/>
          <w:lang w:eastAsia="zh-CN"/>
        </w:rPr>
        <w:t>其他</w:t>
      </w:r>
    </w:p>
    <w:p w14:paraId="34A81CD7">
      <w:pPr>
        <w:ind w:firstLine="420"/>
        <w:jc w:val="left"/>
        <w:rPr>
          <w:rFonts w:hAnsi="Times New Roman" w:cs="宋体"/>
          <w:color w:val="auto"/>
          <w:highlight w:val="none"/>
          <w:lang w:eastAsia="zh-CN"/>
        </w:rPr>
      </w:pPr>
      <w:r>
        <w:rPr>
          <w:rFonts w:hint="eastAsia" w:cs="宋体"/>
          <w:color w:val="auto"/>
          <w:highlight w:val="none"/>
          <w:lang w:eastAsia="zh-CN"/>
        </w:rPr>
        <w:t>技术条款中相关的技术参数仅供承包人投标时参考使用，工程实施时应以施工详图及施工技术要求为准</w:t>
      </w:r>
      <w:r>
        <w:rPr>
          <w:rFonts w:cs="宋体"/>
          <w:color w:val="auto"/>
          <w:highlight w:val="none"/>
          <w:lang w:eastAsia="zh-CN"/>
        </w:rPr>
        <w:t>。</w:t>
      </w:r>
    </w:p>
    <w:p w14:paraId="246F8BDA">
      <w:pPr>
        <w:pStyle w:val="4"/>
        <w:spacing w:beforeLines="0" w:afterLines="0"/>
        <w:rPr>
          <w:rFonts w:hint="eastAsia" w:cs="宋体"/>
          <w:bCs/>
          <w:color w:val="auto"/>
          <w:szCs w:val="24"/>
          <w:highlight w:val="none"/>
        </w:rPr>
      </w:pPr>
      <w:r>
        <w:rPr>
          <w:rFonts w:hint="eastAsia" w:cs="宋体"/>
          <w:bCs/>
          <w:color w:val="auto"/>
          <w:szCs w:val="24"/>
          <w:highlight w:val="none"/>
        </w:rPr>
        <w:t>1.12</w:t>
      </w:r>
      <w:r>
        <w:rPr>
          <w:rFonts w:hint="eastAsia" w:cs="宋体"/>
          <w:bCs/>
          <w:color w:val="auto"/>
          <w:szCs w:val="24"/>
          <w:highlight w:val="none"/>
          <w:lang w:eastAsia="zh-CN"/>
        </w:rPr>
        <w:t>　</w:t>
      </w:r>
      <w:r>
        <w:rPr>
          <w:rFonts w:hint="eastAsia" w:cs="宋体"/>
          <w:bCs/>
          <w:color w:val="auto"/>
          <w:szCs w:val="24"/>
          <w:highlight w:val="none"/>
        </w:rPr>
        <w:t>工程保险</w:t>
      </w:r>
    </w:p>
    <w:p w14:paraId="2F5CEFCE">
      <w:pPr>
        <w:pStyle w:val="5"/>
        <w:rPr>
          <w:rFonts w:hAnsi="Times New Roman" w:cs="楷体"/>
          <w:color w:val="auto"/>
          <w:highlight w:val="none"/>
          <w:lang w:eastAsia="zh-CN"/>
        </w:rPr>
      </w:pPr>
      <w:r>
        <w:rPr>
          <w:rFonts w:hAnsi="Times New Roman" w:cs="Times New Roman"/>
          <w:color w:val="auto"/>
          <w:highlight w:val="none"/>
          <w:lang w:eastAsia="zh-CN"/>
        </w:rPr>
        <w:t>1.12.1</w:t>
      </w:r>
      <w:r>
        <w:rPr>
          <w:rFonts w:hint="eastAsia" w:hAnsi="Times New Roman" w:cs="Times New Roman"/>
          <w:color w:val="auto"/>
          <w:highlight w:val="none"/>
          <w:lang w:eastAsia="zh-CN"/>
        </w:rPr>
        <w:t>　</w:t>
      </w:r>
      <w:r>
        <w:rPr>
          <w:rFonts w:hAnsi="楷体" w:cs="楷体"/>
          <w:color w:val="auto"/>
          <w:highlight w:val="none"/>
          <w:lang w:eastAsia="zh-CN"/>
        </w:rPr>
        <w:t>投保险种</w:t>
      </w:r>
    </w:p>
    <w:p w14:paraId="391DA6E0">
      <w:pPr>
        <w:ind w:firstLine="420"/>
        <w:jc w:val="left"/>
        <w:rPr>
          <w:rFonts w:hAnsi="Times New Roman" w:cs="宋体"/>
          <w:color w:val="auto"/>
          <w:highlight w:val="none"/>
          <w:lang w:eastAsia="zh-CN"/>
        </w:rPr>
      </w:pPr>
      <w:r>
        <w:rPr>
          <w:rFonts w:cs="宋体"/>
          <w:color w:val="auto"/>
          <w:highlight w:val="none"/>
          <w:lang w:eastAsia="zh-CN"/>
        </w:rPr>
        <w:t>发包人和承包人应按本合同通用合同条款第</w:t>
      </w:r>
      <w:r>
        <w:rPr>
          <w:rFonts w:hAnsi="Times New Roman" w:cs="Times New Roman"/>
          <w:color w:val="auto"/>
          <w:highlight w:val="none"/>
          <w:lang w:eastAsia="zh-CN"/>
        </w:rPr>
        <w:t>20</w:t>
      </w:r>
      <w:r>
        <w:rPr>
          <w:rFonts w:cs="宋体"/>
          <w:color w:val="auto"/>
          <w:highlight w:val="none"/>
          <w:lang w:eastAsia="zh-CN"/>
        </w:rPr>
        <w:t>条的约定投保以下险种：</w:t>
      </w:r>
    </w:p>
    <w:p w14:paraId="54342FC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）建筑安装工程的一切险（包括材料和工程设备，以发包人和承包人共同名义投保）。</w:t>
      </w:r>
    </w:p>
    <w:p w14:paraId="05153BF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）人员工伤事故险（按各自管辖的人员投保）。</w:t>
      </w:r>
    </w:p>
    <w:p w14:paraId="52AD89D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）人身意外伤害险（按各自管辖的人员投保）。</w:t>
      </w:r>
    </w:p>
    <w:p w14:paraId="7C98BB6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）第三者责任险（按各自管辖区，以发包人和承包人共同名义投保）。</w:t>
      </w:r>
    </w:p>
    <w:p w14:paraId="01B06E5F">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）施工设备险（由承包人负责投保）。</w:t>
      </w:r>
    </w:p>
    <w:p w14:paraId="7D649713">
      <w:pPr>
        <w:ind w:firstLine="420"/>
        <w:jc w:val="left"/>
        <w:rPr>
          <w:rFonts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6</w:t>
      </w:r>
      <w:r>
        <w:rPr>
          <w:rFonts w:hint="eastAsia" w:cs="宋体"/>
          <w:color w:val="auto"/>
          <w:highlight w:val="none"/>
          <w:lang w:eastAsia="zh-CN"/>
        </w:rPr>
        <w:t>）安全生产责任险(由承包人负责投保)。</w:t>
      </w:r>
    </w:p>
    <w:p w14:paraId="6AB7FBF6">
      <w:pPr>
        <w:ind w:firstLine="420"/>
        <w:jc w:val="left"/>
        <w:rPr>
          <w:rFonts w:hint="default" w:cs="宋体"/>
          <w:color w:val="auto"/>
          <w:highlight w:val="none"/>
          <w:lang w:val="en-US" w:eastAsia="zh-CN"/>
        </w:rPr>
      </w:pPr>
      <w:r>
        <w:rPr>
          <w:rFonts w:hint="eastAsia" w:cs="宋体"/>
          <w:color w:val="auto"/>
          <w:highlight w:val="none"/>
          <w:lang w:eastAsia="zh-CN"/>
        </w:rPr>
        <w:t>（</w:t>
      </w:r>
      <w:r>
        <w:rPr>
          <w:rFonts w:hint="eastAsia" w:cs="宋体"/>
          <w:color w:val="auto"/>
          <w:highlight w:val="none"/>
          <w:lang w:val="en-US" w:eastAsia="zh-CN"/>
        </w:rPr>
        <w:t>7）按照国家、浙江省、绍兴市相关规定本工程还须投保的其他保险（</w:t>
      </w:r>
      <w:r>
        <w:rPr>
          <w:rFonts w:cs="宋体"/>
          <w:color w:val="auto"/>
          <w:highlight w:val="none"/>
          <w:lang w:eastAsia="zh-CN"/>
        </w:rPr>
        <w:t>由承包人负责投保</w:t>
      </w:r>
      <w:r>
        <w:rPr>
          <w:rFonts w:hint="eastAsia" w:cs="宋体"/>
          <w:color w:val="auto"/>
          <w:highlight w:val="none"/>
          <w:lang w:val="en-US" w:eastAsia="zh-CN"/>
        </w:rPr>
        <w:t>）。</w:t>
      </w:r>
    </w:p>
    <w:p w14:paraId="0B5AA1A7">
      <w:pPr>
        <w:pStyle w:val="5"/>
        <w:rPr>
          <w:rFonts w:hAnsi="Times New Roman" w:cs="楷体"/>
          <w:color w:val="auto"/>
          <w:highlight w:val="none"/>
          <w:lang w:eastAsia="zh-CN"/>
        </w:rPr>
      </w:pPr>
      <w:r>
        <w:rPr>
          <w:rFonts w:hAnsi="Times New Roman" w:cs="Times New Roman"/>
          <w:color w:val="auto"/>
          <w:highlight w:val="none"/>
          <w:lang w:eastAsia="zh-CN"/>
        </w:rPr>
        <w:t>1.12.2</w:t>
      </w:r>
      <w:r>
        <w:rPr>
          <w:rFonts w:hint="eastAsia" w:hAnsi="Times New Roman" w:cs="Times New Roman"/>
          <w:color w:val="auto"/>
          <w:highlight w:val="none"/>
          <w:lang w:eastAsia="zh-CN"/>
        </w:rPr>
        <w:t>　</w:t>
      </w:r>
      <w:r>
        <w:rPr>
          <w:rFonts w:hAnsi="楷体" w:cs="楷体"/>
          <w:color w:val="auto"/>
          <w:highlight w:val="none"/>
          <w:lang w:eastAsia="zh-CN"/>
        </w:rPr>
        <w:t>保险费用</w:t>
      </w:r>
    </w:p>
    <w:p w14:paraId="623D4B5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）建筑安装工程一切险由承包人负责投保，保险费用包</w:t>
      </w:r>
      <w:r>
        <w:rPr>
          <w:rFonts w:hint="eastAsia" w:cs="宋体"/>
          <w:color w:val="auto"/>
          <w:highlight w:val="none"/>
          <w:lang w:val="en-US" w:eastAsia="zh-CN"/>
        </w:rPr>
        <w:t>含在</w:t>
      </w:r>
      <w:r>
        <w:rPr>
          <w:rFonts w:hint="eastAsia" w:cs="宋体"/>
          <w:color w:val="auto"/>
          <w:highlight w:val="none"/>
          <w:lang w:eastAsia="zh-CN"/>
        </w:rPr>
        <w:t>《</w:t>
      </w:r>
      <w:r>
        <w:rPr>
          <w:rFonts w:cs="宋体"/>
          <w:color w:val="auto"/>
          <w:highlight w:val="none"/>
          <w:lang w:eastAsia="zh-CN"/>
        </w:rPr>
        <w:t>工程量清单</w:t>
      </w:r>
      <w:r>
        <w:rPr>
          <w:rFonts w:hint="eastAsia" w:cs="宋体"/>
          <w:color w:val="auto"/>
          <w:highlight w:val="none"/>
          <w:lang w:eastAsia="zh-CN"/>
        </w:rPr>
        <w:t>》“</w:t>
      </w:r>
      <w:r>
        <w:rPr>
          <w:rFonts w:hint="eastAsia" w:cs="宋体"/>
          <w:color w:val="auto"/>
          <w:highlight w:val="none"/>
          <w:lang w:val="en-US" w:eastAsia="zh-CN"/>
        </w:rPr>
        <w:t>工程保险</w:t>
      </w:r>
      <w:r>
        <w:rPr>
          <w:rFonts w:hint="eastAsia" w:cs="宋体"/>
          <w:color w:val="auto"/>
          <w:highlight w:val="none"/>
          <w:lang w:eastAsia="zh-CN"/>
        </w:rPr>
        <w:t>”</w:t>
      </w:r>
      <w:r>
        <w:rPr>
          <w:rFonts w:hint="eastAsia" w:cs="宋体"/>
          <w:color w:val="auto"/>
          <w:highlight w:val="none"/>
          <w:lang w:val="en-US" w:eastAsia="zh-CN"/>
        </w:rPr>
        <w:t>中</w:t>
      </w:r>
      <w:r>
        <w:rPr>
          <w:rFonts w:hint="eastAsia" w:cs="宋体"/>
          <w:color w:val="auto"/>
          <w:highlight w:val="none"/>
          <w:lang w:eastAsia="zh-CN"/>
        </w:rPr>
        <w:t>，</w:t>
      </w:r>
      <w:r>
        <w:rPr>
          <w:rFonts w:hint="eastAsia" w:cs="宋体"/>
          <w:color w:val="auto"/>
          <w:highlight w:val="none"/>
          <w:lang w:val="en-US" w:eastAsia="zh-CN"/>
        </w:rPr>
        <w:t>由发包人</w:t>
      </w:r>
      <w:r>
        <w:rPr>
          <w:rStyle w:val="65"/>
          <w:rFonts w:hint="eastAsia"/>
          <w:snapToGrid w:val="0"/>
          <w:color w:val="auto"/>
          <w:sz w:val="24"/>
          <w:szCs w:val="24"/>
          <w:highlight w:val="none"/>
          <w:lang w:val="en-US" w:eastAsia="zh-CN" w:bidi="ar"/>
        </w:rPr>
        <w:t>据实</w:t>
      </w:r>
      <w:r>
        <w:rPr>
          <w:rFonts w:hint="eastAsia" w:cs="宋体"/>
          <w:color w:val="auto"/>
          <w:highlight w:val="none"/>
          <w:lang w:val="en-US" w:eastAsia="zh-CN"/>
        </w:rPr>
        <w:t>支付</w:t>
      </w:r>
      <w:r>
        <w:rPr>
          <w:rFonts w:cs="宋体"/>
          <w:color w:val="auto"/>
          <w:highlight w:val="none"/>
          <w:lang w:eastAsia="zh-CN"/>
        </w:rPr>
        <w:t>。</w:t>
      </w:r>
    </w:p>
    <w:p w14:paraId="63097DD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）承包人人员的工伤事故险和人身意外伤害险</w:t>
      </w:r>
      <w:r>
        <w:rPr>
          <w:rFonts w:cs="宋体"/>
          <w:strike/>
          <w:color w:val="auto"/>
          <w:highlight w:val="none"/>
          <w:lang w:eastAsia="zh-CN"/>
        </w:rPr>
        <w:t>应</w:t>
      </w:r>
      <w:r>
        <w:rPr>
          <w:rFonts w:cs="宋体"/>
          <w:color w:val="auto"/>
          <w:highlight w:val="none"/>
          <w:lang w:eastAsia="zh-CN"/>
        </w:rPr>
        <w:t>由承包人按本合同通用合同条款第</w:t>
      </w:r>
      <w:r>
        <w:rPr>
          <w:rFonts w:hAnsi="Times New Roman" w:cs="Times New Roman"/>
          <w:color w:val="auto"/>
          <w:highlight w:val="none"/>
          <w:lang w:eastAsia="zh-CN"/>
        </w:rPr>
        <w:t>20.2</w:t>
      </w:r>
      <w:r>
        <w:rPr>
          <w:rFonts w:cs="宋体"/>
          <w:color w:val="auto"/>
          <w:highlight w:val="none"/>
          <w:lang w:eastAsia="zh-CN"/>
        </w:rPr>
        <w:t>款、第</w:t>
      </w:r>
      <w:r>
        <w:rPr>
          <w:rFonts w:hAnsi="Times New Roman" w:cs="Times New Roman"/>
          <w:color w:val="auto"/>
          <w:highlight w:val="none"/>
          <w:lang w:eastAsia="zh-CN"/>
        </w:rPr>
        <w:t>20.3</w:t>
      </w:r>
      <w:r>
        <w:rPr>
          <w:rFonts w:cs="宋体"/>
          <w:color w:val="auto"/>
          <w:highlight w:val="none"/>
          <w:lang w:eastAsia="zh-CN"/>
        </w:rPr>
        <w:t>款约定的责任和内容，为全部现场施工人员办理保险，其费用包含在《工程量清单》项目的工程单价中，发包人不另行支付。</w:t>
      </w:r>
    </w:p>
    <w:p w14:paraId="1BAA46BC">
      <w:pPr>
        <w:ind w:firstLine="420"/>
        <w:jc w:val="left"/>
        <w:rPr>
          <w:rFonts w:cs="宋体"/>
          <w:color w:val="auto"/>
          <w:highlight w:val="none"/>
          <w:lang w:eastAsia="zh-CN"/>
        </w:rPr>
      </w:pPr>
      <w:r>
        <w:rPr>
          <w:rFonts w:cs="宋体"/>
          <w:color w:val="auto"/>
          <w:highlight w:val="none"/>
          <w:lang w:eastAsia="zh-CN"/>
        </w:rPr>
        <w:t>（3）承包人管辖区内的第三者责任险应由承包人</w:t>
      </w:r>
      <w:r>
        <w:rPr>
          <w:rFonts w:hint="eastAsia" w:cs="宋体"/>
          <w:color w:val="auto"/>
          <w:highlight w:val="none"/>
          <w:lang w:val="en-US" w:eastAsia="zh-CN"/>
        </w:rPr>
        <w:t>负责投</w:t>
      </w:r>
      <w:r>
        <w:rPr>
          <w:rFonts w:cs="宋体"/>
          <w:color w:val="auto"/>
          <w:highlight w:val="none"/>
          <w:lang w:eastAsia="zh-CN"/>
        </w:rPr>
        <w:t>，保险费用包</w:t>
      </w:r>
      <w:r>
        <w:rPr>
          <w:rFonts w:hint="eastAsia" w:cs="宋体"/>
          <w:color w:val="auto"/>
          <w:highlight w:val="none"/>
          <w:lang w:val="en-US" w:eastAsia="zh-CN"/>
        </w:rPr>
        <w:t>含在</w:t>
      </w:r>
      <w:r>
        <w:rPr>
          <w:rFonts w:hint="eastAsia" w:cs="宋体"/>
          <w:color w:val="auto"/>
          <w:highlight w:val="none"/>
          <w:lang w:eastAsia="zh-CN"/>
        </w:rPr>
        <w:t>《</w:t>
      </w:r>
      <w:r>
        <w:rPr>
          <w:rFonts w:cs="宋体"/>
          <w:color w:val="auto"/>
          <w:highlight w:val="none"/>
          <w:lang w:eastAsia="zh-CN"/>
        </w:rPr>
        <w:t>工程量清单</w:t>
      </w:r>
      <w:r>
        <w:rPr>
          <w:rFonts w:hint="eastAsia" w:cs="宋体"/>
          <w:color w:val="auto"/>
          <w:highlight w:val="none"/>
          <w:lang w:eastAsia="zh-CN"/>
        </w:rPr>
        <w:t>》“</w:t>
      </w:r>
      <w:r>
        <w:rPr>
          <w:rFonts w:hint="eastAsia" w:cs="宋体"/>
          <w:color w:val="auto"/>
          <w:highlight w:val="none"/>
          <w:lang w:val="en-US" w:eastAsia="zh-CN"/>
        </w:rPr>
        <w:t>工程保险</w:t>
      </w:r>
      <w:r>
        <w:rPr>
          <w:rFonts w:hint="eastAsia" w:cs="宋体"/>
          <w:color w:val="auto"/>
          <w:highlight w:val="none"/>
          <w:lang w:eastAsia="zh-CN"/>
        </w:rPr>
        <w:t>”</w:t>
      </w:r>
      <w:r>
        <w:rPr>
          <w:rFonts w:hint="eastAsia" w:cs="宋体"/>
          <w:color w:val="auto"/>
          <w:highlight w:val="none"/>
          <w:lang w:val="en-US" w:eastAsia="zh-CN"/>
        </w:rPr>
        <w:t>中</w:t>
      </w:r>
      <w:r>
        <w:rPr>
          <w:rFonts w:hint="eastAsia" w:cs="宋体"/>
          <w:color w:val="auto"/>
          <w:highlight w:val="none"/>
          <w:lang w:eastAsia="zh-CN"/>
        </w:rPr>
        <w:t>，</w:t>
      </w:r>
      <w:r>
        <w:rPr>
          <w:rFonts w:hint="eastAsia" w:cs="宋体"/>
          <w:color w:val="auto"/>
          <w:highlight w:val="none"/>
          <w:lang w:val="en-US" w:eastAsia="zh-CN"/>
        </w:rPr>
        <w:t>由发包人</w:t>
      </w:r>
      <w:r>
        <w:rPr>
          <w:rStyle w:val="65"/>
          <w:rFonts w:hint="eastAsia"/>
          <w:snapToGrid w:val="0"/>
          <w:color w:val="auto"/>
          <w:sz w:val="24"/>
          <w:szCs w:val="24"/>
          <w:highlight w:val="none"/>
          <w:lang w:val="en-US" w:eastAsia="zh-CN" w:bidi="ar"/>
        </w:rPr>
        <w:t>据实</w:t>
      </w:r>
      <w:r>
        <w:rPr>
          <w:rFonts w:hint="eastAsia" w:cs="宋体"/>
          <w:color w:val="auto"/>
          <w:highlight w:val="none"/>
          <w:lang w:val="en-US" w:eastAsia="zh-CN"/>
        </w:rPr>
        <w:t>支付</w:t>
      </w:r>
      <w:r>
        <w:rPr>
          <w:rFonts w:cs="宋体"/>
          <w:color w:val="auto"/>
          <w:highlight w:val="none"/>
          <w:lang w:eastAsia="zh-CN"/>
        </w:rPr>
        <w:t>。</w:t>
      </w:r>
    </w:p>
    <w:p w14:paraId="051B1D30">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）施工设备险由承包人负责投保，保险费用包含在《工程量清单》项目的工程单价中，发包人不另行支付。</w:t>
      </w:r>
    </w:p>
    <w:p w14:paraId="5E39CB56">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5）</w:t>
      </w:r>
      <w:r>
        <w:rPr>
          <w:rFonts w:hint="eastAsia" w:cs="宋体"/>
          <w:color w:val="auto"/>
          <w:highlight w:val="none"/>
          <w:lang w:eastAsia="zh-CN"/>
        </w:rPr>
        <w:t>其他保险(包含农民工工伤保险、安全生产责任险)，承包人按本合同专用合同条款第 20.5 款约定办理农民工工伤保险、安全生产责任险等其他保险，农民工工伤保险费用包含在《工程量清单》项目的工程单价中，发包人不另行支付:安全生产责任险费用包含在安全生产措施费中，由发包人据实支付，承包人应保障安全生产责任险费用应足额到位</w:t>
      </w:r>
      <w:r>
        <w:rPr>
          <w:rFonts w:cs="宋体"/>
          <w:color w:val="auto"/>
          <w:highlight w:val="none"/>
          <w:lang w:eastAsia="zh-CN"/>
        </w:rPr>
        <w:t>。</w:t>
      </w:r>
    </w:p>
    <w:p w14:paraId="3C5B3A15">
      <w:pPr>
        <w:pStyle w:val="4"/>
        <w:spacing w:beforeLines="0" w:afterLines="0"/>
        <w:rPr>
          <w:rFonts w:hint="eastAsia" w:cs="宋体"/>
          <w:bCs/>
          <w:color w:val="auto"/>
          <w:szCs w:val="24"/>
          <w:highlight w:val="none"/>
        </w:rPr>
      </w:pPr>
      <w:r>
        <w:rPr>
          <w:rFonts w:hint="eastAsia" w:cs="宋体"/>
          <w:bCs/>
          <w:color w:val="auto"/>
          <w:szCs w:val="24"/>
          <w:highlight w:val="none"/>
        </w:rPr>
        <w:t>1.13</w:t>
      </w:r>
      <w:r>
        <w:rPr>
          <w:rFonts w:hint="eastAsia" w:cs="宋体"/>
          <w:bCs/>
          <w:color w:val="auto"/>
          <w:szCs w:val="24"/>
          <w:highlight w:val="none"/>
          <w:lang w:eastAsia="zh-CN"/>
        </w:rPr>
        <w:t>　</w:t>
      </w:r>
      <w:r>
        <w:rPr>
          <w:rFonts w:hint="eastAsia" w:cs="宋体"/>
          <w:bCs/>
          <w:color w:val="auto"/>
          <w:szCs w:val="24"/>
          <w:highlight w:val="none"/>
        </w:rPr>
        <w:t>工程价款支付方法</w:t>
      </w:r>
    </w:p>
    <w:p w14:paraId="149C7F0A">
      <w:pPr>
        <w:pStyle w:val="5"/>
        <w:rPr>
          <w:rFonts w:hAnsi="Times New Roman" w:cs="楷体"/>
          <w:color w:val="auto"/>
          <w:highlight w:val="none"/>
          <w:lang w:eastAsia="zh-CN"/>
        </w:rPr>
      </w:pPr>
      <w:r>
        <w:rPr>
          <w:rFonts w:hAnsi="Times New Roman" w:cs="Times New Roman"/>
          <w:color w:val="auto"/>
          <w:highlight w:val="none"/>
          <w:lang w:eastAsia="zh-CN"/>
        </w:rPr>
        <w:t>1.13.1</w:t>
      </w:r>
      <w:r>
        <w:rPr>
          <w:rFonts w:hint="eastAsia" w:hAnsi="Times New Roman" w:cs="Times New Roman"/>
          <w:color w:val="auto"/>
          <w:highlight w:val="none"/>
          <w:lang w:eastAsia="zh-CN"/>
        </w:rPr>
        <w:t>　</w:t>
      </w:r>
      <w:r>
        <w:rPr>
          <w:rFonts w:hAnsi="楷体" w:cs="楷体"/>
          <w:color w:val="auto"/>
          <w:highlight w:val="none"/>
          <w:lang w:eastAsia="zh-CN"/>
        </w:rPr>
        <w:t>单价支付项目</w:t>
      </w:r>
    </w:p>
    <w:p w14:paraId="5496250C">
      <w:pPr>
        <w:ind w:firstLine="420"/>
        <w:jc w:val="left"/>
        <w:rPr>
          <w:rFonts w:hAnsi="Times New Roman" w:cs="宋体"/>
          <w:color w:val="auto"/>
          <w:highlight w:val="none"/>
          <w:lang w:eastAsia="zh-CN"/>
        </w:rPr>
      </w:pPr>
      <w:r>
        <w:rPr>
          <w:rFonts w:cs="宋体"/>
          <w:color w:val="auto"/>
          <w:highlight w:val="none"/>
          <w:lang w:eastAsia="zh-CN"/>
        </w:rPr>
        <w:t>除合同另有约定外，承包人在《工程量清单》以单价形式列报的所有工程项目，发包人均按《工程量清单》相应项目的工程单价支付。</w:t>
      </w:r>
    </w:p>
    <w:p w14:paraId="3EFA5984">
      <w:pPr>
        <w:pStyle w:val="5"/>
        <w:rPr>
          <w:rFonts w:hAnsi="Times New Roman" w:cs="楷体"/>
          <w:color w:val="auto"/>
          <w:highlight w:val="none"/>
          <w:lang w:eastAsia="zh-CN"/>
        </w:rPr>
      </w:pPr>
      <w:r>
        <w:rPr>
          <w:rFonts w:hAnsi="Times New Roman" w:cs="Times New Roman"/>
          <w:color w:val="auto"/>
          <w:highlight w:val="none"/>
          <w:lang w:eastAsia="zh-CN"/>
        </w:rPr>
        <w:t>1.13.2</w:t>
      </w:r>
      <w:r>
        <w:rPr>
          <w:rFonts w:hint="eastAsia" w:hAnsi="Times New Roman" w:cs="Times New Roman"/>
          <w:color w:val="auto"/>
          <w:highlight w:val="none"/>
          <w:lang w:eastAsia="zh-CN"/>
        </w:rPr>
        <w:t>　</w:t>
      </w:r>
      <w:r>
        <w:rPr>
          <w:rFonts w:hAnsi="楷体" w:cs="楷体"/>
          <w:color w:val="auto"/>
          <w:highlight w:val="none"/>
          <w:lang w:eastAsia="zh-CN"/>
        </w:rPr>
        <w:t>一般总价支付项目</w:t>
      </w:r>
    </w:p>
    <w:p w14:paraId="1944FFB9">
      <w:pPr>
        <w:ind w:firstLine="420"/>
        <w:jc w:val="left"/>
        <w:rPr>
          <w:rFonts w:hAnsi="Times New Roman" w:cs="宋体"/>
          <w:color w:val="auto"/>
          <w:highlight w:val="none"/>
          <w:lang w:eastAsia="zh-CN"/>
        </w:rPr>
      </w:pPr>
      <w:r>
        <w:rPr>
          <w:rFonts w:cs="宋体"/>
          <w:color w:val="auto"/>
          <w:highlight w:val="none"/>
          <w:lang w:eastAsia="zh-CN"/>
        </w:rPr>
        <w:t>除合同另有约定外，承包人在《工程量清单》以总价形式列报的所有工程项目，发包人均按《工程量清单》相应项目（不包括以总价形式列报的预留金额）的总价支付。</w:t>
      </w:r>
    </w:p>
    <w:p w14:paraId="25414DA6">
      <w:pPr>
        <w:pStyle w:val="5"/>
        <w:rPr>
          <w:rFonts w:hAnsi="Times New Roman" w:cs="楷体"/>
          <w:color w:val="auto"/>
          <w:highlight w:val="none"/>
          <w:lang w:eastAsia="zh-CN"/>
        </w:rPr>
      </w:pPr>
      <w:r>
        <w:rPr>
          <w:rFonts w:hAnsi="Times New Roman" w:cs="Times New Roman"/>
          <w:color w:val="auto"/>
          <w:highlight w:val="none"/>
          <w:lang w:eastAsia="zh-CN"/>
        </w:rPr>
        <w:t>1.13.3</w:t>
      </w:r>
      <w:r>
        <w:rPr>
          <w:rFonts w:hint="eastAsia" w:hAnsi="Times New Roman" w:cs="Times New Roman"/>
          <w:color w:val="auto"/>
          <w:highlight w:val="none"/>
          <w:lang w:eastAsia="zh-CN"/>
        </w:rPr>
        <w:t>　</w:t>
      </w:r>
      <w:r>
        <w:rPr>
          <w:rFonts w:hAnsi="楷体" w:cs="楷体"/>
          <w:color w:val="auto"/>
          <w:highlight w:val="none"/>
          <w:lang w:eastAsia="zh-CN"/>
        </w:rPr>
        <w:t>特殊约定的总价支付项目</w:t>
      </w:r>
    </w:p>
    <w:p w14:paraId="355AA03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）进场费</w:t>
      </w:r>
    </w:p>
    <w:p w14:paraId="20AC49E3">
      <w:pPr>
        <w:ind w:firstLine="420"/>
        <w:jc w:val="left"/>
        <w:rPr>
          <w:rFonts w:cs="宋体"/>
          <w:color w:val="auto"/>
          <w:highlight w:val="none"/>
          <w:lang w:eastAsia="zh-CN"/>
        </w:rPr>
      </w:pPr>
      <w:r>
        <w:rPr>
          <w:rFonts w:cs="宋体"/>
          <w:color w:val="auto"/>
          <w:highlight w:val="none"/>
          <w:lang w:eastAsia="zh-CN"/>
        </w:rPr>
        <w:t>除合同另有约定外，承包人完成合同项目施工所需人员、施工设备和周转性材料的调遣费用等，均应包含在《工程量清单》项目的工程单价中，发包人不另行支付。</w:t>
      </w:r>
    </w:p>
    <w:p w14:paraId="50E014C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）退场费</w:t>
      </w:r>
    </w:p>
    <w:p w14:paraId="6D0937F1">
      <w:pPr>
        <w:ind w:firstLine="420"/>
        <w:jc w:val="left"/>
        <w:rPr>
          <w:rFonts w:hAnsi="Times New Roman" w:cs="宋体"/>
          <w:color w:val="auto"/>
          <w:highlight w:val="none"/>
          <w:lang w:eastAsia="zh-CN"/>
        </w:rPr>
      </w:pPr>
      <w:r>
        <w:rPr>
          <w:rFonts w:cs="宋体"/>
          <w:color w:val="auto"/>
          <w:highlight w:val="none"/>
          <w:lang w:eastAsia="zh-CN"/>
        </w:rPr>
        <w:t>除合同另有约定外，工程完工验收后，承包人完工清场，撤退人员、施工设备和周转性材料等所需费用，均应包含在《工程量清单》项目的工程单价中，发包人不另行支付。</w:t>
      </w:r>
    </w:p>
    <w:p w14:paraId="0BD51ED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）保险费</w:t>
      </w:r>
    </w:p>
    <w:p w14:paraId="4015503A">
      <w:pPr>
        <w:ind w:firstLine="420"/>
        <w:jc w:val="left"/>
        <w:rPr>
          <w:rFonts w:hAnsi="Times New Roman" w:cs="宋体"/>
          <w:color w:val="auto"/>
          <w:highlight w:val="none"/>
          <w:lang w:eastAsia="zh-CN"/>
        </w:rPr>
      </w:pPr>
      <w:r>
        <w:rPr>
          <w:rFonts w:cs="宋体"/>
          <w:color w:val="auto"/>
          <w:highlight w:val="none"/>
          <w:lang w:eastAsia="zh-CN"/>
        </w:rPr>
        <w:t>发包人按本章第</w:t>
      </w:r>
      <w:r>
        <w:rPr>
          <w:rFonts w:hAnsi="Times New Roman" w:cs="Times New Roman"/>
          <w:color w:val="auto"/>
          <w:highlight w:val="none"/>
          <w:lang w:eastAsia="zh-CN"/>
        </w:rPr>
        <w:t>1.12</w:t>
      </w:r>
      <w:r>
        <w:rPr>
          <w:rFonts w:cs="宋体"/>
          <w:color w:val="auto"/>
          <w:highlight w:val="none"/>
          <w:lang w:eastAsia="zh-CN"/>
        </w:rPr>
        <w:t>款规定以承包人提交保单的金额为限进行支付，且建筑安装工程一切险和第三者责任险的支付限额不应超过已标价工程量清单中相应项目列报的保险费用。</w:t>
      </w:r>
    </w:p>
    <w:p w14:paraId="250F58C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）其它费用</w:t>
      </w:r>
    </w:p>
    <w:p w14:paraId="5EACBC9B">
      <w:pPr>
        <w:ind w:firstLine="420"/>
        <w:jc w:val="left"/>
        <w:rPr>
          <w:rFonts w:hAnsi="Times New Roman" w:cs="宋体"/>
          <w:color w:val="auto"/>
          <w:highlight w:val="none"/>
          <w:lang w:eastAsia="zh-CN"/>
        </w:rPr>
      </w:pPr>
      <w:r>
        <w:rPr>
          <w:rFonts w:hint="eastAsia" w:hAnsi="Times New Roman" w:cs="宋体"/>
          <w:color w:val="auto"/>
          <w:highlight w:val="none"/>
          <w:lang w:eastAsia="zh-CN"/>
        </w:rPr>
        <w:t>承包人按本章规定完成各项工作所发生的其它费用，均包含在《工程量清单》有关项目的工程单价或总价中，发包人不另行支付。</w:t>
      </w:r>
    </w:p>
    <w:p w14:paraId="07A15A6D">
      <w:pPr>
        <w:pStyle w:val="3"/>
        <w:tabs>
          <w:tab w:val="left" w:pos="3229"/>
        </w:tabs>
        <w:spacing w:beforeLines="0" w:afterLines="0"/>
        <w:rPr>
          <w:rFonts w:hint="eastAsia" w:cs="宋体"/>
          <w:color w:val="auto"/>
          <w:szCs w:val="30"/>
          <w:highlight w:val="none"/>
        </w:rPr>
      </w:pPr>
      <w:bookmarkStart w:id="1639" w:name="_Toc12667"/>
      <w:bookmarkStart w:id="1640" w:name="_Toc19811"/>
      <w:bookmarkStart w:id="1641" w:name="_Toc22547"/>
      <w:bookmarkStart w:id="1642" w:name="_Toc24774"/>
      <w:r>
        <w:rPr>
          <w:rFonts w:hint="eastAsia" w:cs="宋体"/>
          <w:color w:val="auto"/>
          <w:szCs w:val="30"/>
          <w:highlight w:val="none"/>
        </w:rPr>
        <w:t>2</w:t>
      </w:r>
      <w:r>
        <w:rPr>
          <w:rFonts w:hint="eastAsia" w:cs="宋体"/>
          <w:color w:val="auto"/>
          <w:szCs w:val="30"/>
          <w:highlight w:val="none"/>
          <w:lang w:eastAsia="zh-CN"/>
        </w:rPr>
        <w:t>　</w:t>
      </w:r>
      <w:r>
        <w:rPr>
          <w:rFonts w:hint="eastAsia" w:cs="宋体"/>
          <w:color w:val="auto"/>
          <w:szCs w:val="30"/>
          <w:highlight w:val="none"/>
        </w:rPr>
        <w:t>施工临时设施</w:t>
      </w:r>
      <w:bookmarkEnd w:id="1639"/>
      <w:bookmarkEnd w:id="1640"/>
      <w:bookmarkEnd w:id="1641"/>
      <w:bookmarkEnd w:id="1642"/>
    </w:p>
    <w:p w14:paraId="617D33AD">
      <w:pPr>
        <w:pStyle w:val="4"/>
        <w:spacing w:beforeLines="0" w:afterLines="0"/>
        <w:rPr>
          <w:rFonts w:hint="eastAsia" w:cs="宋体"/>
          <w:bCs/>
          <w:color w:val="auto"/>
          <w:szCs w:val="24"/>
          <w:highlight w:val="none"/>
        </w:rPr>
      </w:pPr>
      <w:r>
        <w:rPr>
          <w:rFonts w:hint="eastAsia" w:cs="宋体"/>
          <w:bCs/>
          <w:color w:val="auto"/>
          <w:szCs w:val="24"/>
          <w:highlight w:val="none"/>
        </w:rPr>
        <w:t>2.1</w:t>
      </w:r>
      <w:r>
        <w:rPr>
          <w:rFonts w:hint="eastAsia" w:cs="宋体"/>
          <w:bCs/>
          <w:color w:val="auto"/>
          <w:szCs w:val="24"/>
          <w:highlight w:val="none"/>
          <w:lang w:eastAsia="zh-CN"/>
        </w:rPr>
        <w:t>　</w:t>
      </w:r>
      <w:r>
        <w:rPr>
          <w:rFonts w:hint="eastAsia" w:cs="宋体"/>
          <w:bCs/>
          <w:color w:val="auto"/>
          <w:szCs w:val="24"/>
          <w:highlight w:val="none"/>
        </w:rPr>
        <w:t>一般规定</w:t>
      </w:r>
    </w:p>
    <w:p w14:paraId="489F4F4C">
      <w:pPr>
        <w:pStyle w:val="5"/>
        <w:rPr>
          <w:rFonts w:hAnsi="Times New Roman" w:cs="楷体"/>
          <w:color w:val="auto"/>
          <w:highlight w:val="none"/>
          <w:lang w:eastAsia="zh-CN"/>
        </w:rPr>
      </w:pPr>
      <w:r>
        <w:rPr>
          <w:rFonts w:hAnsi="Times New Roman" w:cs="Times New Roman"/>
          <w:color w:val="auto"/>
          <w:highlight w:val="none"/>
          <w:lang w:eastAsia="zh-CN"/>
        </w:rPr>
        <w:t>2.1.1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28C26830">
      <w:pPr>
        <w:ind w:firstLine="420"/>
        <w:jc w:val="left"/>
        <w:rPr>
          <w:rFonts w:cs="宋体"/>
          <w:color w:val="auto"/>
          <w:highlight w:val="none"/>
          <w:lang w:eastAsia="zh-CN"/>
        </w:rPr>
      </w:pPr>
      <w:r>
        <w:rPr>
          <w:rFonts w:cs="宋体"/>
          <w:color w:val="auto"/>
          <w:highlight w:val="none"/>
          <w:lang w:eastAsia="zh-CN"/>
        </w:rPr>
        <w:t>本章规定适用于本合同工程施工临时设施的设计、施工及其附属设备的采购和配置、安装、运行、维护、管理和拆除等全部工作。其工作项目包括：</w:t>
      </w:r>
      <w:r>
        <w:rPr>
          <w:rFonts w:hint="eastAsia" w:cs="宋体"/>
          <w:color w:val="auto"/>
          <w:highlight w:val="none"/>
          <w:lang w:eastAsia="zh-CN"/>
        </w:rPr>
        <w:t>施工交通、</w:t>
      </w:r>
      <w:r>
        <w:rPr>
          <w:rFonts w:hint="eastAsia" w:cs="宋体"/>
          <w:color w:val="auto"/>
          <w:highlight w:val="none"/>
          <w:lang w:val="en-US" w:eastAsia="zh-CN"/>
        </w:rPr>
        <w:t>施工场外供电、施工房屋建筑、</w:t>
      </w:r>
      <w:r>
        <w:rPr>
          <w:rFonts w:hint="eastAsia" w:cs="宋体"/>
          <w:color w:val="auto"/>
          <w:highlight w:val="none"/>
          <w:lang w:eastAsia="zh-CN"/>
        </w:rPr>
        <w:t>现场施工测量、现场试验、</w:t>
      </w:r>
      <w:r>
        <w:rPr>
          <w:rFonts w:hint="eastAsia" w:cs="宋体"/>
          <w:color w:val="auto"/>
          <w:highlight w:val="none"/>
          <w:lang w:val="en-US" w:eastAsia="zh-CN"/>
        </w:rPr>
        <w:t>场内施工及生活供电、施工照明</w:t>
      </w:r>
      <w:r>
        <w:rPr>
          <w:rFonts w:hint="eastAsia" w:cs="宋体"/>
          <w:color w:val="auto"/>
          <w:highlight w:val="none"/>
          <w:lang w:eastAsia="zh-CN"/>
        </w:rPr>
        <w:t>、施工</w:t>
      </w:r>
      <w:r>
        <w:rPr>
          <w:rFonts w:hint="eastAsia" w:cs="宋体"/>
          <w:color w:val="auto"/>
          <w:highlight w:val="none"/>
          <w:lang w:val="en-US" w:eastAsia="zh-CN"/>
        </w:rPr>
        <w:t>及生活</w:t>
      </w:r>
      <w:r>
        <w:rPr>
          <w:rFonts w:hint="eastAsia" w:cs="宋体"/>
          <w:color w:val="auto"/>
          <w:highlight w:val="none"/>
          <w:lang w:eastAsia="zh-CN"/>
        </w:rPr>
        <w:t>供水、施工供风、施工通信、砂石料</w:t>
      </w:r>
      <w:r>
        <w:rPr>
          <w:rFonts w:hint="eastAsia" w:cs="宋体"/>
          <w:color w:val="auto"/>
          <w:highlight w:val="none"/>
          <w:lang w:val="en-US" w:eastAsia="zh-CN"/>
        </w:rPr>
        <w:t>生产</w:t>
      </w:r>
      <w:r>
        <w:rPr>
          <w:rFonts w:hint="eastAsia" w:cs="宋体"/>
          <w:color w:val="auto"/>
          <w:highlight w:val="none"/>
          <w:lang w:eastAsia="zh-CN"/>
        </w:rPr>
        <w:t>系统、混凝土生产系统、附属加工厂及生产用房、</w:t>
      </w:r>
      <w:r>
        <w:rPr>
          <w:rFonts w:hint="eastAsia" w:cs="宋体"/>
          <w:color w:val="auto"/>
          <w:highlight w:val="none"/>
          <w:lang w:val="en-US" w:eastAsia="zh-CN"/>
        </w:rPr>
        <w:t>仓库</w:t>
      </w:r>
      <w:r>
        <w:rPr>
          <w:rFonts w:hint="eastAsia" w:cs="宋体"/>
          <w:color w:val="auto"/>
          <w:highlight w:val="none"/>
          <w:lang w:eastAsia="zh-CN"/>
        </w:rPr>
        <w:t>、</w:t>
      </w:r>
      <w:r>
        <w:rPr>
          <w:rFonts w:hint="eastAsia" w:cs="宋体"/>
          <w:color w:val="auto"/>
          <w:highlight w:val="none"/>
          <w:lang w:val="en-US" w:eastAsia="zh-CN"/>
        </w:rPr>
        <w:t>弃渣场和临时存料场以及其他临时设施</w:t>
      </w:r>
      <w:r>
        <w:rPr>
          <w:rFonts w:cs="宋体"/>
          <w:color w:val="auto"/>
          <w:highlight w:val="none"/>
          <w:lang w:eastAsia="zh-CN"/>
        </w:rPr>
        <w:t>等。</w:t>
      </w:r>
    </w:p>
    <w:p w14:paraId="26134ED4">
      <w:pPr>
        <w:pStyle w:val="5"/>
        <w:rPr>
          <w:rFonts w:hAnsi="Times New Roman" w:cs="楷体"/>
          <w:color w:val="auto"/>
          <w:highlight w:val="none"/>
          <w:lang w:eastAsia="zh-CN"/>
        </w:rPr>
      </w:pPr>
      <w:r>
        <w:rPr>
          <w:rFonts w:hAnsi="Times New Roman" w:cs="Times New Roman"/>
          <w:color w:val="auto"/>
          <w:highlight w:val="none"/>
          <w:lang w:eastAsia="zh-CN"/>
        </w:rPr>
        <w:t>2.1.2</w:t>
      </w:r>
      <w:r>
        <w:rPr>
          <w:rFonts w:hAnsi="楷体" w:cs="楷体"/>
          <w:color w:val="auto"/>
          <w:highlight w:val="none"/>
          <w:lang w:eastAsia="zh-CN"/>
        </w:rPr>
        <w:t>承包人责任</w:t>
      </w:r>
    </w:p>
    <w:p w14:paraId="552392FB">
      <w:pPr>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（1）承包人应负责修建完成本章第2.2～2.4款及第2.7～2.14款所列的各项施工临时设施，并在各项永久工程建筑物施工前，完成全部施工临时设施及其附属设备的安装和试运行。</w:t>
      </w:r>
    </w:p>
    <w:p w14:paraId="676AF475">
      <w:pPr>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（2）承包人应按发包人提供的施工交通规划及本章第2.2款的规定，负责场外公共交通和场内施工临时道路及其交通设施、设备的设计、施工、采购和配置、安装、运行和维护。</w:t>
      </w:r>
    </w:p>
    <w:p w14:paraId="28C839BF">
      <w:pPr>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（3）承包人应按本章第2.3款的规定，负责施工场外供电设施、设备的设计、施工、采购和配置、安装、运行和维护。</w:t>
      </w:r>
    </w:p>
    <w:p w14:paraId="351D2C47">
      <w:pPr>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（4）承包人应按本章第2.4款的规定，负责施工房屋建筑工程的规划、布置、设计、施工和维护，并应对现场办公和生活建筑物的使用安全负责。</w:t>
      </w:r>
    </w:p>
    <w:p w14:paraId="6F47ECE1">
      <w:pPr>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（5）承包人应按本章第2.5款、第2.6款的规定，负责本工程的现场施工测量和现场试验工作。并对其提供的测量和试验成果负全部责任。</w:t>
      </w:r>
    </w:p>
    <w:p w14:paraId="68B618EE">
      <w:pPr>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（6）承包人应按本章第2.7～2.10款的规定，负责设计和配置场内施工及生活供电、施工照明、供水、供风、通信等施工临时设施。</w:t>
      </w:r>
    </w:p>
    <w:p w14:paraId="09E228FA">
      <w:pPr>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（7）承包人应按本章第2.11～2.14款的规定，负责设计、建造、运行和维护砂石料生产系统、混凝土生产系统、 附属加工厂及生产用房、弃渣场以及其它临时设施。</w:t>
      </w:r>
    </w:p>
    <w:p w14:paraId="6404D96D">
      <w:pPr>
        <w:suppressAutoHyphens/>
        <w:ind w:firstLine="420"/>
        <w:jc w:val="left"/>
        <w:rPr>
          <w:rFonts w:hint="eastAsia" w:hAnsiTheme="minorEastAsia" w:cstheme="minorEastAsia"/>
          <w:color w:val="auto"/>
          <w:highlight w:val="none"/>
          <w:lang w:eastAsia="zh-CN"/>
        </w:rPr>
      </w:pPr>
      <w:r>
        <w:rPr>
          <w:rFonts w:hint="eastAsia" w:hAnsiTheme="minorEastAsia" w:cstheme="minorEastAsia"/>
          <w:color w:val="auto"/>
          <w:highlight w:val="none"/>
          <w:lang w:eastAsia="zh-CN"/>
        </w:rPr>
        <w:t>（</w:t>
      </w:r>
      <w:r>
        <w:rPr>
          <w:rFonts w:hint="eastAsia" w:hAnsiTheme="minorEastAsia" w:cstheme="minorEastAsia"/>
          <w:color w:val="auto"/>
          <w:highlight w:val="none"/>
          <w:lang w:val="en-US" w:eastAsia="zh-CN"/>
        </w:rPr>
        <w:t>8</w:t>
      </w:r>
      <w:r>
        <w:rPr>
          <w:rFonts w:hint="eastAsia" w:hAnsiTheme="minorEastAsia" w:cstheme="minorEastAsia"/>
          <w:color w:val="auto"/>
          <w:highlight w:val="none"/>
          <w:lang w:eastAsia="zh-CN"/>
        </w:rPr>
        <w:t>）</w:t>
      </w:r>
      <w:r>
        <w:rPr>
          <w:rFonts w:hint="eastAsia" w:hAnsiTheme="minorEastAsia" w:cstheme="minorEastAsia"/>
          <w:color w:val="auto"/>
          <w:highlight w:val="none"/>
          <w:lang w:val="en-US" w:eastAsia="zh-CN"/>
        </w:rPr>
        <w:t>完工后须保留的施工临时设施（如部分钢栈桥）</w:t>
      </w:r>
      <w:r>
        <w:rPr>
          <w:rFonts w:hint="eastAsia" w:hAnsiTheme="minorEastAsia" w:cstheme="minorEastAsia"/>
          <w:color w:val="auto"/>
          <w:highlight w:val="none"/>
          <w:lang w:eastAsia="zh-CN"/>
        </w:rPr>
        <w:t>所有权归</w:t>
      </w:r>
      <w:r>
        <w:rPr>
          <w:rFonts w:hint="eastAsia" w:hAnsiTheme="minorEastAsia" w:cstheme="minorEastAsia"/>
          <w:color w:val="auto"/>
          <w:highlight w:val="none"/>
          <w:lang w:val="en-US" w:eastAsia="zh-CN"/>
        </w:rPr>
        <w:t>发</w:t>
      </w:r>
      <w:r>
        <w:rPr>
          <w:rFonts w:hint="eastAsia" w:hAnsiTheme="minorEastAsia" w:cstheme="minorEastAsia"/>
          <w:color w:val="auto"/>
          <w:highlight w:val="none"/>
          <w:lang w:eastAsia="zh-CN"/>
        </w:rPr>
        <w:t>包人所有，</w:t>
      </w:r>
      <w:r>
        <w:rPr>
          <w:rFonts w:hint="eastAsia" w:hAnsiTheme="minorEastAsia" w:cstheme="minorEastAsia"/>
          <w:color w:val="auto"/>
          <w:highlight w:val="none"/>
          <w:lang w:val="en-US" w:eastAsia="zh-CN"/>
        </w:rPr>
        <w:t>工程完工后，承包人应无偿移交给发包人；其余施工临时设施（如施工房屋、施工供电等）</w:t>
      </w:r>
      <w:r>
        <w:rPr>
          <w:rFonts w:hint="eastAsia" w:hAnsiTheme="minorEastAsia" w:cstheme="minorEastAsia"/>
          <w:color w:val="auto"/>
          <w:highlight w:val="none"/>
          <w:lang w:eastAsia="zh-CN"/>
        </w:rPr>
        <w:t>所有权归</w:t>
      </w:r>
      <w:r>
        <w:rPr>
          <w:rFonts w:hint="eastAsia" w:hAnsiTheme="minorEastAsia" w:cstheme="minorEastAsia"/>
          <w:color w:val="auto"/>
          <w:highlight w:val="none"/>
          <w:lang w:val="en-US" w:eastAsia="zh-CN"/>
        </w:rPr>
        <w:t>承</w:t>
      </w:r>
      <w:r>
        <w:rPr>
          <w:rFonts w:hint="eastAsia" w:hAnsiTheme="minorEastAsia" w:cstheme="minorEastAsia"/>
          <w:color w:val="auto"/>
          <w:highlight w:val="none"/>
          <w:lang w:eastAsia="zh-CN"/>
        </w:rPr>
        <w:t>包人所有，</w:t>
      </w:r>
      <w:r>
        <w:rPr>
          <w:rFonts w:hint="eastAsia" w:hAnsiTheme="minorEastAsia" w:cstheme="minorEastAsia"/>
          <w:color w:val="auto"/>
          <w:highlight w:val="none"/>
          <w:lang w:val="en-US" w:eastAsia="zh-CN"/>
        </w:rPr>
        <w:t>工程完工后，承包人应进行</w:t>
      </w:r>
      <w:r>
        <w:rPr>
          <w:rFonts w:hint="eastAsia" w:hAnsiTheme="minorEastAsia" w:cstheme="minorEastAsia"/>
          <w:color w:val="auto"/>
          <w:highlight w:val="none"/>
          <w:lang w:eastAsia="zh-CN"/>
        </w:rPr>
        <w:t>拆除，</w:t>
      </w:r>
      <w:r>
        <w:rPr>
          <w:rFonts w:hint="eastAsia" w:hAnsiTheme="minorEastAsia" w:cstheme="minorEastAsia"/>
          <w:color w:val="auto"/>
          <w:highlight w:val="none"/>
          <w:lang w:val="en-US" w:eastAsia="zh-CN"/>
        </w:rPr>
        <w:t>并清理场地</w:t>
      </w:r>
      <w:r>
        <w:rPr>
          <w:rFonts w:hint="eastAsia" w:hAnsiTheme="minorEastAsia" w:cstheme="minorEastAsia"/>
          <w:color w:val="auto"/>
          <w:highlight w:val="none"/>
          <w:lang w:eastAsia="zh-CN"/>
        </w:rPr>
        <w:t>，拆除</w:t>
      </w:r>
      <w:r>
        <w:rPr>
          <w:rFonts w:hint="eastAsia" w:hAnsiTheme="minorEastAsia" w:cstheme="minorEastAsia"/>
          <w:color w:val="auto"/>
          <w:highlight w:val="none"/>
          <w:lang w:val="en-US" w:eastAsia="zh-CN"/>
        </w:rPr>
        <w:t>和清理场地的</w:t>
      </w:r>
      <w:r>
        <w:rPr>
          <w:rFonts w:hint="eastAsia" w:hAnsiTheme="minorEastAsia" w:cstheme="minorEastAsia"/>
          <w:color w:val="auto"/>
          <w:highlight w:val="none"/>
          <w:lang w:eastAsia="zh-CN"/>
        </w:rPr>
        <w:t>费用由承包人承担，</w:t>
      </w:r>
      <w:r>
        <w:rPr>
          <w:rFonts w:hint="eastAsia" w:hAnsiTheme="minorEastAsia" w:cstheme="minorEastAsia"/>
          <w:color w:val="auto"/>
          <w:highlight w:val="none"/>
          <w:lang w:val="en-US" w:eastAsia="zh-CN"/>
        </w:rPr>
        <w:t>发包人不另行支付</w:t>
      </w:r>
      <w:r>
        <w:rPr>
          <w:rFonts w:hint="eastAsia" w:hAnsiTheme="minorEastAsia" w:cstheme="minorEastAsia"/>
          <w:color w:val="auto"/>
          <w:highlight w:val="none"/>
          <w:lang w:eastAsia="zh-CN"/>
        </w:rPr>
        <w:t>。</w:t>
      </w:r>
    </w:p>
    <w:p w14:paraId="60A500B5">
      <w:pPr>
        <w:ind w:firstLine="420"/>
        <w:jc w:val="left"/>
        <w:rPr>
          <w:rFonts w:cs="宋体"/>
          <w:color w:val="auto"/>
          <w:highlight w:val="none"/>
          <w:lang w:eastAsia="zh-CN"/>
        </w:rPr>
      </w:pPr>
      <w:r>
        <w:rPr>
          <w:rFonts w:hint="eastAsia" w:hAnsiTheme="minorEastAsia" w:cstheme="minorEastAsia"/>
          <w:color w:val="auto"/>
          <w:highlight w:val="none"/>
          <w:lang w:eastAsia="zh-CN"/>
        </w:rPr>
        <w:t>（9</w:t>
      </w:r>
      <w:r>
        <w:rPr>
          <w:rFonts w:hAnsiTheme="minorEastAsia" w:cstheme="minorEastAsia"/>
          <w:color w:val="auto"/>
          <w:highlight w:val="none"/>
          <w:lang w:eastAsia="zh-CN"/>
        </w:rPr>
        <w:t>）</w:t>
      </w:r>
      <w:r>
        <w:rPr>
          <w:rFonts w:cs="宋体"/>
          <w:color w:val="auto"/>
          <w:highlight w:val="none"/>
          <w:lang w:eastAsia="zh-CN"/>
        </w:rPr>
        <w:t>承包人在发包人提供的施工用地以外进行临时设施布置，承包人自行办理相关手续，费用由承包人承担，发包人不另行支付。工程完工后，承包人应负责对本标段范围内的全部临时用地（包含承包人在超出发包人提供的施工用地范围外的</w:t>
      </w:r>
      <w:r>
        <w:rPr>
          <w:rFonts w:hint="eastAsia" w:cs="宋体"/>
          <w:color w:val="auto"/>
          <w:highlight w:val="none"/>
          <w:lang w:val="en-US" w:eastAsia="zh-CN"/>
        </w:rPr>
        <w:t>所有</w:t>
      </w:r>
      <w:r>
        <w:rPr>
          <w:rFonts w:cs="宋体"/>
          <w:color w:val="auto"/>
          <w:highlight w:val="none"/>
          <w:lang w:eastAsia="zh-CN"/>
        </w:rPr>
        <w:t>临时用地）进行恢复</w:t>
      </w:r>
      <w:r>
        <w:rPr>
          <w:rFonts w:hint="eastAsia" w:cs="宋体"/>
          <w:color w:val="auto"/>
          <w:highlight w:val="none"/>
          <w:lang w:eastAsia="zh-CN"/>
        </w:rPr>
        <w:t>（</w:t>
      </w:r>
      <w:r>
        <w:rPr>
          <w:rFonts w:hint="eastAsia" w:cs="宋体"/>
          <w:color w:val="auto"/>
          <w:highlight w:val="none"/>
          <w:lang w:val="en-US" w:eastAsia="zh-CN"/>
        </w:rPr>
        <w:t>含复垦）</w:t>
      </w:r>
      <w:r>
        <w:rPr>
          <w:rFonts w:cs="宋体"/>
          <w:color w:val="auto"/>
          <w:highlight w:val="none"/>
          <w:lang w:eastAsia="zh-CN"/>
        </w:rPr>
        <w:t>，并负责</w:t>
      </w:r>
      <w:r>
        <w:rPr>
          <w:rFonts w:hint="eastAsia" w:cs="宋体"/>
          <w:color w:val="auto"/>
          <w:highlight w:val="none"/>
          <w:lang w:val="en-US" w:eastAsia="zh-CN"/>
        </w:rPr>
        <w:t>完成有复垦要求的</w:t>
      </w:r>
      <w:r>
        <w:rPr>
          <w:rFonts w:cs="宋体"/>
          <w:color w:val="auto"/>
          <w:highlight w:val="none"/>
          <w:lang w:eastAsia="zh-CN"/>
        </w:rPr>
        <w:t>临时用地</w:t>
      </w:r>
      <w:r>
        <w:rPr>
          <w:rFonts w:hint="eastAsia" w:cs="宋体"/>
          <w:color w:val="auto"/>
          <w:highlight w:val="none"/>
          <w:lang w:val="en-US" w:eastAsia="zh-CN"/>
        </w:rPr>
        <w:t>的</w:t>
      </w:r>
      <w:r>
        <w:rPr>
          <w:rFonts w:cs="宋体"/>
          <w:color w:val="auto"/>
          <w:highlight w:val="none"/>
          <w:lang w:eastAsia="zh-CN"/>
        </w:rPr>
        <w:t>复垦</w:t>
      </w:r>
      <w:r>
        <w:rPr>
          <w:rFonts w:hint="eastAsia" w:cs="宋体"/>
          <w:color w:val="auto"/>
          <w:highlight w:val="none"/>
          <w:lang w:val="en-US" w:eastAsia="zh-CN"/>
        </w:rPr>
        <w:t>及</w:t>
      </w:r>
      <w:r>
        <w:rPr>
          <w:rFonts w:cs="宋体"/>
          <w:color w:val="auto"/>
          <w:highlight w:val="none"/>
          <w:lang w:eastAsia="zh-CN"/>
        </w:rPr>
        <w:t>验收工作。因承包人原因造成复垦</w:t>
      </w:r>
      <w:r>
        <w:rPr>
          <w:rFonts w:hint="eastAsia" w:cs="宋体"/>
          <w:color w:val="auto"/>
          <w:highlight w:val="none"/>
          <w:lang w:val="en-US" w:eastAsia="zh-CN"/>
        </w:rPr>
        <w:t>未经</w:t>
      </w:r>
      <w:r>
        <w:rPr>
          <w:rFonts w:cs="宋体"/>
          <w:color w:val="auto"/>
          <w:highlight w:val="none"/>
          <w:lang w:eastAsia="zh-CN"/>
        </w:rPr>
        <w:t>验收通过，复垦保证金不予退还。</w:t>
      </w:r>
    </w:p>
    <w:p w14:paraId="6A35183F">
      <w:pPr>
        <w:ind w:firstLine="420"/>
        <w:jc w:val="left"/>
        <w:rPr>
          <w:rFonts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10</w:t>
      </w:r>
      <w:r>
        <w:rPr>
          <w:rFonts w:hint="eastAsia" w:cs="宋体"/>
          <w:color w:val="auto"/>
          <w:highlight w:val="none"/>
          <w:lang w:eastAsia="zh-CN"/>
        </w:rPr>
        <w:t>）本章表2.2-1《场内主要交通设施数量表》、表2.3-1《场外施工供电设施数量表》、表2.4-1《施工房屋数量表》所列数量及要求为承包人应完成的最低数量和标准，如承包人未足额完成或未满足其规定的标准或要求，视为承包人违约，违约金额与《工程量清单》“施工交通工程”、施工场外供电工程、“施工房屋建筑工程”金额一致，发包人有权在结算时部分或全部扣除。</w:t>
      </w:r>
    </w:p>
    <w:p w14:paraId="3946AD68">
      <w:pPr>
        <w:pStyle w:val="49"/>
        <w:widowControl w:val="0"/>
        <w:spacing w:beforeAutospacing="0" w:afterAutospacing="0" w:line="360" w:lineRule="auto"/>
        <w:ind w:firstLine="480" w:firstLineChars="200"/>
        <w:rPr>
          <w:rFonts w:hAnsi="Times New Roman"/>
          <w:snapToGrid w:val="0"/>
          <w:color w:val="auto"/>
          <w:sz w:val="24"/>
          <w:szCs w:val="24"/>
          <w:highlight w:val="none"/>
        </w:rPr>
      </w:pPr>
      <w:r>
        <w:rPr>
          <w:rFonts w:hint="eastAsia" w:hAnsi="Times New Roman"/>
          <w:snapToGrid w:val="0"/>
          <w:color w:val="auto"/>
          <w:sz w:val="24"/>
          <w:szCs w:val="24"/>
          <w:highlight w:val="none"/>
        </w:rPr>
        <w:t>（</w:t>
      </w:r>
      <w:r>
        <w:rPr>
          <w:rFonts w:hint="eastAsia" w:hAnsi="Times New Roman"/>
          <w:snapToGrid w:val="0"/>
          <w:color w:val="auto"/>
          <w:sz w:val="24"/>
          <w:szCs w:val="24"/>
          <w:highlight w:val="none"/>
          <w:lang w:eastAsia="zh-CN"/>
        </w:rPr>
        <w:t>1</w:t>
      </w:r>
      <w:r>
        <w:rPr>
          <w:rFonts w:hint="eastAsia" w:hAnsi="Times New Roman"/>
          <w:snapToGrid w:val="0"/>
          <w:color w:val="auto"/>
          <w:sz w:val="24"/>
          <w:szCs w:val="24"/>
          <w:highlight w:val="none"/>
          <w:lang w:val="en-US" w:eastAsia="zh-CN"/>
        </w:rPr>
        <w:t>1</w:t>
      </w:r>
      <w:r>
        <w:rPr>
          <w:rFonts w:hint="eastAsia" w:hAnsi="Times New Roman"/>
          <w:snapToGrid w:val="0"/>
          <w:color w:val="auto"/>
          <w:sz w:val="24"/>
          <w:szCs w:val="24"/>
          <w:highlight w:val="none"/>
        </w:rPr>
        <w:t>）承包人完成本章所列各项施工临时设施的设计、设备及材料采购、施工、安装、调试、运行、维护、管理和拆除等全部工作，除满足工程施工、</w:t>
      </w:r>
      <w:r>
        <w:rPr>
          <w:rFonts w:hint="eastAsia" w:hAnsi="Times New Roman"/>
          <w:snapToGrid w:val="0"/>
          <w:color w:val="auto"/>
          <w:sz w:val="24"/>
          <w:szCs w:val="24"/>
          <w:highlight w:val="none"/>
          <w:lang w:val="en-US" w:eastAsia="zh-CN"/>
        </w:rPr>
        <w:t>进度、质量、</w:t>
      </w:r>
      <w:r>
        <w:rPr>
          <w:rFonts w:hint="eastAsia" w:hAnsi="Times New Roman"/>
          <w:snapToGrid w:val="0"/>
          <w:color w:val="auto"/>
          <w:sz w:val="24"/>
          <w:szCs w:val="24"/>
          <w:highlight w:val="none"/>
        </w:rPr>
        <w:t>安全要求外，还应满足《浙江省水利建设工程文明标化工地创建指导手册（2024年）》的要求，该手册详见浙江省水利厅官网（https://slt.zj.gov.cn/art/2024/4/29/art_1229229426_5295230.html）。如实施过程中，浙江省水利建设工程文明标化工地要求在2024年版基础上有更新，承包人应按发包人或监理人的要求执行</w:t>
      </w:r>
      <w:r>
        <w:rPr>
          <w:rFonts w:hint="eastAsia" w:hAnsi="Times New Roman"/>
          <w:snapToGrid w:val="0"/>
          <w:color w:val="auto"/>
          <w:sz w:val="24"/>
          <w:szCs w:val="24"/>
          <w:highlight w:val="none"/>
          <w:lang w:val="en-US" w:eastAsia="zh-CN"/>
        </w:rPr>
        <w:t>最新的规定</w:t>
      </w:r>
      <w:r>
        <w:rPr>
          <w:rFonts w:hint="eastAsia" w:hAnsi="Times New Roman"/>
          <w:snapToGrid w:val="0"/>
          <w:color w:val="auto"/>
          <w:sz w:val="24"/>
          <w:szCs w:val="24"/>
          <w:highlight w:val="none"/>
        </w:rPr>
        <w:t>。</w:t>
      </w:r>
    </w:p>
    <w:p w14:paraId="3518D86F">
      <w:pPr>
        <w:pStyle w:val="5"/>
        <w:rPr>
          <w:rFonts w:hAnsi="Times New Roman" w:cs="楷体"/>
          <w:color w:val="auto"/>
          <w:highlight w:val="none"/>
          <w:lang w:eastAsia="zh-CN"/>
        </w:rPr>
      </w:pPr>
      <w:r>
        <w:rPr>
          <w:rFonts w:hAnsi="Times New Roman" w:cs="Times New Roman"/>
          <w:color w:val="auto"/>
          <w:highlight w:val="none"/>
          <w:lang w:eastAsia="zh-CN"/>
        </w:rPr>
        <w:t>2.1.3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2B011920">
      <w:pPr>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承包人应按本技术条款第</w:t>
      </w:r>
      <w:r>
        <w:rPr>
          <w:rFonts w:hAnsiTheme="minorEastAsia" w:cstheme="minorEastAsia"/>
          <w:color w:val="auto"/>
          <w:highlight w:val="none"/>
          <w:lang w:eastAsia="zh-CN"/>
        </w:rPr>
        <w:t>1.4.2项，以及批准的施工总布置设计和本章第2.2～2.4</w:t>
      </w:r>
      <w:r>
        <w:rPr>
          <w:rFonts w:hint="eastAsia" w:hAnsiTheme="minorEastAsia" w:cstheme="minorEastAsia"/>
          <w:color w:val="auto"/>
          <w:highlight w:val="none"/>
          <w:lang w:eastAsia="zh-CN"/>
        </w:rPr>
        <w:t>款及第</w:t>
      </w:r>
      <w:r>
        <w:rPr>
          <w:rFonts w:hAnsiTheme="minorEastAsia" w:cstheme="minorEastAsia"/>
          <w:color w:val="auto"/>
          <w:highlight w:val="none"/>
          <w:lang w:eastAsia="zh-CN"/>
        </w:rPr>
        <w:t>2.5～2.15款的规定，编制各项施工临时设施的设计文件，提交监理人批准。其内容包括：</w:t>
      </w:r>
    </w:p>
    <w:p w14:paraId="36A97F7A">
      <w:pPr>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1）施工临时设施布置图。</w:t>
      </w:r>
    </w:p>
    <w:p w14:paraId="177BD415">
      <w:pPr>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2）施工工艺流程和（或）施工程序说明。</w:t>
      </w:r>
    </w:p>
    <w:p w14:paraId="7AA93734">
      <w:pPr>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3）安全和环境保护措施。</w:t>
      </w:r>
    </w:p>
    <w:p w14:paraId="3FE1EB65">
      <w:pPr>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4）施工期运行管理方式。</w:t>
      </w:r>
    </w:p>
    <w:p w14:paraId="7CC99509">
      <w:pPr>
        <w:pStyle w:val="5"/>
        <w:rPr>
          <w:rFonts w:hAnsi="Times New Roman" w:cs="楷体"/>
          <w:color w:val="auto"/>
          <w:highlight w:val="none"/>
          <w:lang w:eastAsia="zh-CN"/>
        </w:rPr>
      </w:pPr>
      <w:r>
        <w:rPr>
          <w:rFonts w:hAnsi="Times New Roman" w:cs="Times New Roman"/>
          <w:color w:val="auto"/>
          <w:highlight w:val="none"/>
          <w:lang w:eastAsia="zh-CN"/>
        </w:rPr>
        <w:t>2.1.4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5285F3A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）《生活饮用水卫生标准》（</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5749-2006</w:t>
      </w:r>
      <w:r>
        <w:rPr>
          <w:rFonts w:cs="宋体"/>
          <w:color w:val="auto"/>
          <w:highlight w:val="none"/>
          <w:lang w:eastAsia="zh-CN"/>
        </w:rPr>
        <w:t>）。</w:t>
      </w:r>
    </w:p>
    <w:p w14:paraId="7559A29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）《水工建筑物地下开挖工程施工规范》（</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378-2007</w:t>
      </w:r>
      <w:r>
        <w:rPr>
          <w:rFonts w:cs="宋体"/>
          <w:color w:val="auto"/>
          <w:highlight w:val="none"/>
          <w:lang w:eastAsia="zh-CN"/>
        </w:rPr>
        <w:t>）。</w:t>
      </w:r>
    </w:p>
    <w:p w14:paraId="108D073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）《水利水电工程施工组织设计规范》（</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303-2017</w:t>
      </w:r>
      <w:r>
        <w:rPr>
          <w:rFonts w:cs="宋体"/>
          <w:color w:val="auto"/>
          <w:highlight w:val="none"/>
          <w:lang w:eastAsia="zh-CN"/>
        </w:rPr>
        <w:t>）。</w:t>
      </w:r>
    </w:p>
    <w:p w14:paraId="29135B4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）《水利水电工程施工测量规范》（</w:t>
      </w:r>
      <w:r>
        <w:rPr>
          <w:rFonts w:hint="eastAsia" w:hAnsi="Times New Roman" w:cs="Times New Roman"/>
          <w:color w:val="auto"/>
          <w:highlight w:val="none"/>
          <w:lang w:eastAsia="zh-CN"/>
        </w:rPr>
        <w:t xml:space="preserve">SL </w:t>
      </w:r>
      <w:r>
        <w:rPr>
          <w:rFonts w:hAnsi="Times New Roman" w:cs="Times New Roman"/>
          <w:color w:val="auto"/>
          <w:highlight w:val="none"/>
          <w:lang w:eastAsia="zh-CN"/>
        </w:rPr>
        <w:t>52-2015</w:t>
      </w:r>
      <w:r>
        <w:rPr>
          <w:rFonts w:cs="宋体"/>
          <w:color w:val="auto"/>
          <w:highlight w:val="none"/>
          <w:lang w:eastAsia="zh-CN"/>
        </w:rPr>
        <w:t>）。</w:t>
      </w:r>
    </w:p>
    <w:p w14:paraId="52D3B5B9">
      <w:pPr>
        <w:pStyle w:val="4"/>
        <w:spacing w:beforeLines="0" w:afterLines="0"/>
        <w:rPr>
          <w:rFonts w:hint="eastAsia" w:cs="宋体"/>
          <w:bCs/>
          <w:color w:val="auto"/>
          <w:szCs w:val="24"/>
          <w:highlight w:val="none"/>
        </w:rPr>
      </w:pPr>
      <w:r>
        <w:rPr>
          <w:rFonts w:hint="eastAsia" w:cs="宋体"/>
          <w:bCs/>
          <w:color w:val="auto"/>
          <w:szCs w:val="24"/>
          <w:highlight w:val="none"/>
        </w:rPr>
        <w:t>2.2</w:t>
      </w:r>
      <w:r>
        <w:rPr>
          <w:rFonts w:hint="eastAsia" w:cs="宋体"/>
          <w:bCs/>
          <w:color w:val="auto"/>
          <w:szCs w:val="24"/>
          <w:highlight w:val="none"/>
          <w:lang w:eastAsia="zh-CN"/>
        </w:rPr>
        <w:t>　</w:t>
      </w:r>
      <w:r>
        <w:rPr>
          <w:rFonts w:hint="eastAsia" w:cs="宋体"/>
          <w:bCs/>
          <w:color w:val="auto"/>
          <w:szCs w:val="24"/>
          <w:highlight w:val="none"/>
        </w:rPr>
        <w:t>施工交通</w:t>
      </w:r>
    </w:p>
    <w:p w14:paraId="0FACF5EB">
      <w:pPr>
        <w:pStyle w:val="5"/>
        <w:rPr>
          <w:rFonts w:hAnsi="Times New Roman" w:cs="楷体"/>
          <w:color w:val="auto"/>
          <w:highlight w:val="none"/>
          <w:lang w:eastAsia="zh-CN"/>
        </w:rPr>
      </w:pPr>
      <w:r>
        <w:rPr>
          <w:rFonts w:hAnsi="Times New Roman" w:cs="Times New Roman"/>
          <w:color w:val="auto"/>
          <w:highlight w:val="none"/>
          <w:lang w:eastAsia="zh-CN"/>
        </w:rPr>
        <w:t>2.2.1</w:t>
      </w:r>
      <w:r>
        <w:rPr>
          <w:rFonts w:hint="eastAsia" w:hAnsi="Times New Roman" w:cs="Times New Roman"/>
          <w:color w:val="auto"/>
          <w:highlight w:val="none"/>
          <w:lang w:eastAsia="zh-CN"/>
        </w:rPr>
        <w:t>　</w:t>
      </w:r>
      <w:r>
        <w:rPr>
          <w:rFonts w:hAnsi="楷体" w:cs="楷体"/>
          <w:color w:val="auto"/>
          <w:highlight w:val="none"/>
          <w:lang w:eastAsia="zh-CN"/>
        </w:rPr>
        <w:t>场内施工道路</w:t>
      </w:r>
    </w:p>
    <w:p w14:paraId="2A2F63B5">
      <w:pPr>
        <w:ind w:firstLine="420"/>
        <w:jc w:val="left"/>
        <w:rPr>
          <w:rFonts w:hint="eastAsia"/>
          <w:color w:val="auto"/>
          <w:highlight w:val="none"/>
          <w:lang w:eastAsia="zh-CN"/>
        </w:rPr>
      </w:pPr>
      <w:r>
        <w:rPr>
          <w:rFonts w:hint="eastAsia" w:cs="宋体"/>
          <w:color w:val="auto"/>
          <w:highlight w:val="none"/>
          <w:lang w:eastAsia="zh-CN"/>
        </w:rPr>
        <w:t>承包人应负责修建本合同施工区内外部交通至各施工点的全部施工道路、桥涵、交通隧道和停车场，拓宽需利用的既有道路，并在合同实施期间负责管理和维护（包括管理和维护发包人提供的施工道路），其中新建的施工道路工作内容包括但不限于基础处理、垫层、水稳层、钢筋敷设、混凝土面层及路肩等，拓宽道路工作内容包括但不限于原有道路的拆除、加固、基础处理及原有拓宽部分道路的基础的处理、垫层、水稳层、钢筋敷设、混凝土面层及路肩等</w:t>
      </w:r>
      <w:r>
        <w:rPr>
          <w:rFonts w:hint="eastAsia"/>
          <w:color w:val="auto"/>
          <w:highlight w:val="none"/>
          <w:lang w:eastAsia="zh-CN"/>
        </w:rPr>
        <w:t>。</w:t>
      </w:r>
    </w:p>
    <w:p w14:paraId="168FE3D1">
      <w:pPr>
        <w:ind w:firstLine="420"/>
        <w:jc w:val="left"/>
        <w:rPr>
          <w:rFonts w:hAnsi="Times New Roman" w:cs="宋体"/>
          <w:color w:val="auto"/>
          <w:highlight w:val="none"/>
          <w:lang w:eastAsia="zh-CN"/>
        </w:rPr>
      </w:pPr>
      <w:r>
        <w:rPr>
          <w:rFonts w:hint="eastAsia"/>
          <w:color w:val="auto"/>
          <w:highlight w:val="none"/>
          <w:lang w:eastAsia="zh-CN"/>
        </w:rPr>
        <w:t>本合同承包人负责修建、</w:t>
      </w:r>
      <w:r>
        <w:rPr>
          <w:rFonts w:hint="eastAsia"/>
          <w:color w:val="auto"/>
          <w:highlight w:val="none"/>
          <w:lang w:val="en-US" w:eastAsia="zh-CN"/>
        </w:rPr>
        <w:t>拓宽</w:t>
      </w:r>
      <w:r>
        <w:rPr>
          <w:rFonts w:hint="eastAsia"/>
          <w:color w:val="auto"/>
          <w:highlight w:val="none"/>
          <w:lang w:eastAsia="zh-CN"/>
        </w:rPr>
        <w:t>的施工道路、桥涵、错车道和停车场，应免费提供发包</w:t>
      </w:r>
      <w:r>
        <w:rPr>
          <w:rFonts w:cs="宋体"/>
          <w:color w:val="auto"/>
          <w:highlight w:val="none"/>
          <w:lang w:eastAsia="zh-CN"/>
        </w:rPr>
        <w:t>人、监理人、本</w:t>
      </w:r>
      <w:r>
        <w:rPr>
          <w:rFonts w:hint="eastAsia" w:cs="宋体"/>
          <w:color w:val="auto"/>
          <w:highlight w:val="none"/>
          <w:lang w:eastAsia="zh-CN"/>
        </w:rPr>
        <w:t>工程</w:t>
      </w:r>
      <w:r>
        <w:rPr>
          <w:rFonts w:cs="宋体"/>
          <w:color w:val="auto"/>
          <w:highlight w:val="none"/>
          <w:lang w:eastAsia="zh-CN"/>
        </w:rPr>
        <w:t>其他承包人使用。</w:t>
      </w:r>
    </w:p>
    <w:p w14:paraId="620B7752">
      <w:pPr>
        <w:ind w:firstLine="420"/>
        <w:jc w:val="left"/>
        <w:rPr>
          <w:rFonts w:hAnsi="Times New Roman"/>
          <w:color w:val="auto"/>
          <w:highlight w:val="none"/>
          <w:lang w:eastAsia="zh-CN"/>
        </w:rPr>
      </w:pPr>
      <w:r>
        <w:rPr>
          <w:rFonts w:cs="宋体"/>
          <w:color w:val="auto"/>
          <w:highlight w:val="none"/>
          <w:lang w:eastAsia="zh-CN"/>
        </w:rPr>
        <w:t>承包人应根据本标段主体工程建筑物布置特点、自身的施工设备情况、施工期高峰运输量、行车密度、运输要求，并通过深入现场查勘，结合现有交通条件，规划、设计施工道路，</w:t>
      </w:r>
      <w:r>
        <w:rPr>
          <w:rFonts w:hint="eastAsia" w:cs="宋体"/>
          <w:color w:val="auto"/>
          <w:highlight w:val="none"/>
          <w:lang w:val="en-US" w:eastAsia="zh-CN"/>
        </w:rPr>
        <w:t>制定</w:t>
      </w:r>
      <w:r>
        <w:rPr>
          <w:rFonts w:cs="宋体"/>
          <w:color w:val="auto"/>
          <w:highlight w:val="none"/>
          <w:lang w:eastAsia="zh-CN"/>
        </w:rPr>
        <w:t>能满足施工的交通运输方案。场内道路符合《水利水电工程施工组织设计规范》（</w:t>
      </w:r>
      <w:r>
        <w:rPr>
          <w:rFonts w:hint="eastAsia" w:hAnsi="Times New Roman" w:cs="宋体"/>
          <w:color w:val="auto"/>
          <w:highlight w:val="none"/>
          <w:lang w:eastAsia="zh-CN"/>
        </w:rPr>
        <w:t xml:space="preserve">SL </w:t>
      </w:r>
      <w:r>
        <w:rPr>
          <w:rFonts w:hAnsi="Times New Roman" w:cs="宋体"/>
          <w:color w:val="auto"/>
          <w:highlight w:val="none"/>
          <w:lang w:eastAsia="zh-CN"/>
        </w:rPr>
        <w:t>303-2017</w:t>
      </w:r>
      <w:r>
        <w:rPr>
          <w:rFonts w:cs="宋体"/>
          <w:color w:val="auto"/>
          <w:highlight w:val="none"/>
          <w:lang w:eastAsia="zh-CN"/>
        </w:rPr>
        <w:t>）要求。</w:t>
      </w:r>
      <w:r>
        <w:rPr>
          <w:rFonts w:hint="eastAsia"/>
          <w:color w:val="auto"/>
          <w:highlight w:val="none"/>
          <w:lang w:eastAsia="zh-CN"/>
        </w:rPr>
        <w:t>场内</w:t>
      </w:r>
      <w:r>
        <w:rPr>
          <w:rFonts w:hint="eastAsia"/>
          <w:color w:val="auto"/>
          <w:highlight w:val="none"/>
          <w:lang w:val="en-US" w:eastAsia="zh-CN"/>
        </w:rPr>
        <w:t>主要交通设施数量</w:t>
      </w:r>
      <w:r>
        <w:rPr>
          <w:rFonts w:hint="eastAsia"/>
          <w:color w:val="auto"/>
          <w:highlight w:val="none"/>
          <w:lang w:eastAsia="zh-CN"/>
        </w:rPr>
        <w:t>及要求详见表</w:t>
      </w:r>
      <w:r>
        <w:rPr>
          <w:rFonts w:hAnsi="Times New Roman"/>
          <w:color w:val="auto"/>
          <w:highlight w:val="none"/>
          <w:lang w:eastAsia="zh-CN"/>
        </w:rPr>
        <w:t>2.2-1</w:t>
      </w:r>
      <w:r>
        <w:rPr>
          <w:rFonts w:cs="宋体"/>
          <w:color w:val="auto"/>
          <w:highlight w:val="none"/>
          <w:lang w:eastAsia="zh-CN"/>
        </w:rPr>
        <w:t>。</w:t>
      </w:r>
    </w:p>
    <w:p w14:paraId="4ECE960F">
      <w:pPr>
        <w:keepNext/>
        <w:ind w:firstLine="0" w:firstLineChars="0"/>
        <w:jc w:val="left"/>
        <w:rPr>
          <w:b/>
          <w:bCs/>
          <w:color w:val="auto"/>
          <w:highlight w:val="none"/>
          <w:lang w:eastAsia="zh-CN"/>
        </w:rPr>
      </w:pPr>
      <w:r>
        <w:rPr>
          <w:rFonts w:hint="eastAsia"/>
          <w:b/>
          <w:bCs/>
          <w:color w:val="auto"/>
          <w:highlight w:val="none"/>
          <w:lang w:eastAsia="zh-CN"/>
        </w:rPr>
        <w:t>表2.</w:t>
      </w:r>
      <w:r>
        <w:rPr>
          <w:b/>
          <w:bCs/>
          <w:color w:val="auto"/>
          <w:highlight w:val="none"/>
          <w:lang w:eastAsia="zh-CN"/>
        </w:rPr>
        <w:t>2-1</w:t>
      </w:r>
      <w:r>
        <w:rPr>
          <w:rFonts w:hint="eastAsia"/>
          <w:b/>
          <w:bCs/>
          <w:color w:val="auto"/>
          <w:highlight w:val="none"/>
          <w:lang w:val="en-US" w:eastAsia="zh-CN"/>
        </w:rPr>
        <w:tab/>
      </w:r>
      <w:r>
        <w:rPr>
          <w:rFonts w:hint="eastAsia"/>
          <w:b/>
          <w:bCs/>
          <w:color w:val="auto"/>
          <w:highlight w:val="none"/>
          <w:lang w:val="en-US" w:eastAsia="zh-CN"/>
        </w:rPr>
        <w:tab/>
      </w:r>
      <w:r>
        <w:rPr>
          <w:rFonts w:hint="eastAsia"/>
          <w:b/>
          <w:bCs/>
          <w:color w:val="auto"/>
          <w:highlight w:val="none"/>
          <w:lang w:val="en-US" w:eastAsia="zh-CN"/>
        </w:rPr>
        <w:tab/>
      </w:r>
      <w:r>
        <w:rPr>
          <w:rFonts w:hint="eastAsia"/>
          <w:b/>
          <w:bCs/>
          <w:color w:val="auto"/>
          <w:highlight w:val="none"/>
          <w:lang w:val="en-US" w:eastAsia="zh-CN"/>
        </w:rPr>
        <w:tab/>
      </w:r>
      <w:r>
        <w:rPr>
          <w:rFonts w:hint="eastAsia"/>
          <w:b/>
          <w:bCs/>
          <w:color w:val="auto"/>
          <w:highlight w:val="none"/>
          <w:lang w:val="en-US" w:eastAsia="zh-CN"/>
        </w:rPr>
        <w:tab/>
      </w:r>
      <w:r>
        <w:rPr>
          <w:rFonts w:hint="eastAsia"/>
          <w:b/>
          <w:bCs/>
          <w:color w:val="auto"/>
          <w:highlight w:val="none"/>
          <w:lang w:eastAsia="zh-CN"/>
        </w:rPr>
        <w:t>场内主要</w:t>
      </w:r>
      <w:r>
        <w:rPr>
          <w:rFonts w:hint="eastAsia"/>
          <w:b/>
          <w:bCs/>
          <w:color w:val="auto"/>
          <w:highlight w:val="none"/>
          <w:lang w:val="en-US" w:eastAsia="zh-CN"/>
        </w:rPr>
        <w:t>交通设施数量</w:t>
      </w:r>
      <w:r>
        <w:rPr>
          <w:rFonts w:hint="eastAsia"/>
          <w:b/>
          <w:bCs/>
          <w:color w:val="auto"/>
          <w:highlight w:val="none"/>
          <w:lang w:eastAsia="zh-CN"/>
        </w:rPr>
        <w:t>表</w:t>
      </w:r>
    </w:p>
    <w:tbl>
      <w:tblPr>
        <w:tblStyle w:val="18"/>
        <w:tblW w:w="91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2"/>
        <w:gridCol w:w="2274"/>
        <w:gridCol w:w="733"/>
        <w:gridCol w:w="1173"/>
        <w:gridCol w:w="4605"/>
      </w:tblGrid>
      <w:tr w14:paraId="60DC6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blHeader/>
          <w:jc w:val="center"/>
        </w:trPr>
        <w:tc>
          <w:tcPr>
            <w:tcW w:w="41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91B801">
            <w:pPr>
              <w:spacing w:line="320" w:lineRule="exact"/>
              <w:ind w:firstLine="0" w:firstLineChars="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22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C13D50">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cs="宋体"/>
                <w:i w:val="0"/>
                <w:iCs w:val="0"/>
                <w:color w:val="auto"/>
                <w:sz w:val="21"/>
                <w:szCs w:val="21"/>
                <w:highlight w:val="none"/>
                <w:u w:val="none"/>
                <w:lang w:val="en-US" w:eastAsia="zh-CN"/>
              </w:rPr>
              <w:t>项目名称</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E6BD74">
            <w:pPr>
              <w:keepNext w:val="0"/>
              <w:keepLines w:val="0"/>
              <w:widowControl/>
              <w:suppressLineNumbers w:val="0"/>
              <w:spacing w:line="320" w:lineRule="exact"/>
              <w:ind w:firstLine="0" w:firstLineChars="0"/>
              <w:jc w:val="center"/>
              <w:textAlignment w:val="center"/>
              <w:rPr>
                <w:rFonts w:hint="default" w:cs="宋体"/>
                <w:i w:val="0"/>
                <w:iCs w:val="0"/>
                <w:color w:val="auto"/>
                <w:sz w:val="21"/>
                <w:szCs w:val="21"/>
                <w:highlight w:val="none"/>
                <w:u w:val="none"/>
                <w:lang w:val="en-US" w:eastAsia="zh-CN"/>
              </w:rPr>
            </w:pPr>
            <w:r>
              <w:rPr>
                <w:rFonts w:hint="eastAsia" w:cs="宋体"/>
                <w:i w:val="0"/>
                <w:iCs w:val="0"/>
                <w:color w:val="auto"/>
                <w:sz w:val="21"/>
                <w:szCs w:val="21"/>
                <w:highlight w:val="none"/>
                <w:u w:val="none"/>
                <w:lang w:val="en-US" w:eastAsia="zh-CN"/>
              </w:rPr>
              <w:t>单位</w:t>
            </w:r>
          </w:p>
        </w:tc>
        <w:tc>
          <w:tcPr>
            <w:tcW w:w="11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424D9B">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cs="宋体"/>
                <w:i w:val="0"/>
                <w:iCs w:val="0"/>
                <w:color w:val="auto"/>
                <w:sz w:val="21"/>
                <w:szCs w:val="21"/>
                <w:highlight w:val="none"/>
                <w:u w:val="none"/>
                <w:lang w:val="en-US" w:eastAsia="zh-CN"/>
              </w:rPr>
              <w:t>数量</w:t>
            </w:r>
          </w:p>
        </w:tc>
        <w:tc>
          <w:tcPr>
            <w:tcW w:w="46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ADEF7B">
            <w:pPr>
              <w:keepNext w:val="0"/>
              <w:keepLines w:val="0"/>
              <w:widowControl/>
              <w:suppressLineNumbers w:val="0"/>
              <w:spacing w:line="320" w:lineRule="exact"/>
              <w:ind w:firstLine="0" w:firstLineChars="0"/>
              <w:jc w:val="center"/>
              <w:textAlignment w:val="center"/>
              <w:rPr>
                <w:rFonts w:hint="default" w:cs="宋体"/>
                <w:i w:val="0"/>
                <w:iCs w:val="0"/>
                <w:color w:val="auto"/>
                <w:sz w:val="21"/>
                <w:szCs w:val="21"/>
                <w:highlight w:val="none"/>
                <w:u w:val="none"/>
                <w:lang w:val="en-US" w:eastAsia="zh-CN"/>
              </w:rPr>
            </w:pPr>
            <w:r>
              <w:rPr>
                <w:rFonts w:hint="eastAsia" w:cs="宋体"/>
                <w:i w:val="0"/>
                <w:iCs w:val="0"/>
                <w:color w:val="auto"/>
                <w:sz w:val="21"/>
                <w:szCs w:val="21"/>
                <w:highlight w:val="none"/>
                <w:u w:val="none"/>
                <w:lang w:val="en-US" w:eastAsia="zh-CN"/>
              </w:rPr>
              <w:t>备注</w:t>
            </w:r>
          </w:p>
        </w:tc>
      </w:tr>
      <w:tr w14:paraId="15FD1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9" w:hRule="atLeast"/>
          <w:jc w:val="center"/>
        </w:trPr>
        <w:tc>
          <w:tcPr>
            <w:tcW w:w="41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C3125A">
            <w:pPr>
              <w:spacing w:line="320" w:lineRule="exact"/>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22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59F294">
            <w:pPr>
              <w:keepNext w:val="0"/>
              <w:keepLines w:val="0"/>
              <w:widowControl/>
              <w:suppressLineNumbers w:val="0"/>
              <w:spacing w:line="320" w:lineRule="exact"/>
              <w:ind w:firstLine="0" w:firstLineChars="0"/>
              <w:jc w:val="left"/>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snapToGrid w:val="0"/>
                <w:color w:val="auto"/>
                <w:kern w:val="0"/>
                <w:sz w:val="21"/>
                <w:szCs w:val="21"/>
                <w:highlight w:val="none"/>
                <w:u w:val="none"/>
                <w:lang w:val="en-US" w:eastAsia="zh-CN" w:bidi="ar"/>
              </w:rPr>
              <w:t>新建混凝土道路</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69F0E2">
            <w:pPr>
              <w:keepNext w:val="0"/>
              <w:keepLines w:val="0"/>
              <w:widowControl/>
              <w:suppressLineNumbers w:val="0"/>
              <w:spacing w:line="320" w:lineRule="exact"/>
              <w:ind w:firstLine="0" w:firstLineChars="0"/>
              <w:jc w:val="center"/>
              <w:textAlignment w:val="center"/>
              <w:rPr>
                <w:rFonts w:hint="default" w:cs="宋体"/>
                <w:i w:val="0"/>
                <w:iCs w:val="0"/>
                <w:snapToGrid w:val="0"/>
                <w:color w:val="auto"/>
                <w:kern w:val="0"/>
                <w:sz w:val="21"/>
                <w:szCs w:val="21"/>
                <w:highlight w:val="none"/>
                <w:u w:val="none"/>
                <w:lang w:val="en-US" w:eastAsia="zh-CN" w:bidi="ar"/>
              </w:rPr>
            </w:pPr>
            <w:r>
              <w:rPr>
                <w:rFonts w:hint="eastAsia" w:cs="宋体"/>
                <w:i w:val="0"/>
                <w:iCs w:val="0"/>
                <w:snapToGrid w:val="0"/>
                <w:color w:val="auto"/>
                <w:kern w:val="0"/>
                <w:sz w:val="21"/>
                <w:szCs w:val="21"/>
                <w:highlight w:val="none"/>
                <w:u w:val="none"/>
                <w:lang w:val="en-US" w:eastAsia="zh-CN" w:bidi="ar"/>
              </w:rPr>
              <w:t>m</w:t>
            </w:r>
          </w:p>
        </w:tc>
        <w:tc>
          <w:tcPr>
            <w:tcW w:w="11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C3C6C2">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color w:val="auto"/>
                <w:sz w:val="21"/>
                <w:szCs w:val="21"/>
                <w:highlight w:val="none"/>
                <w:u w:val="none"/>
                <w:lang w:val="en-US"/>
              </w:rPr>
            </w:pPr>
            <w:r>
              <w:rPr>
                <w:rFonts w:hint="eastAsia" w:cs="宋体"/>
                <w:i w:val="0"/>
                <w:iCs w:val="0"/>
                <w:snapToGrid w:val="0"/>
                <w:color w:val="auto"/>
                <w:kern w:val="0"/>
                <w:sz w:val="21"/>
                <w:szCs w:val="21"/>
                <w:highlight w:val="none"/>
                <w:u w:val="none"/>
                <w:lang w:val="en-US" w:eastAsia="zh-CN" w:bidi="ar"/>
              </w:rPr>
              <w:t>≥222</w:t>
            </w:r>
          </w:p>
        </w:tc>
        <w:tc>
          <w:tcPr>
            <w:tcW w:w="46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CD2B2B">
            <w:pPr>
              <w:kinsoku/>
              <w:autoSpaceDE w:val="0"/>
              <w:autoSpaceDN w:val="0"/>
              <w:adjustRightInd w:val="0"/>
              <w:snapToGrid w:val="0"/>
              <w:spacing w:line="320" w:lineRule="exact"/>
              <w:ind w:firstLine="0" w:firstLineChars="0"/>
              <w:jc w:val="left"/>
              <w:textAlignment w:val="baseline"/>
              <w:rPr>
                <w:rFonts w:hint="eastAsia" w:ascii="宋体" w:hAnsi="宋体" w:eastAsia="宋体" w:cs="Arial"/>
                <w:snapToGrid w:val="0"/>
                <w:color w:val="auto"/>
                <w:sz w:val="21"/>
                <w:szCs w:val="21"/>
                <w:highlight w:val="none"/>
                <w:lang w:val="en-US" w:eastAsia="zh-CN" w:bidi="ar-SA"/>
              </w:rPr>
            </w:pPr>
            <w:r>
              <w:rPr>
                <w:rFonts w:hint="eastAsia" w:eastAsia="宋体"/>
                <w:color w:val="auto"/>
                <w:sz w:val="21"/>
                <w:szCs w:val="21"/>
                <w:highlight w:val="none"/>
                <w:u w:val="none"/>
                <w:lang w:eastAsia="zh-CN" w:bidi="ar"/>
              </w:rPr>
              <w:t>行车道路宽不小于</w:t>
            </w:r>
            <w:r>
              <w:rPr>
                <w:rFonts w:hint="eastAsia" w:ascii="宋体" w:hAnsi="宋体" w:eastAsia="宋体" w:cs="Arial"/>
                <w:snapToGrid w:val="0"/>
                <w:color w:val="auto"/>
                <w:sz w:val="21"/>
                <w:szCs w:val="21"/>
                <w:highlight w:val="none"/>
                <w:u w:val="none"/>
                <w:lang w:val="en-US" w:eastAsia="zh-CN" w:bidi="ar"/>
              </w:rPr>
              <w:t>6</w:t>
            </w:r>
            <w:r>
              <w:rPr>
                <w:rFonts w:hint="eastAsia" w:eastAsia="宋体"/>
                <w:color w:val="auto"/>
                <w:sz w:val="21"/>
                <w:szCs w:val="21"/>
                <w:highlight w:val="none"/>
                <w:u w:val="none"/>
                <w:lang w:eastAsia="zh-CN" w:bidi="ar"/>
              </w:rPr>
              <w:t>m，路面平整、坚实、清洁</w:t>
            </w:r>
            <w:r>
              <w:rPr>
                <w:rFonts w:hint="eastAsia" w:ascii="宋体" w:hAnsi="宋体" w:eastAsia="宋体" w:cs="Arial"/>
                <w:snapToGrid w:val="0"/>
                <w:color w:val="auto"/>
                <w:sz w:val="21"/>
                <w:szCs w:val="21"/>
                <w:highlight w:val="none"/>
                <w:u w:val="none"/>
                <w:lang w:val="en-US" w:eastAsia="zh-CN" w:bidi="ar"/>
              </w:rPr>
              <w:t>，</w:t>
            </w:r>
            <w:r>
              <w:rPr>
                <w:rFonts w:hint="eastAsia" w:eastAsia="宋体"/>
                <w:color w:val="auto"/>
                <w:sz w:val="21"/>
                <w:szCs w:val="21"/>
                <w:highlight w:val="none"/>
                <w:u w:val="none"/>
                <w:lang w:eastAsia="zh-CN" w:bidi="ar"/>
              </w:rPr>
              <w:t>无翻浆积水现象</w:t>
            </w:r>
            <w:r>
              <w:rPr>
                <w:rFonts w:hint="eastAsia" w:ascii="宋体" w:hAnsi="宋体" w:eastAsia="宋体" w:cs="Arial"/>
                <w:snapToGrid w:val="0"/>
                <w:color w:val="auto"/>
                <w:sz w:val="21"/>
                <w:szCs w:val="21"/>
                <w:highlight w:val="none"/>
                <w:u w:val="none"/>
                <w:lang w:val="en-US" w:eastAsia="zh-CN" w:bidi="ar"/>
              </w:rPr>
              <w:t>。</w:t>
            </w:r>
          </w:p>
        </w:tc>
      </w:tr>
      <w:tr w14:paraId="7ECAB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jc w:val="center"/>
        </w:trPr>
        <w:tc>
          <w:tcPr>
            <w:tcW w:w="41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2CB83E">
            <w:pPr>
              <w:spacing w:line="320" w:lineRule="exact"/>
              <w:ind w:firstLine="0" w:firstLineChars="0"/>
              <w:jc w:val="center"/>
              <w:rPr>
                <w:rFonts w:hint="default" w:ascii="宋体" w:hAnsi="宋体" w:eastAsia="宋体" w:cs="宋体"/>
                <w:i w:val="0"/>
                <w:iCs w:val="0"/>
                <w:color w:val="auto"/>
                <w:sz w:val="21"/>
                <w:szCs w:val="21"/>
                <w:highlight w:val="none"/>
                <w:u w:val="none"/>
                <w:lang w:val="en-US" w:eastAsia="zh-CN"/>
              </w:rPr>
            </w:pPr>
            <w:r>
              <w:rPr>
                <w:rFonts w:hint="eastAsia" w:cs="宋体"/>
                <w:i w:val="0"/>
                <w:iCs w:val="0"/>
                <w:color w:val="auto"/>
                <w:sz w:val="21"/>
                <w:szCs w:val="21"/>
                <w:highlight w:val="none"/>
                <w:u w:val="none"/>
                <w:lang w:val="en-US" w:eastAsia="zh-CN"/>
              </w:rPr>
              <w:t>2</w:t>
            </w:r>
          </w:p>
        </w:tc>
        <w:tc>
          <w:tcPr>
            <w:tcW w:w="22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AB83D">
            <w:pPr>
              <w:keepNext w:val="0"/>
              <w:keepLines w:val="0"/>
              <w:widowControl/>
              <w:suppressLineNumbers w:val="0"/>
              <w:spacing w:line="320" w:lineRule="exact"/>
              <w:ind w:firstLine="0" w:firstLineChars="0"/>
              <w:jc w:val="left"/>
              <w:textAlignment w:val="center"/>
              <w:rPr>
                <w:rFonts w:hint="default" w:ascii="宋体" w:hAnsi="宋体" w:eastAsia="宋体" w:cs="宋体"/>
                <w:i w:val="0"/>
                <w:iCs w:val="0"/>
                <w:color w:val="auto"/>
                <w:sz w:val="21"/>
                <w:szCs w:val="21"/>
                <w:highlight w:val="none"/>
                <w:u w:val="none"/>
                <w:lang w:val="en-US"/>
              </w:rPr>
            </w:pPr>
            <w:r>
              <w:rPr>
                <w:rFonts w:hint="eastAsia" w:cs="宋体"/>
                <w:i w:val="0"/>
                <w:iCs w:val="0"/>
                <w:snapToGrid w:val="0"/>
                <w:color w:val="auto"/>
                <w:kern w:val="0"/>
                <w:sz w:val="21"/>
                <w:szCs w:val="21"/>
                <w:highlight w:val="none"/>
                <w:u w:val="none"/>
                <w:lang w:val="en-US" w:eastAsia="zh-CN" w:bidi="ar"/>
              </w:rPr>
              <w:t>临时钢便桥</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023651">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snapToGrid w:val="0"/>
                <w:color w:val="auto"/>
                <w:kern w:val="0"/>
                <w:sz w:val="21"/>
                <w:szCs w:val="21"/>
                <w:highlight w:val="none"/>
                <w:u w:val="none"/>
                <w:lang w:val="en-US" w:eastAsia="zh-CN" w:bidi="ar"/>
              </w:rPr>
              <w:t>m</w:t>
            </w:r>
          </w:p>
        </w:tc>
        <w:tc>
          <w:tcPr>
            <w:tcW w:w="11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2183E2">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cs="宋体"/>
                <w:color w:val="auto"/>
                <w:sz w:val="21"/>
                <w:highlight w:val="none"/>
                <w:u w:val="none"/>
                <w:lang w:val="en-US" w:eastAsia="zh-CN" w:bidi="ar"/>
              </w:rPr>
              <w:t>13</w:t>
            </w:r>
          </w:p>
        </w:tc>
        <w:tc>
          <w:tcPr>
            <w:tcW w:w="46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5D6217">
            <w:pPr>
              <w:keepNext w:val="0"/>
              <w:keepLines w:val="0"/>
              <w:widowControl/>
              <w:suppressLineNumbers w:val="0"/>
              <w:kinsoku/>
              <w:autoSpaceDE w:val="0"/>
              <w:autoSpaceDN w:val="0"/>
              <w:spacing w:line="320" w:lineRule="exact"/>
              <w:ind w:firstLine="0" w:firstLineChars="0"/>
              <w:jc w:val="left"/>
              <w:textAlignment w:val="baseline"/>
              <w:rPr>
                <w:rFonts w:hint="default" w:ascii="Arial" w:hAnsi="Arial" w:eastAsia="宋体" w:cs="Arial"/>
                <w:snapToGrid w:val="0"/>
                <w:color w:val="auto"/>
                <w:sz w:val="21"/>
                <w:szCs w:val="21"/>
                <w:highlight w:val="none"/>
                <w:lang w:val="en-US" w:eastAsia="zh-CN" w:bidi="ar-SA"/>
              </w:rPr>
            </w:pPr>
            <w:r>
              <w:rPr>
                <w:rFonts w:hint="eastAsia" w:ascii="Arial" w:hAnsi="Arial" w:cs="Arial"/>
                <w:snapToGrid w:val="0"/>
                <w:color w:val="auto"/>
                <w:sz w:val="21"/>
                <w:szCs w:val="21"/>
                <w:highlight w:val="none"/>
                <w:lang w:val="en-US" w:eastAsia="zh-CN" w:bidi="ar-SA"/>
              </w:rPr>
              <w:t>L=13，B=6M,采用贝雷架形式</w:t>
            </w:r>
          </w:p>
        </w:tc>
      </w:tr>
      <w:tr w14:paraId="33B5E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jc w:val="center"/>
        </w:trPr>
        <w:tc>
          <w:tcPr>
            <w:tcW w:w="41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2B3FC1">
            <w:pPr>
              <w:spacing w:line="320" w:lineRule="exact"/>
              <w:ind w:firstLine="0" w:firstLineChars="0"/>
              <w:jc w:val="center"/>
              <w:rPr>
                <w:rFonts w:hint="eastAsia" w:ascii="宋体" w:hAnsi="宋体" w:eastAsia="宋体" w:cs="宋体"/>
                <w:i w:val="0"/>
                <w:iCs w:val="0"/>
                <w:snapToGrid w:val="0"/>
                <w:color w:val="auto"/>
                <w:sz w:val="21"/>
                <w:szCs w:val="21"/>
                <w:highlight w:val="none"/>
                <w:u w:val="none"/>
                <w:lang w:val="en-US" w:eastAsia="zh-CN" w:bidi="ar-SA"/>
              </w:rPr>
            </w:pPr>
            <w:r>
              <w:rPr>
                <w:rFonts w:hint="eastAsia" w:cs="宋体"/>
                <w:i w:val="0"/>
                <w:iCs w:val="0"/>
                <w:color w:val="auto"/>
                <w:sz w:val="21"/>
                <w:szCs w:val="21"/>
                <w:highlight w:val="none"/>
                <w:u w:val="none"/>
                <w:lang w:val="en-US" w:eastAsia="zh-CN"/>
              </w:rPr>
              <w:t>3</w:t>
            </w:r>
          </w:p>
        </w:tc>
        <w:tc>
          <w:tcPr>
            <w:tcW w:w="22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2B7970">
            <w:pPr>
              <w:keepNext w:val="0"/>
              <w:keepLines w:val="0"/>
              <w:widowControl/>
              <w:suppressLineNumbers w:val="0"/>
              <w:spacing w:line="320" w:lineRule="exact"/>
              <w:ind w:firstLine="0" w:firstLineChars="0"/>
              <w:jc w:val="left"/>
              <w:textAlignment w:val="center"/>
              <w:rPr>
                <w:rFonts w:hint="eastAsia" w:ascii="宋体" w:hAnsi="宋体" w:eastAsia="宋体" w:cs="宋体"/>
                <w:i w:val="0"/>
                <w:iCs w:val="0"/>
                <w:snapToGrid w:val="0"/>
                <w:color w:val="auto"/>
                <w:sz w:val="21"/>
                <w:szCs w:val="21"/>
                <w:highlight w:val="none"/>
                <w:u w:val="none"/>
                <w:lang w:val="en-US" w:eastAsia="zh-CN" w:bidi="ar-SA"/>
              </w:rPr>
            </w:pPr>
            <w:r>
              <w:rPr>
                <w:rFonts w:hint="eastAsia" w:ascii="宋体" w:hAnsi="宋体" w:eastAsia="宋体" w:cs="宋体"/>
                <w:i w:val="0"/>
                <w:iCs w:val="0"/>
                <w:snapToGrid w:val="0"/>
                <w:color w:val="auto"/>
                <w:kern w:val="0"/>
                <w:sz w:val="21"/>
                <w:szCs w:val="21"/>
                <w:highlight w:val="none"/>
                <w:u w:val="none"/>
                <w:lang w:val="en-US" w:eastAsia="zh-CN" w:bidi="ar"/>
              </w:rPr>
              <w:t>洞内轨道</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B3AE4A">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cs="宋体"/>
                <w:i w:val="0"/>
                <w:iCs w:val="0"/>
                <w:snapToGrid w:val="0"/>
                <w:color w:val="auto"/>
                <w:kern w:val="0"/>
                <w:sz w:val="21"/>
                <w:szCs w:val="21"/>
                <w:highlight w:val="none"/>
                <w:u w:val="none"/>
                <w:lang w:val="en-US" w:eastAsia="zh-CN" w:bidi="ar"/>
              </w:rPr>
              <w:t>km</w:t>
            </w:r>
          </w:p>
        </w:tc>
        <w:tc>
          <w:tcPr>
            <w:tcW w:w="11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E60F21">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snapToGrid w:val="0"/>
                <w:color w:val="auto"/>
                <w:sz w:val="21"/>
                <w:szCs w:val="21"/>
                <w:highlight w:val="none"/>
                <w:u w:val="none"/>
                <w:lang w:val="en-US" w:eastAsia="zh-CN" w:bidi="ar-SA"/>
              </w:rPr>
            </w:pPr>
            <w:r>
              <w:rPr>
                <w:rFonts w:hint="eastAsia" w:cs="宋体"/>
                <w:color w:val="auto"/>
                <w:sz w:val="21"/>
                <w:highlight w:val="none"/>
                <w:u w:val="none"/>
                <w:lang w:val="en-US" w:eastAsia="zh-CN" w:bidi="ar"/>
              </w:rPr>
              <w:t>4.58</w:t>
            </w:r>
          </w:p>
        </w:tc>
        <w:tc>
          <w:tcPr>
            <w:tcW w:w="46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AB3548">
            <w:pPr>
              <w:keepNext w:val="0"/>
              <w:keepLines w:val="0"/>
              <w:widowControl/>
              <w:suppressLineNumbers w:val="0"/>
              <w:kinsoku/>
              <w:autoSpaceDE w:val="0"/>
              <w:autoSpaceDN w:val="0"/>
              <w:spacing w:line="320" w:lineRule="exact"/>
              <w:ind w:firstLine="0" w:firstLineChars="0"/>
              <w:jc w:val="left"/>
              <w:textAlignment w:val="baseline"/>
              <w:rPr>
                <w:rFonts w:hint="default" w:ascii="Arial" w:hAnsi="Arial" w:eastAsia="宋体" w:cs="Arial"/>
                <w:snapToGrid w:val="0"/>
                <w:color w:val="auto"/>
                <w:sz w:val="21"/>
                <w:szCs w:val="21"/>
                <w:highlight w:val="none"/>
                <w:lang w:val="en-US" w:eastAsia="zh-CN" w:bidi="ar-SA"/>
              </w:rPr>
            </w:pPr>
          </w:p>
        </w:tc>
      </w:tr>
    </w:tbl>
    <w:p w14:paraId="3F022443">
      <w:pPr>
        <w:suppressAutoHyphens/>
        <w:ind w:firstLine="420"/>
        <w:jc w:val="left"/>
        <w:rPr>
          <w:rFonts w:cs="宋体"/>
          <w:color w:val="auto"/>
          <w:highlight w:val="none"/>
          <w:lang w:eastAsia="zh-CN"/>
        </w:rPr>
      </w:pPr>
      <w:r>
        <w:rPr>
          <w:rFonts w:cs="宋体"/>
          <w:color w:val="auto"/>
          <w:highlight w:val="none"/>
          <w:lang w:eastAsia="zh-CN"/>
        </w:rPr>
        <w:t>承包人</w:t>
      </w:r>
      <w:r>
        <w:rPr>
          <w:rFonts w:hint="eastAsia" w:cs="宋体"/>
          <w:color w:val="auto"/>
          <w:highlight w:val="none"/>
          <w:lang w:eastAsia="zh-CN"/>
        </w:rPr>
        <w:t>施工</w:t>
      </w:r>
      <w:r>
        <w:rPr>
          <w:rFonts w:hint="eastAsia" w:cs="宋体"/>
          <w:color w:val="auto"/>
          <w:highlight w:val="none"/>
          <w:lang w:val="en-US" w:eastAsia="zh-CN"/>
        </w:rPr>
        <w:t>过程中</w:t>
      </w:r>
      <w:r>
        <w:rPr>
          <w:rFonts w:cs="宋体"/>
          <w:color w:val="auto"/>
          <w:highlight w:val="none"/>
          <w:lang w:eastAsia="zh-CN"/>
        </w:rPr>
        <w:t>，应保证现有道路通行，若发生中断现有道路交通的情况，应做好保通方案，并为此承担相关费用，发包人不另行支付。</w:t>
      </w:r>
    </w:p>
    <w:p w14:paraId="7BE459CE">
      <w:pPr>
        <w:pStyle w:val="5"/>
        <w:rPr>
          <w:rFonts w:hAnsi="Times New Roman" w:cs="楷体"/>
          <w:color w:val="auto"/>
          <w:highlight w:val="none"/>
          <w:lang w:eastAsia="zh-CN"/>
        </w:rPr>
      </w:pPr>
      <w:r>
        <w:rPr>
          <w:rFonts w:hAnsi="Times New Roman" w:cs="Times New Roman"/>
          <w:color w:val="auto"/>
          <w:highlight w:val="none"/>
          <w:lang w:eastAsia="zh-CN"/>
        </w:rPr>
        <w:t>2.2.2</w:t>
      </w:r>
      <w:r>
        <w:rPr>
          <w:rFonts w:hint="eastAsia" w:hAnsi="Times New Roman" w:cs="Times New Roman"/>
          <w:color w:val="auto"/>
          <w:highlight w:val="none"/>
          <w:lang w:eastAsia="zh-CN"/>
        </w:rPr>
        <w:t>　</w:t>
      </w:r>
      <w:r>
        <w:rPr>
          <w:rFonts w:hAnsi="楷体" w:cs="楷体"/>
          <w:color w:val="auto"/>
          <w:highlight w:val="none"/>
          <w:lang w:eastAsia="zh-CN"/>
        </w:rPr>
        <w:t>场外公共交通</w:t>
      </w:r>
    </w:p>
    <w:p w14:paraId="432337E7">
      <w:pPr>
        <w:ind w:firstLine="420"/>
        <w:jc w:val="left"/>
        <w:rPr>
          <w:rFonts w:cs="宋体"/>
          <w:color w:val="auto"/>
          <w:highlight w:val="none"/>
          <w:lang w:eastAsia="zh-CN"/>
        </w:rPr>
      </w:pPr>
      <w:r>
        <w:rPr>
          <w:rFonts w:cs="宋体"/>
          <w:color w:val="auto"/>
          <w:highlight w:val="none"/>
          <w:lang w:eastAsia="zh-CN"/>
        </w:rPr>
        <w:t>承包人应按本合同通用合同条款第</w:t>
      </w:r>
      <w:r>
        <w:rPr>
          <w:rFonts w:hAnsi="Times New Roman" w:cs="Times New Roman"/>
          <w:color w:val="auto"/>
          <w:highlight w:val="none"/>
          <w:lang w:eastAsia="zh-CN"/>
        </w:rPr>
        <w:t>7.3</w:t>
      </w:r>
      <w:r>
        <w:rPr>
          <w:rFonts w:cs="宋体"/>
          <w:color w:val="auto"/>
          <w:highlight w:val="none"/>
          <w:lang w:eastAsia="zh-CN"/>
        </w:rPr>
        <w:t>～</w:t>
      </w:r>
      <w:r>
        <w:rPr>
          <w:rFonts w:hAnsi="Times New Roman" w:cs="Times New Roman"/>
          <w:color w:val="auto"/>
          <w:highlight w:val="none"/>
          <w:lang w:eastAsia="zh-CN"/>
        </w:rPr>
        <w:t>7.5</w:t>
      </w:r>
      <w:r>
        <w:rPr>
          <w:rFonts w:cs="宋体"/>
          <w:color w:val="auto"/>
          <w:highlight w:val="none"/>
          <w:lang w:eastAsia="zh-CN"/>
        </w:rPr>
        <w:t>款的规定执行。</w:t>
      </w:r>
    </w:p>
    <w:p w14:paraId="5815EA5A">
      <w:pPr>
        <w:ind w:firstLine="420"/>
        <w:jc w:val="left"/>
        <w:rPr>
          <w:rFonts w:hint="eastAsia" w:cs="宋体"/>
          <w:color w:val="auto"/>
          <w:highlight w:val="none"/>
          <w:lang w:eastAsia="zh-CN"/>
        </w:rPr>
      </w:pPr>
      <w:r>
        <w:rPr>
          <w:rFonts w:hint="eastAsia" w:cs="宋体"/>
          <w:color w:val="auto"/>
          <w:highlight w:val="none"/>
          <w:lang w:eastAsia="zh-CN"/>
        </w:rPr>
        <w:t>承包人应服从交通主管部门的管理。</w:t>
      </w:r>
      <w:r>
        <w:rPr>
          <w:rFonts w:cs="宋体"/>
          <w:color w:val="auto"/>
          <w:highlight w:val="none"/>
          <w:lang w:eastAsia="zh-CN"/>
        </w:rPr>
        <w:t>应保证</w:t>
      </w:r>
      <w:r>
        <w:rPr>
          <w:rFonts w:hint="eastAsia" w:cs="宋体"/>
          <w:color w:val="auto"/>
          <w:highlight w:val="none"/>
          <w:lang w:val="en-US" w:eastAsia="zh-CN"/>
        </w:rPr>
        <w:t>场外</w:t>
      </w:r>
      <w:r>
        <w:rPr>
          <w:rFonts w:cs="宋体"/>
          <w:color w:val="auto"/>
          <w:highlight w:val="none"/>
          <w:lang w:eastAsia="zh-CN"/>
        </w:rPr>
        <w:t>现有道路通行，若发生中断现有道路交通的情况，应做好保通方案。</w:t>
      </w:r>
      <w:r>
        <w:rPr>
          <w:rFonts w:hint="eastAsia" w:cs="宋体"/>
          <w:color w:val="auto"/>
          <w:highlight w:val="none"/>
          <w:lang w:val="en-US" w:eastAsia="zh-CN"/>
        </w:rPr>
        <w:t>承包人应对现有场外交通进行实地查勘，必要时对</w:t>
      </w:r>
      <w:r>
        <w:rPr>
          <w:rFonts w:hint="eastAsia" w:cs="宋体"/>
          <w:color w:val="auto"/>
          <w:highlight w:val="none"/>
          <w:lang w:eastAsia="zh-CN"/>
        </w:rPr>
        <w:t>现有道路进行拓宽、加固。</w:t>
      </w:r>
      <w:r>
        <w:rPr>
          <w:rFonts w:hint="eastAsia" w:cs="宋体"/>
          <w:color w:val="auto"/>
          <w:highlight w:val="none"/>
          <w:lang w:val="en-US" w:eastAsia="zh-CN"/>
        </w:rPr>
        <w:t>施工</w:t>
      </w:r>
      <w:r>
        <w:rPr>
          <w:rFonts w:hint="eastAsia" w:cs="宋体"/>
          <w:color w:val="auto"/>
          <w:highlight w:val="none"/>
          <w:lang w:eastAsia="zh-CN"/>
        </w:rPr>
        <w:t>过程中如对现有</w:t>
      </w:r>
      <w:r>
        <w:rPr>
          <w:rFonts w:hint="eastAsia" w:cs="宋体"/>
          <w:color w:val="auto"/>
          <w:highlight w:val="none"/>
          <w:lang w:val="en-US" w:eastAsia="zh-CN"/>
        </w:rPr>
        <w:t>场外公共交通设施</w:t>
      </w:r>
      <w:r>
        <w:rPr>
          <w:rFonts w:hint="eastAsia" w:cs="宋体"/>
          <w:color w:val="auto"/>
          <w:highlight w:val="none"/>
          <w:lang w:eastAsia="zh-CN"/>
        </w:rPr>
        <w:t>造成破坏，承包人须对其进行修复</w:t>
      </w:r>
      <w:r>
        <w:rPr>
          <w:rFonts w:cs="宋体"/>
          <w:color w:val="auto"/>
          <w:highlight w:val="none"/>
          <w:lang w:eastAsia="zh-CN"/>
        </w:rPr>
        <w:t>，以满足相关部门的要求</w:t>
      </w:r>
      <w:r>
        <w:rPr>
          <w:rFonts w:hint="eastAsia" w:cs="宋体"/>
          <w:color w:val="auto"/>
          <w:highlight w:val="none"/>
          <w:lang w:eastAsia="zh-CN"/>
        </w:rPr>
        <w:t>。</w:t>
      </w:r>
    </w:p>
    <w:p w14:paraId="34732FFD">
      <w:pPr>
        <w:widowControl w:val="0"/>
        <w:kinsoku/>
        <w:adjustRightInd w:val="0"/>
        <w:snapToGrid w:val="0"/>
        <w:spacing w:line="360" w:lineRule="auto"/>
        <w:ind w:firstLine="0" w:firstLineChars="0"/>
        <w:jc w:val="both"/>
        <w:textAlignment w:val="baseline"/>
        <w:rPr>
          <w:rFonts w:ascii="宋体" w:hAnsi="Times New Roman" w:eastAsia="宋体" w:cs="楷体"/>
          <w:snapToGrid w:val="0"/>
          <w:color w:val="auto"/>
          <w:sz w:val="24"/>
          <w:szCs w:val="21"/>
          <w:highlight w:val="none"/>
          <w:lang w:val="en-US" w:eastAsia="zh-CN" w:bidi="ar-SA"/>
        </w:rPr>
      </w:pPr>
      <w:r>
        <w:rPr>
          <w:rFonts w:ascii="宋体" w:hAnsi="Times New Roman" w:eastAsia="宋体" w:cs="Times New Roman"/>
          <w:snapToGrid w:val="0"/>
          <w:color w:val="auto"/>
          <w:sz w:val="24"/>
          <w:szCs w:val="21"/>
          <w:highlight w:val="none"/>
          <w:lang w:val="en-US" w:eastAsia="zh-CN" w:bidi="ar-SA"/>
        </w:rPr>
        <w:t>2.2.</w:t>
      </w:r>
      <w:r>
        <w:rPr>
          <w:rFonts w:hint="eastAsia" w:ascii="宋体" w:hAnsi="Times New Roman" w:eastAsia="宋体" w:cs="Times New Roman"/>
          <w:snapToGrid w:val="0"/>
          <w:color w:val="auto"/>
          <w:sz w:val="24"/>
          <w:szCs w:val="21"/>
          <w:highlight w:val="none"/>
          <w:lang w:val="en-US" w:eastAsia="zh-CN" w:bidi="ar-SA"/>
        </w:rPr>
        <w:t>3　</w:t>
      </w:r>
      <w:r>
        <w:rPr>
          <w:rFonts w:hint="eastAsia" w:ascii="宋体" w:hAnsi="楷体" w:eastAsia="宋体" w:cs="楷体"/>
          <w:snapToGrid w:val="0"/>
          <w:color w:val="auto"/>
          <w:sz w:val="24"/>
          <w:szCs w:val="21"/>
          <w:highlight w:val="none"/>
          <w:lang w:val="en-US" w:eastAsia="zh-CN" w:bidi="ar-SA"/>
        </w:rPr>
        <w:t>施工</w:t>
      </w:r>
      <w:r>
        <w:rPr>
          <w:rFonts w:ascii="宋体" w:hAnsi="楷体" w:eastAsia="宋体" w:cs="楷体"/>
          <w:snapToGrid w:val="0"/>
          <w:color w:val="auto"/>
          <w:sz w:val="24"/>
          <w:szCs w:val="21"/>
          <w:highlight w:val="none"/>
          <w:lang w:val="en-US" w:eastAsia="zh-CN" w:bidi="ar-SA"/>
        </w:rPr>
        <w:t>交通</w:t>
      </w:r>
    </w:p>
    <w:p w14:paraId="722410B7">
      <w:pPr>
        <w:ind w:firstLine="420"/>
        <w:jc w:val="left"/>
        <w:rPr>
          <w:rFonts w:hint="eastAsia" w:cs="宋体"/>
          <w:color w:val="auto"/>
          <w:highlight w:val="none"/>
          <w:lang w:eastAsia="zh-CN"/>
        </w:rPr>
      </w:pPr>
      <w:r>
        <w:rPr>
          <w:rFonts w:hint="eastAsia" w:cs="宋体"/>
          <w:color w:val="auto"/>
          <w:highlight w:val="none"/>
          <w:lang w:eastAsia="zh-CN"/>
        </w:rPr>
        <w:t>施工</w:t>
      </w:r>
      <w:r>
        <w:rPr>
          <w:rFonts w:hint="eastAsia" w:cs="宋体"/>
          <w:color w:val="auto"/>
          <w:highlight w:val="none"/>
          <w:lang w:val="en-US" w:eastAsia="zh-CN"/>
        </w:rPr>
        <w:t>交通</w:t>
      </w:r>
      <w:r>
        <w:rPr>
          <w:rFonts w:hint="eastAsia" w:cs="宋体"/>
          <w:color w:val="auto"/>
          <w:highlight w:val="none"/>
          <w:lang w:eastAsia="zh-CN"/>
        </w:rPr>
        <w:t>的文明标化工地建设要求详见《浙江省水利建设工程文明标化工地创建指导手册（2024年）》的相关规定。</w:t>
      </w:r>
    </w:p>
    <w:p w14:paraId="59FEFFFC">
      <w:pPr>
        <w:pStyle w:val="4"/>
        <w:spacing w:beforeLines="0" w:afterLines="0"/>
        <w:rPr>
          <w:rFonts w:hint="eastAsia" w:cs="宋体"/>
          <w:bCs/>
          <w:color w:val="auto"/>
          <w:szCs w:val="24"/>
          <w:highlight w:val="none"/>
        </w:rPr>
      </w:pPr>
      <w:r>
        <w:rPr>
          <w:rFonts w:hint="eastAsia" w:cs="宋体"/>
          <w:bCs/>
          <w:color w:val="auto"/>
          <w:szCs w:val="24"/>
          <w:highlight w:val="none"/>
        </w:rPr>
        <w:t>2.3</w:t>
      </w:r>
      <w:r>
        <w:rPr>
          <w:rFonts w:hint="eastAsia" w:cs="宋体"/>
          <w:bCs/>
          <w:color w:val="auto"/>
          <w:szCs w:val="24"/>
          <w:highlight w:val="none"/>
          <w:lang w:eastAsia="zh-CN"/>
        </w:rPr>
        <w:t>　</w:t>
      </w:r>
      <w:r>
        <w:rPr>
          <w:rFonts w:hint="eastAsia" w:cs="宋体"/>
          <w:bCs/>
          <w:color w:val="auto"/>
          <w:szCs w:val="24"/>
          <w:highlight w:val="none"/>
        </w:rPr>
        <w:t>施工场外供电</w:t>
      </w:r>
    </w:p>
    <w:p w14:paraId="1227694C">
      <w:pPr>
        <w:suppressAutoHyphens/>
        <w:ind w:firstLine="420"/>
        <w:jc w:val="left"/>
        <w:rPr>
          <w:color w:val="auto"/>
          <w:highlight w:val="none"/>
          <w:lang w:eastAsia="zh-CN"/>
        </w:rPr>
      </w:pPr>
      <w:r>
        <w:rPr>
          <w:rFonts w:cs="宋体"/>
          <w:color w:val="auto"/>
          <w:highlight w:val="none"/>
          <w:lang w:eastAsia="zh-CN"/>
        </w:rPr>
        <w:t>除合同另有约定外，承包人应负责</w:t>
      </w:r>
      <w:r>
        <w:rPr>
          <w:rFonts w:hint="eastAsia" w:cs="宋体"/>
          <w:color w:val="auto"/>
          <w:highlight w:val="none"/>
          <w:lang w:eastAsia="zh-CN"/>
        </w:rPr>
        <w:t>完成从施工场外现有电网接入的一切工作，包括</w:t>
      </w:r>
      <w:r>
        <w:rPr>
          <w:rFonts w:hint="eastAsia" w:cs="宋体"/>
          <w:color w:val="auto"/>
          <w:highlight w:val="none"/>
          <w:lang w:val="en-US" w:eastAsia="zh-CN"/>
        </w:rPr>
        <w:t>电力接入</w:t>
      </w:r>
      <w:r>
        <w:rPr>
          <w:rFonts w:hint="eastAsia" w:cs="宋体"/>
          <w:color w:val="auto"/>
          <w:highlight w:val="none"/>
          <w:lang w:eastAsia="zh-CN"/>
        </w:rPr>
        <w:t>设施、设备的设计、报装、接入方案编制评审、</w:t>
      </w:r>
      <w:r>
        <w:rPr>
          <w:rFonts w:hint="eastAsia"/>
          <w:color w:val="auto"/>
          <w:highlight w:val="none"/>
          <w:lang w:eastAsia="zh-CN"/>
        </w:rPr>
        <w:t>采购、安装、施工、调试及检试验、运行管理、维护检修、拆除、</w:t>
      </w:r>
      <w:r>
        <w:rPr>
          <w:rFonts w:hint="eastAsia"/>
          <w:color w:val="auto"/>
          <w:highlight w:val="none"/>
          <w:lang w:val="en-US" w:eastAsia="zh-CN"/>
        </w:rPr>
        <w:t>建设场征用及清理费（含青苗补偿费）、环水保、复垦</w:t>
      </w:r>
      <w:r>
        <w:rPr>
          <w:rFonts w:hint="eastAsia"/>
          <w:color w:val="auto"/>
          <w:highlight w:val="none"/>
          <w:lang w:eastAsia="zh-CN"/>
        </w:rPr>
        <w:t>等</w:t>
      </w:r>
      <w:r>
        <w:rPr>
          <w:rFonts w:hint="eastAsia"/>
          <w:color w:val="auto"/>
          <w:highlight w:val="none"/>
          <w:lang w:val="en-US" w:eastAsia="zh-CN"/>
        </w:rPr>
        <w:t>所有施工场外供电</w:t>
      </w:r>
      <w:r>
        <w:rPr>
          <w:rFonts w:hint="eastAsia"/>
          <w:color w:val="auto"/>
          <w:highlight w:val="none"/>
          <w:lang w:eastAsia="zh-CN"/>
        </w:rPr>
        <w:t>工作，并向接口归属部门缴纳</w:t>
      </w:r>
      <w:r>
        <w:rPr>
          <w:rFonts w:hint="eastAsia"/>
          <w:color w:val="auto"/>
          <w:highlight w:val="none"/>
          <w:lang w:val="en-US" w:eastAsia="zh-CN"/>
        </w:rPr>
        <w:t>增容电费、施工用</w:t>
      </w:r>
      <w:r>
        <w:rPr>
          <w:rFonts w:hint="eastAsia"/>
          <w:color w:val="auto"/>
          <w:highlight w:val="none"/>
          <w:lang w:eastAsia="zh-CN"/>
        </w:rPr>
        <w:t>电</w:t>
      </w:r>
      <w:r>
        <w:rPr>
          <w:rFonts w:hint="eastAsia"/>
          <w:color w:val="auto"/>
          <w:highlight w:val="none"/>
          <w:lang w:val="en-US" w:eastAsia="zh-CN"/>
        </w:rPr>
        <w:t>电</w:t>
      </w:r>
      <w:r>
        <w:rPr>
          <w:rFonts w:hint="eastAsia"/>
          <w:color w:val="auto"/>
          <w:highlight w:val="none"/>
          <w:lang w:eastAsia="zh-CN"/>
        </w:rPr>
        <w:t>费。</w:t>
      </w:r>
    </w:p>
    <w:p w14:paraId="237FEA2A">
      <w:pPr>
        <w:numPr>
          <w:ilvl w:val="255"/>
          <w:numId w:val="0"/>
        </w:numPr>
        <w:ind w:firstLine="480" w:firstLineChars="200"/>
        <w:jc w:val="left"/>
        <w:rPr>
          <w:color w:val="auto"/>
          <w:highlight w:val="none"/>
          <w:lang w:eastAsia="zh-CN"/>
        </w:rPr>
      </w:pPr>
      <w:r>
        <w:rPr>
          <w:rFonts w:hint="eastAsia"/>
          <w:color w:val="auto"/>
          <w:highlight w:val="none"/>
          <w:lang w:eastAsia="zh-CN"/>
        </w:rPr>
        <w:t>（1）施工用电主要采用电网电，本标段承包人</w:t>
      </w:r>
      <w:r>
        <w:rPr>
          <w:rFonts w:hint="eastAsia"/>
          <w:color w:val="auto"/>
          <w:highlight w:val="none"/>
          <w:lang w:val="en-US" w:eastAsia="zh-CN"/>
        </w:rPr>
        <w:t>可</w:t>
      </w:r>
      <w:r>
        <w:rPr>
          <w:rFonts w:hint="eastAsia"/>
          <w:color w:val="auto"/>
          <w:highlight w:val="none"/>
          <w:lang w:eastAsia="zh-CN"/>
        </w:rPr>
        <w:t>平水供电所</w:t>
      </w:r>
      <w:r>
        <w:rPr>
          <w:rFonts w:hint="eastAsia"/>
          <w:color w:val="auto"/>
          <w:highlight w:val="none"/>
          <w:lang w:val="en-US" w:eastAsia="zh-CN"/>
        </w:rPr>
        <w:t>接入施工用电</w:t>
      </w:r>
      <w:r>
        <w:rPr>
          <w:rFonts w:hint="eastAsia"/>
          <w:color w:val="auto"/>
          <w:highlight w:val="none"/>
          <w:lang w:eastAsia="zh-CN"/>
        </w:rPr>
        <w:t>，承包人还应配备一定容量的柴油发电机作为自备电，以防止断电等突发事件。承包人</w:t>
      </w:r>
      <w:r>
        <w:rPr>
          <w:rFonts w:hint="eastAsia"/>
          <w:color w:val="auto"/>
          <w:highlight w:val="none"/>
          <w:lang w:val="en-US" w:eastAsia="zh-CN"/>
        </w:rPr>
        <w:t>应考虑</w:t>
      </w:r>
      <w:r>
        <w:rPr>
          <w:rFonts w:hint="eastAsia"/>
          <w:color w:val="auto"/>
          <w:highlight w:val="none"/>
          <w:lang w:eastAsia="zh-CN"/>
        </w:rPr>
        <w:t>为进入本标段施工现场的安全监测、超前地质预报、第三方质量检测等服务标段承包人提供施工用电和生活办公用电。</w:t>
      </w:r>
    </w:p>
    <w:p w14:paraId="5A20CF08">
      <w:pPr>
        <w:numPr>
          <w:ilvl w:val="255"/>
          <w:numId w:val="0"/>
        </w:numPr>
        <w:ind w:firstLine="480" w:firstLineChars="200"/>
        <w:jc w:val="left"/>
        <w:rPr>
          <w:rFonts w:hint="default"/>
          <w:color w:val="auto"/>
          <w:highlight w:val="none"/>
          <w:lang w:val="en-US" w:eastAsia="zh-CN"/>
        </w:rPr>
      </w:pPr>
      <w:r>
        <w:rPr>
          <w:rFonts w:hint="eastAsia" w:eastAsia="宋体"/>
          <w:color w:val="auto"/>
          <w:highlight w:val="none"/>
          <w:lang w:eastAsia="zh-CN"/>
        </w:rPr>
        <w:t>场外</w:t>
      </w:r>
      <w:r>
        <w:rPr>
          <w:rFonts w:hint="eastAsia" w:ascii="宋体" w:eastAsia="宋体"/>
          <w:color w:val="auto"/>
          <w:highlight w:val="none"/>
          <w:lang w:val="en-US" w:eastAsia="zh-CN"/>
        </w:rPr>
        <w:t>施工供电</w:t>
      </w:r>
      <w:r>
        <w:rPr>
          <w:rFonts w:hint="eastAsia"/>
          <w:color w:val="auto"/>
          <w:highlight w:val="none"/>
          <w:lang w:val="en-US" w:eastAsia="zh-CN"/>
        </w:rPr>
        <w:t>设施数量</w:t>
      </w:r>
      <w:r>
        <w:rPr>
          <w:rFonts w:hint="eastAsia" w:ascii="Times New Roman" w:eastAsia="宋体"/>
          <w:color w:val="auto"/>
          <w:highlight w:val="none"/>
          <w:lang w:val="en-US" w:eastAsia="zh-CN"/>
        </w:rPr>
        <w:t>详见</w:t>
      </w:r>
      <w:r>
        <w:rPr>
          <w:rFonts w:hint="eastAsia" w:eastAsia="宋体"/>
          <w:color w:val="auto"/>
          <w:highlight w:val="none"/>
          <w:lang w:eastAsia="zh-CN"/>
        </w:rPr>
        <w:t>表</w:t>
      </w:r>
      <w:r>
        <w:rPr>
          <w:rFonts w:hAnsi="Times New Roman"/>
          <w:color w:val="auto"/>
          <w:highlight w:val="none"/>
          <w:lang w:eastAsia="zh-CN"/>
        </w:rPr>
        <w:t>2.</w:t>
      </w:r>
      <w:r>
        <w:rPr>
          <w:rFonts w:hint="eastAsia" w:hAnsi="Times New Roman"/>
          <w:color w:val="auto"/>
          <w:highlight w:val="none"/>
          <w:lang w:val="en-US" w:eastAsia="zh-CN"/>
        </w:rPr>
        <w:t>3</w:t>
      </w:r>
      <w:r>
        <w:rPr>
          <w:rFonts w:hAnsi="Times New Roman"/>
          <w:color w:val="auto"/>
          <w:highlight w:val="none"/>
          <w:lang w:eastAsia="zh-CN"/>
        </w:rPr>
        <w:t>-1</w:t>
      </w:r>
      <w:r>
        <w:rPr>
          <w:rFonts w:cs="宋体"/>
          <w:color w:val="auto"/>
          <w:highlight w:val="none"/>
          <w:lang w:eastAsia="zh-CN"/>
        </w:rPr>
        <w:t>。</w:t>
      </w:r>
    </w:p>
    <w:p w14:paraId="08FF260C">
      <w:pPr>
        <w:keepNext/>
        <w:ind w:firstLine="0" w:firstLineChars="0"/>
        <w:jc w:val="left"/>
        <w:rPr>
          <w:b/>
          <w:bCs/>
          <w:color w:val="auto"/>
          <w:highlight w:val="none"/>
          <w:lang w:eastAsia="zh-CN"/>
        </w:rPr>
      </w:pPr>
      <w:r>
        <w:rPr>
          <w:rFonts w:hint="eastAsia" w:eastAsia="宋体"/>
          <w:b/>
          <w:bCs/>
          <w:color w:val="auto"/>
          <w:highlight w:val="none"/>
          <w:lang w:eastAsia="zh-CN"/>
        </w:rPr>
        <w:t>表2.3</w:t>
      </w:r>
      <w:r>
        <w:rPr>
          <w:b/>
          <w:bCs/>
          <w:color w:val="auto"/>
          <w:highlight w:val="none"/>
          <w:lang w:eastAsia="zh-CN"/>
        </w:rPr>
        <w:t>-1</w:t>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eastAsia="宋体"/>
          <w:b/>
          <w:bCs/>
          <w:color w:val="auto"/>
          <w:highlight w:val="none"/>
          <w:lang w:eastAsia="zh-CN"/>
        </w:rPr>
        <w:t>场外</w:t>
      </w:r>
      <w:r>
        <w:rPr>
          <w:rFonts w:hint="eastAsia" w:ascii="宋体" w:eastAsia="宋体"/>
          <w:b/>
          <w:bCs/>
          <w:color w:val="auto"/>
          <w:highlight w:val="none"/>
          <w:lang w:val="en-US" w:eastAsia="zh-CN"/>
        </w:rPr>
        <w:t>施工</w:t>
      </w:r>
      <w:r>
        <w:rPr>
          <w:rFonts w:hint="eastAsia" w:eastAsia="宋体"/>
          <w:b/>
          <w:bCs/>
          <w:color w:val="auto"/>
          <w:highlight w:val="none"/>
          <w:lang w:eastAsia="zh-CN"/>
        </w:rPr>
        <w:t>供电</w:t>
      </w:r>
      <w:r>
        <w:rPr>
          <w:rFonts w:hint="eastAsia" w:ascii="Times New Roman"/>
          <w:b/>
          <w:bCs/>
          <w:color w:val="auto"/>
          <w:highlight w:val="none"/>
          <w:lang w:val="en-US" w:eastAsia="zh-CN"/>
        </w:rPr>
        <w:t>设施数量</w:t>
      </w:r>
      <w:r>
        <w:rPr>
          <w:b/>
          <w:bCs/>
          <w:color w:val="auto"/>
          <w:highlight w:val="none"/>
          <w:lang w:eastAsia="zh-CN"/>
        </w:rPr>
        <w:t>表</w:t>
      </w:r>
    </w:p>
    <w:tbl>
      <w:tblPr>
        <w:tblStyle w:val="1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2898"/>
        <w:gridCol w:w="1161"/>
        <w:gridCol w:w="1849"/>
        <w:gridCol w:w="2432"/>
      </w:tblGrid>
      <w:tr w14:paraId="7555A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blHeader/>
        </w:trPr>
        <w:tc>
          <w:tcPr>
            <w:tcW w:w="36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9D2F00">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序号</w:t>
            </w:r>
          </w:p>
        </w:tc>
        <w:tc>
          <w:tcPr>
            <w:tcW w:w="161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36F826">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cs="宋体"/>
                <w:i w:val="0"/>
                <w:iCs w:val="0"/>
                <w:color w:val="auto"/>
                <w:sz w:val="18"/>
                <w:szCs w:val="18"/>
                <w:highlight w:val="none"/>
                <w:u w:val="none"/>
                <w:lang w:val="en-US" w:eastAsia="zh-CN"/>
              </w:rPr>
              <w:t>项目名称</w:t>
            </w:r>
          </w:p>
        </w:tc>
        <w:tc>
          <w:tcPr>
            <w:tcW w:w="64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0DEE6F">
            <w:pPr>
              <w:spacing w:line="320" w:lineRule="exact"/>
              <w:ind w:firstLine="0" w:firstLineChars="0"/>
              <w:jc w:val="center"/>
              <w:rPr>
                <w:rFonts w:hint="eastAsia" w:ascii="宋体" w:hAnsi="宋体" w:eastAsia="宋体" w:cs="宋体"/>
                <w:i w:val="0"/>
                <w:iCs w:val="0"/>
                <w:color w:val="auto"/>
                <w:sz w:val="18"/>
                <w:szCs w:val="18"/>
                <w:highlight w:val="none"/>
                <w:u w:val="none"/>
              </w:rPr>
            </w:pPr>
            <w:r>
              <w:rPr>
                <w:rFonts w:hint="eastAsia" w:cs="宋体"/>
                <w:i w:val="0"/>
                <w:iCs w:val="0"/>
                <w:color w:val="auto"/>
                <w:sz w:val="18"/>
                <w:szCs w:val="18"/>
                <w:highlight w:val="none"/>
                <w:u w:val="none"/>
                <w:lang w:val="en-US" w:eastAsia="zh-CN"/>
              </w:rPr>
              <w:t>单位</w:t>
            </w:r>
          </w:p>
        </w:tc>
        <w:tc>
          <w:tcPr>
            <w:tcW w:w="102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757036">
            <w:pPr>
              <w:spacing w:line="320" w:lineRule="exact"/>
              <w:ind w:firstLine="0" w:firstLineChars="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数量</w:t>
            </w:r>
          </w:p>
        </w:tc>
        <w:tc>
          <w:tcPr>
            <w:tcW w:w="135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EAA484">
            <w:pPr>
              <w:spacing w:line="320" w:lineRule="exact"/>
              <w:ind w:firstLine="0" w:firstLineChars="0"/>
              <w:jc w:val="center"/>
              <w:rPr>
                <w:rFonts w:hint="default" w:ascii="宋体" w:hAnsi="宋体" w:eastAsia="宋体" w:cs="宋体"/>
                <w:i w:val="0"/>
                <w:iCs w:val="0"/>
                <w:color w:val="auto"/>
                <w:sz w:val="18"/>
                <w:szCs w:val="18"/>
                <w:highlight w:val="none"/>
                <w:u w:val="none"/>
                <w:lang w:val="en-US" w:eastAsia="zh-CN"/>
              </w:rPr>
            </w:pPr>
            <w:r>
              <w:rPr>
                <w:rFonts w:hint="eastAsia" w:cs="宋体"/>
                <w:i w:val="0"/>
                <w:iCs w:val="0"/>
                <w:color w:val="auto"/>
                <w:sz w:val="18"/>
                <w:szCs w:val="18"/>
                <w:highlight w:val="none"/>
                <w:u w:val="none"/>
                <w:lang w:val="en-US" w:eastAsia="zh-CN"/>
              </w:rPr>
              <w:t>备注</w:t>
            </w:r>
          </w:p>
        </w:tc>
      </w:tr>
      <w:tr w14:paraId="52C1D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6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B021F5">
            <w:pPr>
              <w:spacing w:line="320" w:lineRule="exact"/>
              <w:ind w:firstLine="0" w:firstLineChars="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161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85C388">
            <w:pPr>
              <w:keepNext w:val="0"/>
              <w:keepLines w:val="0"/>
              <w:widowControl/>
              <w:suppressLineNumbers w:val="0"/>
              <w:spacing w:line="320" w:lineRule="exact"/>
              <w:ind w:firstLine="0" w:firstLineChars="0"/>
              <w:jc w:val="left"/>
              <w:textAlignment w:val="center"/>
              <w:rPr>
                <w:rFonts w:hint="eastAsia" w:ascii="宋体" w:hAnsi="宋体" w:eastAsia="宋体" w:cs="宋体"/>
                <w:i w:val="0"/>
                <w:iCs w:val="0"/>
                <w:color w:val="auto"/>
                <w:sz w:val="18"/>
                <w:szCs w:val="18"/>
                <w:highlight w:val="none"/>
                <w:u w:val="none"/>
              </w:rPr>
            </w:pPr>
            <w:r>
              <w:rPr>
                <w:rFonts w:hint="eastAsia" w:cs="宋体"/>
                <w:color w:val="auto"/>
                <w:sz w:val="18"/>
                <w:szCs w:val="18"/>
                <w:highlight w:val="none"/>
                <w:u w:val="none"/>
              </w:rPr>
              <w:t>10kV电力电缆,ZC-YJV22-8.7/15-3*50</w:t>
            </w:r>
          </w:p>
        </w:tc>
        <w:tc>
          <w:tcPr>
            <w:tcW w:w="64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6AB986">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m</w:t>
            </w:r>
          </w:p>
        </w:tc>
        <w:tc>
          <w:tcPr>
            <w:tcW w:w="102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ACA308">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color w:val="auto"/>
                <w:sz w:val="18"/>
                <w:szCs w:val="18"/>
                <w:highlight w:val="none"/>
                <w:u w:val="none"/>
                <w:lang w:val="en-US"/>
              </w:rPr>
            </w:pPr>
            <w:r>
              <w:rPr>
                <w:rFonts w:hint="eastAsia" w:cs="宋体"/>
                <w:i w:val="0"/>
                <w:iCs w:val="0"/>
                <w:snapToGrid w:val="0"/>
                <w:color w:val="auto"/>
                <w:kern w:val="0"/>
                <w:sz w:val="18"/>
                <w:szCs w:val="18"/>
                <w:highlight w:val="none"/>
                <w:u w:val="none"/>
                <w:lang w:val="en-US" w:eastAsia="zh-CN" w:bidi="ar"/>
              </w:rPr>
              <w:t>≥180</w:t>
            </w:r>
          </w:p>
        </w:tc>
        <w:tc>
          <w:tcPr>
            <w:tcW w:w="135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89BC63">
            <w:pPr>
              <w:keepNext w:val="0"/>
              <w:keepLines w:val="0"/>
              <w:widowControl/>
              <w:suppressLineNumbers w:val="0"/>
              <w:spacing w:line="320" w:lineRule="exact"/>
              <w:ind w:firstLine="360" w:firstLineChars="200"/>
              <w:jc w:val="left"/>
              <w:textAlignment w:val="center"/>
              <w:rPr>
                <w:rFonts w:hint="eastAsia" w:eastAsia="宋体" w:cs="宋体"/>
                <w:color w:val="auto"/>
                <w:sz w:val="18"/>
                <w:szCs w:val="18"/>
                <w:highlight w:val="none"/>
                <w:u w:val="none"/>
                <w:lang w:eastAsia="zh-CN"/>
              </w:rPr>
            </w:pPr>
          </w:p>
        </w:tc>
      </w:tr>
      <w:tr w14:paraId="3752B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6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8A8B6">
            <w:pPr>
              <w:spacing w:line="320" w:lineRule="exact"/>
              <w:ind w:firstLine="0" w:firstLineChars="0"/>
              <w:jc w:val="center"/>
              <w:rPr>
                <w:rFonts w:hint="default" w:ascii="宋体" w:hAnsi="宋体" w:eastAsia="宋体" w:cs="宋体"/>
                <w:i w:val="0"/>
                <w:iCs w:val="0"/>
                <w:color w:val="auto"/>
                <w:sz w:val="18"/>
                <w:szCs w:val="18"/>
                <w:highlight w:val="none"/>
                <w:u w:val="none"/>
                <w:lang w:val="en-US" w:eastAsia="zh-CN"/>
              </w:rPr>
            </w:pPr>
            <w:r>
              <w:rPr>
                <w:rFonts w:hint="eastAsia" w:cs="宋体"/>
                <w:i w:val="0"/>
                <w:iCs w:val="0"/>
                <w:color w:val="auto"/>
                <w:sz w:val="18"/>
                <w:szCs w:val="18"/>
                <w:highlight w:val="none"/>
                <w:u w:val="none"/>
                <w:lang w:val="en-US" w:eastAsia="zh-CN"/>
              </w:rPr>
              <w:t>2</w:t>
            </w:r>
          </w:p>
        </w:tc>
        <w:tc>
          <w:tcPr>
            <w:tcW w:w="161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DE1A33">
            <w:pPr>
              <w:keepNext w:val="0"/>
              <w:keepLines w:val="0"/>
              <w:widowControl/>
              <w:suppressLineNumbers w:val="0"/>
              <w:spacing w:line="320" w:lineRule="exact"/>
              <w:ind w:firstLine="0" w:firstLineChars="0"/>
              <w:jc w:val="left"/>
              <w:textAlignment w:val="center"/>
              <w:rPr>
                <w:rFonts w:hint="eastAsia" w:ascii="宋体" w:hAnsi="宋体" w:eastAsia="宋体" w:cs="宋体"/>
                <w:i w:val="0"/>
                <w:iCs w:val="0"/>
                <w:color w:val="auto"/>
                <w:sz w:val="18"/>
                <w:szCs w:val="18"/>
                <w:highlight w:val="none"/>
                <w:u w:val="none"/>
              </w:rPr>
            </w:pPr>
            <w:r>
              <w:rPr>
                <w:rFonts w:hint="eastAsia" w:cs="宋体"/>
                <w:color w:val="auto"/>
                <w:sz w:val="18"/>
                <w:szCs w:val="18"/>
                <w:highlight w:val="none"/>
                <w:u w:val="none"/>
              </w:rPr>
              <w:t>10kV电力电缆,ZC-YJV22-8.7/15-3*50</w:t>
            </w:r>
          </w:p>
        </w:tc>
        <w:tc>
          <w:tcPr>
            <w:tcW w:w="64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1A6637">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cs="宋体"/>
                <w:i w:val="0"/>
                <w:iCs w:val="0"/>
                <w:snapToGrid w:val="0"/>
                <w:color w:val="auto"/>
                <w:kern w:val="0"/>
                <w:sz w:val="18"/>
                <w:szCs w:val="18"/>
                <w:highlight w:val="none"/>
                <w:u w:val="none"/>
                <w:lang w:val="en-US" w:eastAsia="zh-CN" w:bidi="ar"/>
              </w:rPr>
              <w:t>m</w:t>
            </w:r>
          </w:p>
        </w:tc>
        <w:tc>
          <w:tcPr>
            <w:tcW w:w="102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AA3970">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cs="宋体"/>
                <w:i w:val="0"/>
                <w:iCs w:val="0"/>
                <w:snapToGrid w:val="0"/>
                <w:color w:val="auto"/>
                <w:kern w:val="0"/>
                <w:sz w:val="18"/>
                <w:szCs w:val="18"/>
                <w:highlight w:val="none"/>
                <w:u w:val="none"/>
                <w:lang w:val="en-US" w:eastAsia="zh-CN" w:bidi="ar"/>
              </w:rPr>
              <w:t>≥120</w:t>
            </w:r>
          </w:p>
        </w:tc>
        <w:tc>
          <w:tcPr>
            <w:tcW w:w="135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8B2DBE">
            <w:pPr>
              <w:keepNext w:val="0"/>
              <w:keepLines w:val="0"/>
              <w:widowControl/>
              <w:suppressLineNumbers w:val="0"/>
              <w:spacing w:line="320" w:lineRule="exact"/>
              <w:ind w:firstLine="0" w:firstLineChars="0"/>
              <w:jc w:val="left"/>
              <w:textAlignment w:val="center"/>
              <w:rPr>
                <w:rFonts w:hint="eastAsia" w:ascii="宋体" w:hAnsi="宋体" w:eastAsia="宋体" w:cs="宋体"/>
                <w:i w:val="0"/>
                <w:iCs w:val="0"/>
                <w:color w:val="auto"/>
                <w:sz w:val="18"/>
                <w:szCs w:val="18"/>
                <w:highlight w:val="none"/>
                <w:u w:val="none"/>
                <w:lang w:eastAsia="zh-CN"/>
              </w:rPr>
            </w:pPr>
          </w:p>
        </w:tc>
      </w:tr>
      <w:tr w14:paraId="715A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6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031958">
            <w:pPr>
              <w:spacing w:line="320" w:lineRule="exact"/>
              <w:ind w:firstLine="0" w:firstLineChars="0"/>
              <w:jc w:val="center"/>
              <w:rPr>
                <w:rFonts w:hint="eastAsia" w:ascii="宋体" w:hAnsi="宋体" w:eastAsia="宋体" w:cs="宋体"/>
                <w:i w:val="0"/>
                <w:iCs w:val="0"/>
                <w:snapToGrid w:val="0"/>
                <w:color w:val="auto"/>
                <w:sz w:val="18"/>
                <w:szCs w:val="18"/>
                <w:highlight w:val="none"/>
                <w:u w:val="none"/>
                <w:lang w:val="en-US" w:eastAsia="zh-CN" w:bidi="ar-SA"/>
              </w:rPr>
            </w:pPr>
            <w:r>
              <w:rPr>
                <w:rFonts w:hint="eastAsia" w:cs="宋体"/>
                <w:i w:val="0"/>
                <w:iCs w:val="0"/>
                <w:color w:val="auto"/>
                <w:sz w:val="18"/>
                <w:szCs w:val="18"/>
                <w:highlight w:val="none"/>
                <w:u w:val="none"/>
                <w:lang w:val="en-US" w:eastAsia="zh-CN"/>
              </w:rPr>
              <w:t>3</w:t>
            </w:r>
          </w:p>
        </w:tc>
        <w:tc>
          <w:tcPr>
            <w:tcW w:w="161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DB90F9">
            <w:pPr>
              <w:keepNext w:val="0"/>
              <w:keepLines w:val="0"/>
              <w:widowControl/>
              <w:suppressLineNumbers w:val="0"/>
              <w:spacing w:line="320" w:lineRule="exact"/>
              <w:ind w:firstLine="0" w:firstLineChars="0"/>
              <w:jc w:val="left"/>
              <w:textAlignment w:val="center"/>
              <w:rPr>
                <w:rFonts w:hint="eastAsia" w:ascii="宋体" w:hAnsi="宋体" w:eastAsia="宋体" w:cs="宋体"/>
                <w:i w:val="0"/>
                <w:iCs w:val="0"/>
                <w:snapToGrid w:val="0"/>
                <w:color w:val="auto"/>
                <w:sz w:val="18"/>
                <w:szCs w:val="18"/>
                <w:highlight w:val="none"/>
                <w:u w:val="none"/>
                <w:lang w:val="en-US" w:eastAsia="en-US" w:bidi="ar-SA"/>
              </w:rPr>
            </w:pPr>
            <w:r>
              <w:rPr>
                <w:rFonts w:hint="eastAsia" w:ascii="宋体" w:hAnsi="宋体" w:eastAsia="宋体" w:cs="宋体"/>
                <w:i w:val="0"/>
                <w:iCs w:val="0"/>
                <w:color w:val="auto"/>
                <w:sz w:val="18"/>
                <w:szCs w:val="18"/>
                <w:highlight w:val="none"/>
                <w:u w:val="none"/>
              </w:rPr>
              <w:t>10kV</w:t>
            </w:r>
            <w:r>
              <w:rPr>
                <w:rFonts w:hint="eastAsia" w:cs="宋体"/>
                <w:i w:val="0"/>
                <w:iCs w:val="0"/>
                <w:color w:val="auto"/>
                <w:sz w:val="18"/>
                <w:szCs w:val="18"/>
                <w:highlight w:val="none"/>
                <w:u w:val="none"/>
                <w:lang w:val="en-US" w:eastAsia="zh-CN"/>
              </w:rPr>
              <w:t xml:space="preserve">变压器 </w:t>
            </w:r>
            <w:r>
              <w:rPr>
                <w:rFonts w:hint="eastAsia" w:cs="宋体"/>
                <w:color w:val="auto"/>
                <w:sz w:val="18"/>
                <w:szCs w:val="18"/>
                <w:highlight w:val="none"/>
                <w:u w:val="none"/>
                <w:lang w:val="en-US" w:eastAsia="zh-CN"/>
              </w:rPr>
              <w:t>63</w:t>
            </w:r>
            <w:r>
              <w:rPr>
                <w:rFonts w:hint="eastAsia" w:cs="宋体"/>
                <w:color w:val="auto"/>
                <w:sz w:val="18"/>
                <w:szCs w:val="18"/>
                <w:highlight w:val="none"/>
                <w:u w:val="none"/>
                <w:lang w:eastAsia="zh-CN"/>
              </w:rPr>
              <w:t>0kVA</w:t>
            </w:r>
          </w:p>
        </w:tc>
        <w:tc>
          <w:tcPr>
            <w:tcW w:w="64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58E6E4">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snapToGrid w:val="0"/>
                <w:color w:val="auto"/>
                <w:sz w:val="18"/>
                <w:szCs w:val="18"/>
                <w:highlight w:val="none"/>
                <w:u w:val="none"/>
                <w:lang w:val="en-US" w:eastAsia="zh-CN" w:bidi="ar-SA"/>
              </w:rPr>
            </w:pPr>
            <w:r>
              <w:rPr>
                <w:rFonts w:hint="eastAsia" w:ascii="宋体" w:hAnsi="宋体" w:eastAsia="宋体" w:cs="宋体"/>
                <w:i w:val="0"/>
                <w:iCs w:val="0"/>
                <w:snapToGrid w:val="0"/>
                <w:color w:val="auto"/>
                <w:kern w:val="0"/>
                <w:sz w:val="18"/>
                <w:szCs w:val="18"/>
                <w:highlight w:val="none"/>
                <w:u w:val="none"/>
                <w:lang w:val="en-US" w:eastAsia="zh-CN" w:bidi="ar"/>
              </w:rPr>
              <w:t>台</w:t>
            </w:r>
          </w:p>
        </w:tc>
        <w:tc>
          <w:tcPr>
            <w:tcW w:w="102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19D8CF">
            <w:pPr>
              <w:keepNext w:val="0"/>
              <w:keepLines w:val="0"/>
              <w:widowControl/>
              <w:suppressLineNumbers w:val="0"/>
              <w:spacing w:line="320" w:lineRule="exact"/>
              <w:ind w:firstLine="0" w:firstLineChars="0"/>
              <w:jc w:val="center"/>
              <w:textAlignment w:val="center"/>
              <w:rPr>
                <w:rFonts w:hint="default" w:ascii="宋体" w:hAnsi="宋体" w:eastAsia="宋体" w:cs="宋体"/>
                <w:i w:val="0"/>
                <w:iCs w:val="0"/>
                <w:snapToGrid w:val="0"/>
                <w:color w:val="auto"/>
                <w:sz w:val="18"/>
                <w:szCs w:val="18"/>
                <w:highlight w:val="none"/>
                <w:u w:val="none"/>
                <w:lang w:val="en-US" w:eastAsia="zh-CN" w:bidi="ar-SA"/>
              </w:rPr>
            </w:pPr>
            <w:r>
              <w:rPr>
                <w:rFonts w:hint="eastAsia" w:cs="宋体"/>
                <w:i w:val="0"/>
                <w:iCs w:val="0"/>
                <w:snapToGrid w:val="0"/>
                <w:color w:val="auto"/>
                <w:kern w:val="0"/>
                <w:sz w:val="18"/>
                <w:szCs w:val="18"/>
                <w:highlight w:val="none"/>
                <w:u w:val="none"/>
                <w:lang w:val="en-US" w:eastAsia="zh-CN" w:bidi="ar"/>
              </w:rPr>
              <w:t>2</w:t>
            </w:r>
          </w:p>
        </w:tc>
        <w:tc>
          <w:tcPr>
            <w:tcW w:w="135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9B75DF">
            <w:pPr>
              <w:keepNext w:val="0"/>
              <w:keepLines w:val="0"/>
              <w:widowControl/>
              <w:suppressLineNumbers w:val="0"/>
              <w:spacing w:line="320" w:lineRule="exact"/>
              <w:ind w:firstLine="0" w:firstLineChars="0"/>
              <w:jc w:val="left"/>
              <w:textAlignment w:val="center"/>
              <w:rPr>
                <w:rFonts w:hint="eastAsia" w:ascii="宋体" w:hAnsi="宋体" w:eastAsia="宋体" w:cs="宋体"/>
                <w:i w:val="0"/>
                <w:iCs w:val="0"/>
                <w:snapToGrid w:val="0"/>
                <w:color w:val="auto"/>
                <w:sz w:val="18"/>
                <w:szCs w:val="18"/>
                <w:highlight w:val="none"/>
                <w:u w:val="none"/>
                <w:lang w:val="en-US" w:eastAsia="zh-CN" w:bidi="ar-SA"/>
              </w:rPr>
            </w:pPr>
          </w:p>
        </w:tc>
      </w:tr>
    </w:tbl>
    <w:p w14:paraId="0A6EBA92">
      <w:pPr>
        <w:suppressAutoHyphens/>
        <w:kinsoku w:val="0"/>
        <w:spacing w:line="460" w:lineRule="exact"/>
        <w:ind w:firstLine="420" w:firstLineChars="0"/>
        <w:jc w:val="left"/>
        <w:textAlignment w:val="auto"/>
        <w:rPr>
          <w:rFonts w:hint="eastAsia" w:asciiTheme="minorEastAsia" w:hAnsiTheme="minorEastAsia" w:eastAsiaTheme="minorEastAsia" w:cstheme="minorEastAsia"/>
          <w:snapToGrid w:val="0"/>
          <w:color w:val="auto"/>
          <w:sz w:val="24"/>
          <w:szCs w:val="24"/>
          <w:highlight w:val="none"/>
          <w:lang w:val="en-US" w:eastAsia="en-US" w:bidi="ar-SA"/>
        </w:rPr>
      </w:pPr>
      <w:r>
        <w:rPr>
          <w:rFonts w:hint="eastAsia" w:asciiTheme="minorEastAsia" w:hAnsiTheme="minorEastAsia" w:eastAsiaTheme="minorEastAsia" w:cstheme="minorEastAsia"/>
          <w:snapToGrid/>
          <w:color w:val="auto"/>
          <w:sz w:val="24"/>
          <w:szCs w:val="24"/>
          <w:highlight w:val="none"/>
          <w:lang w:val="en-US" w:eastAsia="en-US" w:bidi="ar-SA"/>
        </w:rPr>
        <w:t>（2）</w:t>
      </w:r>
      <w:r>
        <w:rPr>
          <w:rFonts w:hint="eastAsia" w:asciiTheme="minorEastAsia" w:hAnsiTheme="minorEastAsia" w:eastAsiaTheme="minorEastAsia" w:cstheme="minorEastAsia"/>
          <w:snapToGrid/>
          <w:color w:val="auto"/>
          <w:sz w:val="24"/>
          <w:szCs w:val="24"/>
          <w:highlight w:val="none"/>
          <w:lang w:val="en-US" w:eastAsia="zh-CN" w:bidi="ar-SA"/>
        </w:rPr>
        <w:t>施工场外供电设施的设计、报装、接入方案编制评审、采购、安装、施工、调试及检试验、运行管理、维护检修、拆除、征地、拆迁、环水保、复垦等所有施工场外供电工作，应符合相应国家、电力行业规程规范及浙江省、绍兴市地方供电部门要求，应满足电力行业相关的设计、施工及验收规程与规范，满足工程所在地的环境要求，</w:t>
      </w:r>
      <w:r>
        <w:rPr>
          <w:rFonts w:hint="eastAsia" w:asciiTheme="minorEastAsia" w:hAnsiTheme="minorEastAsia" w:eastAsiaTheme="minorEastAsia" w:cstheme="minorEastAsia"/>
          <w:snapToGrid w:val="0"/>
          <w:color w:val="auto"/>
          <w:sz w:val="24"/>
          <w:szCs w:val="24"/>
          <w:highlight w:val="none"/>
          <w:u w:val="none"/>
          <w:lang w:val="en-US" w:eastAsia="zh-CN" w:bidi="ar-SA"/>
        </w:rPr>
        <w:t>符合《水利水电工程施工组织设计规范》（SL 303-2017）</w:t>
      </w:r>
      <w:r>
        <w:rPr>
          <w:rFonts w:hint="eastAsia" w:asciiTheme="minorEastAsia" w:hAnsiTheme="minorEastAsia" w:eastAsiaTheme="minorEastAsia" w:cstheme="minorEastAsia"/>
          <w:snapToGrid w:val="0"/>
          <w:color w:val="auto"/>
          <w:sz w:val="24"/>
          <w:szCs w:val="24"/>
          <w:highlight w:val="none"/>
          <w:lang w:val="en-US" w:eastAsia="zh-CN" w:bidi="ar-SA"/>
        </w:rPr>
        <w:t>要求，</w:t>
      </w:r>
      <w:r>
        <w:rPr>
          <w:rFonts w:hint="eastAsia" w:asciiTheme="minorEastAsia" w:hAnsiTheme="minorEastAsia" w:eastAsiaTheme="minorEastAsia" w:cstheme="minorEastAsia"/>
          <w:snapToGrid w:val="0"/>
          <w:color w:val="auto"/>
          <w:sz w:val="24"/>
          <w:szCs w:val="24"/>
          <w:highlight w:val="none"/>
          <w:u w:val="none"/>
          <w:lang w:val="en-US" w:eastAsia="zh-CN" w:bidi="ar-SA"/>
        </w:rPr>
        <w:t>文明标化工地不低于《浙江省水利建设工程文明标化工地创建指导手册（2024年）》要求</w:t>
      </w:r>
      <w:r>
        <w:rPr>
          <w:rFonts w:hint="eastAsia" w:asciiTheme="minorEastAsia" w:hAnsiTheme="minorEastAsia" w:eastAsiaTheme="minorEastAsia" w:cstheme="minorEastAsia"/>
          <w:snapToGrid w:val="0"/>
          <w:color w:val="auto"/>
          <w:sz w:val="24"/>
          <w:szCs w:val="24"/>
          <w:highlight w:val="none"/>
          <w:lang w:val="en-US" w:eastAsia="zh-CN" w:bidi="ar-SA"/>
        </w:rPr>
        <w:t>。</w:t>
      </w:r>
    </w:p>
    <w:p w14:paraId="2BAE391F">
      <w:pPr>
        <w:suppressAutoHyphens/>
        <w:ind w:firstLine="420"/>
        <w:jc w:val="left"/>
        <w:rPr>
          <w:rFonts w:hint="eastAsia" w:asciiTheme="minorEastAsia" w:hAnsiTheme="minorEastAsia" w:eastAsiaTheme="minorEastAsia" w:cstheme="minorEastAsia"/>
          <w:snapToGrid w:val="0"/>
          <w:color w:val="auto"/>
          <w:sz w:val="24"/>
          <w:szCs w:val="24"/>
          <w:highlight w:val="none"/>
          <w:lang w:val="en-US" w:eastAsia="en-US" w:bidi="ar-SA"/>
        </w:rPr>
      </w:pPr>
      <w:r>
        <w:rPr>
          <w:rFonts w:hint="eastAsia" w:asciiTheme="minorEastAsia" w:hAnsiTheme="minorEastAsia" w:eastAsiaTheme="minorEastAsia" w:cstheme="minorEastAsia"/>
          <w:snapToGrid w:val="0"/>
          <w:color w:val="auto"/>
          <w:sz w:val="24"/>
          <w:szCs w:val="24"/>
          <w:highlight w:val="none"/>
          <w:lang w:val="en-US" w:eastAsia="en-US" w:bidi="ar-SA"/>
        </w:rPr>
        <w:t>（</w:t>
      </w:r>
      <w:r>
        <w:rPr>
          <w:rFonts w:hint="eastAsia" w:asciiTheme="minorEastAsia" w:hAnsiTheme="minorEastAsia" w:eastAsiaTheme="minorEastAsia" w:cstheme="minorEastAsia"/>
          <w:snapToGrid w:val="0"/>
          <w:color w:val="auto"/>
          <w:sz w:val="24"/>
          <w:szCs w:val="24"/>
          <w:highlight w:val="none"/>
          <w:lang w:val="en-US" w:eastAsia="zh-CN" w:bidi="ar-SA"/>
        </w:rPr>
        <w:t>3</w:t>
      </w:r>
      <w:r>
        <w:rPr>
          <w:rFonts w:hint="eastAsia" w:asciiTheme="minorEastAsia" w:hAnsiTheme="minorEastAsia" w:eastAsiaTheme="minorEastAsia" w:cstheme="minorEastAsia"/>
          <w:snapToGrid w:val="0"/>
          <w:color w:val="auto"/>
          <w:sz w:val="24"/>
          <w:szCs w:val="24"/>
          <w:highlight w:val="none"/>
          <w:lang w:val="en-US" w:eastAsia="en-US" w:bidi="ar-SA"/>
        </w:rPr>
        <w:t>）承包人建设的至各施工部位供配电设施，在工程完工后的处置必须征得发包人的同意，发包人认为其供电设施可继续利用，承包人应无偿移交给发包人。若发包人不继续利用，承包人自行拆除，拆除费用由承包人承担。</w:t>
      </w:r>
    </w:p>
    <w:p w14:paraId="017C945D">
      <w:pPr>
        <w:ind w:firstLine="420"/>
        <w:jc w:val="left"/>
        <w:rPr>
          <w:color w:val="auto"/>
          <w:highlight w:val="none"/>
          <w:lang w:eastAsia="zh-CN"/>
        </w:rPr>
      </w:pPr>
      <w:r>
        <w:rPr>
          <w:color w:val="auto"/>
          <w:highlight w:val="none"/>
          <w:lang w:eastAsia="zh-CN"/>
        </w:rPr>
        <w:t>（</w:t>
      </w:r>
      <w:r>
        <w:rPr>
          <w:rFonts w:hint="eastAsia"/>
          <w:color w:val="auto"/>
          <w:highlight w:val="none"/>
          <w:lang w:val="en-US" w:eastAsia="zh-CN"/>
        </w:rPr>
        <w:t>4</w:t>
      </w:r>
      <w:r>
        <w:rPr>
          <w:color w:val="auto"/>
          <w:highlight w:val="none"/>
          <w:lang w:eastAsia="zh-CN"/>
        </w:rPr>
        <w:t>）</w:t>
      </w:r>
      <w:r>
        <w:rPr>
          <w:rFonts w:hint="eastAsia"/>
          <w:color w:val="auto"/>
          <w:highlight w:val="none"/>
          <w:lang w:eastAsia="zh-CN"/>
        </w:rPr>
        <w:t>发包人提交电源输出端接口后，发包人将建设的的供电设施除产权外移交承包人，在移交时变更用电户名，并承担由此产生的一切费用。</w:t>
      </w:r>
    </w:p>
    <w:p w14:paraId="01BD2CF2">
      <w:pPr>
        <w:ind w:firstLine="420"/>
        <w:jc w:val="left"/>
        <w:rPr>
          <w:color w:val="auto"/>
          <w:highlight w:val="none"/>
          <w:lang w:eastAsia="zh-CN"/>
        </w:rPr>
      </w:pPr>
      <w:r>
        <w:rPr>
          <w:color w:val="auto"/>
          <w:highlight w:val="none"/>
          <w:lang w:eastAsia="zh-CN"/>
        </w:rPr>
        <w:t>（</w:t>
      </w:r>
      <w:r>
        <w:rPr>
          <w:rFonts w:hint="eastAsia"/>
          <w:color w:val="auto"/>
          <w:highlight w:val="none"/>
          <w:lang w:val="en-US" w:eastAsia="zh-CN"/>
        </w:rPr>
        <w:t>5</w:t>
      </w:r>
      <w:r>
        <w:rPr>
          <w:color w:val="auto"/>
          <w:highlight w:val="none"/>
          <w:lang w:eastAsia="zh-CN"/>
        </w:rPr>
        <w:t>）由于电网供电原因引起的承包人的人员窝工、设备闲置</w:t>
      </w:r>
      <w:r>
        <w:rPr>
          <w:rFonts w:hint="eastAsia"/>
          <w:color w:val="auto"/>
          <w:highlight w:val="none"/>
          <w:lang w:eastAsia="zh-CN"/>
        </w:rPr>
        <w:t>及故障等一切损失，发包人不予补偿，承包人也不得提出索赔。由于本标段承包人原因导致其他标段施工供电中断，造成的相关损失由本标段承包人与其他标段承包人协商解决。</w:t>
      </w:r>
    </w:p>
    <w:p w14:paraId="096AAF24">
      <w:pPr>
        <w:ind w:firstLine="420"/>
        <w:jc w:val="left"/>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）施工用电计划。承包人应在项目开工前</w:t>
      </w:r>
      <w:r>
        <w:rPr>
          <w:color w:val="auto"/>
          <w:highlight w:val="none"/>
          <w:lang w:eastAsia="zh-CN"/>
        </w:rPr>
        <w:t>14</w:t>
      </w:r>
      <w:r>
        <w:rPr>
          <w:rFonts w:hint="eastAsia"/>
          <w:color w:val="auto"/>
          <w:highlight w:val="none"/>
          <w:lang w:eastAsia="zh-CN"/>
        </w:rPr>
        <w:t>天，编制临时用电施工组织设计并报监理审批。承包人应按监理审批后的施工组织设计配备符合要求的人员和设备，严格按照临时用电施工组织设计进行配电和用电设备布置。承包人应制定日常临时用电管理制度，建立用电工程量清单，明确各种用电设备日常检查、维护、保养、检测等内容和周期要求，并组织实施。</w:t>
      </w:r>
    </w:p>
    <w:p w14:paraId="541D9D03">
      <w:pPr>
        <w:ind w:firstLine="420"/>
        <w:jc w:val="left"/>
        <w:rPr>
          <w:rFonts w:hint="eastAsia"/>
          <w:color w:val="auto"/>
          <w:highlight w:val="none"/>
          <w:lang w:eastAsia="zh-CN"/>
        </w:rPr>
      </w:pPr>
      <w:r>
        <w:rPr>
          <w:rFonts w:hint="eastAsia"/>
          <w:color w:val="auto"/>
          <w:highlight w:val="none"/>
          <w:lang w:val="en-US" w:eastAsia="zh-CN"/>
        </w:rPr>
        <w:t>（7）</w:t>
      </w:r>
      <w:r>
        <w:rPr>
          <w:rFonts w:hint="eastAsia"/>
          <w:color w:val="auto"/>
          <w:highlight w:val="none"/>
          <w:lang w:eastAsia="zh-CN"/>
        </w:rPr>
        <w:t>承包人应对本标段所建设的施工供配电系统（含输电线路及变配电设施）编制专项方案，方案经发包人审批同意后实施，承包人不得因为线路路径及长度发生变化向发包人提出变更索赔。</w:t>
      </w:r>
    </w:p>
    <w:p w14:paraId="5EFF3431">
      <w:pPr>
        <w:ind w:firstLine="420"/>
        <w:jc w:val="left"/>
        <w:rPr>
          <w:rFonts w:hint="eastAsia"/>
          <w:color w:val="auto"/>
          <w:highlight w:val="none"/>
          <w:lang w:eastAsia="zh-CN"/>
        </w:rPr>
      </w:pPr>
      <w:r>
        <w:rPr>
          <w:color w:val="auto"/>
          <w:highlight w:val="none"/>
          <w:lang w:eastAsia="zh-CN"/>
        </w:rPr>
        <w:t>（</w:t>
      </w:r>
      <w:r>
        <w:rPr>
          <w:rFonts w:hint="eastAsia"/>
          <w:color w:val="auto"/>
          <w:highlight w:val="none"/>
          <w:lang w:val="en-US" w:eastAsia="zh-CN"/>
        </w:rPr>
        <w:t>8</w:t>
      </w:r>
      <w:r>
        <w:rPr>
          <w:color w:val="auto"/>
          <w:highlight w:val="none"/>
          <w:lang w:eastAsia="zh-CN"/>
        </w:rPr>
        <w:t>）</w:t>
      </w:r>
      <w:r>
        <w:rPr>
          <w:rFonts w:hint="eastAsia"/>
          <w:color w:val="auto"/>
          <w:highlight w:val="none"/>
          <w:lang w:eastAsia="zh-CN"/>
        </w:rPr>
        <w:t>其它有关事宜按发包人的相关的规定办理。</w:t>
      </w:r>
    </w:p>
    <w:p w14:paraId="2E80D35A">
      <w:pPr>
        <w:pStyle w:val="4"/>
        <w:spacing w:beforeLines="0" w:afterLines="0"/>
        <w:jc w:val="both"/>
        <w:rPr>
          <w:rFonts w:hint="eastAsia" w:cs="宋体"/>
          <w:bCs/>
          <w:color w:val="auto"/>
          <w:szCs w:val="24"/>
          <w:highlight w:val="none"/>
          <w:lang w:eastAsia="zh-CN"/>
        </w:rPr>
      </w:pPr>
      <w:r>
        <w:rPr>
          <w:rFonts w:hint="eastAsia" w:cs="宋体"/>
          <w:bCs/>
          <w:color w:val="auto"/>
          <w:szCs w:val="24"/>
          <w:highlight w:val="none"/>
          <w:lang w:eastAsia="zh-CN"/>
        </w:rPr>
        <w:t>2.4　施工房屋建筑</w:t>
      </w:r>
    </w:p>
    <w:p w14:paraId="4E8B7FBE">
      <w:pPr>
        <w:ind w:firstLine="420"/>
        <w:jc w:val="left"/>
        <w:rPr>
          <w:rFonts w:hAnsi="Times New Roman" w:cs="宋体"/>
          <w:color w:val="auto"/>
          <w:highlight w:val="none"/>
          <w:lang w:eastAsia="zh-CN"/>
        </w:rPr>
      </w:pPr>
      <w:r>
        <w:rPr>
          <w:rFonts w:cs="宋体"/>
          <w:color w:val="auto"/>
          <w:highlight w:val="none"/>
          <w:lang w:eastAsia="zh-CN"/>
        </w:rPr>
        <w:t>施工房屋建筑工程是指工程在建设过程中建造的临时房屋，包括施工仓库，办公、生活及文化福利建筑及所需的配套设施工程。其中施工仓库，指为施工而临时兴建的设备、材料、工器具等仓库建筑工程；办公、生活及文化福利建筑，指承包人、发包人、监理人及设计代表在工程建设期所需的办公室、宿舍和其他文化福利设施等房屋建筑工程。</w:t>
      </w:r>
    </w:p>
    <w:p w14:paraId="6EF689E2">
      <w:pPr>
        <w:ind w:firstLine="420"/>
        <w:jc w:val="left"/>
        <w:rPr>
          <w:rFonts w:hAnsi="Times New Roman" w:cs="宋体"/>
          <w:color w:val="auto"/>
          <w:highlight w:val="none"/>
          <w:lang w:eastAsia="zh-CN"/>
        </w:rPr>
      </w:pPr>
      <w:r>
        <w:rPr>
          <w:rFonts w:cs="宋体"/>
          <w:color w:val="auto"/>
          <w:highlight w:val="none"/>
          <w:lang w:eastAsia="zh-CN"/>
        </w:rPr>
        <w:t>临时房屋建筑工程不包括列入临时设施和其他临时工程项目内的风、水、电、通信系统，砂石料系统，混凝土拌和系统及浇筑系统，木工、钢筋、机修等辅助工厂，混凝土预制构件厂，混凝土制冷、供热系统，施工排水等生产用房。</w:t>
      </w:r>
    </w:p>
    <w:p w14:paraId="3B5F6E3C">
      <w:pPr>
        <w:pStyle w:val="5"/>
        <w:rPr>
          <w:rFonts w:hAnsi="Times New Roman" w:cs="楷体"/>
          <w:color w:val="auto"/>
          <w:highlight w:val="none"/>
          <w:lang w:eastAsia="zh-CN"/>
        </w:rPr>
      </w:pPr>
      <w:r>
        <w:rPr>
          <w:rFonts w:hAnsi="Times New Roman" w:cs="Times New Roman"/>
          <w:color w:val="auto"/>
          <w:highlight w:val="none"/>
          <w:lang w:eastAsia="zh-CN"/>
        </w:rPr>
        <w:t>2.4.1</w:t>
      </w:r>
      <w:r>
        <w:rPr>
          <w:rFonts w:hint="eastAsia" w:hAnsi="Times New Roman" w:cs="Times New Roman"/>
          <w:color w:val="auto"/>
          <w:highlight w:val="none"/>
          <w:lang w:eastAsia="zh-CN"/>
        </w:rPr>
        <w:t>　</w:t>
      </w:r>
      <w:r>
        <w:rPr>
          <w:rFonts w:hAnsi="楷体" w:cs="楷体"/>
          <w:color w:val="auto"/>
          <w:highlight w:val="none"/>
          <w:lang w:eastAsia="zh-CN"/>
        </w:rPr>
        <w:t>承包人自建施工房屋建筑</w:t>
      </w:r>
    </w:p>
    <w:p w14:paraId="7CB4CFD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）除合同另有约定外，承包人应负责其施工需要的临时房屋建筑工程的设计、建造及其设备的采购、安装、管理和维护等。</w:t>
      </w:r>
    </w:p>
    <w:p w14:paraId="4DD6316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）承包人应在收到开工通知后的</w:t>
      </w:r>
      <w:r>
        <w:rPr>
          <w:rFonts w:hint="eastAsia" w:cs="宋体"/>
          <w:color w:val="auto"/>
          <w:highlight w:val="none"/>
          <w:u w:val="single"/>
          <w:lang w:val="en-US" w:eastAsia="zh-CN"/>
        </w:rPr>
        <w:t xml:space="preserve">  14  </w:t>
      </w:r>
      <w:r>
        <w:rPr>
          <w:rFonts w:cs="宋体"/>
          <w:color w:val="auto"/>
          <w:highlight w:val="none"/>
          <w:lang w:eastAsia="zh-CN"/>
        </w:rPr>
        <w:t>天内，按发包人批准的施工规划总布置，向监理人编制一份临时房屋建筑工程的布置和房屋建筑物设计的图纸和文件提交监理人</w:t>
      </w:r>
      <w:r>
        <w:rPr>
          <w:rFonts w:hint="eastAsia" w:cs="宋体"/>
          <w:color w:val="auto"/>
          <w:highlight w:val="none"/>
          <w:lang w:val="en-US" w:eastAsia="zh-CN"/>
        </w:rPr>
        <w:t>及发包人</w:t>
      </w:r>
      <w:r>
        <w:rPr>
          <w:rFonts w:cs="宋体"/>
          <w:color w:val="auto"/>
          <w:highlight w:val="none"/>
          <w:lang w:eastAsia="zh-CN"/>
        </w:rPr>
        <w:t>批准。</w:t>
      </w:r>
    </w:p>
    <w:p w14:paraId="4D28D0C2">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）除合同另有约定外，储存炸药、</w:t>
      </w:r>
      <w:r>
        <w:rPr>
          <w:rFonts w:hint="eastAsia" w:cs="宋体"/>
          <w:color w:val="auto"/>
          <w:highlight w:val="none"/>
          <w:lang w:eastAsia="zh-CN"/>
        </w:rPr>
        <w:t>数码电子雷管</w:t>
      </w:r>
      <w:r>
        <w:rPr>
          <w:rFonts w:cs="宋体"/>
          <w:color w:val="auto"/>
          <w:highlight w:val="none"/>
          <w:lang w:eastAsia="zh-CN"/>
        </w:rPr>
        <w:t>和油料等特殊材料仓库应按监理人批准的地点进行布置和修建，并应严格遵守国家有关安全管理的规定。</w:t>
      </w:r>
    </w:p>
    <w:p w14:paraId="23F89006">
      <w:pPr>
        <w:keepNext/>
        <w:ind w:firstLine="0" w:firstLineChars="0"/>
        <w:jc w:val="left"/>
        <w:rPr>
          <w:b/>
          <w:bCs/>
          <w:color w:val="auto"/>
          <w:highlight w:val="none"/>
          <w:lang w:eastAsia="zh-CN"/>
        </w:rPr>
      </w:pPr>
      <w:r>
        <w:rPr>
          <w:rFonts w:hint="eastAsia" w:eastAsia="宋体"/>
          <w:b/>
          <w:bCs/>
          <w:color w:val="auto"/>
          <w:highlight w:val="none"/>
          <w:lang w:eastAsia="zh-CN"/>
        </w:rPr>
        <w:t>表2.</w:t>
      </w:r>
      <w:r>
        <w:rPr>
          <w:rFonts w:hint="eastAsia"/>
          <w:b/>
          <w:bCs/>
          <w:color w:val="auto"/>
          <w:highlight w:val="none"/>
          <w:lang w:eastAsia="zh-CN"/>
        </w:rPr>
        <w:t>4</w:t>
      </w:r>
      <w:r>
        <w:rPr>
          <w:b/>
          <w:bCs/>
          <w:color w:val="auto"/>
          <w:highlight w:val="none"/>
          <w:lang w:eastAsia="zh-CN"/>
        </w:rPr>
        <w:t>-1</w:t>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b/>
          <w:bCs/>
          <w:color w:val="auto"/>
          <w:highlight w:val="none"/>
          <w:lang w:val="en-US" w:eastAsia="zh-CN"/>
        </w:rPr>
        <w:t>施工房屋数量</w:t>
      </w:r>
      <w:r>
        <w:rPr>
          <w:b/>
          <w:bCs/>
          <w:color w:val="auto"/>
          <w:highlight w:val="none"/>
          <w:lang w:eastAsia="zh-CN"/>
        </w:rPr>
        <w:t>表</w:t>
      </w:r>
    </w:p>
    <w:tbl>
      <w:tblPr>
        <w:tblStyle w:val="1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5"/>
        <w:gridCol w:w="3810"/>
        <w:gridCol w:w="722"/>
        <w:gridCol w:w="970"/>
        <w:gridCol w:w="2880"/>
      </w:tblGrid>
      <w:tr w14:paraId="72F4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blHeader/>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70F17A">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序号</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C22BCE">
            <w:pPr>
              <w:keepNext w:val="0"/>
              <w:keepLines w:val="0"/>
              <w:widowControl/>
              <w:suppressLineNumbers w:val="0"/>
              <w:spacing w:line="320" w:lineRule="exact"/>
              <w:ind w:firstLine="0" w:firstLineChars="0"/>
              <w:jc w:val="center"/>
              <w:textAlignment w:val="center"/>
              <w:rPr>
                <w:rFonts w:hint="eastAsia" w:ascii="宋体" w:hAnsi="宋体" w:eastAsia="宋体" w:cs="宋体"/>
                <w:i w:val="0"/>
                <w:iCs w:val="0"/>
                <w:color w:val="auto"/>
                <w:sz w:val="18"/>
                <w:szCs w:val="18"/>
                <w:highlight w:val="none"/>
                <w:u w:val="none"/>
              </w:rPr>
            </w:pPr>
            <w:r>
              <w:rPr>
                <w:rFonts w:hint="eastAsia" w:cs="宋体"/>
                <w:i w:val="0"/>
                <w:iCs w:val="0"/>
                <w:color w:val="auto"/>
                <w:sz w:val="18"/>
                <w:szCs w:val="18"/>
                <w:highlight w:val="none"/>
                <w:u w:val="none"/>
                <w:lang w:val="en-US" w:eastAsia="zh-CN"/>
              </w:rPr>
              <w:t>项目名称</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95F77F">
            <w:pPr>
              <w:spacing w:line="320" w:lineRule="exact"/>
              <w:ind w:firstLine="0" w:firstLineChars="0"/>
              <w:jc w:val="center"/>
              <w:rPr>
                <w:rFonts w:hint="eastAsia" w:ascii="宋体" w:hAnsi="宋体" w:eastAsia="宋体" w:cs="宋体"/>
                <w:i w:val="0"/>
                <w:iCs w:val="0"/>
                <w:color w:val="auto"/>
                <w:sz w:val="18"/>
                <w:szCs w:val="18"/>
                <w:highlight w:val="none"/>
                <w:u w:val="none"/>
              </w:rPr>
            </w:pPr>
            <w:r>
              <w:rPr>
                <w:rFonts w:hint="eastAsia" w:cs="宋体"/>
                <w:i w:val="0"/>
                <w:iCs w:val="0"/>
                <w:color w:val="auto"/>
                <w:sz w:val="18"/>
                <w:szCs w:val="18"/>
                <w:highlight w:val="none"/>
                <w:u w:val="none"/>
                <w:lang w:val="en-US" w:eastAsia="zh-CN"/>
              </w:rPr>
              <w:t>单位</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F7277B">
            <w:pPr>
              <w:spacing w:line="320" w:lineRule="exact"/>
              <w:ind w:firstLine="0" w:firstLineChars="0"/>
              <w:jc w:val="center"/>
              <w:rPr>
                <w:rFonts w:hint="eastAsia" w:ascii="宋体" w:hAnsi="宋体" w:eastAsia="宋体" w:cs="宋体"/>
                <w:i w:val="0"/>
                <w:iCs w:val="0"/>
                <w:color w:val="auto"/>
                <w:sz w:val="18"/>
                <w:szCs w:val="18"/>
                <w:highlight w:val="none"/>
                <w:u w:val="none"/>
                <w:lang w:val="en-US" w:eastAsia="zh-CN"/>
              </w:rPr>
            </w:pPr>
            <w:r>
              <w:rPr>
                <w:rFonts w:hint="eastAsia" w:cs="宋体"/>
                <w:i w:val="0"/>
                <w:iCs w:val="0"/>
                <w:color w:val="auto"/>
                <w:sz w:val="18"/>
                <w:szCs w:val="18"/>
                <w:highlight w:val="none"/>
                <w:u w:val="none"/>
                <w:lang w:val="en-US" w:eastAsia="zh-CN"/>
              </w:rPr>
              <w:t>面积</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0550F0">
            <w:pPr>
              <w:spacing w:line="320" w:lineRule="exact"/>
              <w:ind w:firstLine="0" w:firstLineChars="0"/>
              <w:jc w:val="center"/>
              <w:rPr>
                <w:rFonts w:hint="default" w:ascii="宋体" w:hAnsi="宋体" w:eastAsia="宋体" w:cs="宋体"/>
                <w:i w:val="0"/>
                <w:iCs w:val="0"/>
                <w:color w:val="auto"/>
                <w:sz w:val="18"/>
                <w:szCs w:val="18"/>
                <w:highlight w:val="none"/>
                <w:u w:val="none"/>
                <w:lang w:val="en-US" w:eastAsia="zh-CN"/>
              </w:rPr>
            </w:pPr>
            <w:r>
              <w:rPr>
                <w:rFonts w:hint="eastAsia" w:cs="宋体"/>
                <w:i w:val="0"/>
                <w:iCs w:val="0"/>
                <w:color w:val="auto"/>
                <w:sz w:val="18"/>
                <w:szCs w:val="18"/>
                <w:highlight w:val="none"/>
                <w:u w:val="none"/>
                <w:lang w:val="en-US" w:eastAsia="zh-CN"/>
              </w:rPr>
              <w:t>备注</w:t>
            </w:r>
          </w:p>
        </w:tc>
      </w:tr>
      <w:tr w14:paraId="54E82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EBF6E8">
            <w:pPr>
              <w:widowControl/>
              <w:kinsoku/>
              <w:autoSpaceDE/>
              <w:autoSpaceDN/>
              <w:adjustRightInd w:val="0"/>
              <w:snapToGrid w:val="0"/>
              <w:spacing w:line="320" w:lineRule="exact"/>
              <w:ind w:firstLine="0" w:firstLineChars="0"/>
              <w:jc w:val="center"/>
              <w:textAlignment w:val="center"/>
              <w:rPr>
                <w:rFonts w:hint="eastAsia" w:ascii="宋体" w:hAnsi="宋体" w:eastAsia="宋体" w:cs="宋体"/>
                <w:snapToGrid w:val="0"/>
                <w:color w:val="auto"/>
                <w:sz w:val="18"/>
                <w:szCs w:val="18"/>
                <w:highlight w:val="none"/>
                <w:u w:val="none"/>
                <w:lang w:val="en-US" w:eastAsia="zh-CN" w:bidi="ar-SA"/>
              </w:rPr>
            </w:pPr>
            <w:r>
              <w:rPr>
                <w:rFonts w:hint="eastAsia" w:cs="宋体"/>
                <w:snapToGrid w:val="0"/>
                <w:color w:val="auto"/>
                <w:sz w:val="18"/>
                <w:szCs w:val="18"/>
                <w:highlight w:val="none"/>
                <w:u w:val="none"/>
                <w:lang w:val="en-US" w:eastAsia="zh-CN" w:bidi="ar-SA"/>
              </w:rPr>
              <w:t>1</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262575">
            <w:pPr>
              <w:keepNext w:val="0"/>
              <w:keepLines w:val="0"/>
              <w:widowControl/>
              <w:suppressLineNumbers w:val="0"/>
              <w:spacing w:line="320" w:lineRule="exact"/>
              <w:ind w:firstLine="0" w:firstLineChars="0"/>
              <w:jc w:val="left"/>
              <w:textAlignment w:val="center"/>
              <w:rPr>
                <w:rFonts w:hint="eastAsia" w:ascii="宋体" w:hAnsi="宋体" w:eastAsia="宋体" w:cs="宋体"/>
                <w:snapToGrid w:val="0"/>
                <w:color w:val="auto"/>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办公</w:t>
            </w:r>
            <w:r>
              <w:rPr>
                <w:rFonts w:hint="eastAsia" w:cs="宋体"/>
                <w:i w:val="0"/>
                <w:iCs w:val="0"/>
                <w:snapToGrid w:val="0"/>
                <w:color w:val="auto"/>
                <w:kern w:val="0"/>
                <w:sz w:val="18"/>
                <w:szCs w:val="18"/>
                <w:highlight w:val="none"/>
                <w:u w:val="none"/>
                <w:lang w:val="en-US" w:eastAsia="zh-CN" w:bidi="ar"/>
              </w:rPr>
              <w:t>用房</w:t>
            </w:r>
            <w:r>
              <w:rPr>
                <w:rFonts w:hint="eastAsia" w:ascii="宋体" w:hAnsi="宋体" w:eastAsia="宋体" w:cs="宋体"/>
                <w:i w:val="0"/>
                <w:iCs w:val="0"/>
                <w:snapToGrid w:val="0"/>
                <w:color w:val="auto"/>
                <w:kern w:val="0"/>
                <w:sz w:val="18"/>
                <w:szCs w:val="18"/>
                <w:highlight w:val="none"/>
                <w:u w:val="none"/>
                <w:lang w:val="en-US" w:eastAsia="zh-CN" w:bidi="ar"/>
              </w:rPr>
              <w:t>（办公室、会议室</w:t>
            </w:r>
            <w:r>
              <w:rPr>
                <w:rFonts w:hint="eastAsia" w:cs="宋体"/>
                <w:i w:val="0"/>
                <w:iCs w:val="0"/>
                <w:snapToGrid w:val="0"/>
                <w:color w:val="auto"/>
                <w:kern w:val="0"/>
                <w:sz w:val="18"/>
                <w:szCs w:val="18"/>
                <w:highlight w:val="none"/>
                <w:u w:val="none"/>
                <w:lang w:val="en-US" w:eastAsia="zh-CN" w:bidi="ar"/>
              </w:rPr>
              <w:t>、建设单位用房</w:t>
            </w:r>
            <w:r>
              <w:rPr>
                <w:rFonts w:hint="eastAsia" w:ascii="宋体" w:hAnsi="宋体" w:eastAsia="宋体" w:cs="宋体"/>
                <w:i w:val="0"/>
                <w:iCs w:val="0"/>
                <w:snapToGrid w:val="0"/>
                <w:color w:val="auto"/>
                <w:kern w:val="0"/>
                <w:sz w:val="18"/>
                <w:szCs w:val="18"/>
                <w:highlight w:val="none"/>
                <w:u w:val="none"/>
                <w:lang w:val="en-US" w:eastAsia="zh-CN" w:bidi="ar"/>
              </w:rPr>
              <w:t>等</w:t>
            </w:r>
            <w:r>
              <w:rPr>
                <w:rFonts w:hint="eastAsia" w:cs="宋体"/>
                <w:i w:val="0"/>
                <w:iCs w:val="0"/>
                <w:snapToGrid w:val="0"/>
                <w:color w:val="auto"/>
                <w:kern w:val="0"/>
                <w:sz w:val="18"/>
                <w:szCs w:val="18"/>
                <w:highlight w:val="none"/>
                <w:u w:val="none"/>
                <w:lang w:val="en-US" w:eastAsia="zh-CN" w:bidi="ar"/>
              </w:rPr>
              <w:t>、门卫等</w:t>
            </w:r>
            <w:r>
              <w:rPr>
                <w:rFonts w:hint="eastAsia" w:ascii="宋体" w:hAnsi="宋体" w:eastAsia="宋体" w:cs="宋体"/>
                <w:i w:val="0"/>
                <w:iCs w:val="0"/>
                <w:snapToGrid w:val="0"/>
                <w:color w:val="auto"/>
                <w:kern w:val="0"/>
                <w:sz w:val="18"/>
                <w:szCs w:val="18"/>
                <w:highlight w:val="none"/>
                <w:u w:val="none"/>
                <w:lang w:val="en-US" w:eastAsia="zh-CN" w:bidi="ar"/>
              </w:rPr>
              <w:t>）</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01CC9F">
            <w:pPr>
              <w:kinsoku/>
              <w:autoSpaceDE/>
              <w:autoSpaceDN/>
              <w:adjustRightInd w:val="0"/>
              <w:snapToGrid w:val="0"/>
              <w:spacing w:line="320" w:lineRule="exact"/>
              <w:ind w:firstLine="0" w:firstLineChars="0"/>
              <w:jc w:val="center"/>
              <w:textAlignment w:val="baseline"/>
              <w:rPr>
                <w:rFonts w:ascii="Arial" w:hAnsi="Arial" w:eastAsia="宋体" w:cs="Arial"/>
                <w:snapToGrid w:val="0"/>
                <w:color w:val="auto"/>
                <w:sz w:val="21"/>
                <w:szCs w:val="21"/>
                <w:highlight w:val="none"/>
                <w:lang w:val="en-US" w:eastAsia="zh-CN" w:bidi="ar"/>
              </w:rPr>
            </w:pPr>
            <w:r>
              <w:rPr>
                <w:rFonts w:ascii="宋体" w:hAnsi="宋体" w:eastAsia="宋体" w:cs="宋体"/>
                <w:snapToGrid w:val="0"/>
                <w:color w:val="auto"/>
                <w:sz w:val="18"/>
                <w:szCs w:val="18"/>
                <w:highlight w:val="none"/>
                <w:lang w:val="en-US" w:eastAsia="en-US" w:bidi="ar-SA"/>
              </w:rPr>
              <w:t>m</w:t>
            </w:r>
            <w:r>
              <w:rPr>
                <w:rFonts w:ascii="宋体" w:hAnsi="宋体" w:eastAsia="宋体" w:cs="宋体"/>
                <w:snapToGrid w:val="0"/>
                <w:color w:val="auto"/>
                <w:sz w:val="18"/>
                <w:szCs w:val="18"/>
                <w:highlight w:val="none"/>
                <w:vertAlign w:val="superscript"/>
                <w:lang w:val="en-US" w:eastAsia="en-US" w:bidi="ar-SA"/>
              </w:rPr>
              <w:t>2</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0AB482">
            <w:pPr>
              <w:kinsoku/>
              <w:autoSpaceDE/>
              <w:autoSpaceDN/>
              <w:adjustRightInd w:val="0"/>
              <w:snapToGrid w:val="0"/>
              <w:spacing w:line="320" w:lineRule="exact"/>
              <w:ind w:firstLine="0" w:firstLineChars="0"/>
              <w:jc w:val="center"/>
              <w:textAlignment w:val="baseline"/>
              <w:rPr>
                <w:rFonts w:hint="default" w:ascii="Arial" w:hAnsi="Arial" w:eastAsia="宋体" w:cs="Arial"/>
                <w:snapToGrid w:val="0"/>
                <w:color w:val="auto"/>
                <w:sz w:val="21"/>
                <w:szCs w:val="21"/>
                <w:highlight w:val="none"/>
                <w:lang w:val="en-US" w:eastAsia="zh-CN" w:bidi="ar"/>
              </w:rPr>
            </w:pPr>
            <w:r>
              <w:rPr>
                <w:rFonts w:hint="eastAsia" w:cs="宋体"/>
                <w:i w:val="0"/>
                <w:iCs w:val="0"/>
                <w:snapToGrid w:val="0"/>
                <w:color w:val="auto"/>
                <w:kern w:val="0"/>
                <w:sz w:val="18"/>
                <w:szCs w:val="18"/>
                <w:highlight w:val="none"/>
                <w:u w:val="none"/>
                <w:lang w:val="en-US" w:eastAsia="zh-CN" w:bidi="ar"/>
              </w:rPr>
              <w:t>≥990</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6A2879">
            <w:pPr>
              <w:keepNext w:val="0"/>
              <w:keepLines w:val="0"/>
              <w:widowControl/>
              <w:suppressLineNumbers w:val="0"/>
              <w:spacing w:line="320" w:lineRule="exact"/>
              <w:ind w:firstLine="0" w:firstLineChars="0"/>
              <w:jc w:val="center"/>
              <w:textAlignment w:val="center"/>
              <w:rPr>
                <w:rFonts w:hint="eastAsia" w:eastAsia="宋体" w:cs="宋体"/>
                <w:color w:val="auto"/>
                <w:sz w:val="18"/>
                <w:szCs w:val="18"/>
                <w:highlight w:val="none"/>
                <w:u w:val="none"/>
                <w:lang w:eastAsia="zh-CN"/>
              </w:rPr>
            </w:pPr>
          </w:p>
        </w:tc>
      </w:tr>
      <w:tr w14:paraId="440B4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2A160E">
            <w:pPr>
              <w:widowControl/>
              <w:kinsoku/>
              <w:autoSpaceDE/>
              <w:autoSpaceDN/>
              <w:adjustRightInd w:val="0"/>
              <w:snapToGrid w:val="0"/>
              <w:spacing w:line="320" w:lineRule="exact"/>
              <w:ind w:firstLine="0" w:firstLineChars="0"/>
              <w:jc w:val="center"/>
              <w:textAlignment w:val="center"/>
              <w:rPr>
                <w:rFonts w:hint="default" w:ascii="宋体" w:hAnsi="宋体" w:eastAsia="宋体" w:cs="宋体"/>
                <w:snapToGrid w:val="0"/>
                <w:color w:val="auto"/>
                <w:sz w:val="18"/>
                <w:szCs w:val="18"/>
                <w:highlight w:val="none"/>
                <w:u w:val="none"/>
                <w:lang w:val="en-US" w:eastAsia="zh-CN" w:bidi="ar-SA"/>
              </w:rPr>
            </w:pPr>
            <w:r>
              <w:rPr>
                <w:rFonts w:hint="eastAsia" w:cs="宋体"/>
                <w:snapToGrid w:val="0"/>
                <w:color w:val="auto"/>
                <w:sz w:val="18"/>
                <w:szCs w:val="18"/>
                <w:highlight w:val="none"/>
                <w:u w:val="none"/>
                <w:lang w:val="en-US" w:eastAsia="zh-CN" w:bidi="ar-SA"/>
              </w:rPr>
              <w:t>2</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89D320">
            <w:pPr>
              <w:kinsoku/>
              <w:autoSpaceDE w:val="0"/>
              <w:autoSpaceDN w:val="0"/>
              <w:adjustRightInd w:val="0"/>
              <w:snapToGrid w:val="0"/>
              <w:spacing w:line="320" w:lineRule="exact"/>
              <w:ind w:firstLine="0" w:firstLineChars="0"/>
              <w:jc w:val="left"/>
              <w:textAlignment w:val="center"/>
              <w:rPr>
                <w:rFonts w:hint="eastAsia" w:ascii="宋体" w:hAnsi="宋体" w:eastAsia="宋体" w:cs="宋体"/>
                <w:snapToGrid w:val="0"/>
                <w:color w:val="auto"/>
                <w:sz w:val="18"/>
                <w:szCs w:val="18"/>
                <w:highlight w:val="none"/>
                <w:u w:val="none"/>
                <w:lang w:val="en-US" w:eastAsia="zh-CN" w:bidi="ar"/>
              </w:rPr>
            </w:pPr>
            <w:r>
              <w:rPr>
                <w:rFonts w:hint="eastAsia" w:ascii="宋体" w:hAnsi="宋体" w:eastAsia="宋体" w:cs="宋体"/>
                <w:snapToGrid w:val="0"/>
                <w:color w:val="auto"/>
                <w:sz w:val="18"/>
                <w:szCs w:val="18"/>
                <w:highlight w:val="none"/>
                <w:u w:val="none"/>
                <w:lang w:val="en-US" w:eastAsia="zh-CN" w:bidi="ar"/>
              </w:rPr>
              <w:t>生活用房（宿舍、厨房、餐厅等）</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640C0B">
            <w:pPr>
              <w:kinsoku/>
              <w:autoSpaceDE/>
              <w:autoSpaceDN/>
              <w:adjustRightInd w:val="0"/>
              <w:snapToGrid w:val="0"/>
              <w:spacing w:line="320" w:lineRule="exact"/>
              <w:ind w:firstLine="0" w:firstLineChars="0"/>
              <w:jc w:val="center"/>
              <w:textAlignment w:val="baseline"/>
              <w:rPr>
                <w:rFonts w:hint="eastAsia" w:ascii="宋体" w:hAnsi="宋体" w:eastAsia="宋体" w:cs="宋体"/>
                <w:snapToGrid w:val="0"/>
                <w:color w:val="auto"/>
                <w:sz w:val="18"/>
                <w:szCs w:val="18"/>
                <w:highlight w:val="none"/>
                <w:u w:val="none"/>
                <w:lang w:val="en-US" w:eastAsia="zh-CN" w:bidi="ar"/>
              </w:rPr>
            </w:pPr>
            <w:r>
              <w:rPr>
                <w:rFonts w:ascii="宋体" w:hAnsi="宋体" w:eastAsia="宋体" w:cs="宋体"/>
                <w:snapToGrid w:val="0"/>
                <w:color w:val="auto"/>
                <w:sz w:val="18"/>
                <w:szCs w:val="18"/>
                <w:highlight w:val="none"/>
                <w:lang w:val="en-US" w:eastAsia="en-US" w:bidi="ar-SA"/>
              </w:rPr>
              <w:t>m</w:t>
            </w:r>
            <w:r>
              <w:rPr>
                <w:rFonts w:ascii="宋体" w:hAnsi="宋体" w:eastAsia="宋体" w:cs="宋体"/>
                <w:snapToGrid w:val="0"/>
                <w:color w:val="auto"/>
                <w:sz w:val="18"/>
                <w:szCs w:val="18"/>
                <w:highlight w:val="none"/>
                <w:vertAlign w:val="superscript"/>
                <w:lang w:val="en-US" w:eastAsia="en-US" w:bidi="ar-SA"/>
              </w:rPr>
              <w:t>2</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314EA7">
            <w:pPr>
              <w:kinsoku/>
              <w:autoSpaceDE/>
              <w:autoSpaceDN/>
              <w:adjustRightInd w:val="0"/>
              <w:snapToGrid w:val="0"/>
              <w:spacing w:line="320" w:lineRule="exact"/>
              <w:ind w:firstLine="0" w:firstLineChars="0"/>
              <w:jc w:val="center"/>
              <w:textAlignment w:val="baseline"/>
              <w:rPr>
                <w:rFonts w:hint="default" w:ascii="宋体" w:hAnsi="宋体" w:eastAsia="宋体" w:cs="宋体"/>
                <w:snapToGrid w:val="0"/>
                <w:color w:val="auto"/>
                <w:sz w:val="18"/>
                <w:szCs w:val="18"/>
                <w:highlight w:val="none"/>
                <w:u w:val="none"/>
                <w:lang w:val="en-US" w:eastAsia="zh-CN" w:bidi="ar"/>
              </w:rPr>
            </w:pPr>
            <w:r>
              <w:rPr>
                <w:rFonts w:hint="eastAsia" w:cs="宋体"/>
                <w:i w:val="0"/>
                <w:iCs w:val="0"/>
                <w:snapToGrid w:val="0"/>
                <w:color w:val="auto"/>
                <w:kern w:val="0"/>
                <w:sz w:val="18"/>
                <w:szCs w:val="18"/>
                <w:highlight w:val="none"/>
                <w:u w:val="none"/>
                <w:lang w:val="en-US" w:eastAsia="zh-CN" w:bidi="ar"/>
              </w:rPr>
              <w:t>≥1430</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FC0708">
            <w:pPr>
              <w:kinsoku/>
              <w:autoSpaceDE/>
              <w:autoSpaceDN/>
              <w:adjustRightInd w:val="0"/>
              <w:snapToGrid w:val="0"/>
              <w:spacing w:line="320" w:lineRule="exact"/>
              <w:ind w:firstLine="0" w:firstLineChars="0"/>
              <w:jc w:val="center"/>
              <w:textAlignment w:val="auto"/>
              <w:rPr>
                <w:rFonts w:ascii="Arial" w:hAnsi="Arial" w:eastAsia="宋体" w:cs="Arial"/>
                <w:snapToGrid w:val="0"/>
                <w:color w:val="auto"/>
                <w:sz w:val="21"/>
                <w:szCs w:val="21"/>
                <w:highlight w:val="none"/>
                <w:lang w:val="en-US" w:eastAsia="en-US" w:bidi="ar-SA"/>
              </w:rPr>
            </w:pPr>
          </w:p>
        </w:tc>
      </w:tr>
      <w:tr w14:paraId="209B3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AAA9D6">
            <w:pPr>
              <w:spacing w:line="320" w:lineRule="exact"/>
              <w:ind w:firstLine="0" w:firstLineChars="0"/>
              <w:jc w:val="center"/>
              <w:rPr>
                <w:rFonts w:hint="default" w:ascii="宋体" w:hAnsi="宋体" w:eastAsia="宋体" w:cs="宋体"/>
                <w:i w:val="0"/>
                <w:iCs w:val="0"/>
                <w:color w:val="auto"/>
                <w:sz w:val="18"/>
                <w:szCs w:val="18"/>
                <w:highlight w:val="none"/>
                <w:u w:val="none"/>
                <w:lang w:val="en-US" w:eastAsia="zh-CN"/>
              </w:rPr>
            </w:pPr>
            <w:r>
              <w:rPr>
                <w:rFonts w:hint="eastAsia" w:cs="宋体"/>
                <w:i w:val="0"/>
                <w:iCs w:val="0"/>
                <w:color w:val="auto"/>
                <w:sz w:val="18"/>
                <w:szCs w:val="18"/>
                <w:highlight w:val="none"/>
                <w:u w:val="none"/>
                <w:lang w:val="en-US" w:eastAsia="zh-CN"/>
              </w:rPr>
              <w:t>3</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2FCD6F">
            <w:pPr>
              <w:keepNext w:val="0"/>
              <w:keepLines w:val="0"/>
              <w:widowControl/>
              <w:suppressLineNumbers w:val="0"/>
              <w:spacing w:line="320" w:lineRule="exact"/>
              <w:ind w:firstLine="0" w:firstLineChars="0"/>
              <w:jc w:val="left"/>
              <w:textAlignment w:val="center"/>
              <w:rPr>
                <w:rFonts w:ascii="Arial" w:hAnsi="Arial" w:eastAsia="宋体" w:cs="Arial"/>
                <w:snapToGrid w:val="0"/>
                <w:color w:val="auto"/>
                <w:sz w:val="21"/>
                <w:szCs w:val="21"/>
                <w:highlight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施工仓库</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DD97B6">
            <w:pPr>
              <w:kinsoku/>
              <w:autoSpaceDE/>
              <w:autoSpaceDN/>
              <w:adjustRightInd w:val="0"/>
              <w:snapToGrid w:val="0"/>
              <w:spacing w:line="320" w:lineRule="exact"/>
              <w:ind w:firstLine="0" w:firstLineChars="0"/>
              <w:jc w:val="center"/>
              <w:textAlignment w:val="baseline"/>
              <w:rPr>
                <w:rFonts w:ascii="Arial" w:hAnsi="Arial" w:eastAsia="宋体" w:cs="Arial"/>
                <w:snapToGrid w:val="0"/>
                <w:color w:val="auto"/>
                <w:sz w:val="21"/>
                <w:szCs w:val="21"/>
                <w:highlight w:val="none"/>
                <w:lang w:val="en-US" w:eastAsia="zh-CN" w:bidi="ar"/>
              </w:rPr>
            </w:pPr>
            <w:r>
              <w:rPr>
                <w:rFonts w:ascii="宋体" w:hAnsi="宋体" w:eastAsia="宋体" w:cs="宋体"/>
                <w:snapToGrid w:val="0"/>
                <w:color w:val="auto"/>
                <w:sz w:val="18"/>
                <w:szCs w:val="18"/>
                <w:highlight w:val="none"/>
                <w:lang w:val="en-US" w:eastAsia="en-US" w:bidi="ar-SA"/>
              </w:rPr>
              <w:t>m</w:t>
            </w:r>
            <w:r>
              <w:rPr>
                <w:rFonts w:ascii="宋体" w:hAnsi="宋体" w:eastAsia="宋体" w:cs="宋体"/>
                <w:snapToGrid w:val="0"/>
                <w:color w:val="auto"/>
                <w:sz w:val="18"/>
                <w:szCs w:val="18"/>
                <w:highlight w:val="none"/>
                <w:vertAlign w:val="superscript"/>
                <w:lang w:val="en-US" w:eastAsia="en-US" w:bidi="ar-SA"/>
              </w:rPr>
              <w:t>2</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A0C9DD">
            <w:pPr>
              <w:kinsoku/>
              <w:autoSpaceDE/>
              <w:autoSpaceDN/>
              <w:adjustRightInd w:val="0"/>
              <w:snapToGrid w:val="0"/>
              <w:spacing w:line="320" w:lineRule="exact"/>
              <w:ind w:firstLine="0" w:firstLineChars="0"/>
              <w:jc w:val="center"/>
              <w:textAlignment w:val="baseline"/>
              <w:rPr>
                <w:rFonts w:hint="default" w:ascii="Arial" w:hAnsi="Arial" w:eastAsia="宋体" w:cs="Arial"/>
                <w:snapToGrid w:val="0"/>
                <w:color w:val="auto"/>
                <w:sz w:val="21"/>
                <w:szCs w:val="21"/>
                <w:highlight w:val="none"/>
                <w:lang w:val="en-US" w:eastAsia="zh-CN" w:bidi="ar"/>
              </w:rPr>
            </w:pPr>
            <w:r>
              <w:rPr>
                <w:rFonts w:hint="eastAsia" w:cs="宋体"/>
                <w:i w:val="0"/>
                <w:iCs w:val="0"/>
                <w:snapToGrid w:val="0"/>
                <w:color w:val="auto"/>
                <w:kern w:val="0"/>
                <w:sz w:val="18"/>
                <w:szCs w:val="18"/>
                <w:highlight w:val="none"/>
                <w:u w:val="none"/>
                <w:lang w:val="en-US" w:eastAsia="zh-CN" w:bidi="ar"/>
              </w:rPr>
              <w:t>≥50</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C93885">
            <w:pPr>
              <w:keepNext w:val="0"/>
              <w:keepLines w:val="0"/>
              <w:widowControl/>
              <w:suppressLineNumbers w:val="0"/>
              <w:spacing w:line="320" w:lineRule="exact"/>
              <w:ind w:firstLine="0" w:firstLineChars="0"/>
              <w:jc w:val="center"/>
              <w:textAlignment w:val="center"/>
              <w:rPr>
                <w:rFonts w:hint="default" w:eastAsia="宋体" w:cs="宋体"/>
                <w:color w:val="auto"/>
                <w:sz w:val="18"/>
                <w:szCs w:val="18"/>
                <w:highlight w:val="none"/>
                <w:u w:val="none"/>
                <w:lang w:eastAsia="zh-CN"/>
              </w:rPr>
            </w:pPr>
          </w:p>
        </w:tc>
      </w:tr>
      <w:tr w14:paraId="4A646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EE2C82">
            <w:pPr>
              <w:spacing w:line="320" w:lineRule="exact"/>
              <w:ind w:firstLine="0" w:firstLineChars="0"/>
              <w:jc w:val="center"/>
              <w:rPr>
                <w:rFonts w:hint="eastAsia" w:ascii="Arial" w:hAnsi="Arial" w:eastAsia="宋体" w:cs="Arial"/>
                <w:snapToGrid w:val="0"/>
                <w:color w:val="auto"/>
                <w:sz w:val="21"/>
                <w:szCs w:val="21"/>
                <w:highlight w:val="none"/>
                <w:lang w:val="en-US" w:eastAsia="en-US" w:bidi="ar-SA"/>
              </w:rPr>
            </w:pPr>
            <w:r>
              <w:rPr>
                <w:rFonts w:hint="eastAsia" w:cs="宋体"/>
                <w:i w:val="0"/>
                <w:iCs w:val="0"/>
                <w:color w:val="auto"/>
                <w:sz w:val="18"/>
                <w:szCs w:val="18"/>
                <w:highlight w:val="none"/>
                <w:u w:val="none"/>
                <w:lang w:val="en-US" w:eastAsia="zh-CN"/>
              </w:rPr>
              <w:t>4</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2D8F5B">
            <w:pPr>
              <w:keepNext w:val="0"/>
              <w:keepLines w:val="0"/>
              <w:widowControl/>
              <w:suppressLineNumbers w:val="0"/>
              <w:spacing w:line="320" w:lineRule="exact"/>
              <w:ind w:firstLine="0" w:firstLineChars="0"/>
              <w:jc w:val="left"/>
              <w:textAlignment w:val="center"/>
              <w:rPr>
                <w:rFonts w:ascii="Arial" w:hAnsi="Arial" w:eastAsia="宋体" w:cs="Arial"/>
                <w:snapToGrid w:val="0"/>
                <w:color w:val="auto"/>
                <w:sz w:val="21"/>
                <w:szCs w:val="21"/>
                <w:highlight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加工厂（钢筋</w:t>
            </w:r>
            <w:r>
              <w:rPr>
                <w:rFonts w:hint="eastAsia" w:cs="宋体"/>
                <w:i w:val="0"/>
                <w:iCs w:val="0"/>
                <w:snapToGrid w:val="0"/>
                <w:color w:val="auto"/>
                <w:kern w:val="0"/>
                <w:sz w:val="18"/>
                <w:szCs w:val="18"/>
                <w:highlight w:val="none"/>
                <w:u w:val="none"/>
                <w:lang w:val="en-US" w:eastAsia="zh-CN" w:bidi="ar"/>
              </w:rPr>
              <w:t>/模板</w:t>
            </w:r>
            <w:r>
              <w:rPr>
                <w:rFonts w:hint="eastAsia" w:ascii="宋体" w:hAnsi="宋体" w:eastAsia="宋体" w:cs="宋体"/>
                <w:i w:val="0"/>
                <w:iCs w:val="0"/>
                <w:snapToGrid w:val="0"/>
                <w:color w:val="auto"/>
                <w:kern w:val="0"/>
                <w:sz w:val="18"/>
                <w:szCs w:val="18"/>
                <w:highlight w:val="none"/>
                <w:u w:val="none"/>
                <w:lang w:val="en-US" w:eastAsia="zh-CN" w:bidi="ar"/>
              </w:rPr>
              <w:t>加工厂等）</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53ADC5">
            <w:pPr>
              <w:kinsoku/>
              <w:autoSpaceDE/>
              <w:autoSpaceDN/>
              <w:adjustRightInd w:val="0"/>
              <w:snapToGrid w:val="0"/>
              <w:spacing w:line="320" w:lineRule="exact"/>
              <w:ind w:firstLine="0" w:firstLineChars="0"/>
              <w:jc w:val="center"/>
              <w:textAlignment w:val="baseline"/>
              <w:rPr>
                <w:rFonts w:ascii="Arial" w:hAnsi="Arial" w:eastAsia="宋体" w:cs="Arial"/>
                <w:snapToGrid w:val="0"/>
                <w:color w:val="auto"/>
                <w:sz w:val="21"/>
                <w:szCs w:val="21"/>
                <w:highlight w:val="none"/>
                <w:lang w:val="en-US" w:eastAsia="zh-CN" w:bidi="ar"/>
              </w:rPr>
            </w:pPr>
            <w:r>
              <w:rPr>
                <w:rFonts w:ascii="宋体" w:hAnsi="宋体" w:eastAsia="宋体" w:cs="宋体"/>
                <w:snapToGrid w:val="0"/>
                <w:color w:val="auto"/>
                <w:sz w:val="18"/>
                <w:szCs w:val="18"/>
                <w:highlight w:val="none"/>
                <w:lang w:val="en-US" w:eastAsia="en-US" w:bidi="ar-SA"/>
              </w:rPr>
              <w:t>m</w:t>
            </w:r>
            <w:r>
              <w:rPr>
                <w:rFonts w:ascii="宋体" w:hAnsi="宋体" w:eastAsia="宋体" w:cs="宋体"/>
                <w:snapToGrid w:val="0"/>
                <w:color w:val="auto"/>
                <w:sz w:val="18"/>
                <w:szCs w:val="18"/>
                <w:highlight w:val="none"/>
                <w:vertAlign w:val="superscript"/>
                <w:lang w:val="en-US" w:eastAsia="en-US" w:bidi="ar-SA"/>
              </w:rPr>
              <w:t>2</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43922E">
            <w:pPr>
              <w:kinsoku/>
              <w:autoSpaceDE/>
              <w:autoSpaceDN/>
              <w:adjustRightInd w:val="0"/>
              <w:snapToGrid w:val="0"/>
              <w:spacing w:line="320" w:lineRule="exact"/>
              <w:ind w:firstLine="0" w:firstLineChars="0"/>
              <w:jc w:val="center"/>
              <w:textAlignment w:val="baseline"/>
              <w:rPr>
                <w:rFonts w:ascii="Arial" w:hAnsi="Arial" w:eastAsia="宋体" w:cs="Arial"/>
                <w:snapToGrid w:val="0"/>
                <w:color w:val="auto"/>
                <w:sz w:val="21"/>
                <w:szCs w:val="21"/>
                <w:highlight w:val="none"/>
                <w:lang w:val="en-US" w:eastAsia="zh-CN" w:bidi="ar"/>
              </w:rPr>
            </w:pPr>
            <w:r>
              <w:rPr>
                <w:rFonts w:hint="eastAsia" w:cs="宋体"/>
                <w:i w:val="0"/>
                <w:iCs w:val="0"/>
                <w:snapToGrid w:val="0"/>
                <w:color w:val="auto"/>
                <w:kern w:val="0"/>
                <w:sz w:val="18"/>
                <w:szCs w:val="18"/>
                <w:highlight w:val="none"/>
                <w:u w:val="none"/>
                <w:lang w:val="en-US" w:eastAsia="zh-CN" w:bidi="ar"/>
              </w:rPr>
              <w:t>≥30</w:t>
            </w:r>
            <w:r>
              <w:rPr>
                <w:rFonts w:hint="eastAsia" w:ascii="宋体" w:hAnsi="宋体" w:eastAsia="宋体" w:cs="宋体"/>
                <w:i w:val="0"/>
                <w:iCs w:val="0"/>
                <w:snapToGrid w:val="0"/>
                <w:color w:val="auto"/>
                <w:kern w:val="0"/>
                <w:sz w:val="18"/>
                <w:szCs w:val="18"/>
                <w:highlight w:val="none"/>
                <w:u w:val="none"/>
                <w:lang w:val="en-US" w:eastAsia="zh-CN" w:bidi="ar"/>
              </w:rPr>
              <w:t>0</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0743E3">
            <w:pPr>
              <w:keepNext w:val="0"/>
              <w:keepLines w:val="0"/>
              <w:widowControl/>
              <w:suppressLineNumbers w:val="0"/>
              <w:spacing w:line="320" w:lineRule="exact"/>
              <w:ind w:firstLine="0" w:firstLineChars="0"/>
              <w:jc w:val="center"/>
              <w:textAlignment w:val="center"/>
              <w:rPr>
                <w:rFonts w:hint="eastAsia" w:eastAsia="宋体" w:cs="宋体"/>
                <w:color w:val="auto"/>
                <w:sz w:val="18"/>
                <w:szCs w:val="18"/>
                <w:highlight w:val="none"/>
                <w:u w:val="none"/>
                <w:lang w:eastAsia="zh-CN"/>
              </w:rPr>
            </w:pPr>
          </w:p>
        </w:tc>
      </w:tr>
      <w:tr w14:paraId="1494D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6AB8F9">
            <w:pPr>
              <w:widowControl/>
              <w:kinsoku/>
              <w:autoSpaceDE/>
              <w:autoSpaceDN/>
              <w:adjustRightInd w:val="0"/>
              <w:snapToGrid w:val="0"/>
              <w:spacing w:line="320" w:lineRule="exact"/>
              <w:ind w:firstLine="0" w:firstLineChars="0"/>
              <w:jc w:val="center"/>
              <w:textAlignment w:val="center"/>
              <w:rPr>
                <w:rFonts w:hint="default" w:ascii="宋体" w:hAnsi="宋体" w:eastAsia="宋体" w:cs="宋体"/>
                <w:snapToGrid w:val="0"/>
                <w:color w:val="auto"/>
                <w:sz w:val="18"/>
                <w:szCs w:val="18"/>
                <w:highlight w:val="none"/>
                <w:u w:val="none"/>
                <w:lang w:val="en-US" w:eastAsia="zh-CN" w:bidi="ar-SA"/>
              </w:rPr>
            </w:pPr>
            <w:r>
              <w:rPr>
                <w:rFonts w:hint="eastAsia" w:cs="宋体"/>
                <w:i w:val="0"/>
                <w:iCs w:val="0"/>
                <w:snapToGrid w:val="0"/>
                <w:color w:val="auto"/>
                <w:sz w:val="18"/>
                <w:szCs w:val="18"/>
                <w:highlight w:val="none"/>
                <w:u w:val="none"/>
                <w:lang w:val="en-US" w:eastAsia="zh-CN" w:bidi="ar"/>
              </w:rPr>
              <w:t>5</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B2A542">
            <w:pPr>
              <w:kinsoku/>
              <w:autoSpaceDE w:val="0"/>
              <w:autoSpaceDN w:val="0"/>
              <w:adjustRightInd w:val="0"/>
              <w:snapToGrid w:val="0"/>
              <w:spacing w:line="320" w:lineRule="exact"/>
              <w:ind w:firstLine="0" w:firstLineChars="0"/>
              <w:jc w:val="left"/>
              <w:textAlignment w:val="center"/>
              <w:rPr>
                <w:rFonts w:hint="eastAsia" w:ascii="宋体" w:hAnsi="宋体" w:eastAsia="宋体" w:cs="宋体"/>
                <w:snapToGrid w:val="0"/>
                <w:color w:val="auto"/>
                <w:sz w:val="18"/>
                <w:szCs w:val="18"/>
                <w:highlight w:val="none"/>
                <w:u w:val="none"/>
                <w:lang w:val="en-US" w:eastAsia="zh-CN" w:bidi="ar"/>
              </w:rPr>
            </w:pPr>
            <w:r>
              <w:rPr>
                <w:rFonts w:hint="eastAsia" w:ascii="宋体" w:hAnsi="宋体" w:eastAsia="宋体" w:cs="宋体"/>
                <w:i w:val="0"/>
                <w:iCs w:val="0"/>
                <w:snapToGrid w:val="0"/>
                <w:color w:val="auto"/>
                <w:sz w:val="18"/>
                <w:szCs w:val="18"/>
                <w:highlight w:val="none"/>
                <w:u w:val="none"/>
                <w:lang w:val="en-US" w:eastAsia="zh-CN" w:bidi="ar"/>
              </w:rPr>
              <w:t>室外场地硬化</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2C5DA5">
            <w:pPr>
              <w:kinsoku/>
              <w:autoSpaceDE/>
              <w:autoSpaceDN/>
              <w:adjustRightInd w:val="0"/>
              <w:snapToGrid w:val="0"/>
              <w:spacing w:line="320" w:lineRule="exact"/>
              <w:ind w:firstLine="0" w:firstLineChars="0"/>
              <w:jc w:val="center"/>
              <w:textAlignment w:val="auto"/>
              <w:rPr>
                <w:rFonts w:ascii="Times New Roman" w:hAnsi="Times New Roman" w:eastAsia="宋体" w:cs="Arial"/>
                <w:snapToGrid w:val="0"/>
                <w:color w:val="auto"/>
                <w:sz w:val="21"/>
                <w:szCs w:val="21"/>
                <w:highlight w:val="none"/>
                <w:lang w:val="en-US" w:eastAsia="zh-CN" w:bidi="ar-SA"/>
              </w:rPr>
            </w:pPr>
            <w:r>
              <w:rPr>
                <w:rFonts w:ascii="宋体" w:hAnsi="宋体" w:eastAsia="宋体" w:cs="宋体"/>
                <w:snapToGrid w:val="0"/>
                <w:color w:val="auto"/>
                <w:sz w:val="18"/>
                <w:szCs w:val="18"/>
                <w:highlight w:val="none"/>
                <w:lang w:val="en-US" w:eastAsia="en-US" w:bidi="ar-SA"/>
              </w:rPr>
              <w:t>m</w:t>
            </w:r>
            <w:r>
              <w:rPr>
                <w:rFonts w:ascii="宋体" w:hAnsi="宋体" w:eastAsia="宋体" w:cs="宋体"/>
                <w:snapToGrid w:val="0"/>
                <w:color w:val="auto"/>
                <w:sz w:val="18"/>
                <w:szCs w:val="18"/>
                <w:highlight w:val="none"/>
                <w:vertAlign w:val="superscript"/>
                <w:lang w:val="en-US" w:eastAsia="en-US" w:bidi="ar-SA"/>
              </w:rPr>
              <w:t>2</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D8E19">
            <w:pPr>
              <w:kinsoku/>
              <w:autoSpaceDE/>
              <w:autoSpaceDN/>
              <w:adjustRightInd w:val="0"/>
              <w:snapToGrid w:val="0"/>
              <w:spacing w:line="320" w:lineRule="exact"/>
              <w:ind w:firstLine="0" w:firstLineChars="0"/>
              <w:jc w:val="center"/>
              <w:textAlignment w:val="auto"/>
              <w:rPr>
                <w:rFonts w:ascii="Times New Roman" w:hAnsi="Times New Roman" w:eastAsia="宋体" w:cs="Arial"/>
                <w:snapToGrid w:val="0"/>
                <w:color w:val="auto"/>
                <w:sz w:val="21"/>
                <w:szCs w:val="21"/>
                <w:highlight w:val="none"/>
                <w:lang w:val="en-US" w:eastAsia="zh-CN" w:bidi="ar-SA"/>
              </w:rPr>
            </w:pPr>
            <w:r>
              <w:rPr>
                <w:rFonts w:hint="eastAsia" w:cs="宋体"/>
                <w:i w:val="0"/>
                <w:iCs w:val="0"/>
                <w:snapToGrid w:val="0"/>
                <w:color w:val="auto"/>
                <w:kern w:val="0"/>
                <w:sz w:val="18"/>
                <w:szCs w:val="18"/>
                <w:highlight w:val="none"/>
                <w:u w:val="none"/>
                <w:lang w:val="en-US" w:eastAsia="zh-CN" w:bidi="ar"/>
              </w:rPr>
              <w:t>≥</w:t>
            </w:r>
            <w:r>
              <w:rPr>
                <w:rFonts w:hint="eastAsia" w:ascii="宋体" w:hAnsi="宋体" w:eastAsia="宋体" w:cs="宋体"/>
                <w:i w:val="0"/>
                <w:iCs w:val="0"/>
                <w:snapToGrid w:val="0"/>
                <w:color w:val="auto"/>
                <w:kern w:val="0"/>
                <w:sz w:val="18"/>
                <w:szCs w:val="18"/>
                <w:highlight w:val="none"/>
                <w:u w:val="none"/>
                <w:lang w:val="en-US" w:eastAsia="zh-CN" w:bidi="ar"/>
              </w:rPr>
              <w:t>1</w:t>
            </w:r>
            <w:r>
              <w:rPr>
                <w:rFonts w:hint="eastAsia" w:cs="宋体"/>
                <w:i w:val="0"/>
                <w:iCs w:val="0"/>
                <w:snapToGrid w:val="0"/>
                <w:color w:val="auto"/>
                <w:kern w:val="0"/>
                <w:sz w:val="18"/>
                <w:szCs w:val="18"/>
                <w:highlight w:val="none"/>
                <w:u w:val="none"/>
                <w:lang w:val="en-US" w:eastAsia="zh-CN" w:bidi="ar"/>
              </w:rPr>
              <w:t>1</w:t>
            </w:r>
            <w:r>
              <w:rPr>
                <w:rFonts w:hint="eastAsia" w:ascii="宋体" w:hAnsi="宋体" w:eastAsia="宋体" w:cs="宋体"/>
                <w:i w:val="0"/>
                <w:iCs w:val="0"/>
                <w:snapToGrid w:val="0"/>
                <w:color w:val="auto"/>
                <w:kern w:val="0"/>
                <w:sz w:val="18"/>
                <w:szCs w:val="18"/>
                <w:highlight w:val="none"/>
                <w:u w:val="none"/>
                <w:lang w:val="en-US" w:eastAsia="zh-CN" w:bidi="ar"/>
              </w:rPr>
              <w:t>00</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503262">
            <w:pPr>
              <w:kinsoku/>
              <w:autoSpaceDE/>
              <w:autoSpaceDN/>
              <w:adjustRightInd w:val="0"/>
              <w:snapToGrid w:val="0"/>
              <w:spacing w:line="320" w:lineRule="exact"/>
              <w:ind w:firstLine="0" w:firstLineChars="0"/>
              <w:jc w:val="center"/>
              <w:textAlignment w:val="auto"/>
              <w:rPr>
                <w:rFonts w:ascii="Arial" w:hAnsi="Arial" w:eastAsia="宋体" w:cs="Arial"/>
                <w:snapToGrid w:val="0"/>
                <w:color w:val="auto"/>
                <w:sz w:val="21"/>
                <w:szCs w:val="21"/>
                <w:highlight w:val="none"/>
                <w:lang w:val="en-US" w:eastAsia="en-US" w:bidi="ar-SA"/>
              </w:rPr>
            </w:pPr>
            <w:r>
              <w:rPr>
                <w:rFonts w:hint="default" w:ascii="宋体" w:hAnsi="宋体" w:eastAsia="宋体" w:cs="宋体"/>
                <w:snapToGrid w:val="0"/>
                <w:color w:val="auto"/>
                <w:sz w:val="18"/>
                <w:szCs w:val="18"/>
                <w:highlight w:val="none"/>
                <w:u w:val="none"/>
                <w:lang w:val="en-US" w:eastAsia="zh-CN" w:bidi="ar"/>
              </w:rPr>
              <w:t>20cm厚的混凝土进行硬化</w:t>
            </w:r>
          </w:p>
        </w:tc>
      </w:tr>
      <w:tr w14:paraId="5EA6F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4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C1DBCA">
            <w:pPr>
              <w:widowControl/>
              <w:kinsoku/>
              <w:autoSpaceDE/>
              <w:autoSpaceDN/>
              <w:adjustRightInd w:val="0"/>
              <w:snapToGrid w:val="0"/>
              <w:spacing w:line="320" w:lineRule="exact"/>
              <w:ind w:firstLine="0" w:firstLineChars="0"/>
              <w:jc w:val="center"/>
              <w:textAlignment w:val="center"/>
              <w:rPr>
                <w:rFonts w:hint="default" w:ascii="宋体" w:hAnsi="宋体" w:eastAsia="宋体" w:cs="宋体"/>
                <w:snapToGrid w:val="0"/>
                <w:color w:val="auto"/>
                <w:sz w:val="18"/>
                <w:szCs w:val="18"/>
                <w:highlight w:val="none"/>
                <w:u w:val="none"/>
                <w:lang w:val="en-US" w:eastAsia="zh-CN" w:bidi="ar-SA"/>
              </w:rPr>
            </w:pPr>
            <w:r>
              <w:rPr>
                <w:rFonts w:hint="eastAsia" w:cs="宋体"/>
                <w:snapToGrid w:val="0"/>
                <w:color w:val="auto"/>
                <w:sz w:val="18"/>
                <w:szCs w:val="18"/>
                <w:highlight w:val="none"/>
                <w:u w:val="none"/>
                <w:lang w:val="en-US" w:eastAsia="zh-CN" w:bidi="ar-SA"/>
              </w:rPr>
              <w:t>6</w:t>
            </w:r>
          </w:p>
        </w:tc>
        <w:tc>
          <w:tcPr>
            <w:tcW w:w="211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6E64A4">
            <w:pPr>
              <w:kinsoku/>
              <w:autoSpaceDE w:val="0"/>
              <w:autoSpaceDN w:val="0"/>
              <w:adjustRightInd w:val="0"/>
              <w:snapToGrid w:val="0"/>
              <w:spacing w:line="320" w:lineRule="exact"/>
              <w:ind w:firstLine="0" w:firstLineChars="0"/>
              <w:jc w:val="left"/>
              <w:textAlignment w:val="center"/>
              <w:rPr>
                <w:rFonts w:hint="eastAsia" w:ascii="宋体" w:hAnsi="宋体" w:eastAsia="宋体" w:cs="宋体"/>
                <w:snapToGrid w:val="0"/>
                <w:color w:val="auto"/>
                <w:sz w:val="18"/>
                <w:szCs w:val="18"/>
                <w:highlight w:val="none"/>
                <w:u w:val="none"/>
                <w:lang w:val="en-US" w:eastAsia="zh-CN" w:bidi="ar"/>
              </w:rPr>
            </w:pPr>
            <w:r>
              <w:rPr>
                <w:rFonts w:hint="eastAsia" w:ascii="宋体" w:hAnsi="宋体" w:eastAsia="宋体" w:cs="宋体"/>
                <w:i w:val="0"/>
                <w:iCs w:val="0"/>
                <w:snapToGrid w:val="0"/>
                <w:color w:val="auto"/>
                <w:sz w:val="18"/>
                <w:szCs w:val="18"/>
                <w:highlight w:val="none"/>
                <w:u w:val="none"/>
                <w:lang w:val="en-US" w:eastAsia="zh-CN" w:bidi="ar"/>
              </w:rPr>
              <w:t>室外场地绿化</w:t>
            </w:r>
          </w:p>
        </w:tc>
        <w:tc>
          <w:tcPr>
            <w:tcW w:w="4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40A4F2">
            <w:pPr>
              <w:kinsoku/>
              <w:autoSpaceDE/>
              <w:autoSpaceDN/>
              <w:adjustRightInd w:val="0"/>
              <w:snapToGrid w:val="0"/>
              <w:spacing w:line="320" w:lineRule="exact"/>
              <w:ind w:firstLine="0" w:firstLineChars="0"/>
              <w:jc w:val="center"/>
              <w:textAlignment w:val="auto"/>
              <w:rPr>
                <w:rFonts w:ascii="Times New Roman" w:hAnsi="Times New Roman" w:eastAsia="宋体" w:cs="Arial"/>
                <w:snapToGrid w:val="0"/>
                <w:color w:val="auto"/>
                <w:sz w:val="21"/>
                <w:szCs w:val="21"/>
                <w:highlight w:val="none"/>
                <w:lang w:val="en-US" w:eastAsia="zh-CN" w:bidi="ar-SA"/>
              </w:rPr>
            </w:pPr>
            <w:r>
              <w:rPr>
                <w:rFonts w:ascii="宋体" w:hAnsi="宋体" w:eastAsia="宋体" w:cs="宋体"/>
                <w:snapToGrid w:val="0"/>
                <w:color w:val="auto"/>
                <w:sz w:val="18"/>
                <w:szCs w:val="18"/>
                <w:highlight w:val="none"/>
                <w:lang w:val="en-US" w:eastAsia="en-US" w:bidi="ar-SA"/>
              </w:rPr>
              <w:t>m</w:t>
            </w:r>
            <w:r>
              <w:rPr>
                <w:rFonts w:ascii="宋体" w:hAnsi="宋体" w:eastAsia="宋体" w:cs="宋体"/>
                <w:snapToGrid w:val="0"/>
                <w:color w:val="auto"/>
                <w:sz w:val="18"/>
                <w:szCs w:val="18"/>
                <w:highlight w:val="none"/>
                <w:vertAlign w:val="superscript"/>
                <w:lang w:val="en-US" w:eastAsia="en-US" w:bidi="ar-SA"/>
              </w:rPr>
              <w:t>2</w:t>
            </w:r>
          </w:p>
        </w:tc>
        <w:tc>
          <w:tcPr>
            <w:tcW w:w="53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66EF85">
            <w:pPr>
              <w:kinsoku/>
              <w:autoSpaceDE/>
              <w:autoSpaceDN/>
              <w:adjustRightInd w:val="0"/>
              <w:snapToGrid w:val="0"/>
              <w:spacing w:line="320" w:lineRule="exact"/>
              <w:ind w:firstLine="0" w:firstLineChars="0"/>
              <w:jc w:val="center"/>
              <w:textAlignment w:val="auto"/>
              <w:rPr>
                <w:rFonts w:ascii="Times New Roman" w:hAnsi="Times New Roman" w:eastAsia="宋体" w:cs="Arial"/>
                <w:snapToGrid w:val="0"/>
                <w:color w:val="auto"/>
                <w:sz w:val="21"/>
                <w:szCs w:val="21"/>
                <w:highlight w:val="none"/>
                <w:lang w:val="en-US" w:eastAsia="zh-CN" w:bidi="ar-SA"/>
              </w:rPr>
            </w:pPr>
            <w:r>
              <w:rPr>
                <w:rFonts w:hint="eastAsia" w:cs="宋体"/>
                <w:i w:val="0"/>
                <w:iCs w:val="0"/>
                <w:snapToGrid w:val="0"/>
                <w:color w:val="auto"/>
                <w:kern w:val="0"/>
                <w:sz w:val="18"/>
                <w:szCs w:val="18"/>
                <w:highlight w:val="none"/>
                <w:u w:val="none"/>
                <w:lang w:val="en-US" w:eastAsia="zh-CN" w:bidi="ar"/>
              </w:rPr>
              <w:t>≥</w:t>
            </w:r>
            <w:r>
              <w:rPr>
                <w:rFonts w:hint="eastAsia" w:ascii="宋体" w:hAnsi="宋体" w:eastAsia="宋体" w:cs="宋体"/>
                <w:i w:val="0"/>
                <w:iCs w:val="0"/>
                <w:snapToGrid w:val="0"/>
                <w:color w:val="auto"/>
                <w:kern w:val="0"/>
                <w:sz w:val="18"/>
                <w:szCs w:val="18"/>
                <w:highlight w:val="none"/>
                <w:u w:val="none"/>
                <w:lang w:val="en-US" w:eastAsia="zh-CN" w:bidi="ar"/>
              </w:rPr>
              <w:t>3</w:t>
            </w:r>
            <w:r>
              <w:rPr>
                <w:rFonts w:hint="eastAsia" w:cs="宋体"/>
                <w:i w:val="0"/>
                <w:iCs w:val="0"/>
                <w:snapToGrid w:val="0"/>
                <w:color w:val="auto"/>
                <w:kern w:val="0"/>
                <w:sz w:val="18"/>
                <w:szCs w:val="18"/>
                <w:highlight w:val="none"/>
                <w:u w:val="none"/>
                <w:lang w:val="en-US" w:eastAsia="zh-CN" w:bidi="ar"/>
              </w:rPr>
              <w:t>3</w:t>
            </w:r>
            <w:r>
              <w:rPr>
                <w:rFonts w:hint="eastAsia" w:ascii="宋体" w:hAnsi="宋体" w:eastAsia="宋体" w:cs="宋体"/>
                <w:i w:val="0"/>
                <w:iCs w:val="0"/>
                <w:snapToGrid w:val="0"/>
                <w:color w:val="auto"/>
                <w:kern w:val="0"/>
                <w:sz w:val="18"/>
                <w:szCs w:val="18"/>
                <w:highlight w:val="none"/>
                <w:u w:val="none"/>
                <w:lang w:val="en-US" w:eastAsia="zh-CN" w:bidi="ar"/>
              </w:rPr>
              <w:t>0</w:t>
            </w:r>
          </w:p>
        </w:tc>
        <w:tc>
          <w:tcPr>
            <w:tcW w:w="16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47B440">
            <w:pPr>
              <w:kinsoku/>
              <w:autoSpaceDE/>
              <w:autoSpaceDN/>
              <w:adjustRightInd w:val="0"/>
              <w:snapToGrid w:val="0"/>
              <w:spacing w:line="320" w:lineRule="exact"/>
              <w:ind w:firstLine="0" w:firstLineChars="0"/>
              <w:jc w:val="center"/>
              <w:textAlignment w:val="auto"/>
              <w:rPr>
                <w:rFonts w:ascii="Arial" w:hAnsi="Arial" w:eastAsia="宋体" w:cs="Arial"/>
                <w:snapToGrid w:val="0"/>
                <w:color w:val="auto"/>
                <w:sz w:val="21"/>
                <w:szCs w:val="21"/>
                <w:highlight w:val="none"/>
                <w:lang w:val="en-US" w:eastAsia="en-US" w:bidi="ar-SA"/>
              </w:rPr>
            </w:pPr>
            <w:r>
              <w:rPr>
                <w:rFonts w:ascii="宋体" w:hAnsi="宋体" w:eastAsia="宋体" w:cs="宋体"/>
                <w:snapToGrid w:val="0"/>
                <w:color w:val="auto"/>
                <w:sz w:val="18"/>
                <w:szCs w:val="18"/>
                <w:highlight w:val="none"/>
                <w:u w:val="none"/>
                <w:lang w:val="en-US" w:eastAsia="zh-CN" w:bidi="ar"/>
              </w:rPr>
              <w:t>环境绿化面积</w:t>
            </w:r>
            <w:r>
              <w:rPr>
                <w:rFonts w:hint="eastAsia" w:cs="宋体"/>
                <w:snapToGrid w:val="0"/>
                <w:color w:val="auto"/>
                <w:sz w:val="18"/>
                <w:szCs w:val="18"/>
                <w:highlight w:val="none"/>
                <w:u w:val="none"/>
                <w:lang w:val="en-US" w:eastAsia="zh-CN" w:bidi="ar"/>
              </w:rPr>
              <w:t>不</w:t>
            </w:r>
            <w:r>
              <w:rPr>
                <w:rFonts w:ascii="宋体" w:hAnsi="宋体" w:eastAsia="宋体" w:cs="宋体"/>
                <w:snapToGrid w:val="0"/>
                <w:color w:val="auto"/>
                <w:sz w:val="18"/>
                <w:szCs w:val="18"/>
                <w:highlight w:val="none"/>
                <w:u w:val="none"/>
                <w:lang w:val="en-US" w:eastAsia="zh-CN" w:bidi="ar"/>
              </w:rPr>
              <w:t>小于办公、生活区面积的15%</w:t>
            </w:r>
          </w:p>
        </w:tc>
      </w:tr>
    </w:tbl>
    <w:p w14:paraId="41720FED">
      <w:pPr>
        <w:pStyle w:val="5"/>
        <w:rPr>
          <w:rFonts w:hAnsi="楷体" w:cs="楷体"/>
          <w:color w:val="auto"/>
          <w:highlight w:val="none"/>
          <w:lang w:eastAsia="zh-CN"/>
        </w:rPr>
      </w:pPr>
      <w:r>
        <w:rPr>
          <w:rFonts w:hAnsi="Times New Roman" w:cs="Times New Roman"/>
          <w:color w:val="auto"/>
          <w:highlight w:val="none"/>
          <w:lang w:eastAsia="zh-CN"/>
        </w:rPr>
        <w:t>2.4.2</w:t>
      </w:r>
      <w:r>
        <w:rPr>
          <w:rFonts w:hint="eastAsia" w:hAnsi="Times New Roman" w:cs="Times New Roman"/>
          <w:color w:val="auto"/>
          <w:highlight w:val="none"/>
          <w:lang w:eastAsia="zh-CN"/>
        </w:rPr>
        <w:t>　</w:t>
      </w:r>
      <w:r>
        <w:rPr>
          <w:rFonts w:hAnsi="楷体" w:cs="楷体"/>
          <w:color w:val="auto"/>
          <w:highlight w:val="none"/>
          <w:lang w:eastAsia="zh-CN"/>
        </w:rPr>
        <w:t>发包人提供临时房屋建筑</w:t>
      </w:r>
    </w:p>
    <w:p w14:paraId="717BB56E">
      <w:pPr>
        <w:ind w:firstLine="420"/>
        <w:jc w:val="left"/>
        <w:rPr>
          <w:rFonts w:cs="宋体"/>
          <w:color w:val="auto"/>
          <w:highlight w:val="none"/>
          <w:lang w:eastAsia="zh-CN"/>
        </w:rPr>
      </w:pPr>
      <w:r>
        <w:rPr>
          <w:rFonts w:hint="eastAsia" w:cs="宋体"/>
          <w:color w:val="auto"/>
          <w:highlight w:val="none"/>
          <w:lang w:val="en-US" w:eastAsia="zh-CN"/>
        </w:rPr>
        <w:t>无</w:t>
      </w:r>
      <w:r>
        <w:rPr>
          <w:rFonts w:cs="宋体"/>
          <w:color w:val="auto"/>
          <w:highlight w:val="none"/>
          <w:lang w:eastAsia="zh-CN"/>
        </w:rPr>
        <w:t>。</w:t>
      </w:r>
    </w:p>
    <w:p w14:paraId="0A590DF4">
      <w:pPr>
        <w:widowControl w:val="0"/>
        <w:kinsoku/>
        <w:adjustRightInd w:val="0"/>
        <w:snapToGrid w:val="0"/>
        <w:spacing w:line="360" w:lineRule="auto"/>
        <w:ind w:firstLine="0" w:firstLineChars="0"/>
        <w:jc w:val="both"/>
        <w:textAlignment w:val="baseline"/>
        <w:rPr>
          <w:rFonts w:ascii="宋体" w:hAnsi="Times New Roman" w:eastAsia="宋体" w:cs="楷体"/>
          <w:snapToGrid w:val="0"/>
          <w:color w:val="auto"/>
          <w:sz w:val="24"/>
          <w:szCs w:val="21"/>
          <w:highlight w:val="none"/>
          <w:lang w:val="en-US" w:eastAsia="zh-CN" w:bidi="ar-SA"/>
        </w:rPr>
      </w:pPr>
      <w:r>
        <w:rPr>
          <w:rFonts w:ascii="宋体" w:hAnsi="Times New Roman" w:eastAsia="宋体" w:cs="Times New Roman"/>
          <w:snapToGrid w:val="0"/>
          <w:color w:val="auto"/>
          <w:sz w:val="24"/>
          <w:szCs w:val="21"/>
          <w:highlight w:val="none"/>
          <w:lang w:val="en-US" w:eastAsia="zh-CN" w:bidi="ar-SA"/>
        </w:rPr>
        <w:t>2.4.</w:t>
      </w:r>
      <w:r>
        <w:rPr>
          <w:rFonts w:hint="eastAsia" w:ascii="宋体" w:hAnsi="Times New Roman" w:eastAsia="宋体" w:cs="Times New Roman"/>
          <w:snapToGrid w:val="0"/>
          <w:color w:val="auto"/>
          <w:sz w:val="24"/>
          <w:szCs w:val="21"/>
          <w:highlight w:val="none"/>
          <w:lang w:val="en-US" w:eastAsia="zh-CN" w:bidi="ar-SA"/>
        </w:rPr>
        <w:t>3　</w:t>
      </w:r>
      <w:r>
        <w:rPr>
          <w:rFonts w:ascii="宋体" w:hAnsi="楷体" w:eastAsia="宋体" w:cs="楷体"/>
          <w:snapToGrid w:val="0"/>
          <w:color w:val="auto"/>
          <w:sz w:val="24"/>
          <w:szCs w:val="21"/>
          <w:highlight w:val="none"/>
          <w:lang w:val="en-US" w:eastAsia="zh-CN" w:bidi="ar-SA"/>
        </w:rPr>
        <w:t>房屋建筑</w:t>
      </w:r>
      <w:r>
        <w:rPr>
          <w:rFonts w:hint="eastAsia" w:ascii="宋体" w:hAnsi="楷体" w:eastAsia="宋体" w:cs="楷体"/>
          <w:snapToGrid w:val="0"/>
          <w:color w:val="auto"/>
          <w:sz w:val="24"/>
          <w:szCs w:val="21"/>
          <w:highlight w:val="none"/>
          <w:lang w:val="en-US" w:eastAsia="zh-CN" w:bidi="ar-SA"/>
        </w:rPr>
        <w:t>的标化工地建设要求</w:t>
      </w:r>
    </w:p>
    <w:p w14:paraId="2B0F9E34">
      <w:pPr>
        <w:ind w:firstLine="420"/>
        <w:jc w:val="left"/>
        <w:rPr>
          <w:rFonts w:hint="eastAsia" w:cs="宋体"/>
          <w:color w:val="auto"/>
          <w:highlight w:val="none"/>
          <w:lang w:eastAsia="zh-CN"/>
        </w:rPr>
      </w:pPr>
      <w:r>
        <w:rPr>
          <w:rFonts w:hint="eastAsia" w:cs="宋体"/>
          <w:color w:val="auto"/>
          <w:highlight w:val="none"/>
          <w:lang w:eastAsia="zh-CN"/>
        </w:rPr>
        <w:t>办公区占地面积不小于2</w:t>
      </w:r>
      <w:r>
        <w:rPr>
          <w:rFonts w:hint="eastAsia" w:cs="宋体"/>
          <w:color w:val="auto"/>
          <w:highlight w:val="none"/>
          <w:lang w:val="en-US" w:eastAsia="zh-CN"/>
        </w:rPr>
        <w:t>126</w:t>
      </w:r>
      <w:r>
        <w:rPr>
          <w:rFonts w:hint="eastAsia" w:cs="宋体"/>
          <w:color w:val="auto"/>
          <w:highlight w:val="none"/>
          <w:lang w:eastAsia="zh-CN"/>
        </w:rPr>
        <w:t>m2，办公区周围应设置围墙封闭管理，与生活区、施工生产区分开设置，地面及外部道路需硬化，并配备良好的排水设施，办公区应包含：大门、门卫室、旗台、停车场（棚）、会议室、办公室、资料室、卫生间、花坛、宣传栏、电子公告屏、消防设施、宿舍、食堂、文娱设施、场地硬化、民工学校、钢筋加工棚等。除考虑施工单位办公需求外，应统筹考虑发包人、监理、设计等其他单位办公需要。现场应配备保健、急救药箱与器材及一般常用药品。</w:t>
      </w:r>
    </w:p>
    <w:p w14:paraId="081EB369">
      <w:pPr>
        <w:ind w:firstLine="420"/>
        <w:jc w:val="left"/>
        <w:rPr>
          <w:rFonts w:hint="eastAsia" w:cs="宋体"/>
          <w:color w:val="auto"/>
          <w:highlight w:val="none"/>
          <w:lang w:eastAsia="zh-CN"/>
        </w:rPr>
      </w:pPr>
      <w:r>
        <w:rPr>
          <w:rFonts w:hint="eastAsia" w:cs="宋体"/>
          <w:color w:val="auto"/>
          <w:highlight w:val="none"/>
          <w:lang w:eastAsia="zh-CN"/>
        </w:rPr>
        <w:t>办公区应设置进出通道净宽度不小于8m的大门，生活区应设置进出通道净宽度不小于6m的大门，大门宜采用电动伸缩门或封闭式大门（金属管焊制或薄钢板），大门应做到美观、大方，门柱上立牌设宣传口号。大门处设置斜立面牌，尺寸不小于高2m×长6m，内容为施工单位名称及工程名称。大门处设置8牌4图，图板累计总面积不小于24㎡。</w:t>
      </w:r>
    </w:p>
    <w:p w14:paraId="4C937B9C">
      <w:pPr>
        <w:ind w:firstLine="420"/>
        <w:jc w:val="left"/>
        <w:rPr>
          <w:rFonts w:hint="eastAsia" w:cs="宋体"/>
          <w:color w:val="auto"/>
          <w:highlight w:val="none"/>
          <w:lang w:eastAsia="zh-CN"/>
        </w:rPr>
      </w:pPr>
      <w:r>
        <w:rPr>
          <w:rFonts w:hint="eastAsia" w:cs="宋体"/>
          <w:color w:val="auto"/>
          <w:highlight w:val="none"/>
          <w:lang w:eastAsia="zh-CN"/>
        </w:rPr>
        <w:t>门卫室一般设置在大门内侧，门卫室宜采用彩钢板或箱式活动房；尺寸不小于4㎡；门卫室外安装白板告示栏，屋顶安装摄像头监控，室内张贴门卫值班登记制度等。</w:t>
      </w:r>
    </w:p>
    <w:p w14:paraId="39153713">
      <w:pPr>
        <w:ind w:firstLine="420"/>
        <w:jc w:val="left"/>
        <w:rPr>
          <w:rFonts w:hint="eastAsia" w:cs="宋体"/>
          <w:color w:val="auto"/>
          <w:highlight w:val="none"/>
          <w:lang w:eastAsia="zh-CN"/>
        </w:rPr>
      </w:pPr>
      <w:r>
        <w:rPr>
          <w:rFonts w:hint="eastAsia" w:cs="宋体"/>
          <w:color w:val="auto"/>
          <w:highlight w:val="none"/>
          <w:lang w:eastAsia="zh-CN"/>
        </w:rPr>
        <w:t>旗台宜在项目办公楼前或大门入口处显要位置，旗台前方留有足够空间举行升旗仪式。旗杆不宜少于3根，包括挂国旗、水利旗和公司旗。国旗旗杆高8m居中并高于另两根高7.2m旗杆；旗台采用砖混或现浇结构，外贴瓷砖，旗杆为不锈钢。旗台基座100cm×220cm，旗帜底座底部180cm×80cm，旗帜底座顶部180cm×60cm；</w:t>
      </w:r>
    </w:p>
    <w:p w14:paraId="210E35F9">
      <w:pPr>
        <w:ind w:firstLine="420"/>
        <w:jc w:val="left"/>
        <w:rPr>
          <w:rFonts w:hint="eastAsia" w:cs="宋体"/>
          <w:color w:val="auto"/>
          <w:highlight w:val="none"/>
          <w:lang w:eastAsia="zh-CN"/>
        </w:rPr>
      </w:pPr>
      <w:r>
        <w:rPr>
          <w:rFonts w:hint="eastAsia" w:cs="宋体"/>
          <w:color w:val="auto"/>
          <w:highlight w:val="none"/>
          <w:lang w:eastAsia="zh-CN"/>
        </w:rPr>
        <w:t>停车场：办公区设置停车场，并设置停车棚，车位尺寸不小于6m×3m，车位数量在20个以上。</w:t>
      </w:r>
    </w:p>
    <w:p w14:paraId="6FE38920">
      <w:pPr>
        <w:ind w:firstLine="420"/>
        <w:jc w:val="left"/>
        <w:rPr>
          <w:rFonts w:hint="eastAsia" w:cs="宋体"/>
          <w:color w:val="auto"/>
          <w:highlight w:val="none"/>
          <w:lang w:eastAsia="zh-CN"/>
        </w:rPr>
      </w:pPr>
      <w:r>
        <w:rPr>
          <w:rFonts w:hint="eastAsia" w:cs="宋体"/>
          <w:color w:val="auto"/>
          <w:highlight w:val="none"/>
          <w:lang w:eastAsia="zh-CN"/>
        </w:rPr>
        <w:t>会议室包括室内装修、墙面布设、桌椅、会议系统及各类图表等。会议室的净高不低于3.5m。会议室应设置在底层，门朝疏散方向开，做到宽敞、明亮，配置窗帘，面积应不小于50m2，地面铺瓷砖或地板，吊顶应有专门装修。会议室内桌椅数量应满足人员开会要求，不应少于30张。设置音响、话筒、投影仪、幕布、无线网络等会议系统，会议桌上设置多个电源插座。</w:t>
      </w:r>
    </w:p>
    <w:p w14:paraId="0F2AA06B">
      <w:pPr>
        <w:ind w:firstLine="420"/>
        <w:jc w:val="left"/>
        <w:rPr>
          <w:rFonts w:hint="eastAsia" w:cs="宋体"/>
          <w:color w:val="auto"/>
          <w:highlight w:val="none"/>
          <w:lang w:eastAsia="zh-CN"/>
        </w:rPr>
      </w:pPr>
      <w:r>
        <w:rPr>
          <w:rFonts w:hint="eastAsia" w:cs="宋体"/>
          <w:color w:val="auto"/>
          <w:highlight w:val="none"/>
          <w:lang w:eastAsia="zh-CN"/>
        </w:rPr>
        <w:t xml:space="preserve">办公室根据职能划分及人员数量布置，在项目进场后开工前完成。办公室净高不低于2.6m，集中办公时人均面积不小于5m2，墙体和顶棚白色，门窗齐全，室内地面铺瓷砖或地板。门上部设门牌，材质可为亚克力或金属板，尺寸宜为0.3m×0.12m，印“xx 部（室）”。室门右侧上部设人员去向牌，尺寸宜为0.36m×0.24m。各办公室内挂设相应岗位职责牌，尺寸宜为0.6m×1.0m。办公室应设施良好，文件资料归档整齐。 </w:t>
      </w:r>
    </w:p>
    <w:p w14:paraId="2446A623">
      <w:pPr>
        <w:ind w:firstLine="420"/>
        <w:jc w:val="left"/>
        <w:rPr>
          <w:rFonts w:hint="eastAsia" w:cs="宋体"/>
          <w:color w:val="auto"/>
          <w:highlight w:val="none"/>
          <w:lang w:eastAsia="zh-CN"/>
        </w:rPr>
      </w:pPr>
      <w:r>
        <w:rPr>
          <w:rFonts w:hint="eastAsia" w:cs="宋体"/>
          <w:color w:val="auto"/>
          <w:highlight w:val="none"/>
          <w:lang w:eastAsia="zh-CN"/>
        </w:rPr>
        <w:t>资料室应设置资料柜、工作桌椅及制度牌等。资料室应布置在底层，需具备防火、防虫、防潮、防高温等相应措施。大小应考虑存放资料类别及数量，同时应考虑人员办公的位置，含两张办公桌。按资料的分类及资料数量设置一定数量的资料柜，资料柜宜采用角钢制作，门窗安装透明玻璃。</w:t>
      </w:r>
    </w:p>
    <w:p w14:paraId="49EDE2A4">
      <w:pPr>
        <w:ind w:firstLine="420"/>
        <w:jc w:val="left"/>
        <w:rPr>
          <w:rFonts w:hint="eastAsia" w:cs="宋体"/>
          <w:color w:val="auto"/>
          <w:highlight w:val="none"/>
          <w:lang w:eastAsia="zh-CN"/>
        </w:rPr>
      </w:pPr>
      <w:r>
        <w:rPr>
          <w:rFonts w:hint="eastAsia" w:cs="宋体"/>
          <w:color w:val="auto"/>
          <w:highlight w:val="none"/>
          <w:lang w:eastAsia="zh-CN"/>
        </w:rPr>
        <w:t>办公区应设卫生间，与办公用房同时搭设完成。卫生间内外1:2水泥砂浆抹灰，地面铺设防滑地砖，墙面满贴瓷砖。分别设置男女卫生间，大小根据人员数量设置。卫生间必须设置可冲洗式便池，卫生间内应当定期悬挂或投放除臭球，定期喷洒灭蝇虫药剂。卫生间门、窗、照明设施应当齐全，窗户应安装百叶窗，通风透气；卫生间应有符合抗渗要求的带盖化粪池。卫生间小便槽、便池之间必须设置隔板，便池隔板高度不得低于2m。</w:t>
      </w:r>
    </w:p>
    <w:p w14:paraId="59A7F553">
      <w:pPr>
        <w:ind w:firstLine="420"/>
        <w:jc w:val="left"/>
        <w:rPr>
          <w:rFonts w:hint="eastAsia" w:cs="宋体"/>
          <w:color w:val="auto"/>
          <w:highlight w:val="none"/>
          <w:lang w:eastAsia="zh-CN"/>
        </w:rPr>
      </w:pPr>
      <w:r>
        <w:rPr>
          <w:rFonts w:hint="eastAsia" w:cs="宋体"/>
          <w:color w:val="auto"/>
          <w:highlight w:val="none"/>
          <w:lang w:eastAsia="zh-CN"/>
        </w:rPr>
        <w:t>办公区域应设置花坛、花盘，墙边角、停车场应种植绿色植被，在项目进场后开工前完成。）在旗台两侧、办公室、会议室等窗前设置花坛，花坛可以与花盆相互交叉设置，花坛、花盆的设置不得影响交通。绿色植被应统一种植，选择耐干、耐涝，生命力强的常青植物种植，植物搭配美观。环境绿化面积不小于办公、生活区的面积的15%。</w:t>
      </w:r>
    </w:p>
    <w:p w14:paraId="0337EDB9">
      <w:pPr>
        <w:ind w:firstLine="420"/>
        <w:jc w:val="left"/>
        <w:rPr>
          <w:rFonts w:hint="eastAsia" w:cs="宋体"/>
          <w:color w:val="auto"/>
          <w:highlight w:val="none"/>
          <w:lang w:eastAsia="zh-CN"/>
        </w:rPr>
      </w:pPr>
      <w:r>
        <w:rPr>
          <w:rFonts w:hint="eastAsia" w:cs="宋体"/>
          <w:color w:val="auto"/>
          <w:highlight w:val="none"/>
          <w:lang w:eastAsia="zh-CN"/>
        </w:rPr>
        <w:t>宣传栏及电子屏：宣传栏用不锈钢制作，宣传内容包括安全教育、水利知识、时事新闻、宣传贴画、项目文化活动和重大活动等，尺寸为2.4m×1.2m。办公楼门厅上方配置电子屏，尺寸不小于6m×0.45m。</w:t>
      </w:r>
    </w:p>
    <w:p w14:paraId="07EE01CC">
      <w:pPr>
        <w:ind w:firstLine="420"/>
        <w:jc w:val="left"/>
        <w:rPr>
          <w:rFonts w:hint="eastAsia" w:cs="宋体"/>
          <w:color w:val="auto"/>
          <w:highlight w:val="none"/>
          <w:lang w:eastAsia="zh-CN"/>
        </w:rPr>
      </w:pPr>
      <w:r>
        <w:rPr>
          <w:rFonts w:hint="eastAsia" w:cs="宋体"/>
          <w:color w:val="auto"/>
          <w:highlight w:val="none"/>
          <w:lang w:eastAsia="zh-CN"/>
        </w:rPr>
        <w:t>办公区应根据消防相关规范布置消防设施。与办公区建设同时完成。消防通道净宽及净空高度均不应小于4m；按50～100m2配备一组灭火器，灭火器规格、种类配置应符合规范要求，灭火器箱外贴使用说明及防火责任人告示牌，告示牌采用亚克力或金属板制作尺寸宜为30cm×20cm，箱内挂检查卡，每月一次检查；应备用专用于消防的积水桶（池）及黄沙池等，有条件的鼓励设置消防栓。会议室等人员密集房间应设置在一楼，大门朝疏散方向开启。</w:t>
      </w:r>
    </w:p>
    <w:p w14:paraId="0483D283">
      <w:pPr>
        <w:ind w:firstLine="420"/>
        <w:jc w:val="left"/>
        <w:rPr>
          <w:rFonts w:hint="eastAsia" w:cs="宋体"/>
          <w:color w:val="auto"/>
          <w:highlight w:val="none"/>
          <w:lang w:eastAsia="zh-CN"/>
        </w:rPr>
      </w:pPr>
      <w:r>
        <w:rPr>
          <w:rFonts w:hint="eastAsia" w:cs="宋体"/>
          <w:color w:val="auto"/>
          <w:highlight w:val="none"/>
          <w:lang w:eastAsia="zh-CN"/>
        </w:rPr>
        <w:t>生活区应选址合理，与施工生产区及危险源有足够的安全距离。统一规划、集中设置、设施齐全，满足现场人员学习、生活需要，在开工前建成。管理人员与作业人员宿舍应分开设置；小型工程管理人员宿舍可根据需要设置于办公区，但不能与办公场所处于同一楼层。生活区占地面积不小于</w:t>
      </w:r>
      <w:r>
        <w:rPr>
          <w:rFonts w:hint="eastAsia" w:cs="宋体"/>
          <w:color w:val="auto"/>
          <w:highlight w:val="none"/>
          <w:lang w:val="en-US" w:eastAsia="zh-CN"/>
        </w:rPr>
        <w:t>770</w:t>
      </w:r>
      <w:r>
        <w:rPr>
          <w:rFonts w:hint="eastAsia" w:cs="宋体"/>
          <w:color w:val="auto"/>
          <w:highlight w:val="none"/>
          <w:lang w:eastAsia="zh-CN"/>
        </w:rPr>
        <w:t>m2；生活区应包含：宿舍、食堂、盥洗沐浴室、卫生间等，其中卫生间的标准化参照办公区设置。生活区参照办公区设置围墙、场地硬化、排水以及环境绿化以及消防设施等。</w:t>
      </w:r>
    </w:p>
    <w:p w14:paraId="0DB25C14">
      <w:pPr>
        <w:ind w:firstLine="420"/>
        <w:jc w:val="left"/>
        <w:rPr>
          <w:rFonts w:hint="eastAsia" w:cs="宋体"/>
          <w:color w:val="auto"/>
          <w:highlight w:val="none"/>
          <w:lang w:eastAsia="zh-CN"/>
        </w:rPr>
      </w:pPr>
      <w:r>
        <w:rPr>
          <w:rFonts w:hint="eastAsia" w:cs="宋体"/>
          <w:color w:val="auto"/>
          <w:highlight w:val="none"/>
          <w:lang w:eastAsia="zh-CN"/>
        </w:rPr>
        <w:t>宿舍数量根据人员的数量设置，在项目进场后开工前完成。宿舍需坚固、美观，门窗齐全，保证通风，卫生材料吊顶，地面硬化防潮。管理与作业人员宿舍应分开布置。保证每人（可上下）单床，禁止通铺或钢管搭设上下床铺，住宿人员人均面积不应小于2.5m2，其单间宿舍不超过6人。每间宿舍宜设室长，设有生活用品放置处、脸盆架，生活用品应放置整齐，每间宿舍需设有空调（已使用年限不超过3年）。根据人员数量设置，项目进场后开工前完成。</w:t>
      </w:r>
    </w:p>
    <w:p w14:paraId="7CAFE549">
      <w:pPr>
        <w:ind w:firstLine="420"/>
        <w:jc w:val="left"/>
        <w:rPr>
          <w:rFonts w:hint="eastAsia" w:cs="宋体"/>
          <w:color w:val="auto"/>
          <w:highlight w:val="none"/>
          <w:lang w:eastAsia="zh-CN"/>
        </w:rPr>
      </w:pPr>
      <w:r>
        <w:rPr>
          <w:rFonts w:hint="eastAsia" w:cs="宋体"/>
          <w:color w:val="auto"/>
          <w:highlight w:val="none"/>
          <w:lang w:eastAsia="zh-CN"/>
        </w:rPr>
        <w:t>食堂搭设材料必须符合环保和消防要求，与厕所、垃圾站、有毒有害场所等污染源的距离应大于30m，并应设置在上述场所的上风侧（地区主导风向）。食堂装饰使用防霉、防潮、防水材料，地面做硬化和防滑处理。配备必要的排风设施、冷藏设施、消毒保洁以及消防防火设施，配备有效的防蝇、防鼠、防尘设施和符合卫生要求的废弃物处理设施。大中型工程食堂制作间、售卖间和储藏间应分隔设置，小型工程如空间有限，制作间、储藏间可不予区分；灶台、操作台及周边墙面1.8m以下应贴瓷砖，门扇下方应设不低于0.5m的防鼠挡板，操作间的下水管道应与污水管线连接。厨具宜存放在封闭的橱柜内，并应生熟分开，用红（动物类）蓝（水产类）绿（植物类）三色进行区分；食品应有遮盖，遮盖物品应有正反面标识；各种佐料和副食应存放在密闭器皿内，并应有标识。食堂外应设置密封式泔水桶，及时清运并保持清洁。食堂宜使用电炊具。使用燃气时，燃气罐应单独设置存放间并安装燃气报警装置，存放间应通风良好严禁存放其他物品。食堂纱门、纱窗、纱罩齐全，食堂工作人员健康证应上墙，并挂设职工食堂用餐须知及食堂管理制度牌。食堂工作人员穿戴洁净的工作服、工作帽和口罩，并应保持个人卫生。</w:t>
      </w:r>
    </w:p>
    <w:p w14:paraId="23CF4797">
      <w:pPr>
        <w:ind w:firstLine="420"/>
        <w:jc w:val="left"/>
        <w:rPr>
          <w:rFonts w:hint="eastAsia" w:cs="宋体"/>
          <w:color w:val="auto"/>
          <w:highlight w:val="none"/>
          <w:lang w:eastAsia="zh-CN"/>
        </w:rPr>
      </w:pPr>
      <w:r>
        <w:rPr>
          <w:rFonts w:hint="eastAsia" w:cs="宋体"/>
          <w:color w:val="auto"/>
          <w:highlight w:val="none"/>
          <w:lang w:eastAsia="zh-CN"/>
        </w:rPr>
        <w:t>生活区可根据实际情况设置相应的文娱设施。生活区内根据实际情况设置室内娱乐活动室和室外娱乐活动场地，活动室内可适当配备电视机、棋盘、台球桌、乒乓球台等其它文娱设施。室外场地包括篮球场、羽毛球场（宜合建），地面夯实后需硬化，场地平整，不得积水，篮球、羽毛球设施按照国家标准尺寸进行划线和安装。需设置室内及室外活动设施。</w:t>
      </w:r>
    </w:p>
    <w:p w14:paraId="2AAB0876">
      <w:pPr>
        <w:ind w:firstLine="420"/>
        <w:jc w:val="left"/>
        <w:rPr>
          <w:rFonts w:hint="eastAsia" w:cs="宋体"/>
          <w:color w:val="auto"/>
          <w:highlight w:val="none"/>
          <w:lang w:eastAsia="zh-CN"/>
        </w:rPr>
      </w:pPr>
      <w:r>
        <w:rPr>
          <w:rFonts w:hint="eastAsia" w:cs="宋体"/>
          <w:color w:val="auto"/>
          <w:highlight w:val="none"/>
          <w:lang w:eastAsia="zh-CN"/>
        </w:rPr>
        <w:t>室外场地：室外场地包括篮球场、羽毛球场（宜合建），地面夯实后采用C20混凝土浇筑150mm厚，尺寸不小于长28m，宽15m。</w:t>
      </w:r>
    </w:p>
    <w:p w14:paraId="33FB9113">
      <w:pPr>
        <w:ind w:firstLine="420"/>
        <w:jc w:val="left"/>
        <w:rPr>
          <w:rFonts w:hint="eastAsia" w:cs="宋体"/>
          <w:color w:val="auto"/>
          <w:highlight w:val="none"/>
          <w:lang w:eastAsia="zh-CN"/>
        </w:rPr>
      </w:pPr>
      <w:r>
        <w:rPr>
          <w:rFonts w:hint="eastAsia" w:cs="宋体"/>
          <w:color w:val="auto"/>
          <w:highlight w:val="none"/>
          <w:lang w:eastAsia="zh-CN"/>
        </w:rPr>
        <w:t>民工学校：民工学校尺寸不小于70㎡,门口悬挂60cm×45cm民工学校牌匾，配备足够的座椅及必要的教学工具如黑板、投影仪、电视机等，室内张贴民工学校章程、教学管理制度、学员守则、教学计划、宣传栏等。</w:t>
      </w:r>
    </w:p>
    <w:p w14:paraId="4C18826A">
      <w:pPr>
        <w:ind w:firstLine="420"/>
        <w:jc w:val="left"/>
        <w:rPr>
          <w:rFonts w:hint="eastAsia" w:cs="宋体"/>
          <w:color w:val="auto"/>
          <w:highlight w:val="none"/>
          <w:lang w:eastAsia="zh-CN"/>
        </w:rPr>
      </w:pPr>
      <w:r>
        <w:rPr>
          <w:rFonts w:hint="eastAsia" w:cs="宋体"/>
          <w:color w:val="auto"/>
          <w:highlight w:val="none"/>
          <w:lang w:eastAsia="zh-CN"/>
        </w:rPr>
        <w:t>钢筋加工棚：钢筋加工棚选择合适位置，采用定型钢构彩钢板；地面及周边道路应混凝土硬化，设置排水沟。尺寸按照生产要求确定，宜 5.7 米高，6 米宽，立柱间距 6 米，挑檐 3 米。</w:t>
      </w:r>
    </w:p>
    <w:p w14:paraId="67155DA7">
      <w:pPr>
        <w:ind w:firstLine="420"/>
        <w:jc w:val="left"/>
        <w:rPr>
          <w:rFonts w:hint="eastAsia" w:cs="宋体"/>
          <w:color w:val="auto"/>
          <w:highlight w:val="none"/>
          <w:lang w:eastAsia="zh-CN"/>
        </w:rPr>
      </w:pPr>
      <w:r>
        <w:rPr>
          <w:rFonts w:hint="eastAsia" w:cs="宋体"/>
          <w:color w:val="auto"/>
          <w:highlight w:val="none"/>
          <w:lang w:eastAsia="zh-CN"/>
        </w:rPr>
        <w:t>施工房屋中的办公用房应为钢结构房屋或砖混结构房屋等，可单层或两层，采用玻璃幕墙装饰，结构需稳定、可靠。适宜位置布置具有水利特色的宣传标语。所有施工房屋的建筑构件应满足防强风要求，必要时采用加装防风缆等防强风措施。施工房屋应美观、牢固可靠，满足消防、防雨等要求。</w:t>
      </w:r>
    </w:p>
    <w:p w14:paraId="35ACA601">
      <w:pPr>
        <w:ind w:firstLine="420"/>
        <w:jc w:val="left"/>
        <w:rPr>
          <w:rFonts w:cs="宋体"/>
          <w:color w:val="auto"/>
          <w:highlight w:val="none"/>
          <w:lang w:eastAsia="zh-CN"/>
        </w:rPr>
      </w:pPr>
      <w:r>
        <w:rPr>
          <w:rFonts w:hint="eastAsia" w:cs="宋体"/>
          <w:color w:val="auto"/>
          <w:highlight w:val="none"/>
          <w:lang w:eastAsia="zh-CN"/>
        </w:rPr>
        <w:t>施工房屋建筑的其他文明标化工地建设相关要求详见《浙江省水利建设工程文明标化工地创建指导手册（2024年）》，本工程施工房屋建筑的文明标化工地建设标准不应低于《浙江省水利建设工程文明标化工地创建指导手册（2024年）》，本章规定与《浙江省水利建设工程文明标化工地创建指导手册（2024年）》不一致的，以本章规定为准。</w:t>
      </w:r>
    </w:p>
    <w:p w14:paraId="45CB5A5F">
      <w:pPr>
        <w:pStyle w:val="4"/>
        <w:spacing w:beforeLines="0" w:afterLines="0"/>
        <w:rPr>
          <w:rFonts w:hint="eastAsia" w:cs="宋体"/>
          <w:bCs/>
          <w:color w:val="auto"/>
          <w:szCs w:val="24"/>
          <w:highlight w:val="none"/>
        </w:rPr>
      </w:pPr>
      <w:r>
        <w:rPr>
          <w:rFonts w:hint="eastAsia" w:cs="宋体"/>
          <w:bCs/>
          <w:color w:val="auto"/>
          <w:szCs w:val="24"/>
          <w:highlight w:val="none"/>
        </w:rPr>
        <w:t>2.5</w:t>
      </w:r>
      <w:r>
        <w:rPr>
          <w:rFonts w:hint="eastAsia" w:cs="宋体"/>
          <w:bCs/>
          <w:color w:val="auto"/>
          <w:szCs w:val="24"/>
          <w:highlight w:val="none"/>
          <w:lang w:eastAsia="zh-CN"/>
        </w:rPr>
        <w:t>　</w:t>
      </w:r>
      <w:r>
        <w:rPr>
          <w:rFonts w:hint="eastAsia" w:cs="宋体"/>
          <w:bCs/>
          <w:color w:val="auto"/>
          <w:szCs w:val="24"/>
          <w:highlight w:val="none"/>
        </w:rPr>
        <w:t>现场施工测量</w:t>
      </w:r>
    </w:p>
    <w:p w14:paraId="4FE7C7D3">
      <w:pPr>
        <w:ind w:firstLine="420"/>
        <w:jc w:val="left"/>
        <w:rPr>
          <w:rFonts w:hAnsi="Times New Roman" w:cs="宋体"/>
          <w:color w:val="auto"/>
          <w:highlight w:val="none"/>
          <w:lang w:eastAsia="zh-CN"/>
        </w:rPr>
      </w:pPr>
      <w:r>
        <w:rPr>
          <w:rFonts w:hint="eastAsia" w:hAnsi="Times New Roman" w:cs="宋体"/>
          <w:color w:val="auto"/>
          <w:highlight w:val="none"/>
          <w:lang w:eastAsia="zh-CN"/>
        </w:rPr>
        <w:t>承包人应按本合同通用合同条款第8.1～8.4款的规定执行。</w:t>
      </w:r>
    </w:p>
    <w:p w14:paraId="3705DA51">
      <w:pPr>
        <w:pStyle w:val="4"/>
        <w:spacing w:beforeLines="0" w:afterLines="0"/>
        <w:jc w:val="both"/>
        <w:rPr>
          <w:rFonts w:hint="eastAsia" w:hAnsi="宋体" w:cs="宋体"/>
          <w:bCs/>
          <w:color w:val="auto"/>
          <w:szCs w:val="24"/>
          <w:highlight w:val="none"/>
          <w:lang w:eastAsia="zh-CN"/>
        </w:rPr>
      </w:pPr>
      <w:r>
        <w:rPr>
          <w:rFonts w:hint="eastAsia" w:cs="宋体"/>
          <w:bCs/>
          <w:color w:val="auto"/>
          <w:szCs w:val="24"/>
          <w:highlight w:val="none"/>
          <w:lang w:eastAsia="zh-CN"/>
        </w:rPr>
        <w:t>2.6　现场试验</w:t>
      </w:r>
    </w:p>
    <w:p w14:paraId="25A50CDF">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承包人应按本合同通用合同条款第14.2款、第14.3款的规定执行。</w:t>
      </w:r>
      <w:r>
        <w:rPr>
          <w:rFonts w:hint="eastAsia" w:hAnsi="Times New Roman" w:cs="宋体"/>
          <w:color w:val="auto"/>
          <w:highlight w:val="none"/>
          <w:lang w:val="en-US" w:eastAsia="zh-CN"/>
        </w:rPr>
        <w:t>此外，关于爆破试验、灌浆试验、混凝土配合比试验要求如下：</w:t>
      </w:r>
    </w:p>
    <w:p w14:paraId="08E1374F">
      <w:pPr>
        <w:pStyle w:val="5"/>
        <w:jc w:val="left"/>
        <w:rPr>
          <w:rFonts w:hAnsi="Times New Roman" w:cs="宋体"/>
          <w:color w:val="auto"/>
          <w:highlight w:val="none"/>
          <w:lang w:eastAsia="zh-CN"/>
        </w:rPr>
      </w:pPr>
      <w:r>
        <w:rPr>
          <w:rFonts w:hAnsi="Times New Roman" w:cs="宋体"/>
          <w:color w:val="auto"/>
          <w:highlight w:val="none"/>
          <w:lang w:eastAsia="zh-CN"/>
        </w:rPr>
        <w:t>2.6.</w:t>
      </w:r>
      <w:r>
        <w:rPr>
          <w:rFonts w:hint="eastAsia" w:hAnsi="Times New Roman" w:cs="宋体"/>
          <w:color w:val="auto"/>
          <w:highlight w:val="none"/>
          <w:lang w:val="en-US" w:eastAsia="zh-CN"/>
        </w:rPr>
        <w:t>1</w:t>
      </w:r>
      <w:r>
        <w:rPr>
          <w:rFonts w:hint="eastAsia" w:hAnsi="Times New Roman" w:cs="宋体"/>
          <w:color w:val="auto"/>
          <w:highlight w:val="none"/>
          <w:lang w:eastAsia="zh-CN"/>
        </w:rPr>
        <w:t>　爆破试验</w:t>
      </w:r>
    </w:p>
    <w:p w14:paraId="0A1C1C70">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1）承包人若采用钻孔爆破，必须结合本标段具体情况在本标段范围内进行爆破试验，否则不能进行大规模的开挖施工。在正式试验开始之前14天，承包人应向监理人报送现场爆破试验的设计和试验计划，监理人应在收到该项爆破设计和试验计划后的7天内批复承包人。</w:t>
      </w:r>
    </w:p>
    <w:p w14:paraId="59925BFC">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（2）每组（次）试验之后，承包人应向监理人、发包人报送相应的试验资料（成果），该资料应包括（但不限于）：</w:t>
      </w:r>
    </w:p>
    <w:p w14:paraId="45066CC3">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1）试验名称、组别及内容。</w:t>
      </w:r>
    </w:p>
    <w:p w14:paraId="2EB48BFF">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2）钻爆设计（包括：钻孔布置、装药结构、起爆网络、装药量与炸药名称、起爆器材、安全防护等）。</w:t>
      </w:r>
    </w:p>
    <w:p w14:paraId="25F8A212">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3）实际的钻孔布置、装药、孔网参数记录。</w:t>
      </w:r>
    </w:p>
    <w:p w14:paraId="3E7E2CA6">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4）破坏范围与地震效应观测资料（包括原始记录与分析）。</w:t>
      </w:r>
    </w:p>
    <w:p w14:paraId="50863036">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5）破坏效果分析。</w:t>
      </w:r>
    </w:p>
    <w:p w14:paraId="095AEEF0">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6）监理人要求报送的其它材料。</w:t>
      </w:r>
    </w:p>
    <w:p w14:paraId="61A694D0">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（3）试验成果在经监理人审批之后，方可用于大规模的爆破施工，但监理人的审批不减轻承包人对其承担的工程项目所应承担的任何责任。承包人仍然对其承担施工的工程进度、质量、安全等负有全部责任。</w:t>
      </w:r>
    </w:p>
    <w:p w14:paraId="140B9518">
      <w:pPr>
        <w:pStyle w:val="5"/>
        <w:jc w:val="left"/>
        <w:rPr>
          <w:rFonts w:hAnsi="Times New Roman" w:cs="宋体"/>
          <w:color w:val="auto"/>
          <w:highlight w:val="none"/>
          <w:lang w:eastAsia="zh-CN"/>
        </w:rPr>
      </w:pPr>
      <w:r>
        <w:rPr>
          <w:rFonts w:hAnsi="Times New Roman" w:cs="宋体"/>
          <w:color w:val="auto"/>
          <w:highlight w:val="none"/>
          <w:lang w:eastAsia="zh-CN"/>
        </w:rPr>
        <w:t>2.6.</w:t>
      </w:r>
      <w:r>
        <w:rPr>
          <w:rFonts w:hint="eastAsia" w:hAnsi="Times New Roman" w:cs="宋体"/>
          <w:color w:val="auto"/>
          <w:highlight w:val="none"/>
          <w:lang w:val="en-US" w:eastAsia="zh-CN"/>
        </w:rPr>
        <w:t>2</w:t>
      </w:r>
      <w:r>
        <w:rPr>
          <w:rFonts w:hint="eastAsia" w:hAnsi="Times New Roman" w:cs="宋体"/>
          <w:color w:val="auto"/>
          <w:highlight w:val="none"/>
          <w:lang w:eastAsia="zh-CN"/>
        </w:rPr>
        <w:t>　灌浆试验</w:t>
      </w:r>
    </w:p>
    <w:p w14:paraId="5135C093">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承包人应按本技术条款第10.6节的要求进行灌浆试验。</w:t>
      </w:r>
    </w:p>
    <w:p w14:paraId="3F6A4C21">
      <w:pPr>
        <w:pStyle w:val="5"/>
        <w:suppressAutoHyphens/>
        <w:jc w:val="left"/>
        <w:rPr>
          <w:rFonts w:hAnsi="Times New Roman" w:cs="宋体"/>
          <w:color w:val="auto"/>
          <w:highlight w:val="none"/>
          <w:lang w:eastAsia="zh-CN"/>
        </w:rPr>
      </w:pPr>
      <w:r>
        <w:rPr>
          <w:rFonts w:hAnsi="Times New Roman" w:cs="宋体"/>
          <w:color w:val="auto"/>
          <w:highlight w:val="none"/>
          <w:lang w:eastAsia="zh-CN"/>
        </w:rPr>
        <w:t>2.6.</w:t>
      </w:r>
      <w:r>
        <w:rPr>
          <w:rFonts w:hint="eastAsia" w:hAnsi="Times New Roman" w:cs="宋体"/>
          <w:color w:val="auto"/>
          <w:highlight w:val="none"/>
          <w:lang w:val="en-US" w:eastAsia="zh-CN"/>
        </w:rPr>
        <w:t>3</w:t>
      </w:r>
      <w:r>
        <w:rPr>
          <w:rFonts w:hint="eastAsia" w:hAnsi="Times New Roman" w:cs="宋体"/>
          <w:color w:val="auto"/>
          <w:highlight w:val="none"/>
          <w:lang w:eastAsia="zh-CN"/>
        </w:rPr>
        <w:t>　混凝土配合比试验</w:t>
      </w:r>
    </w:p>
    <w:p w14:paraId="101BC46F">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（1）承包人应按施工图纸的要求和监理人指示，通过室内试验成果进行混凝土配合比设计，并报送监理人审批。</w:t>
      </w:r>
    </w:p>
    <w:p w14:paraId="0A437116">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（2）不同类型结构物的混凝土配合比必须通过试验选定其试验方法应按《水工混凝土试验规程》（SL/T352）及《水工混凝土施工规范》（SL 677）第6章的有关规定执行。</w:t>
      </w:r>
    </w:p>
    <w:p w14:paraId="77D50EF3">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（3）本工程配合比试验所用材料由承包人采购，并向监理人提交以下资料：</w:t>
      </w:r>
    </w:p>
    <w:p w14:paraId="221ABC50">
      <w:pPr>
        <w:suppressAutoHyphens/>
        <w:ind w:firstLine="420"/>
        <w:jc w:val="left"/>
        <w:rPr>
          <w:rFonts w:hAnsi="Times New Roman" w:cs="宋体"/>
          <w:color w:val="auto"/>
          <w:highlight w:val="none"/>
          <w:lang w:eastAsia="zh-CN"/>
        </w:rPr>
      </w:pPr>
      <w:r>
        <w:rPr>
          <w:rFonts w:hint="eastAsia" w:hAnsi="Times New Roman" w:cs="宋体"/>
          <w:color w:val="auto"/>
          <w:highlight w:val="none"/>
          <w:lang w:eastAsia="zh-CN"/>
        </w:rPr>
        <w:t>1）选用材料及其产品合格证。</w:t>
      </w:r>
    </w:p>
    <w:p w14:paraId="062BBE6F">
      <w:pPr>
        <w:ind w:firstLine="420"/>
        <w:jc w:val="left"/>
        <w:rPr>
          <w:rFonts w:hAnsi="Times New Roman" w:cs="宋体"/>
          <w:color w:val="auto"/>
          <w:highlight w:val="none"/>
          <w:lang w:eastAsia="zh-CN"/>
        </w:rPr>
      </w:pPr>
      <w:r>
        <w:rPr>
          <w:rFonts w:hint="eastAsia" w:hAnsi="Times New Roman" w:cs="宋体"/>
          <w:color w:val="auto"/>
          <w:highlight w:val="none"/>
          <w:lang w:eastAsia="zh-CN"/>
        </w:rPr>
        <w:t>2）试件的配料、拌和及试件的外形尺寸。</w:t>
      </w:r>
    </w:p>
    <w:p w14:paraId="3DECB475">
      <w:pPr>
        <w:ind w:firstLine="420"/>
        <w:jc w:val="left"/>
        <w:rPr>
          <w:rFonts w:hAnsi="Times New Roman" w:cs="宋体"/>
          <w:color w:val="auto"/>
          <w:highlight w:val="none"/>
          <w:lang w:eastAsia="zh-CN"/>
        </w:rPr>
      </w:pPr>
      <w:r>
        <w:rPr>
          <w:rFonts w:hint="eastAsia" w:hAnsi="Times New Roman" w:cs="宋体"/>
          <w:color w:val="auto"/>
          <w:highlight w:val="none"/>
          <w:lang w:eastAsia="zh-CN"/>
        </w:rPr>
        <w:t>3）试件的制作和养护说明。</w:t>
      </w:r>
    </w:p>
    <w:p w14:paraId="4AB807F4">
      <w:pPr>
        <w:ind w:firstLine="420"/>
        <w:jc w:val="left"/>
        <w:rPr>
          <w:rFonts w:hAnsi="Times New Roman" w:cs="宋体"/>
          <w:color w:val="auto"/>
          <w:highlight w:val="none"/>
          <w:lang w:eastAsia="zh-CN"/>
        </w:rPr>
      </w:pPr>
      <w:r>
        <w:rPr>
          <w:rFonts w:hint="eastAsia" w:hAnsi="Times New Roman" w:cs="宋体"/>
          <w:color w:val="auto"/>
          <w:highlight w:val="none"/>
          <w:lang w:eastAsia="zh-CN"/>
        </w:rPr>
        <w:t>4）试验成果及其说明。</w:t>
      </w:r>
    </w:p>
    <w:p w14:paraId="744E6091">
      <w:pPr>
        <w:ind w:firstLine="420"/>
        <w:jc w:val="left"/>
        <w:rPr>
          <w:rFonts w:hAnsi="Times New Roman" w:cs="宋体"/>
          <w:color w:val="auto"/>
          <w:highlight w:val="none"/>
          <w:lang w:eastAsia="zh-CN"/>
        </w:rPr>
      </w:pPr>
      <w:r>
        <w:rPr>
          <w:rFonts w:hint="eastAsia" w:hAnsi="Times New Roman" w:cs="宋体"/>
          <w:color w:val="auto"/>
          <w:highlight w:val="none"/>
          <w:lang w:eastAsia="zh-CN"/>
        </w:rPr>
        <w:t>5）不同水胶比与不同龄期的混凝土强度曲线及数据。</w:t>
      </w:r>
    </w:p>
    <w:p w14:paraId="0F5FC831">
      <w:pPr>
        <w:ind w:firstLine="420"/>
        <w:jc w:val="left"/>
        <w:rPr>
          <w:rFonts w:hAnsi="Times New Roman" w:cs="宋体"/>
          <w:color w:val="auto"/>
          <w:highlight w:val="none"/>
          <w:lang w:eastAsia="zh-CN"/>
        </w:rPr>
      </w:pPr>
      <w:r>
        <w:rPr>
          <w:rFonts w:hint="eastAsia" w:hAnsi="Times New Roman" w:cs="宋体"/>
          <w:color w:val="auto"/>
          <w:highlight w:val="none"/>
          <w:lang w:eastAsia="zh-CN"/>
        </w:rPr>
        <w:t>6）不同掺合料掺量与强度关系曲线及数据。</w:t>
      </w:r>
    </w:p>
    <w:p w14:paraId="2832A31C">
      <w:pPr>
        <w:ind w:firstLine="420"/>
        <w:jc w:val="left"/>
        <w:rPr>
          <w:rFonts w:hAnsi="Times New Roman" w:cs="宋体"/>
          <w:color w:val="auto"/>
          <w:highlight w:val="none"/>
          <w:lang w:eastAsia="zh-CN"/>
        </w:rPr>
      </w:pPr>
      <w:r>
        <w:rPr>
          <w:rFonts w:hint="eastAsia" w:hAnsi="Times New Roman" w:cs="宋体"/>
          <w:color w:val="auto"/>
          <w:highlight w:val="none"/>
          <w:lang w:eastAsia="zh-CN"/>
        </w:rPr>
        <w:t>7）各种龄期混凝土的容重、抗压强度、抗拉强度、极限拉伸值、弹性模量、坍落度和初凝、终凝时间等试验资料。</w:t>
      </w:r>
    </w:p>
    <w:p w14:paraId="10487027">
      <w:pPr>
        <w:pStyle w:val="4"/>
        <w:spacing w:beforeLines="0" w:afterLines="0"/>
        <w:jc w:val="both"/>
        <w:rPr>
          <w:rFonts w:hint="eastAsia" w:hAnsi="宋体" w:cs="宋体"/>
          <w:bCs/>
          <w:color w:val="auto"/>
          <w:szCs w:val="24"/>
          <w:highlight w:val="none"/>
          <w:lang w:eastAsia="zh-CN"/>
        </w:rPr>
      </w:pPr>
      <w:r>
        <w:rPr>
          <w:rFonts w:hint="eastAsia" w:cs="宋体"/>
          <w:bCs/>
          <w:color w:val="auto"/>
          <w:szCs w:val="24"/>
          <w:highlight w:val="none"/>
          <w:lang w:eastAsia="zh-CN"/>
        </w:rPr>
        <w:t>2.7　场内施工及生活供电、施工照明</w:t>
      </w:r>
    </w:p>
    <w:p w14:paraId="7B70776C">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）承包人应负责设计、施工、采购、安装、调试、管理和维修由发包人施工电源输出端或场外电网的接口处至所有施工区和生活区的输电线路、配电所及其全部配电装置和功率补偿装置。</w:t>
      </w:r>
    </w:p>
    <w:p w14:paraId="4DF977F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负责设计、施工、采购、安装、管理和维修其工程所有施工作业区、办公区和生活区以及相关的道路、桥涵、交通隧道（包括施工支洞）在内的施工区照明线路和照明设施。各地下洞室施工作业区照明度应符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12.3.10</w:t>
      </w:r>
      <w:r>
        <w:rPr>
          <w:rFonts w:cs="宋体"/>
          <w:color w:val="auto"/>
          <w:highlight w:val="none"/>
          <w:lang w:eastAsia="zh-CN"/>
        </w:rPr>
        <w:t>条的规定。</w:t>
      </w:r>
    </w:p>
    <w:p w14:paraId="3CEDDA4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为其出现停电事故后急需恢复用电的重要工程部位（如地下工程照明和排水、基坑抽水、补救中断的混凝土浇筑、混凝土温控冷却水、办公和生活区的安全照明等）配备一定容量的事故备用电源，为紧急供电之用。</w:t>
      </w:r>
    </w:p>
    <w:p w14:paraId="79CCF3BE">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）承包人应按监理人指示，为进入现场工作的其它承包人施工和生活用电提供方便。</w:t>
      </w:r>
    </w:p>
    <w:p w14:paraId="551681B2">
      <w:pPr>
        <w:ind w:firstLine="420"/>
        <w:jc w:val="left"/>
        <w:rPr>
          <w:rFonts w:hint="default" w:cs="宋体"/>
          <w:color w:val="auto"/>
          <w:highlight w:val="none"/>
          <w:lang w:val="en-US" w:eastAsia="zh-CN"/>
        </w:rPr>
      </w:pPr>
      <w:r>
        <w:rPr>
          <w:rFonts w:hint="eastAsia" w:cs="宋体"/>
          <w:color w:val="auto"/>
          <w:highlight w:val="none"/>
          <w:lang w:eastAsia="zh-CN"/>
        </w:rPr>
        <w:t>（</w:t>
      </w:r>
      <w:r>
        <w:rPr>
          <w:rFonts w:hint="eastAsia" w:cs="宋体"/>
          <w:color w:val="auto"/>
          <w:highlight w:val="none"/>
          <w:lang w:val="en-US" w:eastAsia="zh-CN"/>
        </w:rPr>
        <w:t>5）场内施工及生活供电、施工照明的文明标化工建设要求</w:t>
      </w:r>
    </w:p>
    <w:p w14:paraId="06A5678F">
      <w:pPr>
        <w:ind w:firstLine="420"/>
        <w:jc w:val="left"/>
        <w:rPr>
          <w:rFonts w:hint="eastAsia" w:cs="宋体"/>
          <w:color w:val="auto"/>
          <w:highlight w:val="none"/>
          <w:lang w:eastAsia="zh-CN"/>
        </w:rPr>
      </w:pPr>
      <w:r>
        <w:rPr>
          <w:rFonts w:hint="eastAsia" w:cs="宋体"/>
          <w:color w:val="auto"/>
          <w:highlight w:val="none"/>
          <w:lang w:eastAsia="zh-CN"/>
        </w:rPr>
        <w:t>现场采用TN—S接零保护的三级配电系统，每级配电箱均设漏电保护装置，电器设置按“一机、一闸、一漏”原则设置。</w:t>
      </w:r>
    </w:p>
    <w:p w14:paraId="7A54CDA3">
      <w:pPr>
        <w:ind w:firstLine="420"/>
        <w:jc w:val="left"/>
        <w:rPr>
          <w:rFonts w:hint="eastAsia" w:cs="宋体"/>
          <w:color w:val="auto"/>
          <w:highlight w:val="none"/>
          <w:lang w:eastAsia="zh-CN"/>
        </w:rPr>
      </w:pPr>
      <w:r>
        <w:rPr>
          <w:rFonts w:hint="eastAsia" w:cs="宋体"/>
          <w:color w:val="auto"/>
          <w:highlight w:val="none"/>
          <w:lang w:eastAsia="zh-CN"/>
        </w:rPr>
        <w:t>总配电箱以下可设若干分配电箱，分配电箱以下可设若干开关箱。分配电箱与开关箱的距离不得超过30m，开关箱与其控制的固定式用电设备的水平距离不超过3m，且便于操作。</w:t>
      </w:r>
    </w:p>
    <w:p w14:paraId="72FC483B">
      <w:pPr>
        <w:ind w:firstLine="420"/>
        <w:jc w:val="left"/>
        <w:rPr>
          <w:rFonts w:hint="eastAsia" w:cs="宋体"/>
          <w:color w:val="auto"/>
          <w:highlight w:val="none"/>
          <w:lang w:eastAsia="zh-CN"/>
        </w:rPr>
      </w:pPr>
      <w:r>
        <w:rPr>
          <w:rFonts w:hint="eastAsia" w:cs="宋体"/>
          <w:color w:val="auto"/>
          <w:highlight w:val="none"/>
          <w:lang w:eastAsia="zh-CN"/>
        </w:rPr>
        <w:t>配电箱、开关箱应采用冷轧钢板或阻燃绝缘材料制作，其中开关箱箱体钢板厚度不得小于1.2mm，配电箱箱体钢板厚度不得小于1.5mm，箱体表面应做防腐处理。</w:t>
      </w:r>
    </w:p>
    <w:p w14:paraId="6CB37C58">
      <w:pPr>
        <w:ind w:firstLine="420"/>
        <w:jc w:val="left"/>
        <w:rPr>
          <w:rFonts w:hint="eastAsia" w:cs="宋体"/>
          <w:color w:val="auto"/>
          <w:highlight w:val="none"/>
          <w:lang w:eastAsia="zh-CN"/>
        </w:rPr>
      </w:pPr>
      <w:r>
        <w:rPr>
          <w:rFonts w:hint="eastAsia" w:cs="宋体"/>
          <w:color w:val="auto"/>
          <w:highlight w:val="none"/>
          <w:lang w:eastAsia="zh-CN"/>
        </w:rPr>
        <w:t>配电箱的电气安装板上必须分设N线端子板和PE线端子板。N线端子板必须与金属电器安装板绝缘；PE线端子板必须与金属电器安装板做电器连接，进出线中的N线必须通过N线端子板连接，PE 线必须通过PE线端子板连接。</w:t>
      </w:r>
    </w:p>
    <w:p w14:paraId="19E34D38">
      <w:pPr>
        <w:ind w:firstLine="420"/>
        <w:jc w:val="left"/>
        <w:rPr>
          <w:rFonts w:hint="eastAsia" w:cs="宋体"/>
          <w:color w:val="auto"/>
          <w:highlight w:val="none"/>
          <w:lang w:eastAsia="zh-CN"/>
        </w:rPr>
      </w:pPr>
      <w:r>
        <w:rPr>
          <w:rFonts w:hint="eastAsia" w:cs="宋体"/>
          <w:color w:val="auto"/>
          <w:highlight w:val="none"/>
          <w:lang w:eastAsia="zh-CN"/>
        </w:rPr>
        <w:t>配电柜应尽量设在灰尘少、潮气少、振动小、无腐蚀介质、无易燃物及道路畅通的地方。</w:t>
      </w:r>
    </w:p>
    <w:p w14:paraId="5614675C">
      <w:pPr>
        <w:ind w:firstLine="420"/>
        <w:jc w:val="left"/>
        <w:rPr>
          <w:rFonts w:hint="eastAsia" w:cs="宋体"/>
          <w:color w:val="auto"/>
          <w:highlight w:val="none"/>
          <w:lang w:eastAsia="zh-CN"/>
        </w:rPr>
      </w:pPr>
      <w:r>
        <w:rPr>
          <w:rFonts w:hint="eastAsia" w:cs="宋体"/>
          <w:color w:val="auto"/>
          <w:highlight w:val="none"/>
          <w:lang w:eastAsia="zh-CN"/>
        </w:rPr>
        <w:t>配电柜放置平台宜高出地面30cm，平台平铺1cm厚绝缘橡胶。</w:t>
      </w:r>
    </w:p>
    <w:p w14:paraId="55053F94">
      <w:pPr>
        <w:ind w:firstLine="420"/>
        <w:jc w:val="left"/>
        <w:rPr>
          <w:rFonts w:hint="eastAsia" w:cs="宋体"/>
          <w:color w:val="auto"/>
          <w:highlight w:val="none"/>
          <w:lang w:eastAsia="zh-CN"/>
        </w:rPr>
      </w:pPr>
      <w:r>
        <w:rPr>
          <w:rFonts w:hint="eastAsia" w:cs="宋体"/>
          <w:color w:val="auto"/>
          <w:highlight w:val="none"/>
          <w:lang w:eastAsia="zh-CN"/>
        </w:rPr>
        <w:t>配电室围栏角柱子宜采用40mm×40mm方钢制作，栏框采用钢筋焊制，栅格间距 0.12m。围栏需设置进出门，门宽不小于0.6m。配电箱正面留不小于1.5m操作通道，背面留不小于0.8m 操作通道，侧面留不小于1m行走通道。</w:t>
      </w:r>
    </w:p>
    <w:p w14:paraId="1C3EEAAA">
      <w:pPr>
        <w:ind w:firstLine="420"/>
        <w:jc w:val="left"/>
        <w:rPr>
          <w:rFonts w:hint="eastAsia" w:cs="宋体"/>
          <w:color w:val="auto"/>
          <w:highlight w:val="none"/>
          <w:lang w:eastAsia="zh-CN"/>
        </w:rPr>
      </w:pPr>
      <w:r>
        <w:rPr>
          <w:rFonts w:hint="eastAsia" w:cs="宋体"/>
          <w:color w:val="auto"/>
          <w:highlight w:val="none"/>
          <w:lang w:eastAsia="zh-CN"/>
        </w:rPr>
        <w:t>棚顶四周焊接角钢，并封闭严密。</w:t>
      </w:r>
    </w:p>
    <w:p w14:paraId="643FDCF4">
      <w:pPr>
        <w:ind w:firstLine="420"/>
        <w:jc w:val="left"/>
        <w:rPr>
          <w:rFonts w:hint="eastAsia" w:cs="宋体"/>
          <w:color w:val="auto"/>
          <w:highlight w:val="none"/>
          <w:lang w:eastAsia="zh-CN"/>
        </w:rPr>
      </w:pPr>
      <w:r>
        <w:rPr>
          <w:rFonts w:hint="eastAsia" w:cs="宋体"/>
          <w:color w:val="auto"/>
          <w:highlight w:val="none"/>
          <w:lang w:eastAsia="zh-CN"/>
        </w:rPr>
        <w:t>配电室内需设灭火器及消防沙。配电室正面需挂设“当心触电”“闲人不得入内”“电工责任牌”等警示标识。</w:t>
      </w:r>
    </w:p>
    <w:p w14:paraId="1A865E9A">
      <w:pPr>
        <w:ind w:firstLine="420"/>
        <w:jc w:val="left"/>
        <w:rPr>
          <w:rFonts w:hint="eastAsia" w:cs="宋体"/>
          <w:color w:val="auto"/>
          <w:highlight w:val="none"/>
          <w:lang w:eastAsia="zh-CN"/>
        </w:rPr>
      </w:pPr>
      <w:r>
        <w:rPr>
          <w:rFonts w:hint="eastAsia" w:cs="宋体"/>
          <w:color w:val="auto"/>
          <w:highlight w:val="none"/>
          <w:lang w:eastAsia="zh-CN"/>
        </w:rPr>
        <w:t>固定式二级配电箱应设置防雨、防砸、防尘设施，顶部防雨棚及四周围栏可参照配电柜相关要求设置。</w:t>
      </w:r>
    </w:p>
    <w:p w14:paraId="32EADA30">
      <w:pPr>
        <w:ind w:firstLine="420"/>
        <w:jc w:val="left"/>
        <w:rPr>
          <w:rFonts w:hint="eastAsia" w:cs="宋体"/>
          <w:color w:val="auto"/>
          <w:highlight w:val="none"/>
          <w:lang w:eastAsia="zh-CN"/>
        </w:rPr>
      </w:pPr>
      <w:r>
        <w:rPr>
          <w:rFonts w:hint="eastAsia" w:cs="宋体"/>
          <w:color w:val="auto"/>
          <w:highlight w:val="none"/>
          <w:lang w:eastAsia="zh-CN"/>
        </w:rPr>
        <w:t>临时用电电缆质量必须符合规范规程的要求，不得简化和替代。</w:t>
      </w:r>
    </w:p>
    <w:p w14:paraId="62BD053F">
      <w:pPr>
        <w:ind w:firstLine="420"/>
        <w:jc w:val="left"/>
        <w:rPr>
          <w:rFonts w:hint="eastAsia" w:cs="宋体"/>
          <w:color w:val="auto"/>
          <w:highlight w:val="none"/>
          <w:lang w:eastAsia="zh-CN"/>
        </w:rPr>
      </w:pPr>
      <w:r>
        <w:rPr>
          <w:rFonts w:hint="eastAsia" w:cs="宋体"/>
          <w:color w:val="auto"/>
          <w:highlight w:val="none"/>
          <w:lang w:eastAsia="zh-CN"/>
        </w:rPr>
        <w:t>电缆线路应采用埋地或架空敷设，严禁沿地面明设，并应避免机械损伤和介质腐蚀。</w:t>
      </w:r>
    </w:p>
    <w:p w14:paraId="63DC20DC">
      <w:pPr>
        <w:ind w:firstLine="420"/>
        <w:jc w:val="left"/>
        <w:rPr>
          <w:rFonts w:hint="eastAsia" w:cs="宋体"/>
          <w:color w:val="auto"/>
          <w:highlight w:val="none"/>
          <w:lang w:eastAsia="zh-CN"/>
        </w:rPr>
      </w:pPr>
      <w:r>
        <w:rPr>
          <w:rFonts w:hint="eastAsia" w:cs="宋体"/>
          <w:color w:val="auto"/>
          <w:highlight w:val="none"/>
          <w:lang w:eastAsia="zh-CN"/>
        </w:rPr>
        <w:t>埋地敷设时，宜选用铠装电缆，直接埋地深度不小于 0.7m，电缆上下左右应均匀敷设不小于50mm厚的细沙，后覆盖砖、混凝土板等硬质保护层。埋地电缆在穿越建筑物、构筑物、道路、易受机械损伤、介质腐蚀场所及其引出地面2.0m高到地下0.2m处需加防护套管。</w:t>
      </w:r>
    </w:p>
    <w:p w14:paraId="5FAFBA74">
      <w:pPr>
        <w:ind w:firstLine="420"/>
        <w:jc w:val="left"/>
        <w:rPr>
          <w:rFonts w:hint="eastAsia" w:cs="宋体"/>
          <w:color w:val="auto"/>
          <w:highlight w:val="none"/>
          <w:lang w:eastAsia="zh-CN"/>
        </w:rPr>
      </w:pPr>
      <w:r>
        <w:rPr>
          <w:rFonts w:hint="eastAsia" w:cs="宋体"/>
          <w:color w:val="auto"/>
          <w:highlight w:val="none"/>
          <w:lang w:eastAsia="zh-CN"/>
        </w:rPr>
        <w:t>架空敷设时，架空电缆应沿电杆、支架或墙壁敷设，严禁沿树木、脚手架上敷设，采用绝缘子固定，绑扎线必须采用绝缘线，架空线路最大弧垂与地面距离不小于 4.0m，沿墙壁敷设时最大弧垂距地不得小于2.0m</w:t>
      </w:r>
    </w:p>
    <w:p w14:paraId="1C2F7A5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i w:val="0"/>
          <w:iCs w:val="0"/>
          <w:color w:val="auto"/>
          <w:sz w:val="24"/>
          <w:szCs w:val="24"/>
          <w:highlight w:val="none"/>
          <w:lang w:val="en-US" w:eastAsia="zh-CN"/>
        </w:rPr>
      </w:pPr>
      <w:r>
        <w:rPr>
          <w:rFonts w:hint="default"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 xml:space="preserve"> </w:t>
      </w:r>
      <w:r>
        <w:rPr>
          <w:rFonts w:hint="eastAsia"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en-US" w:eastAsia="zh-CN"/>
        </w:rPr>
        <w:t xml:space="preserve"> </w:t>
      </w:r>
      <w:r>
        <w:rPr>
          <w:rFonts w:hint="default" w:ascii="宋体" w:hAnsi="宋体" w:eastAsia="宋体" w:cs="宋体"/>
          <w:i w:val="0"/>
          <w:iCs w:val="0"/>
          <w:color w:val="auto"/>
          <w:sz w:val="24"/>
          <w:szCs w:val="24"/>
          <w:highlight w:val="none"/>
          <w:lang w:val="en-US" w:eastAsia="zh-CN"/>
        </w:rPr>
        <w:t>）承包人在本合同工程中所使用的泵、变压器等所有电气设备应满足国家和行业关于设备能耗要求的相关规定。</w:t>
      </w:r>
    </w:p>
    <w:p w14:paraId="1431F628">
      <w:pPr>
        <w:ind w:firstLine="420"/>
        <w:jc w:val="left"/>
        <w:rPr>
          <w:rFonts w:hint="eastAsia" w:cs="宋体"/>
          <w:color w:val="auto"/>
          <w:highlight w:val="none"/>
          <w:lang w:eastAsia="zh-CN"/>
        </w:rPr>
      </w:pPr>
      <w:r>
        <w:rPr>
          <w:rFonts w:hint="default"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 xml:space="preserve"> </w:t>
      </w:r>
      <w:r>
        <w:rPr>
          <w:rFonts w:hint="eastAsia"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lang w:val="en-US" w:eastAsia="zh-CN"/>
        </w:rPr>
        <w:t xml:space="preserve"> </w:t>
      </w:r>
      <w:r>
        <w:rPr>
          <w:rFonts w:hint="default" w:ascii="宋体" w:hAnsi="宋体" w:eastAsia="宋体" w:cs="宋体"/>
          <w:i w:val="0"/>
          <w:iCs w:val="0"/>
          <w:color w:val="auto"/>
          <w:sz w:val="24"/>
          <w:szCs w:val="24"/>
          <w:highlight w:val="none"/>
          <w:lang w:val="en-US" w:eastAsia="zh-CN"/>
        </w:rPr>
        <w:t>）由于电网供电原因引起的承包人的人员窝工、设备闲置及故障等一切损失，发包人不予补偿，承包人也不得提出索赔。由于本标段承包人原因导致其他标段施工供电中断，造成的相关损失由本标段承包人与其他标段承包人协商解决。</w:t>
      </w:r>
    </w:p>
    <w:p w14:paraId="25B9DD2F">
      <w:pPr>
        <w:ind w:firstLine="420"/>
        <w:jc w:val="left"/>
        <w:rPr>
          <w:rFonts w:cs="宋体"/>
          <w:color w:val="auto"/>
          <w:highlight w:val="none"/>
          <w:lang w:eastAsia="zh-CN"/>
        </w:rPr>
      </w:pPr>
      <w:r>
        <w:rPr>
          <w:rFonts w:hint="eastAsia" w:cs="宋体"/>
          <w:color w:val="auto"/>
          <w:highlight w:val="none"/>
          <w:lang w:val="en-US" w:eastAsia="zh-CN"/>
        </w:rPr>
        <w:t>场内施工及生活供电、施工照明的文明标化工建设要求</w:t>
      </w:r>
      <w:r>
        <w:rPr>
          <w:rFonts w:hint="eastAsia" w:cs="宋体"/>
          <w:color w:val="auto"/>
          <w:highlight w:val="none"/>
          <w:lang w:eastAsia="zh-CN"/>
        </w:rPr>
        <w:t>详见《浙江省水利建设工程文明标化工地创建指导手册（2024年）》的相关规定。</w:t>
      </w:r>
    </w:p>
    <w:p w14:paraId="66CE23AF">
      <w:pPr>
        <w:pStyle w:val="4"/>
        <w:spacing w:beforeLines="0" w:afterLines="0"/>
        <w:jc w:val="both"/>
        <w:rPr>
          <w:rFonts w:hint="eastAsia" w:cs="宋体"/>
          <w:bCs/>
          <w:color w:val="auto"/>
          <w:szCs w:val="24"/>
          <w:highlight w:val="none"/>
          <w:lang w:eastAsia="zh-CN"/>
        </w:rPr>
      </w:pPr>
      <w:r>
        <w:rPr>
          <w:rFonts w:hint="eastAsia" w:cs="宋体"/>
          <w:bCs/>
          <w:color w:val="auto"/>
          <w:szCs w:val="24"/>
          <w:highlight w:val="none"/>
          <w:lang w:eastAsia="zh-CN"/>
        </w:rPr>
        <w:t>2.8　施工</w:t>
      </w:r>
      <w:r>
        <w:rPr>
          <w:rFonts w:hint="eastAsia" w:cs="宋体"/>
          <w:bCs/>
          <w:color w:val="auto"/>
          <w:szCs w:val="24"/>
          <w:highlight w:val="none"/>
          <w:lang w:val="en-US" w:eastAsia="zh-CN"/>
        </w:rPr>
        <w:t>及生活</w:t>
      </w:r>
      <w:r>
        <w:rPr>
          <w:rFonts w:hint="eastAsia" w:cs="宋体"/>
          <w:bCs/>
          <w:color w:val="auto"/>
          <w:szCs w:val="24"/>
          <w:highlight w:val="none"/>
          <w:lang w:eastAsia="zh-CN"/>
        </w:rPr>
        <w:t>供水</w:t>
      </w:r>
    </w:p>
    <w:p w14:paraId="4BFB3784">
      <w:pPr>
        <w:widowControl/>
        <w:kinsoku/>
        <w:autoSpaceDE/>
        <w:autoSpaceDN/>
        <w:spacing w:before="0" w:line="360" w:lineRule="auto"/>
        <w:ind w:left="0" w:right="0" w:firstLine="480" w:firstLineChars="200"/>
        <w:jc w:val="both"/>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w:t>
      </w:r>
      <w:r>
        <w:rPr>
          <w:rFonts w:ascii="Times New Roman" w:hAnsi="Times New Roman" w:eastAsia="Times New Roman" w:cs="Times New Roman"/>
          <w:color w:val="auto"/>
          <w:kern w:val="0"/>
          <w:sz w:val="24"/>
          <w:szCs w:val="24"/>
          <w:highlight w:val="none"/>
        </w:rPr>
        <w:t>1</w:t>
      </w:r>
      <w:r>
        <w:rPr>
          <w:rFonts w:ascii="宋体" w:hAnsi="宋体" w:eastAsia="宋体" w:cs="宋体"/>
          <w:color w:val="auto"/>
          <w:kern w:val="0"/>
          <w:sz w:val="24"/>
          <w:szCs w:val="24"/>
          <w:highlight w:val="none"/>
        </w:rPr>
        <w:t>）承包人应按合同约定，负责</w:t>
      </w:r>
      <w:r>
        <w:rPr>
          <w:rFonts w:ascii="宋体" w:hAnsi="宋体" w:eastAsia="宋体" w:cs="宋体"/>
          <w:color w:val="auto"/>
          <w:spacing w:val="-1"/>
          <w:kern w:val="0"/>
          <w:sz w:val="24"/>
          <w:szCs w:val="24"/>
          <w:highlight w:val="none"/>
        </w:rPr>
        <w:t>提供本合同工程的</w:t>
      </w:r>
      <w:r>
        <w:rPr>
          <w:rFonts w:ascii="宋体" w:hAnsi="宋体" w:eastAsia="宋体" w:cs="宋体"/>
          <w:color w:val="auto"/>
          <w:spacing w:val="1"/>
          <w:kern w:val="0"/>
          <w:sz w:val="24"/>
          <w:szCs w:val="24"/>
          <w:highlight w:val="none"/>
        </w:rPr>
        <w:t>施工和生活用水，</w:t>
      </w:r>
      <w:r>
        <w:rPr>
          <w:rFonts w:ascii="宋体" w:hAnsi="宋体" w:eastAsia="宋体" w:cs="宋体"/>
          <w:color w:val="auto"/>
          <w:kern w:val="0"/>
          <w:sz w:val="24"/>
          <w:szCs w:val="24"/>
          <w:highlight w:val="none"/>
        </w:rPr>
        <w:t>水质应符合《生活</w:t>
      </w:r>
      <w:r>
        <w:rPr>
          <w:rFonts w:ascii="宋体" w:hAnsi="宋体" w:eastAsia="宋体" w:cs="宋体"/>
          <w:color w:val="auto"/>
          <w:spacing w:val="-2"/>
          <w:kern w:val="0"/>
          <w:sz w:val="24"/>
          <w:szCs w:val="24"/>
          <w:highlight w:val="none"/>
        </w:rPr>
        <w:t>饮用水卫生标准》（</w:t>
      </w:r>
      <w:r>
        <w:rPr>
          <w:rFonts w:ascii="Times New Roman" w:hAnsi="Times New Roman" w:eastAsia="Times New Roman" w:cs="Times New Roman"/>
          <w:color w:val="auto"/>
          <w:spacing w:val="-2"/>
          <w:kern w:val="0"/>
          <w:sz w:val="24"/>
          <w:szCs w:val="24"/>
          <w:highlight w:val="none"/>
        </w:rPr>
        <w:t>GB 5749-2006</w:t>
      </w:r>
      <w:r>
        <w:rPr>
          <w:rFonts w:ascii="宋体" w:hAnsi="宋体" w:eastAsia="宋体" w:cs="宋体"/>
          <w:color w:val="auto"/>
          <w:spacing w:val="-2"/>
          <w:kern w:val="0"/>
          <w:sz w:val="24"/>
          <w:szCs w:val="24"/>
          <w:highlight w:val="none"/>
        </w:rPr>
        <w:t>）有关的规定。</w:t>
      </w:r>
    </w:p>
    <w:p w14:paraId="274951D7">
      <w:pPr>
        <w:widowControl/>
        <w:kinsoku/>
        <w:autoSpaceDE/>
        <w:autoSpaceDN/>
        <w:spacing w:before="0" w:line="360" w:lineRule="auto"/>
        <w:ind w:left="0" w:right="0" w:firstLine="480" w:firstLineChars="200"/>
        <w:jc w:val="both"/>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w:t>
      </w:r>
      <w:r>
        <w:rPr>
          <w:rFonts w:ascii="Times New Roman" w:hAnsi="Times New Roman" w:eastAsia="Times New Roman" w:cs="Times New Roman"/>
          <w:color w:val="auto"/>
          <w:kern w:val="0"/>
          <w:sz w:val="24"/>
          <w:szCs w:val="24"/>
          <w:highlight w:val="none"/>
        </w:rPr>
        <w:t>2</w:t>
      </w:r>
      <w:r>
        <w:rPr>
          <w:rFonts w:ascii="宋体" w:hAnsi="宋体" w:eastAsia="宋体" w:cs="宋体"/>
          <w:color w:val="auto"/>
          <w:kern w:val="0"/>
          <w:sz w:val="24"/>
          <w:szCs w:val="24"/>
          <w:highlight w:val="none"/>
        </w:rPr>
        <w:t>）承包人应按本合同施工总布置的要求，负责设计、施工、采购、安</w:t>
      </w:r>
      <w:r>
        <w:rPr>
          <w:rFonts w:ascii="宋体" w:hAnsi="宋体" w:eastAsia="宋体" w:cs="宋体"/>
          <w:color w:val="auto"/>
          <w:spacing w:val="-1"/>
          <w:kern w:val="0"/>
          <w:sz w:val="24"/>
          <w:szCs w:val="24"/>
          <w:highlight w:val="none"/>
        </w:rPr>
        <w:t>装、管</w:t>
      </w:r>
      <w:r>
        <w:rPr>
          <w:rFonts w:ascii="宋体" w:hAnsi="宋体" w:eastAsia="宋体" w:cs="宋体"/>
          <w:color w:val="auto"/>
          <w:spacing w:val="-6"/>
          <w:kern w:val="0"/>
          <w:sz w:val="24"/>
          <w:szCs w:val="24"/>
          <w:highlight w:val="none"/>
        </w:rPr>
        <w:t>理和维修其施工区和生活区的供水系统， 包括修建为保证正常供水的引水、储水和水</w:t>
      </w:r>
      <w:r>
        <w:rPr>
          <w:rFonts w:ascii="宋体" w:hAnsi="宋体" w:eastAsia="宋体" w:cs="宋体"/>
          <w:color w:val="auto"/>
          <w:spacing w:val="-7"/>
          <w:kern w:val="0"/>
          <w:sz w:val="24"/>
          <w:szCs w:val="24"/>
          <w:highlight w:val="none"/>
        </w:rPr>
        <w:t>处理设施等。</w:t>
      </w:r>
    </w:p>
    <w:p w14:paraId="501B67A2">
      <w:pPr>
        <w:widowControl/>
        <w:kinsoku/>
        <w:autoSpaceDE/>
        <w:autoSpaceDN/>
        <w:spacing w:before="0" w:line="360" w:lineRule="auto"/>
        <w:ind w:left="0" w:right="0" w:firstLine="480" w:firstLineChars="200"/>
        <w:jc w:val="both"/>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w:t>
      </w:r>
      <w:r>
        <w:rPr>
          <w:rFonts w:ascii="Times New Roman" w:hAnsi="Times New Roman" w:eastAsia="Times New Roman" w:cs="Times New Roman"/>
          <w:color w:val="auto"/>
          <w:kern w:val="0"/>
          <w:sz w:val="24"/>
          <w:szCs w:val="24"/>
          <w:highlight w:val="none"/>
        </w:rPr>
        <w:t>3</w:t>
      </w:r>
      <w:r>
        <w:rPr>
          <w:rFonts w:ascii="宋体" w:hAnsi="宋体" w:eastAsia="宋体" w:cs="宋体"/>
          <w:color w:val="auto"/>
          <w:kern w:val="0"/>
          <w:sz w:val="24"/>
          <w:szCs w:val="24"/>
          <w:highlight w:val="none"/>
        </w:rPr>
        <w:t>）承包人应负责向发包人和监理人提供现场办公和生活用水，包括引向发包</w:t>
      </w:r>
      <w:r>
        <w:rPr>
          <w:rFonts w:ascii="宋体" w:hAnsi="宋体" w:eastAsia="宋体" w:cs="宋体"/>
          <w:color w:val="auto"/>
          <w:spacing w:val="-3"/>
          <w:kern w:val="0"/>
          <w:sz w:val="24"/>
          <w:szCs w:val="24"/>
          <w:highlight w:val="none"/>
        </w:rPr>
        <w:t>人和监理人办公地点和生活区的引水、储水和水处理设施及其设备、设施的施工、安</w:t>
      </w:r>
      <w:r>
        <w:rPr>
          <w:rFonts w:ascii="宋体" w:hAnsi="宋体" w:eastAsia="宋体" w:cs="宋体"/>
          <w:color w:val="auto"/>
          <w:spacing w:val="-1"/>
          <w:kern w:val="0"/>
          <w:sz w:val="24"/>
          <w:szCs w:val="24"/>
          <w:highlight w:val="none"/>
        </w:rPr>
        <w:t>装和日常维修等工作。上述供水设施建设和日常供水费用包括在供水项目的总价内。</w:t>
      </w:r>
    </w:p>
    <w:p w14:paraId="049A0DA5">
      <w:pPr>
        <w:widowControl/>
        <w:kinsoku/>
        <w:autoSpaceDE/>
        <w:autoSpaceDN/>
        <w:spacing w:before="0" w:line="360" w:lineRule="auto"/>
        <w:ind w:left="0" w:firstLine="480" w:firstLineChars="200"/>
        <w:jc w:val="left"/>
        <w:rPr>
          <w:rFonts w:hint="eastAsia" w:cs="宋体"/>
          <w:color w:val="auto"/>
          <w:kern w:val="0"/>
          <w:sz w:val="24"/>
          <w:szCs w:val="24"/>
          <w:highlight w:val="none"/>
          <w:lang w:eastAsia="zh-CN"/>
        </w:rPr>
      </w:pPr>
      <w:r>
        <w:rPr>
          <w:rFonts w:hint="eastAsia" w:ascii="宋体" w:hAnsi="宋体" w:eastAsia="宋体" w:cs="宋体"/>
          <w:color w:val="auto"/>
          <w:kern w:val="0"/>
          <w:sz w:val="24"/>
          <w:szCs w:val="24"/>
          <w:highlight w:val="none"/>
        </w:rPr>
        <w:t>（4）为进入现场的其它承包人提供施工和生活用水方便，具体提供措施和收费办法由双方协商确定</w:t>
      </w:r>
      <w:r>
        <w:rPr>
          <w:rFonts w:hint="eastAsia" w:cs="宋体"/>
          <w:color w:val="auto"/>
          <w:kern w:val="0"/>
          <w:sz w:val="24"/>
          <w:szCs w:val="24"/>
          <w:highlight w:val="none"/>
          <w:lang w:eastAsia="zh-CN"/>
        </w:rPr>
        <w:t>。</w:t>
      </w:r>
    </w:p>
    <w:p w14:paraId="124BFE01">
      <w:pPr>
        <w:widowControl/>
        <w:kinsoku/>
        <w:autoSpaceDE/>
        <w:autoSpaceDN/>
        <w:spacing w:before="0" w:line="360" w:lineRule="auto"/>
        <w:ind w:left="0" w:firstLine="480" w:firstLineChars="200"/>
        <w:jc w:val="left"/>
        <w:rPr>
          <w:rFonts w:hint="eastAsia" w:cs="宋体"/>
          <w:color w:val="auto"/>
          <w:kern w:val="0"/>
          <w:sz w:val="24"/>
          <w:szCs w:val="24"/>
          <w:highlight w:val="none"/>
          <w:lang w:eastAsia="zh-CN"/>
        </w:rPr>
      </w:pPr>
      <w:r>
        <w:rPr>
          <w:rFonts w:hint="eastAsia" w:cs="宋体"/>
          <w:color w:val="auto"/>
          <w:kern w:val="0"/>
          <w:sz w:val="24"/>
          <w:szCs w:val="24"/>
          <w:highlight w:val="none"/>
          <w:lang w:eastAsia="zh-CN"/>
        </w:rPr>
        <w:t>（</w:t>
      </w:r>
      <w:r>
        <w:rPr>
          <w:rFonts w:hint="eastAsia" w:cs="宋体"/>
          <w:color w:val="auto"/>
          <w:kern w:val="0"/>
          <w:sz w:val="24"/>
          <w:szCs w:val="24"/>
          <w:highlight w:val="none"/>
          <w:lang w:val="en-US" w:eastAsia="zh-CN"/>
        </w:rPr>
        <w:t>5）</w:t>
      </w:r>
      <w:r>
        <w:rPr>
          <w:rFonts w:hint="eastAsia" w:cs="宋体"/>
          <w:color w:val="auto"/>
          <w:kern w:val="0"/>
          <w:sz w:val="24"/>
          <w:szCs w:val="24"/>
          <w:highlight w:val="none"/>
          <w:lang w:eastAsia="zh-CN"/>
        </w:rPr>
        <w:t>施工供</w:t>
      </w:r>
      <w:r>
        <w:rPr>
          <w:rFonts w:hint="eastAsia" w:cs="宋体"/>
          <w:color w:val="auto"/>
          <w:kern w:val="0"/>
          <w:sz w:val="24"/>
          <w:szCs w:val="24"/>
          <w:highlight w:val="none"/>
          <w:lang w:val="en-US" w:eastAsia="zh-CN"/>
        </w:rPr>
        <w:t>水</w:t>
      </w:r>
      <w:r>
        <w:rPr>
          <w:rFonts w:hint="eastAsia" w:cs="宋体"/>
          <w:color w:val="auto"/>
          <w:kern w:val="0"/>
          <w:sz w:val="24"/>
          <w:szCs w:val="24"/>
          <w:highlight w:val="none"/>
          <w:lang w:eastAsia="zh-CN"/>
        </w:rPr>
        <w:t>的文明标化工地建设要求详见《浙江省水利建设工程文明标化工地创建指导手册（2024年）》的相关规定。</w:t>
      </w:r>
    </w:p>
    <w:p w14:paraId="1B35FC91">
      <w:pPr>
        <w:pStyle w:val="4"/>
        <w:kinsoku/>
        <w:autoSpaceDE w:val="0"/>
        <w:autoSpaceDN w:val="0"/>
        <w:adjustRightInd w:val="0"/>
        <w:snapToGrid w:val="0"/>
        <w:spacing w:beforeLines="0" w:afterLines="0" w:line="360" w:lineRule="auto"/>
        <w:jc w:val="both"/>
        <w:textAlignment w:val="baseline"/>
        <w:rPr>
          <w:rFonts w:hint="eastAsia" w:ascii="Arial" w:hAnsi="宋体" w:eastAsia="宋体" w:cs="宋体"/>
          <w:bCs/>
          <w:snapToGrid w:val="0"/>
          <w:color w:val="auto"/>
          <w:sz w:val="21"/>
          <w:szCs w:val="24"/>
          <w:highlight w:val="none"/>
          <w:lang w:val="en-US" w:eastAsia="zh-CN" w:bidi="ar-SA"/>
        </w:rPr>
      </w:pPr>
      <w:r>
        <w:rPr>
          <w:rFonts w:hint="eastAsia" w:cs="宋体"/>
          <w:bCs/>
          <w:color w:val="auto"/>
          <w:szCs w:val="24"/>
          <w:highlight w:val="none"/>
          <w:lang w:eastAsia="zh-CN"/>
        </w:rPr>
        <w:t>2.9　施工供风</w:t>
      </w:r>
    </w:p>
    <w:p w14:paraId="4389484C">
      <w:pPr>
        <w:ind w:firstLine="420"/>
        <w:jc w:val="left"/>
        <w:rPr>
          <w:rFonts w:cs="宋体"/>
          <w:color w:val="auto"/>
          <w:highlight w:val="none"/>
          <w:lang w:eastAsia="zh-CN"/>
        </w:rPr>
      </w:pPr>
      <w:r>
        <w:rPr>
          <w:rFonts w:cs="宋体"/>
          <w:color w:val="auto"/>
          <w:highlight w:val="none"/>
          <w:lang w:eastAsia="zh-CN"/>
        </w:rPr>
        <w:t>承包人应负责提供本合同工程所需的施工供风，包括负责施工供风系统的设计、建造、运行管理和维护。</w:t>
      </w:r>
    </w:p>
    <w:p w14:paraId="2905E76E">
      <w:pPr>
        <w:ind w:firstLine="420"/>
        <w:jc w:val="left"/>
        <w:rPr>
          <w:rFonts w:cs="宋体"/>
          <w:color w:val="auto"/>
          <w:highlight w:val="none"/>
          <w:lang w:eastAsia="zh-CN"/>
        </w:rPr>
      </w:pPr>
      <w:r>
        <w:rPr>
          <w:rFonts w:hint="eastAsia" w:cs="宋体"/>
          <w:color w:val="auto"/>
          <w:highlight w:val="none"/>
          <w:lang w:val="en-US" w:eastAsia="zh-CN"/>
        </w:rPr>
        <w:t>施工供风</w:t>
      </w:r>
      <w:r>
        <w:rPr>
          <w:rFonts w:hint="eastAsia" w:cs="宋体"/>
          <w:color w:val="auto"/>
          <w:highlight w:val="none"/>
          <w:lang w:eastAsia="zh-CN"/>
        </w:rPr>
        <w:t>的文明标化工地建设要求详见《浙江省水利建设工程文明标化工地创建指导手册（2024年）》的相关规定。</w:t>
      </w:r>
    </w:p>
    <w:p w14:paraId="15739BFA">
      <w:pPr>
        <w:pStyle w:val="4"/>
        <w:spacing w:beforeLines="0" w:afterLines="0"/>
        <w:jc w:val="both"/>
        <w:rPr>
          <w:rFonts w:hint="eastAsia" w:cs="宋体"/>
          <w:bCs/>
          <w:color w:val="auto"/>
          <w:szCs w:val="24"/>
          <w:highlight w:val="none"/>
          <w:lang w:eastAsia="zh-CN"/>
        </w:rPr>
      </w:pPr>
      <w:r>
        <w:rPr>
          <w:rFonts w:hint="eastAsia" w:cs="宋体"/>
          <w:bCs/>
          <w:color w:val="auto"/>
          <w:szCs w:val="24"/>
          <w:highlight w:val="none"/>
          <w:lang w:eastAsia="zh-CN"/>
        </w:rPr>
        <w:t>2.10　施工通信</w:t>
      </w:r>
    </w:p>
    <w:p w14:paraId="7585BFC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）除合同另有约定外，承包人应自行负责从施工场外现有通信系统接入的一切手续，包括接入设施、设备的设计、施工、采购和配置、安装、运行和维护，并向接入归属部门缴纳通信费用。</w:t>
      </w:r>
    </w:p>
    <w:p w14:paraId="6FE095C6">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）承包人应自行负责设计、施工、采购、安装、管理和维修其施工现场内部的通信服务设施。承包人应为发包人和其它承包人使用其内部通信设施提供方便。</w:t>
      </w:r>
    </w:p>
    <w:p w14:paraId="1CD847B3">
      <w:pPr>
        <w:pStyle w:val="4"/>
        <w:spacing w:beforeLines="0" w:afterLines="0"/>
        <w:jc w:val="both"/>
        <w:rPr>
          <w:rFonts w:hint="eastAsia" w:hAnsi="宋体" w:cs="宋体"/>
          <w:b/>
          <w:bCs/>
          <w:color w:val="auto"/>
          <w:szCs w:val="24"/>
          <w:highlight w:val="none"/>
          <w:lang w:eastAsia="zh-CN"/>
        </w:rPr>
      </w:pPr>
      <w:r>
        <w:rPr>
          <w:rFonts w:hint="eastAsia" w:cs="宋体"/>
          <w:bCs/>
          <w:color w:val="auto"/>
          <w:szCs w:val="24"/>
          <w:highlight w:val="none"/>
          <w:lang w:eastAsia="zh-CN"/>
        </w:rPr>
        <w:t>2.11　砂石料生产系统</w:t>
      </w:r>
    </w:p>
    <w:p w14:paraId="0E14BD1A">
      <w:pPr>
        <w:pStyle w:val="5"/>
        <w:jc w:val="left"/>
        <w:rPr>
          <w:rFonts w:hAnsi="Times New Roman" w:cs="楷体"/>
          <w:color w:val="auto"/>
          <w:highlight w:val="none"/>
          <w:lang w:eastAsia="zh-CN"/>
        </w:rPr>
      </w:pPr>
      <w:r>
        <w:rPr>
          <w:rFonts w:hAnsi="Times New Roman" w:cs="Times New Roman"/>
          <w:color w:val="auto"/>
          <w:highlight w:val="none"/>
          <w:lang w:eastAsia="zh-CN"/>
        </w:rPr>
        <w:t>2.11.1</w:t>
      </w:r>
      <w:r>
        <w:rPr>
          <w:rFonts w:hint="eastAsia" w:hAnsi="Times New Roman" w:cs="Times New Roman"/>
          <w:color w:val="auto"/>
          <w:highlight w:val="none"/>
          <w:lang w:eastAsia="zh-CN"/>
        </w:rPr>
        <w:t>　</w:t>
      </w:r>
      <w:r>
        <w:rPr>
          <w:rFonts w:hAnsi="楷体" w:cs="楷体"/>
          <w:color w:val="auto"/>
          <w:highlight w:val="none"/>
          <w:lang w:eastAsia="zh-CN"/>
        </w:rPr>
        <w:t>承包人自建砂石料生产系统</w:t>
      </w:r>
    </w:p>
    <w:p w14:paraId="0C9A6FAF">
      <w:pPr>
        <w:ind w:firstLine="420"/>
        <w:jc w:val="left"/>
        <w:rPr>
          <w:rFonts w:cs="宋体"/>
          <w:color w:val="auto"/>
          <w:highlight w:val="none"/>
          <w:lang w:eastAsia="zh-CN"/>
        </w:rPr>
      </w:pPr>
      <w:r>
        <w:rPr>
          <w:rFonts w:hint="eastAsia" w:cs="宋体"/>
          <w:color w:val="auto"/>
          <w:highlight w:val="none"/>
          <w:lang w:eastAsia="zh-CN"/>
        </w:rPr>
        <w:t>承包人如自建砂石料生产系统，则应满足以下要求：</w:t>
      </w:r>
    </w:p>
    <w:p w14:paraId="5074589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）承包人应负责提供本合同工程施工所需的砂石料，并负责砂石料生产系统的设计和施工以及开采加工设备的采购、安装、调试、运行、管理和维护。</w:t>
      </w:r>
    </w:p>
    <w:p w14:paraId="0F021624">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）承包人应按批准的施工进度计划和各种砂石料和土料的需用量确定各项加工设备的生产能力和规模，进行加工、储存和供料平衡，并应满足高峰用量的要求。</w:t>
      </w:r>
    </w:p>
    <w:p w14:paraId="1DAE9B38">
      <w:pPr>
        <w:pStyle w:val="5"/>
        <w:jc w:val="left"/>
        <w:rPr>
          <w:rFonts w:hAnsi="Times New Roman" w:cs="楷体"/>
          <w:color w:val="auto"/>
          <w:highlight w:val="none"/>
          <w:lang w:eastAsia="zh-CN"/>
        </w:rPr>
      </w:pPr>
      <w:r>
        <w:rPr>
          <w:rFonts w:hAnsi="Times New Roman" w:cs="Times New Roman"/>
          <w:color w:val="auto"/>
          <w:highlight w:val="none"/>
          <w:lang w:eastAsia="zh-CN"/>
        </w:rPr>
        <w:t>2.11.2</w:t>
      </w:r>
      <w:r>
        <w:rPr>
          <w:rFonts w:hint="eastAsia" w:hAnsi="Times New Roman" w:cs="Times New Roman"/>
          <w:color w:val="auto"/>
          <w:highlight w:val="none"/>
          <w:lang w:eastAsia="zh-CN"/>
        </w:rPr>
        <w:t>　</w:t>
      </w:r>
      <w:r>
        <w:rPr>
          <w:rFonts w:hAnsi="楷体" w:cs="楷体"/>
          <w:color w:val="auto"/>
          <w:highlight w:val="none"/>
          <w:lang w:eastAsia="zh-CN"/>
        </w:rPr>
        <w:t>承包人市场采购砂石料</w:t>
      </w:r>
    </w:p>
    <w:p w14:paraId="67942BA2">
      <w:pPr>
        <w:ind w:firstLine="420"/>
        <w:jc w:val="left"/>
        <w:rPr>
          <w:rFonts w:cs="宋体"/>
          <w:color w:val="auto"/>
          <w:highlight w:val="none"/>
          <w:lang w:eastAsia="zh-CN"/>
        </w:rPr>
      </w:pPr>
      <w:r>
        <w:rPr>
          <w:rFonts w:hAnsi="楷体" w:cs="楷体"/>
          <w:color w:val="auto"/>
          <w:highlight w:val="none"/>
          <w:lang w:eastAsia="zh-CN"/>
        </w:rPr>
        <w:t>承包人</w:t>
      </w:r>
      <w:r>
        <w:rPr>
          <w:rFonts w:hint="eastAsia" w:hAnsi="楷体" w:cs="楷体"/>
          <w:color w:val="auto"/>
          <w:highlight w:val="none"/>
          <w:lang w:eastAsia="zh-CN"/>
        </w:rPr>
        <w:t>如从</w:t>
      </w:r>
      <w:r>
        <w:rPr>
          <w:rFonts w:hAnsi="楷体" w:cs="楷体"/>
          <w:color w:val="auto"/>
          <w:highlight w:val="none"/>
          <w:lang w:eastAsia="zh-CN"/>
        </w:rPr>
        <w:t>市场采购砂石料</w:t>
      </w:r>
      <w:r>
        <w:rPr>
          <w:rFonts w:hint="eastAsia" w:cs="宋体"/>
          <w:color w:val="auto"/>
          <w:highlight w:val="none"/>
          <w:lang w:eastAsia="zh-CN"/>
        </w:rPr>
        <w:t>，则应满足以下要求：</w:t>
      </w:r>
    </w:p>
    <w:p w14:paraId="3FBBCB4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）承包人应负责提供本合同工程施工所需的砂石料，并负责砂石料的选择、采购、运输、储存和保管等。</w:t>
      </w:r>
    </w:p>
    <w:p w14:paraId="21F34B41">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）承包人应按批准的施工进度计划和各种砂石料和土料的需用量确定市场采购计划，充分进行市场调查完善采购渠道，满足高峰用量的要求。所购砂石料质量需满足设计和相关规范的要求。</w:t>
      </w:r>
    </w:p>
    <w:p w14:paraId="0D76F12E">
      <w:pPr>
        <w:pStyle w:val="5"/>
        <w:jc w:val="left"/>
        <w:rPr>
          <w:rFonts w:hAnsi="Times New Roman" w:cs="楷体"/>
          <w:color w:val="auto"/>
          <w:highlight w:val="none"/>
          <w:lang w:eastAsia="zh-CN"/>
        </w:rPr>
      </w:pPr>
      <w:r>
        <w:rPr>
          <w:rFonts w:hAnsi="Times New Roman" w:cs="Times New Roman"/>
          <w:color w:val="auto"/>
          <w:highlight w:val="none"/>
          <w:lang w:eastAsia="zh-CN"/>
        </w:rPr>
        <w:t>2.11.3</w:t>
      </w:r>
      <w:r>
        <w:rPr>
          <w:rFonts w:hint="eastAsia" w:hAnsi="Times New Roman" w:cs="Times New Roman"/>
          <w:color w:val="auto"/>
          <w:highlight w:val="none"/>
          <w:lang w:eastAsia="zh-CN"/>
        </w:rPr>
        <w:t>　</w:t>
      </w:r>
      <w:r>
        <w:rPr>
          <w:rFonts w:hAnsi="楷体" w:cs="楷体"/>
          <w:color w:val="auto"/>
          <w:highlight w:val="none"/>
          <w:lang w:eastAsia="zh-CN"/>
        </w:rPr>
        <w:t>发包人提供砂石料</w:t>
      </w:r>
    </w:p>
    <w:p w14:paraId="4B2CF216">
      <w:pPr>
        <w:ind w:firstLine="420"/>
        <w:jc w:val="left"/>
        <w:rPr>
          <w:rFonts w:cs="宋体"/>
          <w:color w:val="auto"/>
          <w:highlight w:val="none"/>
          <w:lang w:eastAsia="zh-CN"/>
        </w:rPr>
      </w:pPr>
      <w:r>
        <w:rPr>
          <w:rFonts w:hint="eastAsia" w:cs="宋体"/>
          <w:color w:val="auto"/>
          <w:highlight w:val="none"/>
          <w:lang w:eastAsia="zh-CN"/>
        </w:rPr>
        <w:t>发包人不提供砂石料</w:t>
      </w:r>
      <w:r>
        <w:rPr>
          <w:rFonts w:cs="宋体"/>
          <w:color w:val="auto"/>
          <w:highlight w:val="none"/>
          <w:lang w:eastAsia="zh-CN"/>
        </w:rPr>
        <w:t>。</w:t>
      </w:r>
    </w:p>
    <w:p w14:paraId="7E6E828B">
      <w:pPr>
        <w:widowControl w:val="0"/>
        <w:kinsoku/>
        <w:adjustRightInd w:val="0"/>
        <w:snapToGrid w:val="0"/>
        <w:spacing w:line="360" w:lineRule="auto"/>
        <w:ind w:firstLine="0" w:firstLineChars="0"/>
        <w:jc w:val="left"/>
        <w:textAlignment w:val="baseline"/>
        <w:rPr>
          <w:rFonts w:hint="default" w:ascii="宋体" w:hAnsi="Times New Roman" w:eastAsia="宋体" w:cs="楷体"/>
          <w:snapToGrid w:val="0"/>
          <w:color w:val="auto"/>
          <w:sz w:val="24"/>
          <w:szCs w:val="21"/>
          <w:highlight w:val="none"/>
          <w:lang w:val="en-US" w:eastAsia="zh-CN" w:bidi="ar-SA"/>
        </w:rPr>
      </w:pPr>
      <w:r>
        <w:rPr>
          <w:rFonts w:ascii="宋体" w:hAnsi="Times New Roman" w:eastAsia="宋体" w:cs="Times New Roman"/>
          <w:snapToGrid w:val="0"/>
          <w:color w:val="auto"/>
          <w:sz w:val="24"/>
          <w:szCs w:val="21"/>
          <w:highlight w:val="none"/>
          <w:lang w:val="en-US" w:eastAsia="zh-CN" w:bidi="ar-SA"/>
        </w:rPr>
        <w:t>2.11.</w:t>
      </w:r>
      <w:r>
        <w:rPr>
          <w:rFonts w:hint="eastAsia" w:ascii="宋体" w:hAnsi="Times New Roman" w:eastAsia="宋体" w:cs="Times New Roman"/>
          <w:snapToGrid w:val="0"/>
          <w:color w:val="auto"/>
          <w:sz w:val="24"/>
          <w:szCs w:val="21"/>
          <w:highlight w:val="none"/>
          <w:lang w:val="en-US" w:eastAsia="zh-CN" w:bidi="ar-SA"/>
        </w:rPr>
        <w:t>4　</w:t>
      </w:r>
      <w:r>
        <w:rPr>
          <w:rFonts w:ascii="宋体" w:hAnsi="楷体" w:eastAsia="宋体" w:cs="楷体"/>
          <w:snapToGrid w:val="0"/>
          <w:color w:val="auto"/>
          <w:sz w:val="24"/>
          <w:szCs w:val="21"/>
          <w:highlight w:val="none"/>
          <w:lang w:val="en-US" w:eastAsia="zh-CN" w:bidi="ar-SA"/>
        </w:rPr>
        <w:t>砂石料</w:t>
      </w:r>
      <w:r>
        <w:rPr>
          <w:rFonts w:hint="eastAsia" w:ascii="宋体" w:hAnsi="楷体" w:eastAsia="宋体" w:cs="楷体"/>
          <w:snapToGrid w:val="0"/>
          <w:color w:val="auto"/>
          <w:sz w:val="24"/>
          <w:szCs w:val="21"/>
          <w:highlight w:val="none"/>
          <w:lang w:val="en-US" w:eastAsia="zh-CN" w:bidi="ar-SA"/>
        </w:rPr>
        <w:t>生产系统的文明标化工地建设要求</w:t>
      </w:r>
    </w:p>
    <w:p w14:paraId="49A39AD9">
      <w:pPr>
        <w:ind w:firstLine="420"/>
        <w:jc w:val="left"/>
        <w:rPr>
          <w:rFonts w:cs="宋体"/>
          <w:color w:val="auto"/>
          <w:highlight w:val="none"/>
          <w:lang w:eastAsia="zh-CN"/>
        </w:rPr>
      </w:pPr>
      <w:r>
        <w:rPr>
          <w:rFonts w:hint="eastAsia" w:cs="宋体"/>
          <w:color w:val="auto"/>
          <w:highlight w:val="none"/>
          <w:lang w:eastAsia="zh-CN"/>
        </w:rPr>
        <w:t>砂石料生产机械安装应基础牢固、稳定性好；基础各部位连接牢靠；接地电阻不应大于4Ω。破碎机械进料口部位采用机动车辆进料时，应设置进料平台，平台与进料口连接处应设置混凝土安全埂。破碎机械的进料口、出料口以及筛分楼的进料口、振动筛等部位，应设置洒水等降尘措施。骨料传送带应设置封闭等防尘设施。各层设备有可靠的指示灯等联动的启动、运行、停机、故障联系信号，裸露的传动装置设置孔口尺寸不大于3cm×3cm 装拆方便的钢筋网或钢板防护罩。筛分系统设置前应按要求设置检修平台。应在醒目位置挂设安全操作规程，“施工重地、注意安全”等警示牌，易发生机械和其他伤害的场所设置禁止和警示标识等。</w:t>
      </w:r>
    </w:p>
    <w:p w14:paraId="4C79186A">
      <w:pPr>
        <w:ind w:firstLine="420"/>
        <w:jc w:val="left"/>
        <w:rPr>
          <w:rFonts w:cs="宋体"/>
          <w:color w:val="auto"/>
          <w:highlight w:val="none"/>
          <w:lang w:eastAsia="zh-CN"/>
        </w:rPr>
      </w:pPr>
      <w:r>
        <w:rPr>
          <w:rFonts w:hint="eastAsia" w:cs="宋体"/>
          <w:color w:val="auto"/>
          <w:highlight w:val="none"/>
          <w:lang w:eastAsia="zh-CN"/>
        </w:rPr>
        <w:t>砂石料生产系统的文明标化工地建设要求详见《浙江省水利建设工程文明标化工地创建指导手册（2024年）》的相关规定。</w:t>
      </w:r>
    </w:p>
    <w:p w14:paraId="51BDBDD0">
      <w:pPr>
        <w:pStyle w:val="4"/>
        <w:jc w:val="left"/>
        <w:rPr>
          <w:color w:val="auto"/>
          <w:szCs w:val="24"/>
          <w:highlight w:val="none"/>
          <w:lang w:eastAsia="zh-CN"/>
        </w:rPr>
      </w:pPr>
      <w:r>
        <w:rPr>
          <w:color w:val="auto"/>
          <w:szCs w:val="24"/>
          <w:highlight w:val="none"/>
          <w:lang w:eastAsia="zh-CN"/>
        </w:rPr>
        <w:t>2.12</w:t>
      </w:r>
      <w:r>
        <w:rPr>
          <w:rFonts w:hint="eastAsia"/>
          <w:color w:val="auto"/>
          <w:szCs w:val="24"/>
          <w:highlight w:val="none"/>
          <w:lang w:eastAsia="zh-CN"/>
        </w:rPr>
        <w:t>　混凝土生产系统</w:t>
      </w:r>
    </w:p>
    <w:p w14:paraId="71D7B3AC">
      <w:pPr>
        <w:pStyle w:val="5"/>
        <w:jc w:val="left"/>
        <w:rPr>
          <w:rFonts w:hAnsi="Times New Roman" w:cs="楷体"/>
          <w:color w:val="auto"/>
          <w:highlight w:val="none"/>
          <w:lang w:eastAsia="zh-CN"/>
        </w:rPr>
      </w:pPr>
      <w:r>
        <w:rPr>
          <w:rFonts w:hAnsi="Times New Roman" w:cs="Times New Roman"/>
          <w:color w:val="auto"/>
          <w:highlight w:val="none"/>
          <w:lang w:eastAsia="zh-CN"/>
        </w:rPr>
        <w:t>2.12.1</w:t>
      </w:r>
      <w:r>
        <w:rPr>
          <w:rFonts w:hint="eastAsia" w:hAnsi="Times New Roman" w:cs="Times New Roman"/>
          <w:color w:val="auto"/>
          <w:highlight w:val="none"/>
          <w:lang w:eastAsia="zh-CN"/>
        </w:rPr>
        <w:t>　</w:t>
      </w:r>
      <w:r>
        <w:rPr>
          <w:rFonts w:hAnsi="楷体" w:cs="楷体"/>
          <w:color w:val="auto"/>
          <w:highlight w:val="none"/>
          <w:lang w:eastAsia="zh-CN"/>
        </w:rPr>
        <w:t>承包人自建混凝土生产系统</w:t>
      </w:r>
    </w:p>
    <w:p w14:paraId="2A3F3E59">
      <w:pPr>
        <w:ind w:firstLine="420"/>
        <w:jc w:val="left"/>
        <w:rPr>
          <w:rFonts w:cs="宋体"/>
          <w:color w:val="auto"/>
          <w:highlight w:val="none"/>
          <w:lang w:eastAsia="zh-CN"/>
        </w:rPr>
      </w:pPr>
      <w:r>
        <w:rPr>
          <w:rFonts w:hint="eastAsia" w:cs="宋体"/>
          <w:color w:val="auto"/>
          <w:highlight w:val="none"/>
          <w:lang w:eastAsia="zh-CN"/>
        </w:rPr>
        <w:t>承包人如自建混凝土生产系统，则应满足以下要求：</w:t>
      </w:r>
    </w:p>
    <w:p w14:paraId="5F5929A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）承包人自建混凝土生产系统，则承包人应按批准的施工总布置规划，进行混凝土生产系统（包括混凝土骨料储存系统）的设计和施工（包括场地的开挖、回填与平整）、混凝土</w:t>
      </w:r>
      <w:r>
        <w:rPr>
          <w:rFonts w:hint="eastAsia" w:cs="宋体"/>
          <w:color w:val="auto"/>
          <w:highlight w:val="none"/>
          <w:lang w:val="en-US" w:eastAsia="zh-CN"/>
        </w:rPr>
        <w:t>浇筑</w:t>
      </w:r>
      <w:r>
        <w:rPr>
          <w:rFonts w:cs="宋体"/>
          <w:color w:val="auto"/>
          <w:highlight w:val="none"/>
          <w:lang w:eastAsia="zh-CN"/>
        </w:rPr>
        <w:t>设备和设施的采购、安装、调试、运行管理和维修，以及混凝土骨料储存和混凝土的拌和、运输等。承包人的混凝土生产系统还应做好场地排水和弃渣处理，以及防止污染环境等措施。</w:t>
      </w:r>
    </w:p>
    <w:p w14:paraId="181E84A6">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）承包人应按施工图纸和本合同技术条款规定的温控要求，负责混凝土制冷（热）系统的设计和施工，并负责制冷（热）设备的采购、安装、调试、运行管理和维修。</w:t>
      </w:r>
    </w:p>
    <w:p w14:paraId="0DE15F20">
      <w:pPr>
        <w:pStyle w:val="5"/>
        <w:jc w:val="left"/>
        <w:rPr>
          <w:rFonts w:hAnsi="Times New Roman" w:cs="楷体"/>
          <w:color w:val="auto"/>
          <w:highlight w:val="none"/>
          <w:lang w:eastAsia="zh-CN"/>
        </w:rPr>
      </w:pPr>
      <w:r>
        <w:rPr>
          <w:rFonts w:hAnsi="Times New Roman" w:cs="Times New Roman"/>
          <w:color w:val="auto"/>
          <w:highlight w:val="none"/>
          <w:lang w:eastAsia="zh-CN"/>
        </w:rPr>
        <w:t>2.12.2</w:t>
      </w:r>
      <w:r>
        <w:rPr>
          <w:rFonts w:hint="eastAsia" w:hAnsi="Times New Roman" w:cs="Times New Roman"/>
          <w:color w:val="auto"/>
          <w:highlight w:val="none"/>
          <w:lang w:eastAsia="zh-CN"/>
        </w:rPr>
        <w:t>　</w:t>
      </w:r>
      <w:r>
        <w:rPr>
          <w:rFonts w:hAnsi="楷体" w:cs="楷体"/>
          <w:color w:val="auto"/>
          <w:highlight w:val="none"/>
          <w:lang w:eastAsia="zh-CN"/>
        </w:rPr>
        <w:t>承包人购买商品混凝土</w:t>
      </w:r>
    </w:p>
    <w:p w14:paraId="419FC0A9">
      <w:pPr>
        <w:ind w:firstLine="420"/>
        <w:jc w:val="left"/>
        <w:rPr>
          <w:rFonts w:cs="宋体"/>
          <w:color w:val="auto"/>
          <w:highlight w:val="none"/>
          <w:lang w:eastAsia="zh-CN"/>
        </w:rPr>
      </w:pPr>
      <w:r>
        <w:rPr>
          <w:rFonts w:hint="eastAsia" w:cs="宋体"/>
          <w:color w:val="auto"/>
          <w:highlight w:val="none"/>
          <w:lang w:eastAsia="zh-CN"/>
        </w:rPr>
        <w:t>承包人如购买商品混凝土，则应满足以下要求：</w:t>
      </w:r>
    </w:p>
    <w:p w14:paraId="43F4F37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）承包人购买商品混凝土，则承包人负责商品混凝土的采购、运输、储存等，以及防止污染环境等措施。所购混凝土质量需满足设计和相关规范的要求，择优选择，并配合监理对混凝土进行相关检验等。</w:t>
      </w:r>
    </w:p>
    <w:p w14:paraId="4C8AF66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）承包人应按施工图纸和本合同技术条款规定的温控要求，负责混凝土制冷（热）系统的设计和施工，并负责制冷（热）设备的采购、安装、调试、运行管理和维修等。</w:t>
      </w:r>
    </w:p>
    <w:p w14:paraId="1E3D5E59">
      <w:pPr>
        <w:pStyle w:val="5"/>
        <w:jc w:val="left"/>
        <w:rPr>
          <w:rFonts w:hAnsi="Times New Roman" w:cs="楷体"/>
          <w:color w:val="auto"/>
          <w:highlight w:val="none"/>
          <w:lang w:eastAsia="zh-CN"/>
        </w:rPr>
      </w:pPr>
      <w:r>
        <w:rPr>
          <w:rFonts w:hAnsi="Times New Roman" w:cs="Times New Roman"/>
          <w:color w:val="auto"/>
          <w:highlight w:val="none"/>
          <w:lang w:eastAsia="zh-CN"/>
        </w:rPr>
        <w:t>2.12.3</w:t>
      </w:r>
      <w:r>
        <w:rPr>
          <w:rFonts w:hint="eastAsia" w:hAnsi="Times New Roman" w:cs="Times New Roman"/>
          <w:color w:val="auto"/>
          <w:highlight w:val="none"/>
          <w:lang w:eastAsia="zh-CN"/>
        </w:rPr>
        <w:t>　</w:t>
      </w:r>
      <w:r>
        <w:rPr>
          <w:rFonts w:hAnsi="楷体" w:cs="楷体"/>
          <w:color w:val="auto"/>
          <w:highlight w:val="none"/>
          <w:lang w:eastAsia="zh-CN"/>
        </w:rPr>
        <w:t>发包人供应混凝土</w:t>
      </w:r>
    </w:p>
    <w:p w14:paraId="7341DDEE">
      <w:pPr>
        <w:ind w:firstLine="420"/>
        <w:jc w:val="left"/>
        <w:rPr>
          <w:rFonts w:cs="宋体"/>
          <w:color w:val="auto"/>
          <w:highlight w:val="none"/>
          <w:lang w:eastAsia="zh-CN"/>
        </w:rPr>
      </w:pPr>
      <w:r>
        <w:rPr>
          <w:rFonts w:hint="eastAsia" w:cs="宋体"/>
          <w:color w:val="auto"/>
          <w:highlight w:val="none"/>
          <w:lang w:eastAsia="zh-CN"/>
        </w:rPr>
        <w:t>发包人不供应混凝土</w:t>
      </w:r>
      <w:r>
        <w:rPr>
          <w:rFonts w:cs="宋体"/>
          <w:color w:val="auto"/>
          <w:highlight w:val="none"/>
          <w:lang w:eastAsia="zh-CN"/>
        </w:rPr>
        <w:t>。</w:t>
      </w:r>
    </w:p>
    <w:p w14:paraId="510CDB08">
      <w:pPr>
        <w:widowControl w:val="0"/>
        <w:kinsoku/>
        <w:adjustRightInd w:val="0"/>
        <w:snapToGrid w:val="0"/>
        <w:spacing w:line="360" w:lineRule="auto"/>
        <w:ind w:firstLine="0" w:firstLineChars="0"/>
        <w:jc w:val="left"/>
        <w:textAlignment w:val="baseline"/>
        <w:rPr>
          <w:rFonts w:hint="eastAsia" w:ascii="宋体" w:hAnsi="楷体" w:eastAsia="宋体" w:cs="楷体"/>
          <w:snapToGrid w:val="0"/>
          <w:color w:val="auto"/>
          <w:sz w:val="24"/>
          <w:szCs w:val="21"/>
          <w:highlight w:val="none"/>
          <w:lang w:val="en-US" w:eastAsia="zh-CN" w:bidi="ar-SA"/>
        </w:rPr>
      </w:pPr>
      <w:r>
        <w:rPr>
          <w:rFonts w:ascii="宋体" w:hAnsi="Times New Roman" w:eastAsia="宋体" w:cs="Times New Roman"/>
          <w:snapToGrid w:val="0"/>
          <w:color w:val="auto"/>
          <w:sz w:val="24"/>
          <w:szCs w:val="21"/>
          <w:highlight w:val="none"/>
          <w:lang w:val="en-US" w:eastAsia="zh-CN" w:bidi="ar-SA"/>
        </w:rPr>
        <w:t>2.1</w:t>
      </w:r>
      <w:r>
        <w:rPr>
          <w:rFonts w:hint="eastAsia" w:hAnsi="Times New Roman" w:cs="Times New Roman"/>
          <w:snapToGrid w:val="0"/>
          <w:color w:val="auto"/>
          <w:sz w:val="24"/>
          <w:szCs w:val="21"/>
          <w:highlight w:val="none"/>
          <w:lang w:val="en-US" w:eastAsia="zh-CN" w:bidi="ar-SA"/>
        </w:rPr>
        <w:t>2</w:t>
      </w:r>
      <w:r>
        <w:rPr>
          <w:rFonts w:ascii="宋体" w:hAnsi="Times New Roman" w:eastAsia="宋体" w:cs="Times New Roman"/>
          <w:snapToGrid w:val="0"/>
          <w:color w:val="auto"/>
          <w:sz w:val="24"/>
          <w:szCs w:val="21"/>
          <w:highlight w:val="none"/>
          <w:lang w:val="en-US" w:eastAsia="zh-CN" w:bidi="ar-SA"/>
        </w:rPr>
        <w:t>.</w:t>
      </w:r>
      <w:r>
        <w:rPr>
          <w:rFonts w:hint="eastAsia" w:ascii="宋体" w:hAnsi="Times New Roman" w:eastAsia="宋体" w:cs="Times New Roman"/>
          <w:snapToGrid w:val="0"/>
          <w:color w:val="auto"/>
          <w:sz w:val="24"/>
          <w:szCs w:val="21"/>
          <w:highlight w:val="none"/>
          <w:lang w:val="en-US" w:eastAsia="zh-CN" w:bidi="ar-SA"/>
        </w:rPr>
        <w:t>4　</w:t>
      </w:r>
      <w:r>
        <w:rPr>
          <w:rFonts w:hint="eastAsia" w:hAnsi="楷体" w:cs="楷体"/>
          <w:snapToGrid w:val="0"/>
          <w:color w:val="auto"/>
          <w:sz w:val="24"/>
          <w:szCs w:val="21"/>
          <w:highlight w:val="none"/>
          <w:lang w:val="en-US" w:eastAsia="zh-CN" w:bidi="ar-SA"/>
        </w:rPr>
        <w:t>混凝土</w:t>
      </w:r>
      <w:r>
        <w:rPr>
          <w:rFonts w:hint="eastAsia" w:ascii="宋体" w:hAnsi="楷体" w:eastAsia="宋体" w:cs="楷体"/>
          <w:snapToGrid w:val="0"/>
          <w:color w:val="auto"/>
          <w:sz w:val="24"/>
          <w:szCs w:val="21"/>
          <w:highlight w:val="none"/>
          <w:lang w:val="en-US" w:eastAsia="zh-CN" w:bidi="ar-SA"/>
        </w:rPr>
        <w:t>生产系统的文明标化工地建设要求</w:t>
      </w:r>
    </w:p>
    <w:p w14:paraId="77EBE189">
      <w:pPr>
        <w:ind w:firstLine="420"/>
        <w:jc w:val="left"/>
        <w:rPr>
          <w:rFonts w:cs="宋体"/>
          <w:color w:val="auto"/>
          <w:highlight w:val="none"/>
          <w:lang w:eastAsia="zh-CN"/>
        </w:rPr>
      </w:pPr>
      <w:r>
        <w:rPr>
          <w:rFonts w:hint="eastAsia" w:cs="宋体"/>
          <w:color w:val="auto"/>
          <w:highlight w:val="none"/>
          <w:lang w:eastAsia="zh-CN"/>
        </w:rPr>
        <w:t>混凝土搅拌区应布局合理，四周道路宽度、硬度满足行走、转弯要求。搅拌区地面及主要运输道路应平整碾压后硬化处理，适当位置修建污水沉淀池，严禁随意排放污水。</w:t>
      </w:r>
    </w:p>
    <w:p w14:paraId="3EACAFDB">
      <w:pPr>
        <w:ind w:firstLine="420"/>
        <w:jc w:val="left"/>
        <w:rPr>
          <w:rFonts w:cs="宋体"/>
          <w:color w:val="auto"/>
          <w:highlight w:val="none"/>
          <w:lang w:eastAsia="zh-CN"/>
        </w:rPr>
      </w:pPr>
      <w:r>
        <w:rPr>
          <w:rFonts w:hint="eastAsia" w:cs="宋体"/>
          <w:color w:val="auto"/>
          <w:highlight w:val="none"/>
          <w:lang w:eastAsia="zh-CN"/>
        </w:rPr>
        <w:t>搅拌机主机、输料机及配料机宜采用彩钢板做挡雨棚。水泥存放桶、搅拌机、皮带输送机应封闭，水泥罐、粉煤灰罐外表涂装企业标志或宣传标语。</w:t>
      </w:r>
    </w:p>
    <w:p w14:paraId="43F2A833">
      <w:pPr>
        <w:ind w:firstLine="420"/>
        <w:jc w:val="left"/>
        <w:rPr>
          <w:rFonts w:hint="eastAsia" w:cs="宋体"/>
          <w:color w:val="auto"/>
          <w:highlight w:val="none"/>
          <w:lang w:eastAsia="zh-CN"/>
        </w:rPr>
      </w:pPr>
      <w:r>
        <w:rPr>
          <w:rFonts w:hint="eastAsia" w:cs="宋体"/>
          <w:color w:val="auto"/>
          <w:highlight w:val="none"/>
          <w:lang w:eastAsia="zh-CN"/>
        </w:rPr>
        <w:t>应在醒目位置挂设混凝土（砂浆）配合比牌，及安全警示标识标牌，操作室内应挂设操作规程，尺寸大小宜为 0.6m×1.0m。</w:t>
      </w:r>
    </w:p>
    <w:p w14:paraId="5F86FEF0">
      <w:pPr>
        <w:ind w:firstLine="420"/>
        <w:jc w:val="left"/>
        <w:rPr>
          <w:rFonts w:hint="eastAsia" w:cs="宋体"/>
          <w:color w:val="auto"/>
          <w:highlight w:val="none"/>
          <w:lang w:eastAsia="zh-CN"/>
        </w:rPr>
      </w:pPr>
      <w:r>
        <w:rPr>
          <w:rFonts w:hint="eastAsia" w:cs="宋体"/>
          <w:color w:val="auto"/>
          <w:highlight w:val="none"/>
          <w:lang w:eastAsia="zh-CN"/>
        </w:rPr>
        <w:t>混凝土用量较小的小型水利工程可根据需要选用各类拌和设备，不单独设置拌和站，但应能够保证混凝土拌和质量并符合环保要求。</w:t>
      </w:r>
    </w:p>
    <w:p w14:paraId="62C79AF2">
      <w:pPr>
        <w:ind w:firstLine="420"/>
        <w:jc w:val="left"/>
        <w:rPr>
          <w:rFonts w:hint="eastAsia" w:cs="宋体"/>
          <w:color w:val="auto"/>
          <w:highlight w:val="none"/>
          <w:lang w:eastAsia="zh-CN"/>
        </w:rPr>
      </w:pPr>
      <w:r>
        <w:rPr>
          <w:rFonts w:hint="eastAsia" w:cs="宋体"/>
          <w:color w:val="auto"/>
          <w:highlight w:val="none"/>
          <w:lang w:val="en-US" w:eastAsia="zh-CN"/>
        </w:rPr>
        <w:t>混凝土</w:t>
      </w:r>
      <w:r>
        <w:rPr>
          <w:rFonts w:hint="eastAsia" w:cs="宋体"/>
          <w:color w:val="auto"/>
          <w:highlight w:val="none"/>
          <w:lang w:eastAsia="zh-CN"/>
        </w:rPr>
        <w:t>生产系统的文明标化工地建设要求详见《浙江省水利建设工程文明标化工地创建指导手册（2024年）》的相关规定。</w:t>
      </w:r>
    </w:p>
    <w:p w14:paraId="6241A085">
      <w:pPr>
        <w:pStyle w:val="4"/>
        <w:spacing w:beforeLines="0" w:afterLines="0"/>
        <w:jc w:val="both"/>
        <w:rPr>
          <w:rFonts w:hint="eastAsia" w:cs="宋体"/>
          <w:bCs/>
          <w:color w:val="auto"/>
          <w:szCs w:val="24"/>
          <w:highlight w:val="none"/>
          <w:lang w:eastAsia="zh-CN"/>
        </w:rPr>
      </w:pPr>
      <w:r>
        <w:rPr>
          <w:rFonts w:hint="eastAsia" w:cs="宋体"/>
          <w:bCs/>
          <w:color w:val="auto"/>
          <w:szCs w:val="24"/>
          <w:highlight w:val="none"/>
          <w:lang w:eastAsia="zh-CN"/>
        </w:rPr>
        <w:t>2.13　附属加工厂及生产用房</w:t>
      </w:r>
    </w:p>
    <w:p w14:paraId="36A99D2A">
      <w:pPr>
        <w:ind w:firstLine="420"/>
        <w:jc w:val="left"/>
        <w:rPr>
          <w:rFonts w:hAnsi="Times New Roman" w:cs="宋体"/>
          <w:color w:val="auto"/>
          <w:highlight w:val="none"/>
          <w:lang w:eastAsia="zh-CN"/>
        </w:rPr>
      </w:pPr>
      <w:r>
        <w:rPr>
          <w:rFonts w:cs="宋体"/>
          <w:color w:val="auto"/>
          <w:highlight w:val="none"/>
          <w:lang w:eastAsia="zh-CN"/>
        </w:rPr>
        <w:t>承包人应按批准的施工总进度和施工图纸的要求，修建以下附属加工厂及生产用房，并在各工厂设施及生产用房施工前，将附属加工厂设施及生产用房的设计文件提交监理人批准。</w:t>
      </w:r>
    </w:p>
    <w:p w14:paraId="337CF30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）钢筋加工厂。</w:t>
      </w:r>
    </w:p>
    <w:p w14:paraId="4CAB481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）木材加工厂。</w:t>
      </w:r>
    </w:p>
    <w:p w14:paraId="785CA25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）机械修配工厂。</w:t>
      </w:r>
    </w:p>
    <w:p w14:paraId="14287869">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4</w:t>
      </w:r>
      <w:r>
        <w:rPr>
          <w:rFonts w:cs="宋体"/>
          <w:color w:val="auto"/>
          <w:highlight w:val="none"/>
          <w:lang w:eastAsia="zh-CN"/>
        </w:rPr>
        <w:t>）汽车保养站。</w:t>
      </w:r>
    </w:p>
    <w:p w14:paraId="4BA5E7B3">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）压力钢管和钢结构加工厂（包括预装配场地）。</w:t>
      </w:r>
    </w:p>
    <w:p w14:paraId="1FEF8262">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6</w:t>
      </w:r>
      <w:r>
        <w:rPr>
          <w:rFonts w:cs="宋体"/>
          <w:color w:val="auto"/>
          <w:highlight w:val="none"/>
          <w:lang w:eastAsia="zh-CN"/>
        </w:rPr>
        <w:t>）风、水、电、通信系统，砂石料系统，混凝土拌和系统及浇筑系统，混凝土预制构件厂，混凝土制冷、供热系统，施工排水等生产用房。</w:t>
      </w:r>
    </w:p>
    <w:p w14:paraId="2E881983">
      <w:pPr>
        <w:ind w:firstLine="420"/>
        <w:jc w:val="left"/>
        <w:rPr>
          <w:rFonts w:cs="宋体"/>
          <w:color w:val="auto"/>
          <w:highlight w:val="none"/>
          <w:lang w:eastAsia="zh-CN"/>
        </w:rPr>
      </w:pPr>
      <w:r>
        <w:rPr>
          <w:rFonts w:hint="eastAsia" w:ascii="宋体" w:hAnsi="宋体" w:eastAsia="宋体" w:cs="宋体"/>
          <w:snapToGrid w:val="0"/>
          <w:color w:val="auto"/>
          <w:sz w:val="24"/>
          <w:szCs w:val="21"/>
          <w:highlight w:val="none"/>
          <w:lang w:val="en-US" w:eastAsia="zh-CN" w:bidi="ar-SA"/>
        </w:rPr>
        <w:t>附属加工厂及生产用房</w:t>
      </w:r>
      <w:r>
        <w:rPr>
          <w:rFonts w:hint="eastAsia" w:cs="宋体"/>
          <w:color w:val="auto"/>
          <w:highlight w:val="none"/>
          <w:lang w:eastAsia="zh-CN"/>
        </w:rPr>
        <w:t>的文明标化工地建设要求详见《浙江省水利建设工程文明标化工地创建指导手册（2024年）》的相关规定。</w:t>
      </w:r>
    </w:p>
    <w:p w14:paraId="4662F7A0">
      <w:pPr>
        <w:pStyle w:val="4"/>
        <w:spacing w:beforeLines="0" w:afterLines="0"/>
        <w:jc w:val="both"/>
        <w:rPr>
          <w:rFonts w:hint="eastAsia" w:hAnsi="宋体" w:cs="宋体"/>
          <w:bCs/>
          <w:color w:val="auto"/>
          <w:szCs w:val="24"/>
          <w:highlight w:val="none"/>
          <w:lang w:eastAsia="zh-CN"/>
        </w:rPr>
      </w:pPr>
      <w:r>
        <w:rPr>
          <w:rFonts w:hint="eastAsia" w:hAnsi="宋体" w:cs="宋体"/>
          <w:bCs/>
          <w:color w:val="auto"/>
          <w:szCs w:val="24"/>
          <w:highlight w:val="none"/>
          <w:lang w:eastAsia="zh-CN"/>
        </w:rPr>
        <w:t>2.1</w:t>
      </w:r>
      <w:r>
        <w:rPr>
          <w:rFonts w:hint="eastAsia" w:cs="宋体"/>
          <w:bCs/>
          <w:color w:val="auto"/>
          <w:szCs w:val="24"/>
          <w:highlight w:val="none"/>
          <w:lang w:eastAsia="zh-CN"/>
        </w:rPr>
        <w:t>4　</w:t>
      </w:r>
      <w:r>
        <w:rPr>
          <w:rFonts w:hint="eastAsia" w:hAnsi="宋体" w:cs="宋体"/>
          <w:bCs/>
          <w:color w:val="auto"/>
          <w:szCs w:val="24"/>
          <w:highlight w:val="none"/>
          <w:lang w:eastAsia="zh-CN"/>
        </w:rPr>
        <w:t>弃渣场和临时存料场</w:t>
      </w:r>
    </w:p>
    <w:p w14:paraId="3C93767D">
      <w:pPr>
        <w:suppressAutoHyphens/>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1）本合同规定所有开挖渣料归发包人所有。承包人提交的土石方开挖工程措施计划中，应对本合同工程的开挖料进行统一规划，开挖料经试验和设计、监理人确认可作为混凝土骨料毛料、以及用于本合同工程永久和临时工程的填筑及场地平整等，剩余开挖料应运至弃渣场或监理人指定的地点，运距的变化导致的费用变化按工程量清单相关约定执行。</w:t>
      </w:r>
    </w:p>
    <w:p w14:paraId="14A60B82">
      <w:pPr>
        <w:suppressAutoHyphens/>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2）除非发包人同意，承包人不得将开挖弃渣使用于本合同工程以外的工程。</w:t>
      </w:r>
    </w:p>
    <w:p w14:paraId="6E229700">
      <w:pPr>
        <w:suppressAutoHyphens/>
        <w:ind w:firstLine="420"/>
        <w:jc w:val="left"/>
        <w:rPr>
          <w:rFonts w:hAnsiTheme="minorEastAsia" w:cstheme="minorEastAsia"/>
          <w:color w:val="auto"/>
          <w:highlight w:val="none"/>
          <w:lang w:eastAsia="zh-CN"/>
        </w:rPr>
      </w:pPr>
      <w:r>
        <w:rPr>
          <w:rFonts w:hint="eastAsia" w:hAnsiTheme="minorEastAsia" w:cstheme="minorEastAsia"/>
          <w:color w:val="auto"/>
          <w:highlight w:val="none"/>
          <w:lang w:eastAsia="zh-CN"/>
        </w:rPr>
        <w:t>（</w:t>
      </w:r>
      <w:r>
        <w:rPr>
          <w:rFonts w:hAnsiTheme="minorEastAsia" w:cstheme="minorEastAsia"/>
          <w:color w:val="auto"/>
          <w:highlight w:val="none"/>
          <w:lang w:eastAsia="zh-CN"/>
        </w:rPr>
        <w:t>3）工程开工前14天，承包人应按本合同有关规定向监理人提交详细的存料和弃渣计划，经监理人批准后方可实施。</w:t>
      </w:r>
    </w:p>
    <w:p w14:paraId="740A3CFA">
      <w:pPr>
        <w:suppressAutoHyphens/>
        <w:ind w:firstLine="420"/>
        <w:jc w:val="left"/>
        <w:rPr>
          <w:color w:val="auto"/>
          <w:highlight w:val="none"/>
          <w:lang w:eastAsia="zh-CN"/>
        </w:rPr>
      </w:pPr>
      <w:r>
        <w:rPr>
          <w:rFonts w:hint="eastAsia"/>
          <w:color w:val="auto"/>
          <w:highlight w:val="none"/>
          <w:lang w:eastAsia="zh-CN"/>
        </w:rPr>
        <w:t>（4）发包人提供给承包人使用的弃渣场</w:t>
      </w:r>
      <w:r>
        <w:rPr>
          <w:rFonts w:hint="eastAsia"/>
          <w:color w:val="auto"/>
          <w:highlight w:val="none"/>
          <w:lang w:val="en-US" w:eastAsia="zh-CN"/>
        </w:rPr>
        <w:t>见招标图纸</w:t>
      </w:r>
      <w:r>
        <w:rPr>
          <w:rFonts w:hint="eastAsia"/>
          <w:color w:val="auto"/>
          <w:highlight w:val="none"/>
          <w:lang w:eastAsia="zh-CN"/>
        </w:rPr>
        <w:t>。</w:t>
      </w:r>
    </w:p>
    <w:p w14:paraId="442C3516">
      <w:pPr>
        <w:suppressAutoHyphens/>
        <w:ind w:firstLine="420"/>
        <w:jc w:val="left"/>
        <w:rPr>
          <w:color w:val="auto"/>
          <w:highlight w:val="none"/>
          <w:lang w:eastAsia="zh-CN"/>
        </w:rPr>
      </w:pPr>
      <w:r>
        <w:rPr>
          <w:rFonts w:hint="eastAsia"/>
          <w:color w:val="auto"/>
          <w:highlight w:val="none"/>
          <w:lang w:eastAsia="zh-CN"/>
        </w:rPr>
        <w:t>（5）弃渣运输车辆须安装定位系统，并能动态记录车辆行驶轨迹。</w:t>
      </w:r>
    </w:p>
    <w:p w14:paraId="3D103AB4">
      <w:pPr>
        <w:suppressAutoHyphens/>
        <w:ind w:firstLine="420"/>
        <w:jc w:val="left"/>
        <w:rPr>
          <w:color w:val="auto"/>
          <w:highlight w:val="none"/>
          <w:lang w:eastAsia="zh-CN"/>
        </w:rPr>
      </w:pPr>
      <w:r>
        <w:rPr>
          <w:rFonts w:hint="eastAsia"/>
          <w:color w:val="auto"/>
          <w:highlight w:val="none"/>
          <w:lang w:eastAsia="zh-CN"/>
        </w:rPr>
        <w:t>（6）承包人在施工用地范围内设置有用料存料场，承包人负责存料场的设计、堆存和施工期维护，保证存料场边坡的安全稳定性。</w:t>
      </w:r>
    </w:p>
    <w:p w14:paraId="30B33F9E">
      <w:pPr>
        <w:suppressAutoHyphens/>
        <w:ind w:firstLine="420"/>
        <w:jc w:val="left"/>
        <w:rPr>
          <w:color w:val="auto"/>
          <w:highlight w:val="none"/>
          <w:lang w:eastAsia="zh-CN"/>
        </w:rPr>
      </w:pPr>
      <w:r>
        <w:rPr>
          <w:rFonts w:hint="eastAsia"/>
          <w:color w:val="auto"/>
          <w:highlight w:val="none"/>
          <w:lang w:eastAsia="zh-CN"/>
        </w:rPr>
        <w:t>（7）承包人应按弃渣场设计图纸的坡脚线和边坡坡比的要求进行弃渣，弃渣时应自下而上分层堆筑，每层厚度不大于1.0m，并采取及时推平等必要的措施，达到相对密实。在顶面高程以下的1.5m范围内弃渣时，不允许堆放影响复耕的大颗粒弃渣。</w:t>
      </w:r>
    </w:p>
    <w:p w14:paraId="1B3B44C1">
      <w:pPr>
        <w:suppressAutoHyphens/>
        <w:ind w:firstLine="420"/>
        <w:jc w:val="left"/>
        <w:rPr>
          <w:color w:val="auto"/>
          <w:highlight w:val="none"/>
          <w:lang w:eastAsia="zh-CN"/>
        </w:rPr>
      </w:pPr>
      <w:r>
        <w:rPr>
          <w:rFonts w:hint="eastAsia"/>
          <w:color w:val="auto"/>
          <w:highlight w:val="none"/>
          <w:lang w:eastAsia="zh-CN"/>
        </w:rPr>
        <w:t>（8）除非监理人另有指示，弃渣场必须分层堆弃并使地面大致平整。承包人应保持堆渣体堆放期间的边坡稳定，并做好其边坡保护和排水工作。由于边坡失稳、排水不畅或排水结构布置不当等所引起的一切后果均由承包人承担。</w:t>
      </w:r>
    </w:p>
    <w:p w14:paraId="552503F8">
      <w:pPr>
        <w:suppressAutoHyphens/>
        <w:ind w:firstLine="420"/>
        <w:jc w:val="left"/>
        <w:rPr>
          <w:color w:val="auto"/>
          <w:highlight w:val="none"/>
          <w:lang w:eastAsia="zh-CN"/>
        </w:rPr>
      </w:pPr>
      <w:r>
        <w:rPr>
          <w:rFonts w:hint="eastAsia"/>
          <w:color w:val="auto"/>
          <w:highlight w:val="none"/>
          <w:lang w:eastAsia="zh-CN"/>
        </w:rPr>
        <w:t>（9）承包人应按监理人批准的水土保持与环境保护措施计划，在弃渣场周围及场地内设置防洪和排水设施，防止冲刷弃渣，造成水土流失。</w:t>
      </w:r>
    </w:p>
    <w:p w14:paraId="792C03EE">
      <w:pPr>
        <w:suppressAutoHyphens/>
        <w:ind w:firstLine="420"/>
        <w:jc w:val="left"/>
        <w:rPr>
          <w:color w:val="auto"/>
          <w:highlight w:val="none"/>
          <w:lang w:eastAsia="zh-CN"/>
        </w:rPr>
      </w:pPr>
      <w:r>
        <w:rPr>
          <w:rFonts w:hint="eastAsia"/>
          <w:color w:val="auto"/>
          <w:highlight w:val="none"/>
          <w:lang w:eastAsia="zh-CN"/>
        </w:rPr>
        <w:t>（10）承包人须采取必要的措施避免开挖料进入河（沟）道，并负责及时清理，并采取水土保持措施，费用均由承包人承担。</w:t>
      </w:r>
    </w:p>
    <w:p w14:paraId="0B7B46C5">
      <w:pPr>
        <w:suppressAutoHyphens/>
        <w:ind w:firstLine="420"/>
        <w:jc w:val="left"/>
        <w:rPr>
          <w:color w:val="auto"/>
          <w:highlight w:val="none"/>
          <w:lang w:eastAsia="zh-CN"/>
        </w:rPr>
      </w:pPr>
      <w:r>
        <w:rPr>
          <w:rFonts w:hint="eastAsia"/>
          <w:color w:val="auto"/>
          <w:highlight w:val="none"/>
          <w:lang w:eastAsia="zh-CN"/>
        </w:rPr>
        <w:t>（11）临时存料场由承包人自行设置，堆料过程应按监理人的指示，进行场地清理和必要的平整处理，渣料以分层堆筑的方式进行，并控制分层高度，以避免料物分离。</w:t>
      </w:r>
    </w:p>
    <w:p w14:paraId="1D05BEE9">
      <w:pPr>
        <w:suppressAutoHyphens/>
        <w:ind w:firstLine="420"/>
        <w:jc w:val="left"/>
        <w:rPr>
          <w:color w:val="auto"/>
          <w:highlight w:val="none"/>
          <w:lang w:eastAsia="zh-CN"/>
        </w:rPr>
      </w:pPr>
      <w:r>
        <w:rPr>
          <w:rFonts w:hint="eastAsia"/>
          <w:color w:val="auto"/>
          <w:highlight w:val="none"/>
          <w:lang w:eastAsia="zh-CN"/>
        </w:rPr>
        <w:t>（12）各种露天堆放的砂石骨料及其他材料应按施工总布置规划的场地进行布置设计，场地周围及场地内应做好防汛、排水等保护措施以防止冲刷和水土流失。</w:t>
      </w:r>
    </w:p>
    <w:p w14:paraId="4DEDF88B">
      <w:pPr>
        <w:suppressAutoHyphens/>
        <w:ind w:firstLine="420"/>
        <w:jc w:val="left"/>
        <w:rPr>
          <w:color w:val="auto"/>
          <w:highlight w:val="none"/>
          <w:lang w:eastAsia="zh-CN"/>
        </w:rPr>
      </w:pPr>
      <w:r>
        <w:rPr>
          <w:rFonts w:hint="eastAsia"/>
          <w:color w:val="auto"/>
          <w:highlight w:val="none"/>
          <w:lang w:eastAsia="zh-CN"/>
        </w:rPr>
        <w:t>（13）承包人在开挖过程中，应密切注意开挖区的岩性变化，以区分可利用料和弃料；经监理人认定不能用于工程时，应按废渣处理。</w:t>
      </w:r>
    </w:p>
    <w:p w14:paraId="1CA1CC97">
      <w:pPr>
        <w:pStyle w:val="7"/>
        <w:ind w:firstLine="420"/>
        <w:jc w:val="left"/>
        <w:rPr>
          <w:color w:val="auto"/>
          <w:highlight w:val="none"/>
          <w:lang w:eastAsia="zh-CN"/>
        </w:rPr>
      </w:pPr>
      <w:r>
        <w:rPr>
          <w:rFonts w:hint="eastAsia"/>
          <w:color w:val="auto"/>
          <w:highlight w:val="none"/>
          <w:lang w:eastAsia="zh-CN"/>
        </w:rPr>
        <w:t>（14）由于承包人施工措施不当而造成开挖可利用料数量及质量不满足本技术条款要求以及未堆存至监理人指定的堆料场而造成利用料损失，其相应的开挖工程量不予计量，承包人必须将不堆存在监理人指定堆料场的可利用料转运至监理人指定的地点。发包人不再为此另行支付费用。</w:t>
      </w:r>
    </w:p>
    <w:p w14:paraId="6EA1D0EE">
      <w:pPr>
        <w:ind w:firstLine="420"/>
        <w:jc w:val="left"/>
        <w:rPr>
          <w:color w:val="auto"/>
          <w:highlight w:val="none"/>
          <w:lang w:eastAsia="zh-CN"/>
        </w:rPr>
      </w:pPr>
      <w:r>
        <w:rPr>
          <w:color w:val="auto"/>
          <w:highlight w:val="none"/>
          <w:lang w:eastAsia="zh-CN"/>
        </w:rPr>
        <w:t>（15）由本合同承包人负责在移交对应的渣场顶面高程往上继续堆弃。本合同承包人负责移交后的弃渣场的维护，以及弃渣场的后续渣场建设、运行、管理和维护。上述弃渣场内部临时施工道路由承包人自行在弃渣场范围内布置，临时道路的布置满足施工需要。</w:t>
      </w:r>
    </w:p>
    <w:p w14:paraId="28BE1C96">
      <w:pPr>
        <w:pStyle w:val="4"/>
        <w:spacing w:beforeLines="0" w:afterLines="0"/>
        <w:jc w:val="both"/>
        <w:rPr>
          <w:rFonts w:hint="eastAsia" w:hAnsi="宋体" w:cs="宋体"/>
          <w:bCs/>
          <w:color w:val="auto"/>
          <w:szCs w:val="24"/>
          <w:highlight w:val="none"/>
          <w:lang w:eastAsia="zh-CN"/>
        </w:rPr>
      </w:pPr>
      <w:r>
        <w:rPr>
          <w:rFonts w:hint="eastAsia" w:cs="宋体"/>
          <w:bCs/>
          <w:color w:val="auto"/>
          <w:szCs w:val="24"/>
          <w:highlight w:val="none"/>
          <w:lang w:eastAsia="zh-CN"/>
        </w:rPr>
        <w:t>2.15　计量和支付</w:t>
      </w:r>
    </w:p>
    <w:p w14:paraId="2A51D5C4">
      <w:pPr>
        <w:pStyle w:val="5"/>
        <w:jc w:val="left"/>
        <w:rPr>
          <w:rFonts w:hAnsi="楷体" w:cs="楷体"/>
          <w:color w:val="auto"/>
          <w:highlight w:val="none"/>
          <w:lang w:eastAsia="zh-CN"/>
        </w:rPr>
      </w:pPr>
      <w:r>
        <w:rPr>
          <w:rFonts w:hAnsi="Times New Roman" w:cs="Times New Roman"/>
          <w:color w:val="auto"/>
          <w:highlight w:val="none"/>
          <w:lang w:eastAsia="zh-CN"/>
        </w:rPr>
        <w:t>2.1</w:t>
      </w:r>
      <w:r>
        <w:rPr>
          <w:rFonts w:hint="eastAsia" w:hAnsi="Times New Roman" w:cs="Times New Roman"/>
          <w:color w:val="auto"/>
          <w:highlight w:val="none"/>
          <w:lang w:val="en-US" w:eastAsia="zh-CN"/>
        </w:rPr>
        <w:t>5</w:t>
      </w:r>
      <w:r>
        <w:rPr>
          <w:rFonts w:hAnsi="Times New Roman" w:cs="Times New Roman"/>
          <w:color w:val="auto"/>
          <w:highlight w:val="none"/>
          <w:lang w:eastAsia="zh-CN"/>
        </w:rPr>
        <w:t>.1</w:t>
      </w:r>
      <w:r>
        <w:rPr>
          <w:rFonts w:hint="eastAsia" w:hAnsi="Times New Roman" w:cs="Times New Roman"/>
          <w:color w:val="auto"/>
          <w:highlight w:val="none"/>
          <w:lang w:eastAsia="zh-CN"/>
        </w:rPr>
        <w:t>　</w:t>
      </w:r>
      <w:r>
        <w:rPr>
          <w:rFonts w:hAnsi="楷体" w:cs="楷体"/>
          <w:color w:val="auto"/>
          <w:highlight w:val="none"/>
          <w:lang w:eastAsia="zh-CN"/>
        </w:rPr>
        <w:t>施工交通工程</w:t>
      </w:r>
    </w:p>
    <w:p w14:paraId="64D83804">
      <w:pPr>
        <w:ind w:firstLine="420"/>
        <w:jc w:val="left"/>
        <w:rPr>
          <w:rFonts w:hAnsi="Times New Roman" w:cs="宋体"/>
          <w:color w:val="auto"/>
          <w:highlight w:val="none"/>
          <w:lang w:eastAsia="zh-CN"/>
        </w:rPr>
      </w:pPr>
      <w:r>
        <w:rPr>
          <w:rFonts w:cs="宋体"/>
          <w:color w:val="auto"/>
          <w:highlight w:val="none"/>
          <w:lang w:eastAsia="zh-CN"/>
        </w:rPr>
        <w:t>除合同另有约定外，承包人根据合同要求完成场内施工道路的建设</w:t>
      </w:r>
      <w:r>
        <w:rPr>
          <w:rFonts w:hint="eastAsia" w:cs="宋体"/>
          <w:color w:val="auto"/>
          <w:highlight w:val="none"/>
          <w:lang w:eastAsia="zh-CN"/>
        </w:rPr>
        <w:t>、</w:t>
      </w:r>
      <w:r>
        <w:rPr>
          <w:rFonts w:hint="eastAsia" w:cs="宋体"/>
          <w:color w:val="auto"/>
          <w:highlight w:val="none"/>
          <w:lang w:val="en-US" w:eastAsia="zh-CN"/>
        </w:rPr>
        <w:t>拓宽</w:t>
      </w:r>
      <w:r>
        <w:rPr>
          <w:rFonts w:cs="宋体"/>
          <w:color w:val="auto"/>
          <w:highlight w:val="none"/>
          <w:lang w:eastAsia="zh-CN"/>
        </w:rPr>
        <w:t>和施工期的管理维护工作所需的费用</w:t>
      </w:r>
      <w:r>
        <w:rPr>
          <w:rFonts w:hint="eastAsia" w:cs="宋体"/>
          <w:color w:val="auto"/>
          <w:highlight w:val="none"/>
          <w:lang w:eastAsia="zh-CN"/>
        </w:rPr>
        <w:t>、</w:t>
      </w:r>
      <w:r>
        <w:rPr>
          <w:rFonts w:cs="宋体"/>
          <w:color w:val="auto"/>
          <w:highlight w:val="none"/>
          <w:lang w:eastAsia="zh-CN"/>
        </w:rPr>
        <w:t>场外公共交通的费用</w:t>
      </w:r>
      <w:r>
        <w:rPr>
          <w:rFonts w:hint="eastAsia" w:cs="宋体"/>
          <w:color w:val="auto"/>
          <w:highlight w:val="none"/>
          <w:lang w:eastAsia="zh-CN"/>
        </w:rPr>
        <w:t>、</w:t>
      </w:r>
      <w:r>
        <w:rPr>
          <w:rFonts w:cs="宋体"/>
          <w:color w:val="auto"/>
          <w:highlight w:val="none"/>
          <w:lang w:eastAsia="zh-CN"/>
        </w:rPr>
        <w:t>承包人在施工场地外的一切交通费用</w:t>
      </w:r>
      <w:r>
        <w:rPr>
          <w:rFonts w:hint="eastAsia" w:cs="宋体"/>
          <w:color w:val="auto"/>
          <w:highlight w:val="none"/>
          <w:lang w:eastAsia="zh-CN"/>
        </w:rPr>
        <w:t>、</w:t>
      </w:r>
      <w:r>
        <w:rPr>
          <w:rFonts w:cs="宋体"/>
          <w:color w:val="auto"/>
          <w:highlight w:val="none"/>
          <w:lang w:eastAsia="zh-CN"/>
        </w:rPr>
        <w:t>承包人承担的超大超重件的运输费用</w:t>
      </w:r>
      <w:r>
        <w:rPr>
          <w:rFonts w:hint="eastAsia" w:cs="宋体"/>
          <w:color w:val="auto"/>
          <w:highlight w:val="none"/>
          <w:lang w:eastAsia="zh-CN"/>
        </w:rPr>
        <w:t>、</w:t>
      </w:r>
      <w:r>
        <w:rPr>
          <w:rFonts w:cs="宋体"/>
          <w:color w:val="auto"/>
          <w:highlight w:val="none"/>
          <w:lang w:eastAsia="zh-CN"/>
        </w:rPr>
        <w:t>超大超重件的尺寸或重量超出合同约定的限度时增加的费用</w:t>
      </w:r>
      <w:r>
        <w:rPr>
          <w:rFonts w:hint="eastAsia" w:cs="宋体"/>
          <w:color w:val="auto"/>
          <w:highlight w:val="none"/>
          <w:lang w:eastAsia="zh-CN"/>
        </w:rPr>
        <w:t>、承包人缴纳的交通相关费用、承包人因运输所发生的桥涵道路加固或扩宽或损坏修复等所有施工交通工程费用均已包含在</w:t>
      </w:r>
      <w:r>
        <w:rPr>
          <w:rFonts w:cs="宋体"/>
          <w:color w:val="auto"/>
          <w:highlight w:val="none"/>
          <w:lang w:eastAsia="zh-CN"/>
        </w:rPr>
        <w:t>《工程量清单》</w:t>
      </w:r>
      <w:r>
        <w:rPr>
          <w:rFonts w:hint="eastAsia" w:cs="宋体"/>
          <w:color w:val="auto"/>
          <w:highlight w:val="none"/>
          <w:lang w:eastAsia="zh-CN"/>
        </w:rPr>
        <w:t>“施工交通工程”中，</w:t>
      </w:r>
      <w:r>
        <w:rPr>
          <w:rFonts w:cs="宋体"/>
          <w:color w:val="auto"/>
          <w:highlight w:val="none"/>
          <w:lang w:eastAsia="zh-CN"/>
        </w:rPr>
        <w:t>由发包人按总价支付</w:t>
      </w:r>
      <w:r>
        <w:rPr>
          <w:rFonts w:hint="eastAsia" w:cs="宋体"/>
          <w:color w:val="auto"/>
          <w:highlight w:val="none"/>
          <w:lang w:eastAsia="zh-CN"/>
        </w:rPr>
        <w:t>。</w:t>
      </w:r>
    </w:p>
    <w:p w14:paraId="561D538E">
      <w:pPr>
        <w:pStyle w:val="5"/>
        <w:jc w:val="left"/>
        <w:rPr>
          <w:rFonts w:hAnsi="Times New Roman" w:cs="楷体"/>
          <w:color w:val="auto"/>
          <w:highlight w:val="none"/>
          <w:lang w:eastAsia="zh-CN"/>
        </w:rPr>
      </w:pPr>
      <w:r>
        <w:rPr>
          <w:rFonts w:hAnsi="Times New Roman" w:cs="Times New Roman"/>
          <w:color w:val="auto"/>
          <w:highlight w:val="none"/>
          <w:lang w:eastAsia="zh-CN"/>
        </w:rPr>
        <w:t>2.1</w:t>
      </w:r>
      <w:r>
        <w:rPr>
          <w:rFonts w:hint="eastAsia" w:hAnsi="Times New Roman" w:cs="Times New Roman"/>
          <w:color w:val="auto"/>
          <w:highlight w:val="none"/>
          <w:lang w:val="en-US" w:eastAsia="zh-CN"/>
        </w:rPr>
        <w:t>5</w:t>
      </w:r>
      <w:r>
        <w:rPr>
          <w:rFonts w:hAnsi="Times New Roman" w:cs="Times New Roman"/>
          <w:color w:val="auto"/>
          <w:highlight w:val="none"/>
          <w:lang w:eastAsia="zh-CN"/>
        </w:rPr>
        <w:t>.2</w:t>
      </w:r>
      <w:r>
        <w:rPr>
          <w:rFonts w:hint="eastAsia" w:hAnsi="Times New Roman" w:cs="Times New Roman"/>
          <w:color w:val="auto"/>
          <w:highlight w:val="none"/>
          <w:lang w:eastAsia="zh-CN"/>
        </w:rPr>
        <w:t>　</w:t>
      </w:r>
      <w:r>
        <w:rPr>
          <w:rFonts w:hAnsi="楷体" w:cs="楷体"/>
          <w:color w:val="auto"/>
          <w:highlight w:val="none"/>
          <w:lang w:eastAsia="zh-CN"/>
        </w:rPr>
        <w:t>施工场外供电</w:t>
      </w:r>
    </w:p>
    <w:p w14:paraId="065B284E">
      <w:pPr>
        <w:ind w:firstLine="420"/>
        <w:jc w:val="left"/>
        <w:rPr>
          <w:rFonts w:cs="宋体"/>
          <w:color w:val="auto"/>
          <w:highlight w:val="none"/>
          <w:lang w:eastAsia="zh-CN"/>
        </w:rPr>
      </w:pPr>
      <w:r>
        <w:rPr>
          <w:rFonts w:cs="宋体"/>
          <w:color w:val="auto"/>
          <w:highlight w:val="none"/>
          <w:lang w:eastAsia="zh-CN"/>
        </w:rPr>
        <w:t>除合同另有约定外，承包人根据合同要求完成施工场外供电设备设施的</w:t>
      </w:r>
      <w:r>
        <w:rPr>
          <w:rFonts w:hint="eastAsia" w:cs="宋体"/>
          <w:color w:val="auto"/>
          <w:highlight w:val="none"/>
          <w:lang w:eastAsia="zh-CN"/>
        </w:rPr>
        <w:t>电力接入设施、设备的设计、报装、接入方案编制评审、采购、安装、施工、调试及检试验、运行管理、维护检修、拆除、征地、拆迁、环水保、复垦等、缴纳增容电费</w:t>
      </w:r>
      <w:r>
        <w:rPr>
          <w:rFonts w:hint="eastAsia" w:cs="宋体"/>
          <w:color w:val="auto"/>
          <w:highlight w:val="none"/>
          <w:lang w:val="en-US" w:eastAsia="zh-CN"/>
        </w:rPr>
        <w:t>等所有</w:t>
      </w:r>
      <w:r>
        <w:rPr>
          <w:rFonts w:cs="宋体"/>
          <w:color w:val="auto"/>
          <w:highlight w:val="none"/>
          <w:lang w:eastAsia="zh-CN"/>
        </w:rPr>
        <w:t>工作所需的</w:t>
      </w:r>
      <w:r>
        <w:rPr>
          <w:rFonts w:hint="eastAsia" w:cs="宋体"/>
          <w:color w:val="auto"/>
          <w:highlight w:val="none"/>
          <w:lang w:val="en-US" w:eastAsia="zh-CN"/>
        </w:rPr>
        <w:t>全部</w:t>
      </w:r>
      <w:r>
        <w:rPr>
          <w:rFonts w:cs="宋体"/>
          <w:color w:val="auto"/>
          <w:highlight w:val="none"/>
          <w:lang w:eastAsia="zh-CN"/>
        </w:rPr>
        <w:t>费用，</w:t>
      </w:r>
      <w:r>
        <w:rPr>
          <w:rFonts w:hint="eastAsia" w:cs="宋体"/>
          <w:color w:val="auto"/>
          <w:highlight w:val="none"/>
          <w:lang w:eastAsia="zh-CN"/>
        </w:rPr>
        <w:t>均已包含在</w:t>
      </w:r>
      <w:r>
        <w:rPr>
          <w:rFonts w:cs="宋体"/>
          <w:color w:val="auto"/>
          <w:highlight w:val="none"/>
          <w:lang w:eastAsia="zh-CN"/>
        </w:rPr>
        <w:t>《工程量清单》</w:t>
      </w:r>
      <w:r>
        <w:rPr>
          <w:rFonts w:hint="eastAsia" w:cs="宋体"/>
          <w:color w:val="auto"/>
          <w:highlight w:val="none"/>
          <w:lang w:eastAsia="zh-CN"/>
        </w:rPr>
        <w:t>“施工场外供电工程”中，由发包人按</w:t>
      </w:r>
      <w:r>
        <w:rPr>
          <w:rFonts w:cs="宋体"/>
          <w:color w:val="auto"/>
          <w:highlight w:val="none"/>
          <w:lang w:eastAsia="zh-CN"/>
        </w:rPr>
        <w:t>总价支付。</w:t>
      </w:r>
      <w:r>
        <w:rPr>
          <w:rFonts w:hint="eastAsia" w:cs="宋体"/>
          <w:color w:val="auto"/>
          <w:highlight w:val="none"/>
          <w:lang w:eastAsia="zh-CN"/>
        </w:rPr>
        <w:t>施工用电</w:t>
      </w:r>
      <w:r>
        <w:rPr>
          <w:rFonts w:hint="eastAsia" w:cs="宋体"/>
          <w:color w:val="auto"/>
          <w:highlight w:val="none"/>
          <w:lang w:val="en-US" w:eastAsia="zh-CN"/>
        </w:rPr>
        <w:t>的</w:t>
      </w:r>
      <w:r>
        <w:rPr>
          <w:rFonts w:hint="eastAsia" w:cs="宋体"/>
          <w:color w:val="auto"/>
          <w:highlight w:val="none"/>
          <w:lang w:eastAsia="zh-CN"/>
        </w:rPr>
        <w:t>电费</w:t>
      </w:r>
      <w:r>
        <w:rPr>
          <w:rFonts w:hint="eastAsia" w:cs="宋体"/>
          <w:color w:val="auto"/>
          <w:highlight w:val="none"/>
          <w:lang w:val="en-US" w:eastAsia="zh-CN"/>
        </w:rPr>
        <w:t>包含在工程单价中，发包人不另行支付</w:t>
      </w:r>
      <w:r>
        <w:rPr>
          <w:rFonts w:hint="eastAsia" w:cs="宋体"/>
          <w:color w:val="auto"/>
          <w:highlight w:val="none"/>
          <w:lang w:eastAsia="zh-CN"/>
        </w:rPr>
        <w:t>。</w:t>
      </w:r>
    </w:p>
    <w:p w14:paraId="448F44D3">
      <w:pPr>
        <w:pStyle w:val="5"/>
        <w:jc w:val="left"/>
        <w:rPr>
          <w:rFonts w:hAnsi="Times New Roman" w:cs="楷体"/>
          <w:color w:val="auto"/>
          <w:highlight w:val="none"/>
          <w:lang w:eastAsia="zh-CN"/>
        </w:rPr>
      </w:pPr>
      <w:r>
        <w:rPr>
          <w:rFonts w:hAnsi="Times New Roman" w:cs="Times New Roman"/>
          <w:color w:val="auto"/>
          <w:highlight w:val="none"/>
          <w:lang w:eastAsia="zh-CN"/>
        </w:rPr>
        <w:t>2.1</w:t>
      </w:r>
      <w:r>
        <w:rPr>
          <w:rFonts w:hint="eastAsia" w:hAnsi="Times New Roman" w:cs="Times New Roman"/>
          <w:color w:val="auto"/>
          <w:highlight w:val="none"/>
          <w:lang w:val="en-US" w:eastAsia="zh-CN"/>
        </w:rPr>
        <w:t>5</w:t>
      </w:r>
      <w:r>
        <w:rPr>
          <w:rFonts w:hAnsi="Times New Roman" w:cs="Times New Roman"/>
          <w:color w:val="auto"/>
          <w:highlight w:val="none"/>
          <w:lang w:eastAsia="zh-CN"/>
        </w:rPr>
        <w:t>.3</w:t>
      </w:r>
      <w:r>
        <w:rPr>
          <w:rFonts w:hint="eastAsia" w:hAnsi="Times New Roman" w:cs="Times New Roman"/>
          <w:color w:val="auto"/>
          <w:highlight w:val="none"/>
          <w:lang w:eastAsia="zh-CN"/>
        </w:rPr>
        <w:t>　</w:t>
      </w:r>
      <w:r>
        <w:rPr>
          <w:rFonts w:hAnsi="楷体" w:cs="楷体"/>
          <w:color w:val="auto"/>
          <w:highlight w:val="none"/>
          <w:lang w:eastAsia="zh-CN"/>
        </w:rPr>
        <w:t>施工房屋建筑</w:t>
      </w:r>
    </w:p>
    <w:p w14:paraId="35D66234">
      <w:pPr>
        <w:ind w:firstLine="0"/>
        <w:jc w:val="left"/>
        <w:rPr>
          <w:rFonts w:cs="宋体"/>
          <w:color w:val="auto"/>
          <w:highlight w:val="none"/>
          <w:lang w:eastAsia="zh-CN"/>
        </w:rPr>
      </w:pPr>
      <w:r>
        <w:rPr>
          <w:rFonts w:cs="宋体"/>
          <w:color w:val="auto"/>
          <w:highlight w:val="none"/>
          <w:lang w:eastAsia="zh-CN"/>
        </w:rPr>
        <w:t>除合同另有约定外，承包人根据合同要求或施工需要完成的</w:t>
      </w:r>
      <w:r>
        <w:rPr>
          <w:rFonts w:hint="eastAsia" w:cs="宋体"/>
          <w:color w:val="auto"/>
          <w:highlight w:val="none"/>
          <w:lang w:eastAsia="zh-CN"/>
        </w:rPr>
        <w:t>施工</w:t>
      </w:r>
      <w:r>
        <w:rPr>
          <w:rFonts w:cs="宋体"/>
          <w:color w:val="auto"/>
          <w:highlight w:val="none"/>
          <w:lang w:eastAsia="zh-CN"/>
        </w:rPr>
        <w:t>房屋</w:t>
      </w:r>
      <w:r>
        <w:rPr>
          <w:rFonts w:hint="eastAsia" w:cs="宋体"/>
          <w:color w:val="auto"/>
          <w:highlight w:val="none"/>
          <w:lang w:eastAsia="zh-CN"/>
        </w:rPr>
        <w:t>建筑工程</w:t>
      </w:r>
      <w:r>
        <w:rPr>
          <w:rFonts w:cs="宋体"/>
          <w:color w:val="auto"/>
          <w:highlight w:val="none"/>
          <w:lang w:eastAsia="zh-CN"/>
        </w:rPr>
        <w:t>的</w:t>
      </w:r>
      <w:r>
        <w:rPr>
          <w:rFonts w:hint="eastAsia" w:cs="宋体"/>
          <w:color w:val="auto"/>
          <w:highlight w:val="none"/>
          <w:lang w:eastAsia="zh-CN"/>
        </w:rPr>
        <w:t>设计、</w:t>
      </w:r>
      <w:r>
        <w:rPr>
          <w:rFonts w:cs="宋体"/>
          <w:color w:val="auto"/>
          <w:highlight w:val="none"/>
          <w:lang w:eastAsia="zh-CN"/>
        </w:rPr>
        <w:t>建设、移设、维护管理和拆除工作所需的费用，</w:t>
      </w:r>
      <w:r>
        <w:rPr>
          <w:rFonts w:hint="eastAsia" w:cs="宋体"/>
          <w:color w:val="auto"/>
          <w:highlight w:val="none"/>
          <w:lang w:eastAsia="zh-CN"/>
        </w:rPr>
        <w:t>均已包含在</w:t>
      </w:r>
      <w:r>
        <w:rPr>
          <w:rFonts w:cs="宋体"/>
          <w:color w:val="auto"/>
          <w:highlight w:val="none"/>
          <w:lang w:eastAsia="zh-CN"/>
        </w:rPr>
        <w:t>《工程量清单》</w:t>
      </w:r>
      <w:r>
        <w:rPr>
          <w:rFonts w:hint="eastAsia" w:cs="宋体"/>
          <w:color w:val="auto"/>
          <w:highlight w:val="none"/>
          <w:lang w:eastAsia="zh-CN"/>
        </w:rPr>
        <w:t>“施工房屋建筑工程”中，</w:t>
      </w:r>
      <w:r>
        <w:rPr>
          <w:rFonts w:cs="宋体"/>
          <w:color w:val="auto"/>
          <w:highlight w:val="none"/>
          <w:lang w:eastAsia="zh-CN"/>
        </w:rPr>
        <w:t>由发包人按总价支付。</w:t>
      </w:r>
    </w:p>
    <w:p w14:paraId="1D85B84A">
      <w:pPr>
        <w:pStyle w:val="5"/>
        <w:jc w:val="left"/>
        <w:rPr>
          <w:rFonts w:cs="宋体"/>
          <w:color w:val="auto"/>
          <w:highlight w:val="none"/>
          <w:lang w:eastAsia="zh-CN"/>
        </w:rPr>
      </w:pPr>
      <w:r>
        <w:rPr>
          <w:rFonts w:hAnsi="Times New Roman" w:cs="Times New Roman"/>
          <w:color w:val="auto"/>
          <w:highlight w:val="none"/>
          <w:lang w:eastAsia="zh-CN"/>
        </w:rPr>
        <w:t>2.1</w:t>
      </w:r>
      <w:r>
        <w:rPr>
          <w:rFonts w:hint="eastAsia" w:hAnsi="Times New Roman" w:cs="Times New Roman"/>
          <w:color w:val="auto"/>
          <w:highlight w:val="none"/>
          <w:lang w:val="en-US" w:eastAsia="zh-CN"/>
        </w:rPr>
        <w:t>5</w:t>
      </w:r>
      <w:r>
        <w:rPr>
          <w:rFonts w:hAnsi="Times New Roman" w:cs="Times New Roman"/>
          <w:color w:val="auto"/>
          <w:highlight w:val="none"/>
          <w:lang w:eastAsia="zh-CN"/>
        </w:rPr>
        <w:t>.4</w:t>
      </w:r>
      <w:r>
        <w:rPr>
          <w:rFonts w:hint="eastAsia" w:hAnsi="Times New Roman" w:cs="Times New Roman"/>
          <w:color w:val="auto"/>
          <w:highlight w:val="none"/>
          <w:lang w:eastAsia="zh-CN"/>
        </w:rPr>
        <w:t>　</w:t>
      </w:r>
      <w:r>
        <w:rPr>
          <w:rFonts w:cs="宋体"/>
          <w:color w:val="auto"/>
          <w:highlight w:val="none"/>
          <w:lang w:eastAsia="zh-CN"/>
        </w:rPr>
        <w:t>现场施工测量</w:t>
      </w:r>
    </w:p>
    <w:p w14:paraId="00636DA4">
      <w:pPr>
        <w:pStyle w:val="5"/>
        <w:ind w:firstLine="480" w:firstLineChars="200"/>
        <w:rPr>
          <w:rFonts w:cs="宋体"/>
          <w:color w:val="auto"/>
          <w:highlight w:val="none"/>
          <w:lang w:eastAsia="zh-CN"/>
        </w:rPr>
      </w:pPr>
      <w:r>
        <w:rPr>
          <w:rFonts w:cs="宋体"/>
          <w:color w:val="auto"/>
          <w:highlight w:val="none"/>
          <w:lang w:eastAsia="zh-CN"/>
        </w:rPr>
        <w:t>现场施工测量（包括根据合同约定由承包人测设的施工控制网、工程施工阶段的全部施工测量放样工作等）所需费用，包含在《工程量清单》项目的工程单价中，发包人不另行支付。</w:t>
      </w:r>
    </w:p>
    <w:p w14:paraId="2CCEF517">
      <w:pPr>
        <w:pStyle w:val="5"/>
        <w:kinsoku/>
        <w:autoSpaceDE w:val="0"/>
        <w:autoSpaceDN w:val="0"/>
        <w:adjustRightInd w:val="0"/>
        <w:snapToGrid w:val="0"/>
        <w:spacing w:line="360" w:lineRule="auto"/>
        <w:textAlignment w:val="baseline"/>
        <w:rPr>
          <w:rFonts w:ascii="Arial" w:hAnsi="Times New Roman" w:eastAsia="宋体" w:cs="Times New Roman"/>
          <w:snapToGrid w:val="0"/>
          <w:color w:val="auto"/>
          <w:sz w:val="21"/>
          <w:szCs w:val="21"/>
          <w:highlight w:val="none"/>
          <w:lang w:val="en-US" w:eastAsia="en-US" w:bidi="ar-SA"/>
        </w:rPr>
      </w:pPr>
      <w:r>
        <w:rPr>
          <w:rFonts w:hAnsi="Times New Roman" w:cs="Times New Roman"/>
          <w:color w:val="auto"/>
          <w:highlight w:val="none"/>
          <w:lang w:eastAsia="zh-CN"/>
        </w:rPr>
        <w:t>2.1</w:t>
      </w:r>
      <w:r>
        <w:rPr>
          <w:rFonts w:hint="eastAsia" w:hAnsi="Times New Roman" w:cs="Times New Roman"/>
          <w:color w:val="auto"/>
          <w:highlight w:val="none"/>
          <w:lang w:val="en-US" w:eastAsia="zh-CN"/>
        </w:rPr>
        <w:t>5</w:t>
      </w:r>
      <w:r>
        <w:rPr>
          <w:rFonts w:hAnsi="Times New Roman" w:cs="Times New Roman"/>
          <w:color w:val="auto"/>
          <w:highlight w:val="none"/>
          <w:lang w:eastAsia="zh-CN"/>
        </w:rPr>
        <w:t>.</w:t>
      </w:r>
      <w:r>
        <w:rPr>
          <w:rFonts w:hint="eastAsia" w:hAnsi="Times New Roman" w:cs="Times New Roman"/>
          <w:color w:val="auto"/>
          <w:highlight w:val="none"/>
          <w:lang w:val="en-US" w:eastAsia="zh-CN"/>
        </w:rPr>
        <w:t>5</w:t>
      </w:r>
      <w:r>
        <w:rPr>
          <w:rFonts w:hint="eastAsia" w:hAnsi="Times New Roman" w:cs="Times New Roman"/>
          <w:color w:val="auto"/>
          <w:highlight w:val="none"/>
          <w:lang w:eastAsia="zh-CN"/>
        </w:rPr>
        <w:t>　</w:t>
      </w:r>
      <w:r>
        <w:rPr>
          <w:rFonts w:ascii="宋体" w:hAnsi="宋体" w:eastAsia="宋体" w:cs="宋体"/>
          <w:snapToGrid w:val="0"/>
          <w:color w:val="auto"/>
          <w:sz w:val="24"/>
          <w:szCs w:val="21"/>
          <w:highlight w:val="none"/>
          <w:lang w:val="en-US" w:eastAsia="en-US" w:bidi="ar-SA"/>
        </w:rPr>
        <w:t>现场试验</w:t>
      </w:r>
    </w:p>
    <w:p w14:paraId="22356394">
      <w:pPr>
        <w:ind w:firstLine="420"/>
        <w:jc w:val="left"/>
        <w:rPr>
          <w:rFonts w:cs="宋体"/>
          <w:color w:val="auto"/>
          <w:highlight w:val="none"/>
          <w:lang w:eastAsia="zh-CN"/>
        </w:rPr>
      </w:pPr>
      <w:r>
        <w:rPr>
          <w:rFonts w:cs="宋体"/>
          <w:color w:val="auto"/>
          <w:highlight w:val="none"/>
          <w:lang w:eastAsia="zh-CN"/>
        </w:rPr>
        <w:t>1）现场室内试验</w:t>
      </w:r>
    </w:p>
    <w:p w14:paraId="324E7B32">
      <w:pPr>
        <w:ind w:firstLine="420"/>
        <w:jc w:val="left"/>
        <w:rPr>
          <w:rFonts w:cs="宋体"/>
          <w:color w:val="auto"/>
          <w:highlight w:val="none"/>
          <w:lang w:eastAsia="zh-CN"/>
        </w:rPr>
      </w:pPr>
      <w:r>
        <w:rPr>
          <w:rFonts w:cs="宋体"/>
          <w:color w:val="auto"/>
          <w:highlight w:val="none"/>
          <w:lang w:eastAsia="zh-CN"/>
        </w:rPr>
        <w:t>除合同另有约定外，承包人现场试验室的建设费用，均包含在《工程量清单》项目的工程单价中，发包人不另行支付。</w:t>
      </w:r>
    </w:p>
    <w:p w14:paraId="6EE7F3D8">
      <w:pPr>
        <w:ind w:firstLine="420"/>
        <w:jc w:val="left"/>
        <w:rPr>
          <w:rFonts w:cs="宋体"/>
          <w:color w:val="auto"/>
          <w:highlight w:val="none"/>
          <w:lang w:eastAsia="zh-CN"/>
        </w:rPr>
      </w:pPr>
      <w:r>
        <w:rPr>
          <w:rFonts w:cs="宋体"/>
          <w:color w:val="auto"/>
          <w:highlight w:val="none"/>
          <w:lang w:eastAsia="zh-CN"/>
        </w:rPr>
        <w:t>2）现场工艺试验</w:t>
      </w:r>
    </w:p>
    <w:p w14:paraId="5A12368E">
      <w:pPr>
        <w:ind w:firstLine="420"/>
        <w:jc w:val="left"/>
        <w:rPr>
          <w:rFonts w:hAnsi="Times New Roman" w:cs="宋体"/>
          <w:color w:val="auto"/>
          <w:highlight w:val="none"/>
          <w:lang w:eastAsia="zh-CN"/>
        </w:rPr>
      </w:pPr>
      <w:r>
        <w:rPr>
          <w:rFonts w:cs="宋体"/>
          <w:color w:val="auto"/>
          <w:highlight w:val="none"/>
          <w:lang w:eastAsia="zh-CN"/>
        </w:rPr>
        <w:t>除合同另有约定外，现场工艺试验所需费用，均包含在《工程量清单》项目的工程单价中，发包人不另行支付。</w:t>
      </w:r>
    </w:p>
    <w:p w14:paraId="12968B94">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）现场生产性试验</w:t>
      </w:r>
    </w:p>
    <w:p w14:paraId="73FB80A9">
      <w:pPr>
        <w:ind w:firstLine="420"/>
        <w:jc w:val="left"/>
        <w:rPr>
          <w:rFonts w:cs="宋体"/>
          <w:color w:val="auto"/>
          <w:highlight w:val="none"/>
          <w:lang w:eastAsia="zh-CN"/>
        </w:rPr>
      </w:pPr>
      <w:r>
        <w:rPr>
          <w:rFonts w:cs="宋体"/>
          <w:color w:val="auto"/>
          <w:highlight w:val="none"/>
          <w:lang w:eastAsia="zh-CN"/>
        </w:rPr>
        <w:t>除合同</w:t>
      </w:r>
      <w:r>
        <w:rPr>
          <w:rFonts w:hint="eastAsia" w:cs="宋体"/>
          <w:color w:val="auto"/>
          <w:highlight w:val="none"/>
          <w:lang w:val="en-US" w:eastAsia="zh-CN"/>
        </w:rPr>
        <w:t>另有</w:t>
      </w:r>
      <w:r>
        <w:rPr>
          <w:rFonts w:cs="宋体"/>
          <w:color w:val="auto"/>
          <w:highlight w:val="none"/>
          <w:lang w:eastAsia="zh-CN"/>
        </w:rPr>
        <w:t>约定外，现场生产性试验所需费用，均包含在《工程量清单》项目的工程单价中，发包人不另行支付。</w:t>
      </w:r>
    </w:p>
    <w:p w14:paraId="50E5E9C9">
      <w:pPr>
        <w:ind w:firstLine="420"/>
        <w:jc w:val="left"/>
        <w:rPr>
          <w:rFonts w:ascii="宋体" w:hAnsi="宋体" w:eastAsia="宋体" w:cs="宋体"/>
          <w:snapToGrid w:val="0"/>
          <w:color w:val="auto"/>
          <w:sz w:val="24"/>
          <w:szCs w:val="21"/>
          <w:highlight w:val="none"/>
          <w:lang w:val="en-US" w:eastAsia="zh-CN" w:bidi="ar-SA"/>
        </w:rPr>
      </w:pPr>
      <w:r>
        <w:rPr>
          <w:rFonts w:hint="eastAsia" w:hAnsi="Times New Roman" w:cs="Times New Roman"/>
          <w:color w:val="auto"/>
          <w:highlight w:val="none"/>
          <w:lang w:val="en-US" w:eastAsia="zh-CN"/>
        </w:rPr>
        <w:t>4</w:t>
      </w:r>
      <w:r>
        <w:rPr>
          <w:rFonts w:cs="宋体"/>
          <w:color w:val="auto"/>
          <w:highlight w:val="none"/>
          <w:lang w:eastAsia="zh-CN"/>
        </w:rPr>
        <w:t>）</w:t>
      </w:r>
      <w:r>
        <w:rPr>
          <w:rFonts w:hint="default" w:ascii="宋体" w:hAnsi="宋体" w:eastAsia="宋体" w:cs="宋体"/>
          <w:snapToGrid w:val="0"/>
          <w:color w:val="auto"/>
          <w:sz w:val="24"/>
          <w:szCs w:val="21"/>
          <w:highlight w:val="none"/>
          <w:lang w:val="en-US" w:eastAsia="zh-CN" w:bidi="ar-SA"/>
        </w:rPr>
        <w:t>爆破试验</w:t>
      </w:r>
      <w:r>
        <w:rPr>
          <w:rFonts w:hint="default" w:ascii="Arial" w:hAnsi="Arial" w:eastAsia="宋体" w:cs="Arial"/>
          <w:snapToGrid w:val="0"/>
          <w:color w:val="auto"/>
          <w:sz w:val="21"/>
          <w:szCs w:val="21"/>
          <w:highlight w:val="none"/>
          <w:lang w:val="en-US" w:eastAsia="en-US" w:bidi="ar-SA"/>
        </w:rPr>
        <w:t>、</w:t>
      </w:r>
      <w:r>
        <w:rPr>
          <w:rFonts w:hint="default" w:ascii="宋体" w:hAnsi="宋体" w:eastAsia="宋体" w:cs="宋体"/>
          <w:snapToGrid w:val="0"/>
          <w:color w:val="auto"/>
          <w:sz w:val="24"/>
          <w:szCs w:val="21"/>
          <w:highlight w:val="none"/>
          <w:lang w:val="en-US" w:eastAsia="zh-CN" w:bidi="ar-SA"/>
        </w:rPr>
        <w:t>灌浆试验</w:t>
      </w:r>
      <w:r>
        <w:rPr>
          <w:rFonts w:hint="default" w:ascii="Arial" w:hAnsi="Arial" w:eastAsia="宋体" w:cs="Arial"/>
          <w:snapToGrid w:val="0"/>
          <w:color w:val="auto"/>
          <w:sz w:val="21"/>
          <w:szCs w:val="21"/>
          <w:highlight w:val="none"/>
          <w:lang w:val="en-US" w:eastAsia="en-US" w:bidi="ar-SA"/>
        </w:rPr>
        <w:t>、</w:t>
      </w:r>
      <w:r>
        <w:rPr>
          <w:rFonts w:hint="default" w:ascii="宋体" w:hAnsi="宋体" w:eastAsia="宋体" w:cs="宋体"/>
          <w:snapToGrid w:val="0"/>
          <w:color w:val="auto"/>
          <w:sz w:val="24"/>
          <w:szCs w:val="21"/>
          <w:highlight w:val="none"/>
          <w:lang w:val="en-US" w:eastAsia="zh-CN" w:bidi="ar-SA"/>
        </w:rPr>
        <w:t>混凝土配合比试验</w:t>
      </w:r>
    </w:p>
    <w:p w14:paraId="4A460932">
      <w:pPr>
        <w:ind w:firstLine="420"/>
        <w:jc w:val="left"/>
        <w:rPr>
          <w:rFonts w:cs="宋体"/>
          <w:color w:val="auto"/>
          <w:highlight w:val="none"/>
          <w:lang w:eastAsia="zh-CN"/>
        </w:rPr>
      </w:pPr>
      <w:r>
        <w:rPr>
          <w:rFonts w:cs="宋体"/>
          <w:color w:val="auto"/>
          <w:highlight w:val="none"/>
          <w:lang w:eastAsia="zh-CN"/>
        </w:rPr>
        <w:t>除合同</w:t>
      </w:r>
      <w:r>
        <w:rPr>
          <w:rFonts w:hint="eastAsia" w:cs="宋体"/>
          <w:color w:val="auto"/>
          <w:highlight w:val="none"/>
          <w:lang w:val="en-US" w:eastAsia="zh-CN"/>
        </w:rPr>
        <w:t>另有</w:t>
      </w:r>
      <w:r>
        <w:rPr>
          <w:rFonts w:cs="宋体"/>
          <w:color w:val="auto"/>
          <w:highlight w:val="none"/>
          <w:lang w:eastAsia="zh-CN"/>
        </w:rPr>
        <w:t>约定</w:t>
      </w:r>
      <w:r>
        <w:rPr>
          <w:rFonts w:hint="eastAsia" w:cs="宋体"/>
          <w:color w:val="auto"/>
          <w:highlight w:val="none"/>
          <w:lang w:val="en-US" w:eastAsia="zh-CN"/>
        </w:rPr>
        <w:t>外</w:t>
      </w:r>
      <w:r>
        <w:rPr>
          <w:rFonts w:hint="eastAsia" w:cs="宋体"/>
          <w:color w:val="auto"/>
          <w:highlight w:val="none"/>
          <w:lang w:eastAsia="zh-CN"/>
        </w:rPr>
        <w:t>，爆破试验、灌浆试验、混凝土配合比试验</w:t>
      </w:r>
      <w:r>
        <w:rPr>
          <w:rFonts w:hint="eastAsia" w:cs="宋体"/>
          <w:color w:val="auto"/>
          <w:highlight w:val="none"/>
          <w:lang w:val="en-US" w:eastAsia="zh-CN"/>
        </w:rPr>
        <w:t>所需费用</w:t>
      </w:r>
      <w:r>
        <w:rPr>
          <w:rFonts w:cs="宋体"/>
          <w:color w:val="auto"/>
          <w:highlight w:val="none"/>
          <w:lang w:eastAsia="zh-CN"/>
        </w:rPr>
        <w:t>，均包含在《工程量清单》项目的工程单价中，发包人不另行支付。</w:t>
      </w:r>
    </w:p>
    <w:p w14:paraId="338CDEB4">
      <w:pPr>
        <w:ind w:firstLine="0" w:firstLineChars="0"/>
        <w:jc w:val="left"/>
        <w:rPr>
          <w:rFonts w:hAnsi="Times New Roman" w:cs="宋体"/>
          <w:color w:val="auto"/>
          <w:highlight w:val="none"/>
          <w:lang w:eastAsia="zh-CN"/>
        </w:rPr>
      </w:pPr>
      <w:r>
        <w:rPr>
          <w:rFonts w:ascii="宋体" w:hAnsi="Times New Roman" w:eastAsia="宋体" w:cs="Times New Roman"/>
          <w:snapToGrid w:val="0"/>
          <w:color w:val="auto"/>
          <w:sz w:val="24"/>
          <w:szCs w:val="21"/>
          <w:highlight w:val="none"/>
          <w:lang w:val="en-US" w:eastAsia="zh-CN" w:bidi="ar-SA"/>
        </w:rPr>
        <w:t>2.1</w:t>
      </w:r>
      <w:r>
        <w:rPr>
          <w:rFonts w:hint="eastAsia" w:hAnsi="Times New Roman" w:cs="Times New Roman"/>
          <w:snapToGrid w:val="0"/>
          <w:color w:val="auto"/>
          <w:sz w:val="24"/>
          <w:szCs w:val="21"/>
          <w:highlight w:val="none"/>
          <w:lang w:val="en-US" w:eastAsia="zh-CN" w:bidi="ar-SA"/>
        </w:rPr>
        <w:t>5</w:t>
      </w:r>
      <w:r>
        <w:rPr>
          <w:rFonts w:ascii="宋体" w:hAnsi="Times New Roman" w:eastAsia="宋体" w:cs="Times New Roman"/>
          <w:snapToGrid w:val="0"/>
          <w:color w:val="auto"/>
          <w:sz w:val="24"/>
          <w:szCs w:val="21"/>
          <w:highlight w:val="none"/>
          <w:lang w:val="en-US" w:eastAsia="zh-CN" w:bidi="ar-SA"/>
        </w:rPr>
        <w:t>.</w:t>
      </w:r>
      <w:r>
        <w:rPr>
          <w:rFonts w:hint="eastAsia" w:ascii="宋体" w:hAnsi="Times New Roman" w:eastAsia="宋体" w:cs="Times New Roman"/>
          <w:snapToGrid w:val="0"/>
          <w:color w:val="auto"/>
          <w:sz w:val="24"/>
          <w:szCs w:val="21"/>
          <w:highlight w:val="none"/>
          <w:lang w:val="en-US" w:eastAsia="zh-CN" w:bidi="ar-SA"/>
        </w:rPr>
        <w:t>6　</w:t>
      </w:r>
      <w:r>
        <w:rPr>
          <w:rFonts w:cs="宋体"/>
          <w:color w:val="auto"/>
          <w:highlight w:val="none"/>
          <w:lang w:eastAsia="zh-CN"/>
        </w:rPr>
        <w:t>场内施工及生活供电设施、施工照明设施</w:t>
      </w:r>
    </w:p>
    <w:p w14:paraId="43F451C5">
      <w:pPr>
        <w:ind w:firstLine="420"/>
        <w:jc w:val="left"/>
        <w:rPr>
          <w:rFonts w:cs="宋体"/>
          <w:color w:val="auto"/>
          <w:highlight w:val="none"/>
          <w:lang w:eastAsia="zh-CN"/>
        </w:rPr>
      </w:pPr>
      <w:r>
        <w:rPr>
          <w:rFonts w:cs="宋体"/>
          <w:color w:val="auto"/>
          <w:highlight w:val="none"/>
          <w:lang w:eastAsia="zh-CN"/>
        </w:rPr>
        <w:t>除合同另有约定外，承包人根据合同要求完成场内施工及生活用电设施、施工照明设施的建设、移设和拆除工作所需的费用，包含在《工程量清单》项目的工程单价中，发包人不另行支付。</w:t>
      </w:r>
    </w:p>
    <w:p w14:paraId="3C0DA860">
      <w:pPr>
        <w:ind w:firstLine="0" w:firstLineChars="0"/>
        <w:jc w:val="left"/>
        <w:rPr>
          <w:rFonts w:hAnsi="Times New Roman" w:cs="宋体"/>
          <w:color w:val="auto"/>
          <w:highlight w:val="none"/>
          <w:lang w:eastAsia="zh-CN"/>
        </w:rPr>
      </w:pPr>
      <w:r>
        <w:rPr>
          <w:rFonts w:ascii="宋体" w:hAnsi="Times New Roman" w:eastAsia="宋体" w:cs="Times New Roman"/>
          <w:snapToGrid w:val="0"/>
          <w:color w:val="auto"/>
          <w:sz w:val="24"/>
          <w:szCs w:val="21"/>
          <w:highlight w:val="none"/>
          <w:lang w:val="en-US" w:eastAsia="zh-CN" w:bidi="ar-SA"/>
        </w:rPr>
        <w:t>2.1</w:t>
      </w:r>
      <w:r>
        <w:rPr>
          <w:rFonts w:hint="eastAsia" w:hAnsi="Times New Roman" w:cs="Times New Roman"/>
          <w:snapToGrid w:val="0"/>
          <w:color w:val="auto"/>
          <w:sz w:val="24"/>
          <w:szCs w:val="21"/>
          <w:highlight w:val="none"/>
          <w:lang w:val="en-US" w:eastAsia="zh-CN" w:bidi="ar-SA"/>
        </w:rPr>
        <w:t>5</w:t>
      </w:r>
      <w:r>
        <w:rPr>
          <w:rFonts w:ascii="宋体" w:hAnsi="Times New Roman" w:eastAsia="宋体" w:cs="Times New Roman"/>
          <w:snapToGrid w:val="0"/>
          <w:color w:val="auto"/>
          <w:sz w:val="24"/>
          <w:szCs w:val="21"/>
          <w:highlight w:val="none"/>
          <w:lang w:val="en-US" w:eastAsia="zh-CN" w:bidi="ar-SA"/>
        </w:rPr>
        <w:t>.</w:t>
      </w:r>
      <w:r>
        <w:rPr>
          <w:rFonts w:hint="eastAsia" w:hAnsi="Times New Roman" w:cs="Times New Roman"/>
          <w:snapToGrid w:val="0"/>
          <w:color w:val="auto"/>
          <w:sz w:val="24"/>
          <w:szCs w:val="21"/>
          <w:highlight w:val="none"/>
          <w:lang w:val="en-US" w:eastAsia="zh-CN" w:bidi="ar-SA"/>
        </w:rPr>
        <w:t xml:space="preserve">7 </w:t>
      </w:r>
      <w:r>
        <w:rPr>
          <w:rFonts w:cs="宋体"/>
          <w:color w:val="auto"/>
          <w:highlight w:val="none"/>
          <w:lang w:eastAsia="zh-CN"/>
        </w:rPr>
        <w:t>施工及生活供水</w:t>
      </w:r>
    </w:p>
    <w:p w14:paraId="745C98FE">
      <w:pPr>
        <w:ind w:firstLine="420"/>
        <w:jc w:val="left"/>
        <w:rPr>
          <w:rFonts w:cs="宋体"/>
          <w:color w:val="auto"/>
          <w:highlight w:val="none"/>
          <w:lang w:eastAsia="zh-CN"/>
        </w:rPr>
      </w:pPr>
      <w:r>
        <w:rPr>
          <w:rFonts w:cs="宋体"/>
          <w:color w:val="auto"/>
          <w:highlight w:val="none"/>
          <w:lang w:eastAsia="zh-CN"/>
        </w:rPr>
        <w:t>除合同另有约定外，承包人根据合同要求完成施工及生活供水设施的建设、移设和拆除工作所需的费用，包含在《工程量清单》</w:t>
      </w:r>
      <w:r>
        <w:rPr>
          <w:rFonts w:hint="eastAsia" w:cs="宋体"/>
          <w:color w:val="auto"/>
          <w:highlight w:val="none"/>
          <w:lang w:eastAsia="zh-CN"/>
        </w:rPr>
        <w:t>“</w:t>
      </w:r>
      <w:r>
        <w:rPr>
          <w:rFonts w:cs="宋体"/>
          <w:color w:val="auto"/>
          <w:highlight w:val="none"/>
          <w:lang w:eastAsia="zh-CN"/>
        </w:rPr>
        <w:t>施工及生活供水设施</w:t>
      </w:r>
      <w:r>
        <w:rPr>
          <w:rFonts w:hint="eastAsia" w:cs="宋体"/>
          <w:color w:val="auto"/>
          <w:highlight w:val="none"/>
          <w:lang w:eastAsia="zh-CN"/>
        </w:rPr>
        <w:t>”中</w:t>
      </w:r>
      <w:r>
        <w:rPr>
          <w:rFonts w:cs="宋体"/>
          <w:color w:val="auto"/>
          <w:highlight w:val="none"/>
          <w:lang w:eastAsia="zh-CN"/>
        </w:rPr>
        <w:t>，</w:t>
      </w:r>
      <w:r>
        <w:rPr>
          <w:rFonts w:hint="eastAsia" w:cs="宋体"/>
          <w:color w:val="auto"/>
          <w:highlight w:val="none"/>
          <w:lang w:val="en-US" w:eastAsia="zh-CN"/>
        </w:rPr>
        <w:t>由</w:t>
      </w:r>
      <w:r>
        <w:rPr>
          <w:rFonts w:cs="宋体"/>
          <w:color w:val="auto"/>
          <w:highlight w:val="none"/>
          <w:lang w:eastAsia="zh-CN"/>
        </w:rPr>
        <w:t>发包人</w:t>
      </w:r>
      <w:r>
        <w:rPr>
          <w:rFonts w:hint="eastAsia" w:cs="宋体"/>
          <w:color w:val="auto"/>
          <w:highlight w:val="none"/>
          <w:lang w:eastAsia="zh-CN"/>
        </w:rPr>
        <w:t>按总价</w:t>
      </w:r>
      <w:r>
        <w:rPr>
          <w:rFonts w:cs="宋体"/>
          <w:color w:val="auto"/>
          <w:highlight w:val="none"/>
          <w:lang w:eastAsia="zh-CN"/>
        </w:rPr>
        <w:t>支付。</w:t>
      </w:r>
    </w:p>
    <w:p w14:paraId="4DB623BB">
      <w:pPr>
        <w:ind w:firstLine="0" w:firstLineChars="0"/>
        <w:jc w:val="left"/>
        <w:rPr>
          <w:rFonts w:hAnsi="Times New Roman" w:cs="宋体"/>
          <w:color w:val="auto"/>
          <w:highlight w:val="none"/>
          <w:lang w:eastAsia="zh-CN"/>
        </w:rPr>
      </w:pPr>
      <w:r>
        <w:rPr>
          <w:rFonts w:ascii="宋体" w:hAnsi="Times New Roman" w:eastAsia="宋体" w:cs="Times New Roman"/>
          <w:snapToGrid w:val="0"/>
          <w:color w:val="auto"/>
          <w:sz w:val="24"/>
          <w:szCs w:val="21"/>
          <w:highlight w:val="none"/>
          <w:lang w:val="en-US" w:eastAsia="zh-CN" w:bidi="ar-SA"/>
        </w:rPr>
        <w:t>2.1</w:t>
      </w:r>
      <w:r>
        <w:rPr>
          <w:rFonts w:hint="eastAsia" w:hAnsi="Times New Roman" w:cs="Times New Roman"/>
          <w:snapToGrid w:val="0"/>
          <w:color w:val="auto"/>
          <w:sz w:val="24"/>
          <w:szCs w:val="21"/>
          <w:highlight w:val="none"/>
          <w:lang w:val="en-US" w:eastAsia="zh-CN" w:bidi="ar-SA"/>
        </w:rPr>
        <w:t>5</w:t>
      </w:r>
      <w:r>
        <w:rPr>
          <w:rFonts w:ascii="宋体" w:hAnsi="Times New Roman" w:eastAsia="宋体" w:cs="Times New Roman"/>
          <w:snapToGrid w:val="0"/>
          <w:color w:val="auto"/>
          <w:sz w:val="24"/>
          <w:szCs w:val="21"/>
          <w:highlight w:val="none"/>
          <w:lang w:val="en-US" w:eastAsia="zh-CN" w:bidi="ar-SA"/>
        </w:rPr>
        <w:t>.</w:t>
      </w:r>
      <w:r>
        <w:rPr>
          <w:rFonts w:hint="eastAsia" w:hAnsi="Times New Roman" w:cs="Times New Roman"/>
          <w:snapToGrid w:val="0"/>
          <w:color w:val="auto"/>
          <w:sz w:val="24"/>
          <w:szCs w:val="21"/>
          <w:highlight w:val="none"/>
          <w:lang w:val="en-US" w:eastAsia="zh-CN" w:bidi="ar-SA"/>
        </w:rPr>
        <w:t xml:space="preserve">8 </w:t>
      </w:r>
      <w:r>
        <w:rPr>
          <w:rFonts w:cs="宋体"/>
          <w:color w:val="auto"/>
          <w:highlight w:val="none"/>
          <w:lang w:eastAsia="zh-CN"/>
        </w:rPr>
        <w:t>施工供风设施</w:t>
      </w:r>
    </w:p>
    <w:p w14:paraId="244DB3FD">
      <w:pPr>
        <w:ind w:firstLine="420"/>
        <w:jc w:val="left"/>
        <w:rPr>
          <w:rFonts w:cs="宋体"/>
          <w:color w:val="auto"/>
          <w:highlight w:val="none"/>
          <w:lang w:eastAsia="zh-CN"/>
        </w:rPr>
      </w:pPr>
      <w:r>
        <w:rPr>
          <w:rFonts w:cs="宋体"/>
          <w:color w:val="auto"/>
          <w:highlight w:val="none"/>
          <w:lang w:eastAsia="zh-CN"/>
        </w:rPr>
        <w:t>除合同另有约定外，承包人根据合同要求完成施工供风设施的建设、移设和拆除工作所需的费用，包含在《工程量清单》</w:t>
      </w:r>
      <w:r>
        <w:rPr>
          <w:rFonts w:hint="eastAsia" w:cs="宋体"/>
          <w:color w:val="auto"/>
          <w:highlight w:val="none"/>
          <w:lang w:eastAsia="zh-CN"/>
        </w:rPr>
        <w:t>“</w:t>
      </w:r>
      <w:r>
        <w:rPr>
          <w:rFonts w:cs="宋体"/>
          <w:color w:val="auto"/>
          <w:highlight w:val="none"/>
          <w:lang w:eastAsia="zh-CN"/>
        </w:rPr>
        <w:t>施工供风设施</w:t>
      </w:r>
      <w:r>
        <w:rPr>
          <w:rFonts w:hint="eastAsia" w:cs="宋体"/>
          <w:color w:val="auto"/>
          <w:highlight w:val="none"/>
          <w:lang w:eastAsia="zh-CN"/>
        </w:rPr>
        <w:t>”</w:t>
      </w:r>
      <w:r>
        <w:rPr>
          <w:rFonts w:hint="eastAsia" w:cs="宋体"/>
          <w:color w:val="auto"/>
          <w:highlight w:val="none"/>
          <w:lang w:val="en-US" w:eastAsia="zh-CN"/>
        </w:rPr>
        <w:t>中</w:t>
      </w:r>
      <w:r>
        <w:rPr>
          <w:rFonts w:cs="宋体"/>
          <w:color w:val="auto"/>
          <w:highlight w:val="none"/>
          <w:lang w:eastAsia="zh-CN"/>
        </w:rPr>
        <w:t>，发包人</w:t>
      </w:r>
      <w:r>
        <w:rPr>
          <w:rFonts w:hint="eastAsia" w:cs="宋体"/>
          <w:color w:val="auto"/>
          <w:highlight w:val="none"/>
          <w:lang w:eastAsia="zh-CN"/>
        </w:rPr>
        <w:t>按总价</w:t>
      </w:r>
      <w:r>
        <w:rPr>
          <w:rFonts w:cs="宋体"/>
          <w:color w:val="auto"/>
          <w:highlight w:val="none"/>
          <w:lang w:eastAsia="zh-CN"/>
        </w:rPr>
        <w:t>支付。</w:t>
      </w:r>
    </w:p>
    <w:p w14:paraId="632AA26F">
      <w:pPr>
        <w:ind w:firstLine="0" w:firstLineChars="0"/>
        <w:jc w:val="left"/>
        <w:rPr>
          <w:rFonts w:hAnsi="Times New Roman" w:cs="宋体"/>
          <w:color w:val="auto"/>
          <w:highlight w:val="none"/>
          <w:lang w:eastAsia="zh-CN"/>
        </w:rPr>
      </w:pPr>
      <w:r>
        <w:rPr>
          <w:rFonts w:ascii="宋体" w:hAnsi="Times New Roman" w:eastAsia="宋体" w:cs="Times New Roman"/>
          <w:snapToGrid w:val="0"/>
          <w:color w:val="auto"/>
          <w:sz w:val="24"/>
          <w:szCs w:val="21"/>
          <w:highlight w:val="none"/>
          <w:lang w:val="en-US" w:eastAsia="zh-CN" w:bidi="ar-SA"/>
        </w:rPr>
        <w:t>2.1</w:t>
      </w:r>
      <w:r>
        <w:rPr>
          <w:rFonts w:hint="eastAsia" w:hAnsi="Times New Roman" w:cs="Times New Roman"/>
          <w:snapToGrid w:val="0"/>
          <w:color w:val="auto"/>
          <w:sz w:val="24"/>
          <w:szCs w:val="21"/>
          <w:highlight w:val="none"/>
          <w:lang w:val="en-US" w:eastAsia="zh-CN" w:bidi="ar-SA"/>
        </w:rPr>
        <w:t>5</w:t>
      </w:r>
      <w:r>
        <w:rPr>
          <w:rFonts w:ascii="宋体" w:hAnsi="Times New Roman" w:eastAsia="宋体" w:cs="Times New Roman"/>
          <w:snapToGrid w:val="0"/>
          <w:color w:val="auto"/>
          <w:sz w:val="24"/>
          <w:szCs w:val="21"/>
          <w:highlight w:val="none"/>
          <w:lang w:val="en-US" w:eastAsia="zh-CN" w:bidi="ar-SA"/>
        </w:rPr>
        <w:t>.</w:t>
      </w:r>
      <w:r>
        <w:rPr>
          <w:rFonts w:hint="eastAsia" w:cs="宋体"/>
          <w:color w:val="auto"/>
          <w:highlight w:val="none"/>
          <w:lang w:val="en-US" w:eastAsia="zh-CN"/>
        </w:rPr>
        <w:t xml:space="preserve">9 </w:t>
      </w:r>
      <w:r>
        <w:rPr>
          <w:rFonts w:cs="宋体"/>
          <w:color w:val="auto"/>
          <w:highlight w:val="none"/>
          <w:lang w:eastAsia="zh-CN"/>
        </w:rPr>
        <w:t>施工通信</w:t>
      </w:r>
    </w:p>
    <w:p w14:paraId="70EDA050">
      <w:pPr>
        <w:ind w:firstLine="420"/>
        <w:jc w:val="left"/>
        <w:rPr>
          <w:rFonts w:cs="宋体"/>
          <w:color w:val="auto"/>
          <w:highlight w:val="none"/>
          <w:lang w:eastAsia="zh-CN"/>
        </w:rPr>
      </w:pPr>
      <w:r>
        <w:rPr>
          <w:rFonts w:cs="宋体"/>
          <w:color w:val="auto"/>
          <w:highlight w:val="none"/>
          <w:lang w:eastAsia="zh-CN"/>
        </w:rPr>
        <w:t>除合同另有约定外，承包人根据合同要求完成现场施工通信设施的建设、移设、维护管理和拆除工作所需的全部费用，包含在《工程量清单》</w:t>
      </w:r>
      <w:r>
        <w:rPr>
          <w:rFonts w:hint="eastAsia" w:cs="宋体"/>
          <w:color w:val="auto"/>
          <w:highlight w:val="none"/>
          <w:lang w:eastAsia="zh-CN"/>
        </w:rPr>
        <w:t>“</w:t>
      </w:r>
      <w:r>
        <w:rPr>
          <w:rFonts w:cs="宋体"/>
          <w:color w:val="auto"/>
          <w:highlight w:val="none"/>
          <w:lang w:eastAsia="zh-CN"/>
        </w:rPr>
        <w:t>施工通信</w:t>
      </w:r>
      <w:r>
        <w:rPr>
          <w:rFonts w:hint="eastAsia" w:cs="宋体"/>
          <w:color w:val="auto"/>
          <w:highlight w:val="none"/>
          <w:lang w:eastAsia="zh-CN"/>
        </w:rPr>
        <w:t>”</w:t>
      </w:r>
      <w:r>
        <w:rPr>
          <w:rFonts w:hint="eastAsia" w:cs="宋体"/>
          <w:color w:val="auto"/>
          <w:highlight w:val="none"/>
          <w:lang w:val="en-US" w:eastAsia="zh-CN"/>
        </w:rPr>
        <w:t>中</w:t>
      </w:r>
      <w:r>
        <w:rPr>
          <w:rFonts w:cs="宋体"/>
          <w:color w:val="auto"/>
          <w:highlight w:val="none"/>
          <w:lang w:eastAsia="zh-CN"/>
        </w:rPr>
        <w:t>，发包人</w:t>
      </w:r>
      <w:r>
        <w:rPr>
          <w:rFonts w:hint="eastAsia" w:cs="宋体"/>
          <w:color w:val="auto"/>
          <w:highlight w:val="none"/>
          <w:lang w:eastAsia="zh-CN"/>
        </w:rPr>
        <w:t>按总价</w:t>
      </w:r>
      <w:r>
        <w:rPr>
          <w:rFonts w:cs="宋体"/>
          <w:color w:val="auto"/>
          <w:highlight w:val="none"/>
          <w:lang w:eastAsia="zh-CN"/>
        </w:rPr>
        <w:t>支付。</w:t>
      </w:r>
    </w:p>
    <w:p w14:paraId="7824D00B">
      <w:pPr>
        <w:ind w:firstLine="0" w:firstLineChars="0"/>
        <w:jc w:val="left"/>
        <w:rPr>
          <w:rFonts w:hAnsi="Times New Roman" w:cs="宋体"/>
          <w:color w:val="auto"/>
          <w:highlight w:val="none"/>
          <w:lang w:eastAsia="zh-CN"/>
        </w:rPr>
      </w:pPr>
      <w:r>
        <w:rPr>
          <w:rFonts w:ascii="宋体" w:hAnsi="Times New Roman" w:eastAsia="宋体" w:cs="Times New Roman"/>
          <w:snapToGrid w:val="0"/>
          <w:color w:val="auto"/>
          <w:sz w:val="24"/>
          <w:szCs w:val="21"/>
          <w:highlight w:val="none"/>
          <w:lang w:val="en-US" w:eastAsia="zh-CN" w:bidi="ar-SA"/>
        </w:rPr>
        <w:t>2.1</w:t>
      </w:r>
      <w:r>
        <w:rPr>
          <w:rFonts w:hint="eastAsia" w:hAnsi="Times New Roman" w:cs="Times New Roman"/>
          <w:snapToGrid w:val="0"/>
          <w:color w:val="auto"/>
          <w:sz w:val="24"/>
          <w:szCs w:val="21"/>
          <w:highlight w:val="none"/>
          <w:lang w:val="en-US" w:eastAsia="zh-CN" w:bidi="ar-SA"/>
        </w:rPr>
        <w:t>5</w:t>
      </w:r>
      <w:r>
        <w:rPr>
          <w:rFonts w:ascii="宋体" w:hAnsi="Times New Roman" w:eastAsia="宋体" w:cs="Times New Roman"/>
          <w:snapToGrid w:val="0"/>
          <w:color w:val="auto"/>
          <w:sz w:val="24"/>
          <w:szCs w:val="21"/>
          <w:highlight w:val="none"/>
          <w:lang w:val="en-US" w:eastAsia="zh-CN" w:bidi="ar-SA"/>
        </w:rPr>
        <w:t>.</w:t>
      </w:r>
      <w:r>
        <w:rPr>
          <w:rFonts w:hint="eastAsia" w:cs="宋体"/>
          <w:color w:val="auto"/>
          <w:highlight w:val="none"/>
          <w:lang w:val="en-US" w:eastAsia="zh-CN"/>
        </w:rPr>
        <w:t xml:space="preserve">10 </w:t>
      </w:r>
      <w:r>
        <w:rPr>
          <w:rFonts w:cs="宋体"/>
          <w:color w:val="auto"/>
          <w:highlight w:val="none"/>
          <w:lang w:eastAsia="zh-CN"/>
        </w:rPr>
        <w:t>砂石料生产系统</w:t>
      </w:r>
    </w:p>
    <w:p w14:paraId="1D61C154">
      <w:pPr>
        <w:ind w:firstLine="420"/>
        <w:jc w:val="left"/>
        <w:rPr>
          <w:rFonts w:cs="宋体"/>
          <w:color w:val="auto"/>
          <w:highlight w:val="none"/>
          <w:lang w:eastAsia="zh-CN"/>
        </w:rPr>
      </w:pPr>
      <w:r>
        <w:rPr>
          <w:rFonts w:cs="宋体"/>
          <w:color w:val="auto"/>
          <w:highlight w:val="none"/>
          <w:lang w:eastAsia="zh-CN"/>
        </w:rPr>
        <w:t>除合同另有约定外，承包人根据合同要求完成砂石料生产系统的建设和拆除工作所需的费用，包含在《工程量清单》</w:t>
      </w:r>
      <w:r>
        <w:rPr>
          <w:rFonts w:hint="eastAsia" w:cs="宋体"/>
          <w:color w:val="auto"/>
          <w:highlight w:val="none"/>
          <w:lang w:eastAsia="zh-CN"/>
        </w:rPr>
        <w:t>“</w:t>
      </w:r>
      <w:r>
        <w:rPr>
          <w:rFonts w:cs="宋体"/>
          <w:color w:val="auto"/>
          <w:highlight w:val="none"/>
          <w:lang w:eastAsia="zh-CN"/>
        </w:rPr>
        <w:t>砂石料生产系统</w:t>
      </w:r>
      <w:r>
        <w:rPr>
          <w:rFonts w:hint="eastAsia" w:cs="宋体"/>
          <w:color w:val="auto"/>
          <w:highlight w:val="none"/>
          <w:lang w:eastAsia="zh-CN"/>
        </w:rPr>
        <w:t>”</w:t>
      </w:r>
      <w:r>
        <w:rPr>
          <w:rFonts w:hint="eastAsia" w:cs="宋体"/>
          <w:color w:val="auto"/>
          <w:highlight w:val="none"/>
          <w:lang w:val="en-US" w:eastAsia="zh-CN"/>
        </w:rPr>
        <w:t>中</w:t>
      </w:r>
      <w:r>
        <w:rPr>
          <w:rFonts w:cs="宋体"/>
          <w:color w:val="auto"/>
          <w:highlight w:val="none"/>
          <w:lang w:eastAsia="zh-CN"/>
        </w:rPr>
        <w:t>，发包人</w:t>
      </w:r>
      <w:r>
        <w:rPr>
          <w:rFonts w:hint="eastAsia" w:cs="宋体"/>
          <w:color w:val="auto"/>
          <w:highlight w:val="none"/>
          <w:lang w:eastAsia="zh-CN"/>
        </w:rPr>
        <w:t>按总价</w:t>
      </w:r>
      <w:r>
        <w:rPr>
          <w:rFonts w:cs="宋体"/>
          <w:color w:val="auto"/>
          <w:highlight w:val="none"/>
          <w:lang w:eastAsia="zh-CN"/>
        </w:rPr>
        <w:t>支付。</w:t>
      </w:r>
    </w:p>
    <w:p w14:paraId="0F34FE45">
      <w:pPr>
        <w:ind w:firstLine="0" w:firstLineChars="0"/>
        <w:jc w:val="left"/>
        <w:rPr>
          <w:rFonts w:hAnsi="Times New Roman" w:cs="宋体"/>
          <w:color w:val="auto"/>
          <w:highlight w:val="none"/>
          <w:lang w:eastAsia="zh-CN"/>
        </w:rPr>
      </w:pPr>
      <w:r>
        <w:rPr>
          <w:rFonts w:hint="eastAsia" w:cs="宋体"/>
          <w:color w:val="auto"/>
          <w:highlight w:val="none"/>
          <w:lang w:val="en-US" w:eastAsia="zh-CN"/>
        </w:rPr>
        <w:t xml:space="preserve">2.15.11 </w:t>
      </w:r>
      <w:r>
        <w:rPr>
          <w:rFonts w:cs="宋体"/>
          <w:color w:val="auto"/>
          <w:highlight w:val="none"/>
          <w:lang w:eastAsia="zh-CN"/>
        </w:rPr>
        <w:t>混凝土生产系统</w:t>
      </w:r>
    </w:p>
    <w:p w14:paraId="3A80F5DA">
      <w:pPr>
        <w:ind w:firstLine="420"/>
        <w:jc w:val="left"/>
        <w:rPr>
          <w:rFonts w:cs="宋体"/>
          <w:color w:val="auto"/>
          <w:highlight w:val="none"/>
          <w:lang w:eastAsia="zh-CN"/>
        </w:rPr>
      </w:pPr>
      <w:r>
        <w:rPr>
          <w:rFonts w:cs="宋体"/>
          <w:color w:val="auto"/>
          <w:highlight w:val="none"/>
          <w:lang w:eastAsia="zh-CN"/>
        </w:rPr>
        <w:t>除合同另有约定外，承包人根据合同要求完成混凝土生产系统的建设和拆除工作所需的费用，包含在《工程量清单》</w:t>
      </w:r>
      <w:r>
        <w:rPr>
          <w:rFonts w:hint="eastAsia" w:cs="宋体"/>
          <w:color w:val="auto"/>
          <w:highlight w:val="none"/>
          <w:lang w:eastAsia="zh-CN"/>
        </w:rPr>
        <w:t>“</w:t>
      </w:r>
      <w:r>
        <w:rPr>
          <w:rFonts w:cs="宋体"/>
          <w:color w:val="auto"/>
          <w:highlight w:val="none"/>
          <w:lang w:eastAsia="zh-CN"/>
        </w:rPr>
        <w:t>混凝土生产系统</w:t>
      </w:r>
      <w:r>
        <w:rPr>
          <w:rFonts w:hint="eastAsia" w:cs="宋体"/>
          <w:color w:val="auto"/>
          <w:highlight w:val="none"/>
          <w:lang w:eastAsia="zh-CN"/>
        </w:rPr>
        <w:t>”</w:t>
      </w:r>
      <w:r>
        <w:rPr>
          <w:rFonts w:cs="宋体"/>
          <w:color w:val="auto"/>
          <w:highlight w:val="none"/>
          <w:lang w:eastAsia="zh-CN"/>
        </w:rPr>
        <w:t>中，发包人</w:t>
      </w:r>
      <w:r>
        <w:rPr>
          <w:rFonts w:hint="eastAsia" w:cs="宋体"/>
          <w:color w:val="auto"/>
          <w:highlight w:val="none"/>
          <w:lang w:eastAsia="zh-CN"/>
        </w:rPr>
        <w:t>按总价</w:t>
      </w:r>
      <w:r>
        <w:rPr>
          <w:rFonts w:cs="宋体"/>
          <w:strike/>
          <w:color w:val="auto"/>
          <w:highlight w:val="none"/>
          <w:lang w:eastAsia="zh-CN"/>
        </w:rPr>
        <w:t>不另行</w:t>
      </w:r>
      <w:r>
        <w:rPr>
          <w:rFonts w:cs="宋体"/>
          <w:color w:val="auto"/>
          <w:highlight w:val="none"/>
          <w:lang w:eastAsia="zh-CN"/>
        </w:rPr>
        <w:t>支付。</w:t>
      </w:r>
    </w:p>
    <w:p w14:paraId="6994742A">
      <w:pPr>
        <w:ind w:firstLine="0" w:firstLineChars="0"/>
        <w:jc w:val="left"/>
        <w:rPr>
          <w:rFonts w:hAnsi="Times New Roman" w:cs="宋体"/>
          <w:color w:val="auto"/>
          <w:highlight w:val="none"/>
          <w:lang w:eastAsia="zh-CN"/>
        </w:rPr>
      </w:pPr>
      <w:r>
        <w:rPr>
          <w:rFonts w:hint="eastAsia" w:cs="宋体"/>
          <w:color w:val="auto"/>
          <w:highlight w:val="none"/>
          <w:lang w:val="en-US" w:eastAsia="zh-CN"/>
        </w:rPr>
        <w:t xml:space="preserve">2.15.12 </w:t>
      </w:r>
      <w:r>
        <w:rPr>
          <w:rFonts w:cs="宋体"/>
          <w:color w:val="auto"/>
          <w:highlight w:val="none"/>
          <w:lang w:eastAsia="zh-CN"/>
        </w:rPr>
        <w:t>附属加工厂及生产用房</w:t>
      </w:r>
    </w:p>
    <w:p w14:paraId="7351B3A4">
      <w:pPr>
        <w:ind w:firstLine="420"/>
        <w:jc w:val="left"/>
        <w:rPr>
          <w:rFonts w:cs="宋体"/>
          <w:color w:val="auto"/>
          <w:highlight w:val="none"/>
          <w:lang w:eastAsia="zh-CN"/>
        </w:rPr>
      </w:pPr>
      <w:r>
        <w:rPr>
          <w:rFonts w:cs="宋体"/>
          <w:color w:val="auto"/>
          <w:highlight w:val="none"/>
          <w:lang w:eastAsia="zh-CN"/>
        </w:rPr>
        <w:t>除合同另有约定外，承包人根据合同要求完成附属加工厂和生产用房的建设、维护管理和拆除工作所需的费用，包含在《工程量清单》</w:t>
      </w:r>
      <w:r>
        <w:rPr>
          <w:rFonts w:hint="eastAsia" w:cs="宋体"/>
          <w:color w:val="auto"/>
          <w:highlight w:val="none"/>
          <w:lang w:eastAsia="zh-CN"/>
        </w:rPr>
        <w:t>“</w:t>
      </w:r>
      <w:r>
        <w:rPr>
          <w:rFonts w:hint="eastAsia" w:asciiTheme="minorEastAsia" w:hAnsiTheme="minorEastAsia" w:eastAsiaTheme="minorEastAsia" w:cstheme="minorEastAsia"/>
          <w:snapToGrid w:val="0"/>
          <w:color w:val="auto"/>
          <w:spacing w:val="8"/>
          <w:kern w:val="0"/>
          <w:sz w:val="24"/>
          <w:szCs w:val="24"/>
          <w:highlight w:val="none"/>
          <w:lang w:val="en-US" w:eastAsia="en-US" w:bidi="ar-SA"/>
        </w:rPr>
        <w:t>其他</w:t>
      </w:r>
      <w:r>
        <w:rPr>
          <w:rFonts w:hint="eastAsia" w:asciiTheme="minorEastAsia" w:hAnsiTheme="minorEastAsia" w:eastAsiaTheme="minorEastAsia" w:cstheme="minorEastAsia"/>
          <w:snapToGrid w:val="0"/>
          <w:color w:val="auto"/>
          <w:spacing w:val="8"/>
          <w:kern w:val="0"/>
          <w:sz w:val="24"/>
          <w:szCs w:val="24"/>
          <w:highlight w:val="none"/>
          <w:lang w:val="en-US" w:eastAsia="zh-CN" w:bidi="ar-SA"/>
        </w:rPr>
        <w:t>措施项目</w:t>
      </w:r>
      <w:r>
        <w:rPr>
          <w:rFonts w:hint="eastAsia" w:cs="宋体"/>
          <w:color w:val="auto"/>
          <w:highlight w:val="none"/>
          <w:lang w:eastAsia="zh-CN"/>
        </w:rPr>
        <w:t>”</w:t>
      </w:r>
      <w:r>
        <w:rPr>
          <w:rFonts w:hint="eastAsia" w:cs="宋体"/>
          <w:color w:val="auto"/>
          <w:highlight w:val="none"/>
          <w:lang w:val="en-US" w:eastAsia="zh-CN"/>
        </w:rPr>
        <w:t>中，</w:t>
      </w:r>
      <w:r>
        <w:rPr>
          <w:rFonts w:cs="宋体"/>
          <w:color w:val="auto"/>
          <w:highlight w:val="none"/>
          <w:lang w:eastAsia="zh-CN"/>
        </w:rPr>
        <w:t>发包人</w:t>
      </w:r>
      <w:r>
        <w:rPr>
          <w:rFonts w:hint="eastAsia" w:cs="宋体"/>
          <w:color w:val="auto"/>
          <w:highlight w:val="none"/>
          <w:lang w:val="en-US" w:eastAsia="zh-CN"/>
        </w:rPr>
        <w:t>按总价</w:t>
      </w:r>
      <w:r>
        <w:rPr>
          <w:rFonts w:cs="宋体"/>
          <w:color w:val="auto"/>
          <w:highlight w:val="none"/>
          <w:lang w:eastAsia="zh-CN"/>
        </w:rPr>
        <w:t>支付。</w:t>
      </w:r>
    </w:p>
    <w:p w14:paraId="7192D070">
      <w:pPr>
        <w:ind w:firstLine="0" w:firstLineChars="0"/>
        <w:jc w:val="left"/>
        <w:rPr>
          <w:rFonts w:hAnsi="Times New Roman" w:cs="宋体"/>
          <w:color w:val="auto"/>
          <w:highlight w:val="none"/>
          <w:lang w:eastAsia="zh-CN"/>
        </w:rPr>
      </w:pPr>
      <w:r>
        <w:rPr>
          <w:rFonts w:hint="eastAsia" w:cs="宋体"/>
          <w:color w:val="auto"/>
          <w:highlight w:val="none"/>
          <w:lang w:val="en-US" w:eastAsia="zh-CN"/>
        </w:rPr>
        <w:t xml:space="preserve">2.15.13 </w:t>
      </w:r>
      <w:r>
        <w:rPr>
          <w:rFonts w:hint="eastAsia" w:cs="宋体"/>
          <w:color w:val="auto"/>
          <w:highlight w:val="none"/>
          <w:lang w:eastAsia="zh-CN"/>
        </w:rPr>
        <w:t>临时</w:t>
      </w:r>
      <w:r>
        <w:rPr>
          <w:rFonts w:cs="宋体"/>
          <w:color w:val="auto"/>
          <w:highlight w:val="none"/>
          <w:lang w:eastAsia="zh-CN"/>
        </w:rPr>
        <w:t>存料场</w:t>
      </w:r>
      <w:r>
        <w:rPr>
          <w:rFonts w:hint="eastAsia" w:cs="宋体"/>
          <w:color w:val="auto"/>
          <w:highlight w:val="none"/>
          <w:lang w:val="en-US" w:eastAsia="zh-CN"/>
        </w:rPr>
        <w:t>和弃渣场</w:t>
      </w:r>
    </w:p>
    <w:p w14:paraId="59CF8ED4">
      <w:pPr>
        <w:ind w:firstLine="420"/>
        <w:jc w:val="left"/>
        <w:rPr>
          <w:rFonts w:hAnsi="Times New Roman" w:cs="宋体"/>
          <w:color w:val="auto"/>
          <w:highlight w:val="none"/>
          <w:lang w:eastAsia="zh-CN"/>
        </w:rPr>
      </w:pPr>
      <w:r>
        <w:rPr>
          <w:rFonts w:cs="宋体"/>
          <w:color w:val="auto"/>
          <w:highlight w:val="none"/>
          <w:lang w:eastAsia="zh-CN"/>
        </w:rPr>
        <w:t>除合同另有约定外，承包人根据合同要求完成存料场</w:t>
      </w:r>
      <w:r>
        <w:rPr>
          <w:rFonts w:hint="eastAsia" w:cs="宋体"/>
          <w:color w:val="auto"/>
          <w:highlight w:val="none"/>
          <w:lang w:val="en-US" w:eastAsia="zh-CN"/>
        </w:rPr>
        <w:t>和弃渣场</w:t>
      </w:r>
      <w:r>
        <w:rPr>
          <w:rFonts w:cs="宋体"/>
          <w:color w:val="auto"/>
          <w:highlight w:val="none"/>
          <w:lang w:eastAsia="zh-CN"/>
        </w:rPr>
        <w:t>的建设、维护管理和拆除工作所需的费用，包含在《工程量清单》</w:t>
      </w:r>
      <w:r>
        <w:rPr>
          <w:rFonts w:hint="eastAsia" w:cs="宋体"/>
          <w:color w:val="auto"/>
          <w:highlight w:val="none"/>
          <w:lang w:eastAsia="zh-CN"/>
        </w:rPr>
        <w:t>“</w:t>
      </w:r>
      <w:r>
        <w:rPr>
          <w:rFonts w:hint="eastAsia" w:asciiTheme="minorEastAsia" w:hAnsiTheme="minorEastAsia" w:eastAsiaTheme="minorEastAsia" w:cstheme="minorEastAsia"/>
          <w:snapToGrid w:val="0"/>
          <w:color w:val="auto"/>
          <w:spacing w:val="8"/>
          <w:kern w:val="0"/>
          <w:sz w:val="24"/>
          <w:szCs w:val="24"/>
          <w:highlight w:val="none"/>
          <w:lang w:val="en-US" w:eastAsia="en-US" w:bidi="ar-SA"/>
        </w:rPr>
        <w:t>其他</w:t>
      </w:r>
      <w:r>
        <w:rPr>
          <w:rFonts w:hint="eastAsia" w:asciiTheme="minorEastAsia" w:hAnsiTheme="minorEastAsia" w:eastAsiaTheme="minorEastAsia" w:cstheme="minorEastAsia"/>
          <w:snapToGrid w:val="0"/>
          <w:color w:val="auto"/>
          <w:spacing w:val="8"/>
          <w:kern w:val="0"/>
          <w:sz w:val="24"/>
          <w:szCs w:val="24"/>
          <w:highlight w:val="none"/>
          <w:lang w:val="en-US" w:eastAsia="zh-CN" w:bidi="ar-SA"/>
        </w:rPr>
        <w:t>措施项目</w:t>
      </w:r>
      <w:r>
        <w:rPr>
          <w:rFonts w:hint="eastAsia" w:cs="宋体"/>
          <w:color w:val="auto"/>
          <w:highlight w:val="none"/>
          <w:lang w:eastAsia="zh-CN"/>
        </w:rPr>
        <w:t>”</w:t>
      </w:r>
      <w:r>
        <w:rPr>
          <w:rFonts w:hint="eastAsia" w:cs="宋体"/>
          <w:color w:val="auto"/>
          <w:highlight w:val="none"/>
          <w:lang w:val="en-US" w:eastAsia="zh-CN"/>
        </w:rPr>
        <w:t>中，</w:t>
      </w:r>
      <w:r>
        <w:rPr>
          <w:rFonts w:cs="宋体"/>
          <w:color w:val="auto"/>
          <w:highlight w:val="none"/>
          <w:lang w:eastAsia="zh-CN"/>
        </w:rPr>
        <w:t>发包人</w:t>
      </w:r>
      <w:r>
        <w:rPr>
          <w:rFonts w:hint="eastAsia" w:cs="宋体"/>
          <w:color w:val="auto"/>
          <w:highlight w:val="none"/>
          <w:lang w:val="en-US" w:eastAsia="zh-CN"/>
        </w:rPr>
        <w:t>按总价</w:t>
      </w:r>
      <w:r>
        <w:rPr>
          <w:rFonts w:cs="宋体"/>
          <w:color w:val="auto"/>
          <w:highlight w:val="none"/>
          <w:lang w:eastAsia="zh-CN"/>
        </w:rPr>
        <w:t>支付。</w:t>
      </w:r>
    </w:p>
    <w:p w14:paraId="1762A85D">
      <w:pPr>
        <w:ind w:firstLine="420"/>
        <w:jc w:val="left"/>
        <w:rPr>
          <w:rFonts w:hint="eastAsia" w:cs="宋体"/>
          <w:color w:val="auto"/>
          <w:highlight w:val="none"/>
          <w:lang w:eastAsia="zh-CN"/>
        </w:rPr>
      </w:pPr>
      <w:r>
        <w:rPr>
          <w:rFonts w:hint="eastAsia" w:cs="宋体"/>
          <w:color w:val="auto"/>
          <w:highlight w:val="none"/>
          <w:lang w:eastAsia="zh-CN"/>
        </w:rPr>
        <w:t>本工程弃料运至临时存料场</w:t>
      </w:r>
      <w:r>
        <w:rPr>
          <w:rFonts w:hint="eastAsia" w:cs="宋体"/>
          <w:color w:val="auto"/>
          <w:highlight w:val="none"/>
          <w:lang w:val="en-US" w:eastAsia="zh-CN"/>
        </w:rPr>
        <w:t>或弃渣场</w:t>
      </w:r>
      <w:r>
        <w:rPr>
          <w:rFonts w:hint="eastAsia" w:cs="宋体"/>
          <w:color w:val="auto"/>
          <w:highlight w:val="none"/>
          <w:lang w:eastAsia="zh-CN"/>
        </w:rPr>
        <w:t>，运费及弃料堆放费用摊入相应土石方开挖单价中。合同实施期间，如临时存料场</w:t>
      </w:r>
      <w:r>
        <w:rPr>
          <w:rFonts w:hint="eastAsia" w:cs="宋体"/>
          <w:color w:val="auto"/>
          <w:highlight w:val="none"/>
          <w:lang w:val="en-US" w:eastAsia="zh-CN"/>
        </w:rPr>
        <w:t>或弃渣场位置</w:t>
      </w:r>
      <w:r>
        <w:rPr>
          <w:rFonts w:hint="eastAsia" w:cs="宋体"/>
          <w:color w:val="auto"/>
          <w:highlight w:val="none"/>
          <w:lang w:eastAsia="zh-CN"/>
        </w:rPr>
        <w:t>不作调整，土方开挖、石方开挖等单价不因运距变化调整。</w:t>
      </w:r>
    </w:p>
    <w:p w14:paraId="6A6BB787">
      <w:pPr>
        <w:ind w:firstLine="0" w:firstLineChars="0"/>
        <w:jc w:val="left"/>
        <w:rPr>
          <w:rFonts w:hAnsi="Times New Roman" w:cs="宋体"/>
          <w:color w:val="auto"/>
          <w:highlight w:val="none"/>
          <w:lang w:eastAsia="zh-CN"/>
        </w:rPr>
      </w:pPr>
      <w:r>
        <w:rPr>
          <w:rFonts w:hint="eastAsia" w:cs="宋体"/>
          <w:color w:val="auto"/>
          <w:highlight w:val="none"/>
          <w:lang w:val="en-US" w:eastAsia="zh-CN"/>
        </w:rPr>
        <w:t xml:space="preserve">2.15.14 </w:t>
      </w:r>
      <w:r>
        <w:rPr>
          <w:rFonts w:cs="宋体"/>
          <w:color w:val="auto"/>
          <w:highlight w:val="none"/>
          <w:lang w:eastAsia="zh-CN"/>
        </w:rPr>
        <w:t>其它临时</w:t>
      </w:r>
      <w:r>
        <w:rPr>
          <w:rFonts w:hint="eastAsia" w:cs="宋体"/>
          <w:color w:val="auto"/>
          <w:highlight w:val="none"/>
          <w:lang w:eastAsia="zh-CN"/>
        </w:rPr>
        <w:t>工程</w:t>
      </w:r>
    </w:p>
    <w:p w14:paraId="5BF42918">
      <w:pPr>
        <w:ind w:firstLine="420"/>
        <w:jc w:val="left"/>
        <w:rPr>
          <w:rFonts w:cs="宋体"/>
          <w:color w:val="auto"/>
          <w:highlight w:val="none"/>
          <w:lang w:eastAsia="zh-CN"/>
        </w:rPr>
      </w:pPr>
      <w:r>
        <w:rPr>
          <w:rFonts w:cs="宋体"/>
          <w:color w:val="auto"/>
          <w:highlight w:val="none"/>
          <w:lang w:eastAsia="zh-CN"/>
        </w:rPr>
        <w:t>未列入《工程量清单》的其它临时</w:t>
      </w:r>
      <w:r>
        <w:rPr>
          <w:rFonts w:hint="eastAsia" w:cs="宋体"/>
          <w:color w:val="auto"/>
          <w:highlight w:val="none"/>
          <w:lang w:eastAsia="zh-CN"/>
        </w:rPr>
        <w:t>工程</w:t>
      </w:r>
      <w:r>
        <w:rPr>
          <w:rFonts w:cs="宋体"/>
          <w:color w:val="auto"/>
          <w:highlight w:val="none"/>
          <w:lang w:eastAsia="zh-CN"/>
        </w:rPr>
        <w:t>，承包人根据合同要求完成这些设施的建设、移置、维护管理和拆除</w:t>
      </w:r>
      <w:r>
        <w:rPr>
          <w:rFonts w:hint="eastAsia" w:cs="宋体"/>
          <w:color w:val="auto"/>
          <w:highlight w:val="none"/>
          <w:lang w:eastAsia="zh-CN"/>
        </w:rPr>
        <w:t>（</w:t>
      </w:r>
      <w:r>
        <w:rPr>
          <w:rFonts w:hint="eastAsia" w:cs="宋体"/>
          <w:color w:val="auto"/>
          <w:highlight w:val="none"/>
          <w:lang w:val="en-US" w:eastAsia="zh-CN"/>
        </w:rPr>
        <w:t>如需</w:t>
      </w:r>
      <w:r>
        <w:rPr>
          <w:rFonts w:hint="eastAsia" w:cs="宋体"/>
          <w:color w:val="auto"/>
          <w:highlight w:val="none"/>
          <w:lang w:eastAsia="zh-CN"/>
        </w:rPr>
        <w:t>）</w:t>
      </w:r>
      <w:r>
        <w:rPr>
          <w:rFonts w:cs="宋体"/>
          <w:color w:val="auto"/>
          <w:highlight w:val="none"/>
          <w:lang w:eastAsia="zh-CN"/>
        </w:rPr>
        <w:t>工作所需的费用，</w:t>
      </w:r>
      <w:r>
        <w:rPr>
          <w:rFonts w:hint="eastAsia" w:cs="宋体"/>
          <w:color w:val="auto"/>
          <w:highlight w:val="none"/>
          <w:lang w:eastAsia="zh-CN"/>
        </w:rPr>
        <w:t>包含在《工程量清单》“其它</w:t>
      </w:r>
      <w:r>
        <w:rPr>
          <w:rFonts w:hint="eastAsia" w:cs="宋体"/>
          <w:color w:val="auto"/>
          <w:highlight w:val="none"/>
          <w:lang w:val="en-US" w:eastAsia="zh-CN"/>
        </w:rPr>
        <w:t>措施项目</w:t>
      </w:r>
      <w:r>
        <w:rPr>
          <w:rFonts w:hint="eastAsia" w:cs="宋体"/>
          <w:color w:val="auto"/>
          <w:highlight w:val="none"/>
          <w:lang w:eastAsia="zh-CN"/>
        </w:rPr>
        <w:t>”</w:t>
      </w:r>
      <w:r>
        <w:rPr>
          <w:rFonts w:cs="宋体"/>
          <w:color w:val="auto"/>
          <w:highlight w:val="none"/>
          <w:lang w:eastAsia="zh-CN"/>
        </w:rPr>
        <w:t>中，发包人</w:t>
      </w:r>
      <w:r>
        <w:rPr>
          <w:rFonts w:hint="eastAsia" w:cs="宋体"/>
          <w:color w:val="auto"/>
          <w:highlight w:val="none"/>
          <w:lang w:eastAsia="zh-CN"/>
        </w:rPr>
        <w:t>按总价</w:t>
      </w:r>
      <w:r>
        <w:rPr>
          <w:rFonts w:cs="宋体"/>
          <w:color w:val="auto"/>
          <w:highlight w:val="none"/>
          <w:lang w:eastAsia="zh-CN"/>
        </w:rPr>
        <w:t>支付。</w:t>
      </w:r>
    </w:p>
    <w:p w14:paraId="7E4EA7BF">
      <w:pPr>
        <w:ind w:firstLine="0" w:firstLineChars="0"/>
        <w:jc w:val="left"/>
        <w:rPr>
          <w:rFonts w:hint="default" w:cs="宋体"/>
          <w:color w:val="auto"/>
          <w:highlight w:val="none"/>
          <w:lang w:val="en-US" w:eastAsia="zh-CN"/>
        </w:rPr>
      </w:pPr>
      <w:r>
        <w:rPr>
          <w:rFonts w:hint="eastAsia" w:cs="宋体"/>
          <w:snapToGrid w:val="0"/>
          <w:color w:val="auto"/>
          <w:sz w:val="24"/>
          <w:szCs w:val="21"/>
          <w:highlight w:val="none"/>
          <w:lang w:val="en-US" w:eastAsia="zh-CN" w:bidi="ar-SA"/>
        </w:rPr>
        <w:t>2.15.15</w:t>
      </w:r>
      <w:r>
        <w:rPr>
          <w:rFonts w:hint="eastAsia" w:cs="宋体"/>
          <w:color w:val="auto"/>
          <w:highlight w:val="none"/>
          <w:lang w:val="en-US" w:eastAsia="zh-CN"/>
        </w:rPr>
        <w:t xml:space="preserve"> 文明标化工地建设</w:t>
      </w:r>
    </w:p>
    <w:p w14:paraId="4E8552C9">
      <w:pPr>
        <w:ind w:firstLine="420"/>
        <w:jc w:val="left"/>
        <w:rPr>
          <w:rFonts w:cs="宋体"/>
          <w:color w:val="auto"/>
          <w:highlight w:val="none"/>
          <w:lang w:eastAsia="zh-CN"/>
        </w:rPr>
      </w:pPr>
      <w:r>
        <w:rPr>
          <w:rFonts w:cs="宋体"/>
          <w:color w:val="auto"/>
          <w:highlight w:val="none"/>
          <w:lang w:eastAsia="zh-CN"/>
        </w:rPr>
        <w:t>承包人根据《浙江省水利建设工程文明标化工地创建指导手册（2024年）》要求完成相关工作的全部费用已包含在《工程量清单》项目的工程单价</w:t>
      </w:r>
      <w:r>
        <w:rPr>
          <w:rFonts w:hint="eastAsia" w:cs="宋体"/>
          <w:color w:val="auto"/>
          <w:highlight w:val="none"/>
          <w:lang w:val="en-US" w:eastAsia="zh-CN"/>
        </w:rPr>
        <w:t>或总价</w:t>
      </w:r>
      <w:r>
        <w:rPr>
          <w:rFonts w:cs="宋体"/>
          <w:color w:val="auto"/>
          <w:highlight w:val="none"/>
          <w:lang w:eastAsia="zh-CN"/>
        </w:rPr>
        <w:t>中，发包人不另行支付。承包人不得因</w:t>
      </w:r>
      <w:r>
        <w:rPr>
          <w:rFonts w:hint="eastAsia" w:cs="宋体"/>
          <w:color w:val="auto"/>
          <w:highlight w:val="none"/>
          <w:lang w:eastAsia="zh-CN"/>
        </w:rPr>
        <w:t>执行</w:t>
      </w:r>
      <w:r>
        <w:rPr>
          <w:rFonts w:cs="宋体"/>
          <w:color w:val="auto"/>
          <w:highlight w:val="none"/>
          <w:lang w:eastAsia="zh-CN"/>
        </w:rPr>
        <w:t>《浙江省水利建设工程文明标化工地创建指导手册（2024年）》的</w:t>
      </w:r>
      <w:r>
        <w:rPr>
          <w:rFonts w:hint="eastAsia" w:cs="宋体"/>
          <w:color w:val="auto"/>
          <w:highlight w:val="none"/>
          <w:lang w:eastAsia="zh-CN"/>
        </w:rPr>
        <w:t>规定</w:t>
      </w:r>
      <w:r>
        <w:rPr>
          <w:rFonts w:cs="宋体"/>
          <w:color w:val="auto"/>
          <w:highlight w:val="none"/>
          <w:lang w:eastAsia="zh-CN"/>
        </w:rPr>
        <w:t>提出变更</w:t>
      </w:r>
      <w:r>
        <w:rPr>
          <w:rFonts w:hint="eastAsia" w:cs="宋体"/>
          <w:color w:val="auto"/>
          <w:highlight w:val="none"/>
          <w:lang w:val="en-US" w:eastAsia="zh-CN"/>
        </w:rPr>
        <w:t>或工期、费用</w:t>
      </w:r>
      <w:r>
        <w:rPr>
          <w:rFonts w:cs="宋体"/>
          <w:color w:val="auto"/>
          <w:highlight w:val="none"/>
          <w:lang w:eastAsia="zh-CN"/>
        </w:rPr>
        <w:t>索赔申请。</w:t>
      </w:r>
    </w:p>
    <w:p w14:paraId="0290DB8B">
      <w:pPr>
        <w:ind w:firstLine="420"/>
        <w:jc w:val="left"/>
        <w:rPr>
          <w:rFonts w:cs="宋体"/>
          <w:color w:val="auto"/>
          <w:highlight w:val="none"/>
          <w:lang w:eastAsia="zh-CN"/>
        </w:rPr>
      </w:pPr>
      <w:r>
        <w:rPr>
          <w:rFonts w:hint="eastAsia" w:cs="宋体"/>
          <w:color w:val="auto"/>
          <w:highlight w:val="none"/>
          <w:lang w:val="en-US" w:eastAsia="zh-CN"/>
        </w:rPr>
        <w:t>如本标段工程实施过程中，</w:t>
      </w:r>
      <w:r>
        <w:rPr>
          <w:rFonts w:cs="宋体"/>
          <w:color w:val="auto"/>
          <w:highlight w:val="none"/>
          <w:lang w:eastAsia="zh-CN"/>
        </w:rPr>
        <w:t>浙江省水利建设工程文明标化工地要求在2024年版基础上有更新，承包人应按发包人或监理人的指示</w:t>
      </w:r>
      <w:r>
        <w:rPr>
          <w:rFonts w:hint="eastAsia" w:cs="宋体"/>
          <w:color w:val="auto"/>
          <w:highlight w:val="none"/>
          <w:lang w:eastAsia="zh-CN"/>
        </w:rPr>
        <w:t>或</w:t>
      </w:r>
      <w:r>
        <w:rPr>
          <w:rFonts w:cs="宋体"/>
          <w:color w:val="auto"/>
          <w:highlight w:val="none"/>
          <w:lang w:eastAsia="zh-CN"/>
        </w:rPr>
        <w:t>要求执行，</w:t>
      </w:r>
      <w:r>
        <w:rPr>
          <w:rFonts w:hint="eastAsia" w:cs="宋体"/>
          <w:color w:val="auto"/>
          <w:highlight w:val="none"/>
          <w:lang w:val="en-US" w:eastAsia="zh-CN"/>
        </w:rPr>
        <w:t>相关</w:t>
      </w:r>
      <w:r>
        <w:rPr>
          <w:rFonts w:cs="宋体"/>
          <w:color w:val="auto"/>
          <w:highlight w:val="none"/>
          <w:lang w:eastAsia="zh-CN"/>
        </w:rPr>
        <w:t>费用</w:t>
      </w:r>
      <w:r>
        <w:rPr>
          <w:rFonts w:hint="eastAsia" w:cs="宋体"/>
          <w:color w:val="auto"/>
          <w:highlight w:val="none"/>
          <w:lang w:val="en-US" w:eastAsia="zh-CN"/>
        </w:rPr>
        <w:t>不作</w:t>
      </w:r>
      <w:r>
        <w:rPr>
          <w:rFonts w:cs="宋体"/>
          <w:color w:val="auto"/>
          <w:highlight w:val="none"/>
          <w:lang w:eastAsia="zh-CN"/>
        </w:rPr>
        <w:t>调整。</w:t>
      </w:r>
    </w:p>
    <w:bookmarkEnd w:id="1620"/>
    <w:p w14:paraId="6C62089B">
      <w:pPr>
        <w:pStyle w:val="3"/>
        <w:spacing w:beforeLines="0" w:afterLines="0" w:line="360" w:lineRule="auto"/>
        <w:jc w:val="both"/>
        <w:outlineLvl w:val="1"/>
        <w:rPr>
          <w:rFonts w:hint="eastAsia" w:cs="宋体"/>
          <w:color w:val="auto"/>
          <w:sz w:val="30"/>
          <w:szCs w:val="30"/>
          <w:highlight w:val="none"/>
        </w:rPr>
      </w:pPr>
      <w:bookmarkStart w:id="1643" w:name="_Toc19163"/>
      <w:bookmarkStart w:id="1644" w:name="_Toc17646"/>
      <w:bookmarkStart w:id="1645" w:name="_Toc24569"/>
      <w:bookmarkStart w:id="1646" w:name="_Toc13642"/>
      <w:bookmarkStart w:id="1647" w:name="_Toc23214"/>
      <w:bookmarkStart w:id="1648" w:name="_Toc3673"/>
      <w:bookmarkStart w:id="1649" w:name="_Toc20903"/>
      <w:bookmarkStart w:id="1650" w:name="_Toc23671"/>
      <w:bookmarkStart w:id="1651" w:name="_Toc10634"/>
      <w:bookmarkStart w:id="1652" w:name="_Toc28167"/>
      <w:bookmarkStart w:id="1653" w:name="_Toc9243"/>
      <w:bookmarkStart w:id="1654" w:name="_Toc2880"/>
      <w:bookmarkStart w:id="1655" w:name="_Toc4114"/>
      <w:bookmarkStart w:id="1656" w:name="_Toc3555"/>
      <w:bookmarkStart w:id="1657" w:name="_Toc19417"/>
      <w:r>
        <w:rPr>
          <w:rFonts w:hint="eastAsia" w:cs="宋体"/>
          <w:color w:val="auto"/>
          <w:sz w:val="30"/>
          <w:szCs w:val="30"/>
          <w:highlight w:val="none"/>
        </w:rPr>
        <w:t>3</w:t>
      </w:r>
      <w:r>
        <w:rPr>
          <w:rFonts w:hint="eastAsia" w:cs="宋体"/>
          <w:color w:val="auto"/>
          <w:sz w:val="30"/>
          <w:szCs w:val="30"/>
          <w:highlight w:val="none"/>
          <w:lang w:eastAsia="zh-CN"/>
        </w:rPr>
        <w:t>　</w:t>
      </w:r>
      <w:r>
        <w:rPr>
          <w:rFonts w:hint="eastAsia" w:cs="宋体"/>
          <w:color w:val="auto"/>
          <w:sz w:val="30"/>
          <w:szCs w:val="30"/>
          <w:highlight w:val="none"/>
        </w:rPr>
        <w:t>施工安全文明措施</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p w14:paraId="743B4325">
      <w:pPr>
        <w:pStyle w:val="4"/>
        <w:spacing w:beforeLines="0" w:afterLines="0"/>
        <w:jc w:val="both"/>
        <w:rPr>
          <w:rFonts w:hint="eastAsia" w:cs="宋体"/>
          <w:bCs/>
          <w:color w:val="auto"/>
          <w:szCs w:val="24"/>
          <w:highlight w:val="none"/>
          <w:lang w:eastAsia="zh-CN"/>
        </w:rPr>
      </w:pPr>
      <w:bookmarkStart w:id="1658" w:name="_Toc20926"/>
      <w:bookmarkStart w:id="1659" w:name="_Toc32637"/>
      <w:bookmarkStart w:id="1660" w:name="_Toc6717"/>
      <w:r>
        <w:rPr>
          <w:rFonts w:hint="eastAsia" w:cs="宋体"/>
          <w:bCs/>
          <w:color w:val="auto"/>
          <w:szCs w:val="24"/>
          <w:highlight w:val="none"/>
          <w:lang w:eastAsia="zh-CN"/>
        </w:rPr>
        <w:t>3.1　一般规定</w:t>
      </w:r>
      <w:bookmarkEnd w:id="1658"/>
      <w:bookmarkEnd w:id="1659"/>
      <w:bookmarkEnd w:id="1660"/>
    </w:p>
    <w:p w14:paraId="735646DB">
      <w:pPr>
        <w:pStyle w:val="5"/>
        <w:jc w:val="left"/>
        <w:rPr>
          <w:rFonts w:hAnsi="Times New Roman" w:cs="楷体"/>
          <w:color w:val="auto"/>
          <w:highlight w:val="none"/>
          <w:lang w:eastAsia="zh-CN"/>
        </w:rPr>
      </w:pPr>
      <w:r>
        <w:rPr>
          <w:rFonts w:hAnsi="Times New Roman" w:cs="Times New Roman"/>
          <w:color w:val="auto"/>
          <w:highlight w:val="none"/>
          <w:lang w:eastAsia="zh-CN"/>
        </w:rPr>
        <w:t>3.1.1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798F0782">
      <w:pPr>
        <w:ind w:firstLine="420"/>
        <w:jc w:val="left"/>
        <w:rPr>
          <w:rFonts w:hAnsi="Times New Roman" w:cs="宋体"/>
          <w:color w:val="auto"/>
          <w:highlight w:val="none"/>
          <w:lang w:eastAsia="zh-CN"/>
        </w:rPr>
      </w:pPr>
      <w:r>
        <w:rPr>
          <w:rFonts w:cs="宋体"/>
          <w:color w:val="auto"/>
          <w:highlight w:val="none"/>
          <w:lang w:eastAsia="zh-CN"/>
        </w:rPr>
        <w:t>本章适用于水利工程施工现场的文明施工及施工安全管理工作等，包括创建文明标化工地，作业环境安全保护，施工安全监测、视频监控、施工安全的防控及应急救援措施</w:t>
      </w:r>
      <w:r>
        <w:rPr>
          <w:rFonts w:hint="eastAsia" w:cs="宋体"/>
          <w:color w:val="auto"/>
          <w:highlight w:val="none"/>
          <w:lang w:eastAsia="zh-CN"/>
        </w:rPr>
        <w:t>。</w:t>
      </w:r>
    </w:p>
    <w:p w14:paraId="63ECDC6E">
      <w:pPr>
        <w:pStyle w:val="5"/>
        <w:jc w:val="left"/>
        <w:rPr>
          <w:rFonts w:hAnsi="Times New Roman" w:cs="楷体"/>
          <w:color w:val="auto"/>
          <w:highlight w:val="none"/>
          <w:lang w:eastAsia="zh-CN"/>
        </w:rPr>
      </w:pPr>
      <w:r>
        <w:rPr>
          <w:rFonts w:hAnsi="Times New Roman" w:cs="Times New Roman"/>
          <w:color w:val="auto"/>
          <w:highlight w:val="none"/>
          <w:lang w:eastAsia="zh-CN"/>
        </w:rPr>
        <w:t>3.1.2</w:t>
      </w:r>
      <w:r>
        <w:rPr>
          <w:rFonts w:hint="eastAsia" w:hAnsi="Times New Roman" w:cs="Times New Roman"/>
          <w:color w:val="auto"/>
          <w:highlight w:val="none"/>
          <w:lang w:eastAsia="zh-CN"/>
        </w:rPr>
        <w:t>　</w:t>
      </w:r>
      <w:r>
        <w:rPr>
          <w:rFonts w:hAnsi="楷体" w:cs="楷体"/>
          <w:color w:val="auto"/>
          <w:highlight w:val="none"/>
          <w:lang w:eastAsia="zh-CN"/>
        </w:rPr>
        <w:t>承包人责任</w:t>
      </w:r>
    </w:p>
    <w:p w14:paraId="262E761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）承包人应按本合同通用合同条款第</w:t>
      </w:r>
      <w:r>
        <w:rPr>
          <w:rFonts w:hAnsi="Times New Roman" w:cs="Times New Roman"/>
          <w:color w:val="auto"/>
          <w:highlight w:val="none"/>
          <w:lang w:eastAsia="zh-CN"/>
        </w:rPr>
        <w:t>9.2</w:t>
      </w:r>
      <w:r>
        <w:rPr>
          <w:rFonts w:cs="宋体"/>
          <w:color w:val="auto"/>
          <w:highlight w:val="none"/>
          <w:lang w:eastAsia="zh-CN"/>
        </w:rPr>
        <w:t>款的约定和《水利水电工程施工通用安全技术规程》（</w:t>
      </w:r>
      <w:r>
        <w:rPr>
          <w:rFonts w:hAnsi="Times New Roman" w:cs="Times New Roman"/>
          <w:color w:val="auto"/>
          <w:highlight w:val="none"/>
          <w:lang w:eastAsia="zh-CN"/>
        </w:rPr>
        <w:t>SL398-2007</w:t>
      </w:r>
      <w:r>
        <w:rPr>
          <w:rFonts w:cs="宋体"/>
          <w:color w:val="auto"/>
          <w:highlight w:val="none"/>
          <w:lang w:eastAsia="zh-CN"/>
        </w:rPr>
        <w:t>）</w:t>
      </w:r>
      <w:r>
        <w:rPr>
          <w:rFonts w:hint="eastAsia" w:cs="宋体"/>
          <w:color w:val="auto"/>
          <w:highlight w:val="none"/>
          <w:lang w:eastAsia="zh-CN"/>
        </w:rPr>
        <w:t>、《浙江省水利建设工程文明标化工地创建指导手册（2024年）》</w:t>
      </w:r>
      <w:r>
        <w:rPr>
          <w:rFonts w:cs="宋体"/>
          <w:color w:val="auto"/>
          <w:highlight w:val="none"/>
          <w:lang w:eastAsia="zh-CN"/>
        </w:rPr>
        <w:t>的规定等履行其文明施工和安全施工职责，对本工程的文明施工和施工安全负责。</w:t>
      </w:r>
    </w:p>
    <w:p w14:paraId="0662637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）承包人应坚持</w:t>
      </w:r>
      <w:r>
        <w:rPr>
          <w:rFonts w:hAnsi="Times New Roman" w:cs="宋体"/>
          <w:color w:val="auto"/>
          <w:highlight w:val="none"/>
          <w:lang w:eastAsia="zh-CN"/>
        </w:rPr>
        <w:t>“</w:t>
      </w:r>
      <w:r>
        <w:rPr>
          <w:rFonts w:cs="宋体"/>
          <w:color w:val="auto"/>
          <w:highlight w:val="none"/>
          <w:lang w:eastAsia="zh-CN"/>
        </w:rPr>
        <w:t>安全第一，预防为主，综合治理</w:t>
      </w:r>
      <w:r>
        <w:rPr>
          <w:rFonts w:hAnsi="Times New Roman" w:cs="宋体"/>
          <w:color w:val="auto"/>
          <w:highlight w:val="none"/>
          <w:lang w:eastAsia="zh-CN"/>
        </w:rPr>
        <w:t>”</w:t>
      </w:r>
      <w:r>
        <w:rPr>
          <w:rFonts w:cs="宋体"/>
          <w:color w:val="auto"/>
          <w:highlight w:val="none"/>
          <w:lang w:eastAsia="zh-CN"/>
        </w:rPr>
        <w:t>的方针，建立、健全安全生产责任制度，制定各项安全生产规章制度和操作规程，建立完善的施工安全生产设施，健全安全生产保证体系，加强监督管理，切实保障全体人员的生命和财产安全。</w:t>
      </w:r>
    </w:p>
    <w:p w14:paraId="58B5B4C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）承包人应加强对职工进行施工安全教育，应按本章第</w:t>
      </w:r>
      <w:r>
        <w:rPr>
          <w:rFonts w:hAnsi="Times New Roman" w:cs="Times New Roman"/>
          <w:color w:val="auto"/>
          <w:highlight w:val="none"/>
          <w:lang w:eastAsia="zh-CN"/>
        </w:rPr>
        <w:t>3.2</w:t>
      </w:r>
      <w:r>
        <w:rPr>
          <w:rFonts w:cs="宋体"/>
          <w:color w:val="auto"/>
          <w:highlight w:val="none"/>
          <w:lang w:eastAsia="zh-CN"/>
        </w:rPr>
        <w:t>款规定的内容，编印安全保护手册发给全体职工。工人上岗前应进行安全操作的培训和考核。合格者才准上岗。</w:t>
      </w:r>
    </w:p>
    <w:p w14:paraId="77CC317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）承包人必须遵守国家颁布的有关安全规程。若承包人责任区内发生重大安全事故时，承包人应立即报告发包人，并在事故发生后</w:t>
      </w:r>
      <w:r>
        <w:rPr>
          <w:rFonts w:hAnsi="Times New Roman" w:cs="Times New Roman"/>
          <w:color w:val="auto"/>
          <w:highlight w:val="none"/>
          <w:u w:val="single"/>
          <w:lang w:eastAsia="zh-CN"/>
        </w:rPr>
        <w:t>12</w:t>
      </w:r>
      <w:r>
        <w:rPr>
          <w:rFonts w:cs="宋体"/>
          <w:color w:val="auto"/>
          <w:highlight w:val="none"/>
          <w:u w:val="single"/>
          <w:lang w:eastAsia="zh-CN"/>
        </w:rPr>
        <w:t>～</w:t>
      </w:r>
      <w:r>
        <w:rPr>
          <w:rFonts w:hAnsi="Times New Roman" w:cs="Times New Roman"/>
          <w:color w:val="auto"/>
          <w:highlight w:val="none"/>
          <w:u w:val="single"/>
          <w:lang w:eastAsia="zh-CN"/>
        </w:rPr>
        <w:t>24</w:t>
      </w:r>
      <w:r>
        <w:rPr>
          <w:rFonts w:cs="宋体"/>
          <w:color w:val="auto"/>
          <w:highlight w:val="none"/>
          <w:lang w:eastAsia="zh-CN"/>
        </w:rPr>
        <w:t>小时内提交事故情况的书面报告。</w:t>
      </w:r>
    </w:p>
    <w:p w14:paraId="1F59982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）承包人应为施工作业人员配置必需的劳动保护用品。承包人应对其施工安全措施不到位而发生的安全事故承担责任。</w:t>
      </w:r>
    </w:p>
    <w:p w14:paraId="4EB0770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）承包人应负责全部施工作业的安全检查，建立专门的安全检查机构，配备专职的安检人员，进行经常性的安全生产检查，并及时作好安全记录。</w:t>
      </w:r>
    </w:p>
    <w:p w14:paraId="75AFA895">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承包人应按相关规定和合同要求积极创建文明施工标准化工地建设，安全文明施工、安全文明标化工地创建应满足主管部门相关规定及发包人要求，同时接受主管部门日常监督检查和指导，把创建活动贯穿工程质量、安全、进度管理等全过程，切实加强施工现场安全文明标准化创建和管理。</w:t>
      </w:r>
    </w:p>
    <w:p w14:paraId="294FBC64">
      <w:pPr>
        <w:suppressAutoHyphens/>
        <w:ind w:firstLine="420"/>
        <w:jc w:val="left"/>
        <w:rPr>
          <w:color w:val="auto"/>
          <w:highlight w:val="none"/>
          <w:lang w:eastAsia="zh-CN"/>
        </w:rPr>
      </w:pPr>
      <w:r>
        <w:rPr>
          <w:rFonts w:hint="eastAsia"/>
          <w:color w:val="auto"/>
          <w:highlight w:val="none"/>
          <w:lang w:eastAsia="zh-CN"/>
        </w:rPr>
        <w:t>（8）承包人应提出施工全过程的文明施工措施计划。结合专业特点及重要工程结构，组织制定施工生产专项安全技术方案和安全事故应急预案，由承包人组织审查，必要时组织专家评审，报监理、发包人审核批准后，方可组织实施。</w:t>
      </w:r>
    </w:p>
    <w:p w14:paraId="0FEB7A0E">
      <w:pPr>
        <w:suppressAutoHyphens/>
        <w:ind w:firstLine="420"/>
        <w:jc w:val="left"/>
        <w:rPr>
          <w:color w:val="auto"/>
          <w:highlight w:val="none"/>
          <w:lang w:eastAsia="zh-CN"/>
        </w:rPr>
      </w:pPr>
      <w:r>
        <w:rPr>
          <w:rFonts w:hint="eastAsia"/>
          <w:color w:val="auto"/>
          <w:highlight w:val="none"/>
          <w:lang w:eastAsia="zh-CN"/>
        </w:rPr>
        <w:t>（9）承包人应按《水利水电工程施工安全管理导则》（SL721）的规定，在施工组织设计中编制安全技术措施专篇。</w:t>
      </w:r>
    </w:p>
    <w:p w14:paraId="45F3F247">
      <w:pPr>
        <w:suppressAutoHyphens/>
        <w:ind w:firstLine="420"/>
        <w:jc w:val="left"/>
        <w:rPr>
          <w:color w:val="auto"/>
          <w:highlight w:val="none"/>
          <w:lang w:eastAsia="zh-CN"/>
        </w:rPr>
      </w:pPr>
      <w:r>
        <w:rPr>
          <w:rFonts w:hint="eastAsia"/>
          <w:color w:val="auto"/>
          <w:highlight w:val="none"/>
          <w:lang w:eastAsia="zh-CN"/>
        </w:rPr>
        <w:t>（10）建议承包人与当地公安部门建立警务室，做好安保工作。</w:t>
      </w:r>
    </w:p>
    <w:p w14:paraId="3D55A2F9">
      <w:pPr>
        <w:suppressAutoHyphens/>
        <w:ind w:firstLine="420"/>
        <w:jc w:val="left"/>
        <w:rPr>
          <w:color w:val="auto"/>
          <w:highlight w:val="none"/>
          <w:lang w:eastAsia="zh-CN"/>
        </w:rPr>
      </w:pPr>
      <w:r>
        <w:rPr>
          <w:rFonts w:hint="eastAsia"/>
          <w:color w:val="auto"/>
          <w:highlight w:val="none"/>
          <w:lang w:eastAsia="zh-CN"/>
        </w:rPr>
        <w:t>（11）承包人应成立突发事件应急救援队，配置救援人员，配备应急物资和救援装备，定期开展应急演练；确保突发事件发生时，能迅速响应，有序开展应急救援工作。</w:t>
      </w:r>
    </w:p>
    <w:p w14:paraId="494471A7">
      <w:pPr>
        <w:suppressAutoHyphens/>
        <w:ind w:firstLine="420"/>
        <w:jc w:val="left"/>
        <w:rPr>
          <w:color w:val="auto"/>
          <w:highlight w:val="none"/>
          <w:lang w:eastAsia="zh-CN"/>
        </w:rPr>
      </w:pPr>
      <w:r>
        <w:rPr>
          <w:rFonts w:hint="eastAsia"/>
          <w:color w:val="auto"/>
          <w:highlight w:val="none"/>
          <w:lang w:eastAsia="zh-CN"/>
        </w:rPr>
        <w:t>（12）承包人应制定建设项目安全生产费用的使用计划，专款专用，不得挪用，建立安全生产费用使用台账。其他应由承包人承担的安全费用，应落实到位。</w:t>
      </w:r>
    </w:p>
    <w:p w14:paraId="67C90E68">
      <w:pPr>
        <w:suppressAutoHyphens/>
        <w:ind w:firstLine="420"/>
        <w:jc w:val="left"/>
        <w:rPr>
          <w:color w:val="auto"/>
          <w:highlight w:val="none"/>
          <w:lang w:eastAsia="zh-CN"/>
        </w:rPr>
      </w:pPr>
      <w:r>
        <w:rPr>
          <w:rFonts w:hint="eastAsia"/>
          <w:color w:val="auto"/>
          <w:highlight w:val="none"/>
          <w:lang w:eastAsia="zh-CN"/>
        </w:rPr>
        <w:t>（13）承包人应聘请第三方专业单位对安全生产进行全过程、全生命周期的咨询，定期评估安全生产形式和潜在的风险，针对性的提出解决意见，做到系统谋划，标本兼治，源头防控，精准施治。</w:t>
      </w:r>
    </w:p>
    <w:p w14:paraId="50B7735F">
      <w:pPr>
        <w:suppressAutoHyphens/>
        <w:ind w:firstLine="420"/>
        <w:jc w:val="left"/>
        <w:rPr>
          <w:color w:val="auto"/>
          <w:highlight w:val="none"/>
          <w:lang w:eastAsia="zh-CN"/>
        </w:rPr>
      </w:pPr>
      <w:r>
        <w:rPr>
          <w:rFonts w:hint="eastAsia"/>
          <w:color w:val="auto"/>
          <w:highlight w:val="none"/>
          <w:lang w:eastAsia="zh-CN"/>
        </w:rPr>
        <w:t>（14）承包人应全面实施智能机械化施工应用推广普及，强力推进“机械化换人、自动化减人、智能化无人”工程建设，大力提升安全装备水平，创建机械化综合应用示范工地。</w:t>
      </w:r>
    </w:p>
    <w:p w14:paraId="4194299A">
      <w:pPr>
        <w:suppressAutoHyphens/>
        <w:ind w:firstLine="420"/>
        <w:jc w:val="left"/>
        <w:rPr>
          <w:color w:val="auto"/>
          <w:highlight w:val="none"/>
          <w:lang w:eastAsia="zh-CN"/>
        </w:rPr>
      </w:pPr>
      <w:r>
        <w:rPr>
          <w:rFonts w:hint="eastAsia"/>
          <w:color w:val="auto"/>
          <w:highlight w:val="none"/>
          <w:lang w:eastAsia="zh-CN"/>
        </w:rPr>
        <w:t>（15）承包人应为相关行业安全生产标准化一级单位，并积极配合发包人开展安全生产标准化达标创建工作，实现从人治向法治转变；实现从集中开展安全生产专项整治向标准化、制度化、经常化管理转变；实现从事后查处向强化基础转变；实现从被动防范向管住源头转变，进而确保安全生产。</w:t>
      </w:r>
    </w:p>
    <w:p w14:paraId="721DB2B8">
      <w:pPr>
        <w:suppressAutoHyphens/>
        <w:ind w:firstLine="420"/>
        <w:jc w:val="left"/>
        <w:rPr>
          <w:color w:val="auto"/>
          <w:highlight w:val="none"/>
          <w:lang w:eastAsia="zh-CN"/>
        </w:rPr>
      </w:pPr>
      <w:r>
        <w:rPr>
          <w:rFonts w:hint="eastAsia"/>
          <w:color w:val="auto"/>
          <w:highlight w:val="none"/>
          <w:lang w:eastAsia="zh-CN"/>
        </w:rPr>
        <w:t>（16）针对工程涉及区域性断裂影响、涌水突泥、地表和地下水环境、高外水压力、坚硬岩岩爆、软岩变形、有毒有害气体、高地温等突出地质问题以及施工期的火灾、爆炸、交通运输事故、爆破作业、坍塌、滚石伤人、触电、高温中暑、边坡围岩失稳、高处坠物、物体打击、焊割作业及电气、起重、机械伤害等主要危险有害因素承包人应提前做好安全预防措施。施工期间合理安排、精心组织，有效预防生产安全事故的发生。</w:t>
      </w:r>
    </w:p>
    <w:p w14:paraId="7BBB7919">
      <w:pPr>
        <w:ind w:firstLine="420"/>
        <w:jc w:val="left"/>
        <w:rPr>
          <w:color w:val="auto"/>
          <w:highlight w:val="none"/>
          <w:lang w:eastAsia="zh-CN"/>
        </w:rPr>
      </w:pPr>
      <w:r>
        <w:rPr>
          <w:rFonts w:hint="eastAsia"/>
          <w:color w:val="auto"/>
          <w:highlight w:val="none"/>
          <w:lang w:eastAsia="zh-CN"/>
        </w:rPr>
        <w:t>（17）承包人作为工程建设施工安全责任主体，对标段内所有工程安全施工负全责，建立健全安全生产管理制度和操作规程，落实全员安全生产责任制，完善安全生产考核奖惩制度，并严格执行发包人关于安全生产相关的规范、标准及制度要求。</w:t>
      </w:r>
    </w:p>
    <w:p w14:paraId="0CC1D3F6">
      <w:pPr>
        <w:pStyle w:val="5"/>
        <w:jc w:val="left"/>
        <w:rPr>
          <w:rFonts w:hAnsi="Times New Roman" w:cs="楷体"/>
          <w:color w:val="auto"/>
          <w:highlight w:val="none"/>
          <w:lang w:eastAsia="zh-CN"/>
        </w:rPr>
      </w:pPr>
      <w:r>
        <w:rPr>
          <w:rFonts w:hAnsi="Times New Roman" w:cs="Times New Roman"/>
          <w:color w:val="auto"/>
          <w:highlight w:val="none"/>
          <w:lang w:eastAsia="zh-CN"/>
        </w:rPr>
        <w:t>3.1.3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4ED133D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）承包人应在本工程开工前</w:t>
      </w:r>
      <w:r>
        <w:rPr>
          <w:rFonts w:hint="eastAsia" w:cs="宋体"/>
          <w:color w:val="auto"/>
          <w:highlight w:val="none"/>
          <w:u w:val="single"/>
          <w:lang w:val="en-US" w:eastAsia="zh-CN"/>
        </w:rPr>
        <w:t xml:space="preserve">   14   </w:t>
      </w:r>
      <w:r>
        <w:rPr>
          <w:rFonts w:cs="宋体"/>
          <w:color w:val="auto"/>
          <w:highlight w:val="none"/>
          <w:lang w:eastAsia="zh-CN"/>
        </w:rPr>
        <w:t>天，编制一份文明施工及创建标化工地措施计划，提交监理人批准。</w:t>
      </w:r>
    </w:p>
    <w:p w14:paraId="5C90F23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）承包人应在本工程开工前</w:t>
      </w:r>
      <w:r>
        <w:rPr>
          <w:rFonts w:hint="eastAsia" w:cs="宋体"/>
          <w:color w:val="auto"/>
          <w:highlight w:val="none"/>
          <w:u w:val="single"/>
          <w:lang w:val="en-US" w:eastAsia="zh-CN"/>
        </w:rPr>
        <w:t xml:space="preserve">   14   </w:t>
      </w:r>
      <w:r>
        <w:rPr>
          <w:rFonts w:cs="宋体"/>
          <w:color w:val="auto"/>
          <w:highlight w:val="none"/>
          <w:lang w:eastAsia="zh-CN"/>
        </w:rPr>
        <w:t>天，根据《中华人民共和国安全生产法》《中华人民共和国消防法》《中华人民共和国道路交通安全法》《中华人民共和国传染病防治法》《水利工程建设安全生产管理规定》《浙江省水利工程施工安全生产工作导则》《浙江省水利工程视频监控系统建设技术规程（试行）》（浙水信〔</w:t>
      </w:r>
      <w:r>
        <w:rPr>
          <w:rFonts w:hAnsi="Times New Roman" w:cs="Times New Roman"/>
          <w:color w:val="auto"/>
          <w:highlight w:val="none"/>
          <w:lang w:eastAsia="zh-CN"/>
        </w:rPr>
        <w:t>2016</w:t>
      </w: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号）等国家行业和地方有关法规，以及本章第</w:t>
      </w:r>
      <w:r>
        <w:rPr>
          <w:rFonts w:hAnsi="Times New Roman" w:cs="Times New Roman"/>
          <w:color w:val="auto"/>
          <w:highlight w:val="none"/>
          <w:lang w:eastAsia="zh-CN"/>
        </w:rPr>
        <w:t>3.2.1</w:t>
      </w:r>
      <w:r>
        <w:rPr>
          <w:rFonts w:cs="宋体"/>
          <w:color w:val="auto"/>
          <w:highlight w:val="none"/>
          <w:lang w:eastAsia="zh-CN"/>
        </w:rPr>
        <w:t>项规定的内容和要求，编制一份施工安全措施计划，提交监理人批准。</w:t>
      </w:r>
    </w:p>
    <w:p w14:paraId="5F57140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在每年、每季和每月的进度报告中，按本章规定的各项安全工作内容，详细说明本工程安全措施计划的实施情况，包括对重大危险源和事故隐患分析、评估、监控和整改，以及按规定的格式提交安全检查和事故处理记录。</w:t>
      </w:r>
    </w:p>
    <w:p w14:paraId="6AE3E94D">
      <w:pPr>
        <w:pStyle w:val="5"/>
        <w:jc w:val="left"/>
        <w:rPr>
          <w:rFonts w:hAnsi="Times New Roman" w:cs="楷体"/>
          <w:color w:val="auto"/>
          <w:highlight w:val="none"/>
          <w:lang w:eastAsia="zh-CN"/>
        </w:rPr>
      </w:pPr>
      <w:r>
        <w:rPr>
          <w:rFonts w:hAnsi="Times New Roman" w:cs="Times New Roman"/>
          <w:color w:val="auto"/>
          <w:highlight w:val="none"/>
          <w:lang w:eastAsia="zh-CN"/>
        </w:rPr>
        <w:t>3.1.4</w:t>
      </w:r>
      <w:r>
        <w:rPr>
          <w:rFonts w:hint="eastAsia" w:hAnsi="Times New Roman" w:cs="Times New Roman"/>
          <w:color w:val="auto"/>
          <w:highlight w:val="none"/>
          <w:lang w:eastAsia="zh-CN"/>
        </w:rPr>
        <w:t>　</w:t>
      </w:r>
      <w:r>
        <w:rPr>
          <w:rFonts w:hAnsi="楷体" w:cs="楷体"/>
          <w:color w:val="auto"/>
          <w:highlight w:val="none"/>
          <w:lang w:eastAsia="zh-CN"/>
        </w:rPr>
        <w:t>引用的法律法规</w:t>
      </w:r>
    </w:p>
    <w:p w14:paraId="2489B96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）《水利工程建设安全生产管理规定》。</w:t>
      </w:r>
    </w:p>
    <w:p w14:paraId="542A2B0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）《安全技术措施计划的项目总名称表》。</w:t>
      </w:r>
    </w:p>
    <w:p w14:paraId="22A6774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）《中华人民共和国道路交通安全法》。</w:t>
      </w:r>
    </w:p>
    <w:p w14:paraId="5FA7EAA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）《中华人民共和国安全生产法》。</w:t>
      </w:r>
    </w:p>
    <w:p w14:paraId="4F4E3B4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）《中华人民共和国消防法》。</w:t>
      </w:r>
    </w:p>
    <w:p w14:paraId="13FFE43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）《中华人民共和国传染病防治法实施办法》。</w:t>
      </w:r>
    </w:p>
    <w:p w14:paraId="6A3A5B4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）《中华人民共和国食品卫生法》。</w:t>
      </w:r>
    </w:p>
    <w:p w14:paraId="126E755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）《中华人民共和国劳动法》。</w:t>
      </w:r>
    </w:p>
    <w:p w14:paraId="7DA1164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9</w:t>
      </w:r>
      <w:r>
        <w:rPr>
          <w:rFonts w:cs="宋体"/>
          <w:color w:val="auto"/>
          <w:highlight w:val="none"/>
          <w:lang w:eastAsia="zh-CN"/>
        </w:rPr>
        <w:t>）《浙江省安全生产条例》。</w:t>
      </w:r>
    </w:p>
    <w:p w14:paraId="519FE89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10</w:t>
      </w:r>
      <w:r>
        <w:rPr>
          <w:rFonts w:cs="宋体"/>
          <w:color w:val="auto"/>
          <w:highlight w:val="none"/>
          <w:lang w:eastAsia="zh-CN"/>
        </w:rPr>
        <w:t>）《浙江省水利工程施工安全生产工作导则》。</w:t>
      </w:r>
    </w:p>
    <w:p w14:paraId="4489E546">
      <w:pPr>
        <w:pStyle w:val="5"/>
        <w:jc w:val="left"/>
        <w:rPr>
          <w:rFonts w:hAnsi="Times New Roman" w:cs="楷体"/>
          <w:color w:val="auto"/>
          <w:highlight w:val="none"/>
          <w:lang w:eastAsia="zh-CN"/>
        </w:rPr>
      </w:pPr>
      <w:r>
        <w:rPr>
          <w:rFonts w:hAnsi="Times New Roman" w:cs="Times New Roman"/>
          <w:color w:val="auto"/>
          <w:highlight w:val="none"/>
          <w:lang w:eastAsia="zh-CN"/>
        </w:rPr>
        <w:t>3.1.5</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789E05F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）《爆破安全规程》（</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6722—2014</w:t>
      </w:r>
      <w:r>
        <w:rPr>
          <w:rFonts w:cs="宋体"/>
          <w:color w:val="auto"/>
          <w:highlight w:val="none"/>
          <w:lang w:eastAsia="zh-CN"/>
        </w:rPr>
        <w:t>）。</w:t>
      </w:r>
    </w:p>
    <w:p w14:paraId="7C833C8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）《安全标志及其使用导则》（</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2894—2008</w:t>
      </w:r>
      <w:r>
        <w:rPr>
          <w:rFonts w:cs="宋体"/>
          <w:color w:val="auto"/>
          <w:highlight w:val="none"/>
          <w:lang w:eastAsia="zh-CN"/>
        </w:rPr>
        <w:t>）。</w:t>
      </w:r>
    </w:p>
    <w:p w14:paraId="44EF1CA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）《水利水电工程施工通用安全技术规程》（</w:t>
      </w:r>
      <w:r>
        <w:rPr>
          <w:rFonts w:hAnsi="Times New Roman" w:cs="Times New Roman"/>
          <w:color w:val="auto"/>
          <w:highlight w:val="none"/>
          <w:lang w:eastAsia="zh-CN"/>
        </w:rPr>
        <w:t>SL398—2007</w:t>
      </w:r>
      <w:r>
        <w:rPr>
          <w:rFonts w:cs="宋体"/>
          <w:color w:val="auto"/>
          <w:highlight w:val="none"/>
          <w:lang w:eastAsia="zh-CN"/>
        </w:rPr>
        <w:t>）。</w:t>
      </w:r>
    </w:p>
    <w:p w14:paraId="3DE22A8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）《水利水电工程机电设备安装安全技术规程》（</w:t>
      </w:r>
      <w:r>
        <w:rPr>
          <w:rFonts w:hAnsi="Times New Roman" w:cs="Times New Roman"/>
          <w:color w:val="auto"/>
          <w:highlight w:val="none"/>
          <w:lang w:eastAsia="zh-CN"/>
        </w:rPr>
        <w:t>SL400—2016</w:t>
      </w:r>
      <w:r>
        <w:rPr>
          <w:rFonts w:cs="宋体"/>
          <w:color w:val="auto"/>
          <w:highlight w:val="none"/>
          <w:lang w:eastAsia="zh-CN"/>
        </w:rPr>
        <w:t>）。</w:t>
      </w:r>
    </w:p>
    <w:p w14:paraId="0BDDF45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）《水工建筑物地下开挖工程施工规范》（</w:t>
      </w:r>
      <w:r>
        <w:rPr>
          <w:rFonts w:hAnsi="Times New Roman" w:cs="Times New Roman"/>
          <w:color w:val="auto"/>
          <w:highlight w:val="none"/>
          <w:lang w:eastAsia="zh-CN"/>
        </w:rPr>
        <w:t>SL378—2007</w:t>
      </w:r>
      <w:r>
        <w:rPr>
          <w:rFonts w:cs="宋体"/>
          <w:color w:val="auto"/>
          <w:highlight w:val="none"/>
          <w:lang w:eastAsia="zh-CN"/>
        </w:rPr>
        <w:t>）。</w:t>
      </w:r>
    </w:p>
    <w:p w14:paraId="3A4247B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）《水利水电工程施工安全管理导则》（</w:t>
      </w:r>
      <w:r>
        <w:rPr>
          <w:rFonts w:hAnsi="Times New Roman" w:cs="Times New Roman"/>
          <w:color w:val="auto"/>
          <w:highlight w:val="none"/>
          <w:lang w:eastAsia="zh-CN"/>
        </w:rPr>
        <w:t>SL721—2015</w:t>
      </w:r>
      <w:r>
        <w:rPr>
          <w:rFonts w:cs="宋体"/>
          <w:color w:val="auto"/>
          <w:highlight w:val="none"/>
          <w:lang w:eastAsia="zh-CN"/>
        </w:rPr>
        <w:t>）。</w:t>
      </w:r>
    </w:p>
    <w:p w14:paraId="0C88157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）《水利水电工程施工安全防护设施技术规范》（</w:t>
      </w:r>
      <w:r>
        <w:rPr>
          <w:rFonts w:hAnsi="Times New Roman" w:cs="Times New Roman"/>
          <w:color w:val="auto"/>
          <w:highlight w:val="none"/>
          <w:lang w:eastAsia="zh-CN"/>
        </w:rPr>
        <w:t>SL714—2015</w:t>
      </w:r>
      <w:r>
        <w:rPr>
          <w:rFonts w:cs="宋体"/>
          <w:color w:val="auto"/>
          <w:highlight w:val="none"/>
          <w:lang w:eastAsia="zh-CN"/>
        </w:rPr>
        <w:t>）。</w:t>
      </w:r>
    </w:p>
    <w:p w14:paraId="0C0C2C2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）《水利水电工程土建施工安全技术规程》（</w:t>
      </w:r>
      <w:r>
        <w:rPr>
          <w:rFonts w:hAnsi="Times New Roman" w:cs="Times New Roman"/>
          <w:color w:val="auto"/>
          <w:highlight w:val="none"/>
          <w:lang w:eastAsia="zh-CN"/>
        </w:rPr>
        <w:t>SL399—2007</w:t>
      </w:r>
      <w:r>
        <w:rPr>
          <w:rFonts w:cs="宋体"/>
          <w:color w:val="auto"/>
          <w:highlight w:val="none"/>
          <w:lang w:eastAsia="zh-CN"/>
        </w:rPr>
        <w:t>）。</w:t>
      </w:r>
    </w:p>
    <w:p w14:paraId="415AAEF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9</w:t>
      </w:r>
      <w:r>
        <w:rPr>
          <w:rFonts w:cs="宋体"/>
          <w:color w:val="auto"/>
          <w:highlight w:val="none"/>
          <w:lang w:eastAsia="zh-CN"/>
        </w:rPr>
        <w:t>）《水利水电工程施工作业人员安全操作规程》（</w:t>
      </w:r>
      <w:r>
        <w:rPr>
          <w:rFonts w:hAnsi="Times New Roman" w:cs="Times New Roman"/>
          <w:color w:val="auto"/>
          <w:highlight w:val="none"/>
          <w:lang w:eastAsia="zh-CN"/>
        </w:rPr>
        <w:t>SL401—2007</w:t>
      </w:r>
      <w:r>
        <w:rPr>
          <w:rFonts w:cs="宋体"/>
          <w:color w:val="auto"/>
          <w:highlight w:val="none"/>
          <w:lang w:eastAsia="zh-CN"/>
        </w:rPr>
        <w:t>）。</w:t>
      </w:r>
    </w:p>
    <w:p w14:paraId="6C4C0381">
      <w:pPr>
        <w:ind w:firstLine="420"/>
        <w:jc w:val="left"/>
        <w:rPr>
          <w:rFonts w:hAnsi="Times New Roman" w:cs="仿宋"/>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10</w:t>
      </w:r>
      <w:r>
        <w:rPr>
          <w:rFonts w:cs="宋体"/>
          <w:color w:val="auto"/>
          <w:highlight w:val="none"/>
          <w:lang w:eastAsia="zh-CN"/>
        </w:rPr>
        <w:t>）《浙江省水利工程视频监控系统建设技术规程（试行）》（浙水信</w:t>
      </w:r>
      <w:r>
        <w:rPr>
          <w:rFonts w:hAnsi="Times New Roman" w:cs="Times New Roman"/>
          <w:color w:val="auto"/>
          <w:highlight w:val="none"/>
          <w:lang w:eastAsia="zh-CN"/>
        </w:rPr>
        <w:t>2018</w:t>
      </w:r>
      <w:r>
        <w:rPr>
          <w:rFonts w:hAnsi="仿宋" w:cs="仿宋"/>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号）。</w:t>
      </w:r>
    </w:p>
    <w:p w14:paraId="4867F0B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11</w:t>
      </w:r>
      <w:r>
        <w:rPr>
          <w:rFonts w:cs="宋体"/>
          <w:color w:val="auto"/>
          <w:highlight w:val="none"/>
          <w:lang w:eastAsia="zh-CN"/>
        </w:rPr>
        <w:t>）《职业健康安全管理体系要求及使用指南》（</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/T45001-2020</w:t>
      </w:r>
      <w:r>
        <w:rPr>
          <w:rFonts w:cs="宋体"/>
          <w:color w:val="auto"/>
          <w:highlight w:val="none"/>
          <w:lang w:eastAsia="zh-CN"/>
        </w:rPr>
        <w:t>）。</w:t>
      </w:r>
    </w:p>
    <w:p w14:paraId="4750D4A1">
      <w:pPr>
        <w:pStyle w:val="4"/>
        <w:spacing w:beforeLines="0" w:afterLines="0"/>
        <w:jc w:val="both"/>
        <w:rPr>
          <w:rFonts w:hint="eastAsia" w:hAnsi="宋体" w:cs="宋体"/>
          <w:bCs/>
          <w:color w:val="auto"/>
          <w:szCs w:val="24"/>
          <w:highlight w:val="none"/>
          <w:lang w:eastAsia="zh-CN"/>
        </w:rPr>
      </w:pPr>
      <w:bookmarkStart w:id="1661" w:name="_Toc12887"/>
      <w:bookmarkStart w:id="1662" w:name="_Toc23520"/>
      <w:bookmarkStart w:id="1663" w:name="_Toc10353"/>
      <w:r>
        <w:rPr>
          <w:rFonts w:hint="eastAsia" w:cs="宋体"/>
          <w:bCs/>
          <w:color w:val="auto"/>
          <w:szCs w:val="24"/>
          <w:highlight w:val="none"/>
          <w:lang w:eastAsia="zh-CN"/>
        </w:rPr>
        <w:t>3.2　文明施工措施</w:t>
      </w:r>
      <w:bookmarkEnd w:id="1661"/>
      <w:bookmarkEnd w:id="1662"/>
      <w:bookmarkEnd w:id="1663"/>
    </w:p>
    <w:p w14:paraId="27D6F271">
      <w:pPr>
        <w:pStyle w:val="5"/>
        <w:jc w:val="left"/>
        <w:rPr>
          <w:rFonts w:hAnsi="Times New Roman" w:cs="楷体"/>
          <w:color w:val="auto"/>
          <w:highlight w:val="none"/>
          <w:lang w:eastAsia="zh-CN"/>
        </w:rPr>
      </w:pPr>
      <w:r>
        <w:rPr>
          <w:rFonts w:hAnsi="Times New Roman" w:cs="Times New Roman"/>
          <w:color w:val="auto"/>
          <w:highlight w:val="none"/>
          <w:lang w:eastAsia="zh-CN"/>
        </w:rPr>
        <w:t>3.2.1</w:t>
      </w:r>
      <w:r>
        <w:rPr>
          <w:rFonts w:hint="eastAsia" w:hAnsi="Times New Roman" w:cs="Times New Roman"/>
          <w:color w:val="auto"/>
          <w:highlight w:val="none"/>
          <w:lang w:eastAsia="zh-CN"/>
        </w:rPr>
        <w:t>　</w:t>
      </w:r>
      <w:r>
        <w:rPr>
          <w:rFonts w:hAnsi="楷体" w:cs="楷体"/>
          <w:color w:val="auto"/>
          <w:highlight w:val="none"/>
          <w:lang w:eastAsia="zh-CN"/>
        </w:rPr>
        <w:t>文明施工措施计划</w:t>
      </w:r>
    </w:p>
    <w:p w14:paraId="0CDCD564">
      <w:pPr>
        <w:ind w:firstLine="420"/>
        <w:jc w:val="left"/>
        <w:rPr>
          <w:rFonts w:hAnsi="Times New Roman" w:cs="宋体"/>
          <w:color w:val="auto"/>
          <w:highlight w:val="none"/>
          <w:lang w:eastAsia="zh-CN"/>
        </w:rPr>
      </w:pPr>
      <w:r>
        <w:rPr>
          <w:rFonts w:cs="宋体"/>
          <w:color w:val="auto"/>
          <w:highlight w:val="none"/>
          <w:lang w:eastAsia="zh-CN"/>
        </w:rPr>
        <w:t>承包人应按本章第</w:t>
      </w:r>
      <w:r>
        <w:rPr>
          <w:rFonts w:hAnsi="Times New Roman" w:cs="Times New Roman"/>
          <w:color w:val="auto"/>
          <w:highlight w:val="none"/>
          <w:lang w:eastAsia="zh-CN"/>
        </w:rPr>
        <w:t>3.1.3</w:t>
      </w:r>
      <w:r>
        <w:rPr>
          <w:rFonts w:cs="宋体"/>
          <w:color w:val="auto"/>
          <w:highlight w:val="none"/>
          <w:lang w:eastAsia="zh-CN"/>
        </w:rPr>
        <w:t>项的规定提交文明施工及标化工地建设措施计划，主要内容包括</w:t>
      </w:r>
      <w:r>
        <w:rPr>
          <w:rFonts w:hint="eastAsia" w:cs="宋体"/>
          <w:color w:val="auto"/>
          <w:highlight w:val="none"/>
          <w:lang w:eastAsia="zh-CN"/>
        </w:rPr>
        <w:t>但不限于</w:t>
      </w:r>
      <w:r>
        <w:rPr>
          <w:rFonts w:hAnsi="Times New Roman" w:cs="宋体"/>
          <w:color w:val="auto"/>
          <w:highlight w:val="none"/>
          <w:lang w:eastAsia="zh-CN"/>
        </w:rPr>
        <w:t>“</w:t>
      </w:r>
      <w:r>
        <w:rPr>
          <w:rFonts w:cs="宋体"/>
          <w:color w:val="auto"/>
          <w:highlight w:val="none"/>
          <w:lang w:eastAsia="zh-CN"/>
        </w:rPr>
        <w:t>八牌四图</w:t>
      </w:r>
      <w:r>
        <w:rPr>
          <w:rFonts w:hAnsi="Times New Roman" w:cs="宋体"/>
          <w:color w:val="auto"/>
          <w:highlight w:val="none"/>
          <w:lang w:eastAsia="zh-CN"/>
        </w:rPr>
        <w:t>”</w:t>
      </w:r>
      <w:r>
        <w:rPr>
          <w:rFonts w:cs="宋体"/>
          <w:color w:val="auto"/>
          <w:highlight w:val="none"/>
          <w:lang w:eastAsia="zh-CN"/>
        </w:rPr>
        <w:t>（工程概况牌、管理人员名单及监督电话牌、消防保卫牌、安全生产牌、文明施工牌、重大危险源公示牌、农民工工资维权公示牌、质量责任公示牌和施工现场平面图、安全生产管理网络图、工程效果图、工程区域位置图）、现场标牌（安全警示标志、文明标识、宣传标语等）设置，围护设施（围墙、</w:t>
      </w:r>
      <w:r>
        <w:rPr>
          <w:rFonts w:hint="eastAsia" w:cs="宋体"/>
          <w:color w:val="auto"/>
          <w:highlight w:val="none"/>
          <w:lang w:val="en-US" w:eastAsia="zh-CN"/>
        </w:rPr>
        <w:t>围挡</w:t>
      </w:r>
      <w:r>
        <w:rPr>
          <w:rFonts w:cs="宋体"/>
          <w:color w:val="auto"/>
          <w:highlight w:val="none"/>
          <w:lang w:eastAsia="zh-CN"/>
        </w:rPr>
        <w:t>、彩条布围栏等）、场容场貌整洁（清扫、清洗、绿化等），办公、生活区设置、施工生产区布置、现场地面整治及创建标化工地的措施计划等。</w:t>
      </w:r>
    </w:p>
    <w:p w14:paraId="77F66D72">
      <w:pPr>
        <w:pStyle w:val="5"/>
        <w:jc w:val="left"/>
        <w:rPr>
          <w:rFonts w:hAnsi="Times New Roman" w:cs="楷体"/>
          <w:color w:val="auto"/>
          <w:highlight w:val="none"/>
          <w:lang w:eastAsia="zh-CN"/>
        </w:rPr>
      </w:pPr>
      <w:r>
        <w:rPr>
          <w:rFonts w:hAnsi="Times New Roman" w:cs="Times New Roman"/>
          <w:color w:val="auto"/>
          <w:highlight w:val="none"/>
          <w:lang w:eastAsia="zh-CN"/>
        </w:rPr>
        <w:t>3.2.2</w:t>
      </w:r>
      <w:r>
        <w:rPr>
          <w:rFonts w:hint="eastAsia" w:hAnsi="Times New Roman" w:cs="Times New Roman"/>
          <w:color w:val="auto"/>
          <w:highlight w:val="none"/>
          <w:lang w:eastAsia="zh-CN"/>
        </w:rPr>
        <w:t>　</w:t>
      </w:r>
      <w:r>
        <w:rPr>
          <w:rFonts w:hAnsi="楷体" w:cs="楷体"/>
          <w:color w:val="auto"/>
          <w:highlight w:val="none"/>
          <w:lang w:eastAsia="zh-CN"/>
        </w:rPr>
        <w:t>八牌四图</w:t>
      </w:r>
    </w:p>
    <w:p w14:paraId="046F7C3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w:t>
      </w:r>
      <w:r>
        <w:rPr>
          <w:rFonts w:hAnsi="Times New Roman" w:cs="宋体"/>
          <w:color w:val="auto"/>
          <w:highlight w:val="none"/>
          <w:lang w:eastAsia="zh-CN"/>
        </w:rPr>
        <w:t>“</w:t>
      </w:r>
      <w:r>
        <w:rPr>
          <w:rFonts w:cs="宋体"/>
          <w:color w:val="auto"/>
          <w:highlight w:val="none"/>
          <w:lang w:eastAsia="zh-CN"/>
        </w:rPr>
        <w:t>八牌四图</w:t>
      </w:r>
      <w:r>
        <w:rPr>
          <w:rFonts w:hAnsi="Times New Roman" w:cs="宋体"/>
          <w:color w:val="auto"/>
          <w:highlight w:val="none"/>
          <w:lang w:eastAsia="zh-CN"/>
        </w:rPr>
        <w:t>”</w:t>
      </w:r>
      <w:r>
        <w:rPr>
          <w:rFonts w:cs="宋体"/>
          <w:color w:val="auto"/>
          <w:highlight w:val="none"/>
          <w:lang w:eastAsia="zh-CN"/>
        </w:rPr>
        <w:t>（工程概况牌、管理人员名单及监督电话牌、消防保卫牌、安全生产牌、文明施工牌、重大危险源公示牌、农民工工资维权公示牌、质量责任公示牌和施工现场平面图、安全生产管理网络图、工程效果图、工程区域位置图）应设在项目部主要出入口及其他醒目位置，尺寸不宜过小。</w:t>
      </w:r>
    </w:p>
    <w:p w14:paraId="4720037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w:t>
      </w:r>
      <w:r>
        <w:rPr>
          <w:rFonts w:hAnsi="Times New Roman" w:cs="宋体"/>
          <w:color w:val="auto"/>
          <w:highlight w:val="none"/>
          <w:lang w:eastAsia="zh-CN"/>
        </w:rPr>
        <w:t>“</w:t>
      </w:r>
      <w:r>
        <w:rPr>
          <w:rFonts w:cs="宋体"/>
          <w:color w:val="auto"/>
          <w:highlight w:val="none"/>
          <w:lang w:eastAsia="zh-CN"/>
        </w:rPr>
        <w:t>八牌四图</w:t>
      </w:r>
      <w:r>
        <w:rPr>
          <w:rFonts w:hAnsi="Times New Roman" w:cs="宋体"/>
          <w:color w:val="auto"/>
          <w:highlight w:val="none"/>
          <w:lang w:eastAsia="zh-CN"/>
        </w:rPr>
        <w:t>”</w:t>
      </w:r>
      <w:r>
        <w:rPr>
          <w:rFonts w:cs="宋体"/>
          <w:color w:val="auto"/>
          <w:highlight w:val="none"/>
          <w:lang w:eastAsia="zh-CN"/>
        </w:rPr>
        <w:t>应规格统一、集中布置、牢固、位置合理、字迹端正、线条清晰、表示明确。</w:t>
      </w:r>
    </w:p>
    <w:p w14:paraId="3B582F6D">
      <w:pPr>
        <w:pStyle w:val="5"/>
        <w:jc w:val="left"/>
        <w:rPr>
          <w:rFonts w:hAnsi="Times New Roman" w:cs="楷体"/>
          <w:color w:val="auto"/>
          <w:highlight w:val="none"/>
          <w:lang w:eastAsia="zh-CN"/>
        </w:rPr>
      </w:pPr>
      <w:r>
        <w:rPr>
          <w:rFonts w:hAnsi="Times New Roman" w:cs="Times New Roman"/>
          <w:color w:val="auto"/>
          <w:highlight w:val="none"/>
          <w:lang w:eastAsia="zh-CN"/>
        </w:rPr>
        <w:t>3.2.3</w:t>
      </w:r>
      <w:r>
        <w:rPr>
          <w:rFonts w:hint="eastAsia" w:hAnsi="Times New Roman" w:cs="Times New Roman"/>
          <w:color w:val="auto"/>
          <w:highlight w:val="none"/>
          <w:lang w:eastAsia="zh-CN"/>
        </w:rPr>
        <w:t>　</w:t>
      </w:r>
      <w:r>
        <w:rPr>
          <w:rFonts w:hAnsi="楷体" w:cs="楷体"/>
          <w:color w:val="auto"/>
          <w:highlight w:val="none"/>
          <w:lang w:eastAsia="zh-CN"/>
        </w:rPr>
        <w:t>现场标牌</w:t>
      </w:r>
    </w:p>
    <w:p w14:paraId="434C764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）安全警示标志标牌应设置在施工现场主要施工部位、事故易发地及主要通道口，规格建议为宽</w:t>
      </w:r>
      <w:r>
        <w:rPr>
          <w:rFonts w:hAnsi="Times New Roman" w:cs="Times New Roman"/>
          <w:color w:val="auto"/>
          <w:highlight w:val="none"/>
          <w:lang w:eastAsia="zh-CN"/>
        </w:rPr>
        <w:t>120</w:t>
      </w:r>
      <w:r>
        <w:rPr>
          <w:rFonts w:cs="宋体"/>
          <w:color w:val="auto"/>
          <w:highlight w:val="none"/>
          <w:lang w:eastAsia="zh-CN"/>
        </w:rPr>
        <w:t>厘米，高</w:t>
      </w:r>
      <w:r>
        <w:rPr>
          <w:rFonts w:hAnsi="Times New Roman" w:cs="Times New Roman"/>
          <w:color w:val="auto"/>
          <w:highlight w:val="none"/>
          <w:lang w:eastAsia="zh-CN"/>
        </w:rPr>
        <w:t>90</w:t>
      </w:r>
      <w:r>
        <w:rPr>
          <w:rFonts w:cs="宋体"/>
          <w:color w:val="auto"/>
          <w:highlight w:val="none"/>
          <w:lang w:eastAsia="zh-CN"/>
        </w:rPr>
        <w:t>厘米。</w:t>
      </w:r>
    </w:p>
    <w:p w14:paraId="2125292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）安全警示标志应按监理人指示补充或更换失效的标志。</w:t>
      </w:r>
    </w:p>
    <w:p w14:paraId="4E8A8DC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）施工现场应在适当位置设置宣传栏、读报栏、黑板报、违章曝光台等，营造安全氛围，普及安全知识。</w:t>
      </w:r>
    </w:p>
    <w:p w14:paraId="0228661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）现场标牌中需公布监督电话，主动接受社会各界的监督。</w:t>
      </w:r>
    </w:p>
    <w:p w14:paraId="794714F3">
      <w:pPr>
        <w:pStyle w:val="5"/>
        <w:jc w:val="left"/>
        <w:rPr>
          <w:rFonts w:hAnsi="Times New Roman" w:cs="楷体"/>
          <w:color w:val="auto"/>
          <w:highlight w:val="none"/>
          <w:lang w:eastAsia="zh-CN"/>
        </w:rPr>
      </w:pPr>
      <w:r>
        <w:rPr>
          <w:rFonts w:hAnsi="Times New Roman" w:cs="Times New Roman"/>
          <w:color w:val="auto"/>
          <w:highlight w:val="none"/>
          <w:lang w:eastAsia="zh-CN"/>
        </w:rPr>
        <w:t>3.2.4</w:t>
      </w:r>
      <w:r>
        <w:rPr>
          <w:rFonts w:hint="eastAsia" w:hAnsi="Times New Roman" w:cs="Times New Roman"/>
          <w:color w:val="auto"/>
          <w:highlight w:val="none"/>
          <w:lang w:eastAsia="zh-CN"/>
        </w:rPr>
        <w:t>　</w:t>
      </w:r>
      <w:r>
        <w:rPr>
          <w:rFonts w:hAnsi="楷体" w:cs="楷体"/>
          <w:color w:val="auto"/>
          <w:highlight w:val="none"/>
          <w:lang w:eastAsia="zh-CN"/>
        </w:rPr>
        <w:t>围护设施</w:t>
      </w:r>
    </w:p>
    <w:p w14:paraId="3B5350D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）根据施工现场情况，需尽量修建</w:t>
      </w:r>
      <w:r>
        <w:rPr>
          <w:rFonts w:hint="eastAsia" w:cs="宋体"/>
          <w:color w:val="auto"/>
          <w:highlight w:val="none"/>
          <w:lang w:val="en-US" w:eastAsia="zh-CN"/>
        </w:rPr>
        <w:t>围护</w:t>
      </w:r>
      <w:r>
        <w:rPr>
          <w:rFonts w:cs="宋体"/>
          <w:color w:val="auto"/>
          <w:highlight w:val="none"/>
          <w:lang w:eastAsia="zh-CN"/>
        </w:rPr>
        <w:t>设施进行封闭施工，减轻对周边环境的影响。</w:t>
      </w:r>
    </w:p>
    <w:p w14:paraId="2A169E1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）围护设施需满足安全要求。</w:t>
      </w:r>
    </w:p>
    <w:p w14:paraId="2CAD81E0">
      <w:pPr>
        <w:pStyle w:val="5"/>
        <w:jc w:val="left"/>
        <w:rPr>
          <w:rFonts w:hAnsi="Times New Roman" w:cs="楷体"/>
          <w:color w:val="auto"/>
          <w:highlight w:val="none"/>
          <w:lang w:eastAsia="zh-CN"/>
        </w:rPr>
      </w:pPr>
      <w:r>
        <w:rPr>
          <w:rFonts w:hAnsi="Times New Roman" w:cs="Times New Roman"/>
          <w:color w:val="auto"/>
          <w:highlight w:val="none"/>
          <w:lang w:eastAsia="zh-CN"/>
        </w:rPr>
        <w:t>3.2.5</w:t>
      </w:r>
      <w:r>
        <w:rPr>
          <w:rFonts w:hint="eastAsia" w:hAnsi="Times New Roman" w:cs="Times New Roman"/>
          <w:color w:val="auto"/>
          <w:highlight w:val="none"/>
          <w:lang w:eastAsia="zh-CN"/>
        </w:rPr>
        <w:t>　</w:t>
      </w:r>
      <w:r>
        <w:rPr>
          <w:rFonts w:hAnsi="楷体" w:cs="楷体"/>
          <w:color w:val="auto"/>
          <w:highlight w:val="none"/>
          <w:lang w:eastAsia="zh-CN"/>
        </w:rPr>
        <w:t>办公与生活区</w:t>
      </w:r>
    </w:p>
    <w:p w14:paraId="6E83BCF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）办公、生活区设置应当遵循</w:t>
      </w:r>
      <w:r>
        <w:rPr>
          <w:rFonts w:hAnsi="Times New Roman" w:cs="宋体"/>
          <w:color w:val="auto"/>
          <w:highlight w:val="none"/>
          <w:lang w:eastAsia="zh-CN"/>
        </w:rPr>
        <w:t>“</w:t>
      </w:r>
      <w:r>
        <w:rPr>
          <w:rFonts w:cs="宋体"/>
          <w:color w:val="auto"/>
          <w:highlight w:val="none"/>
          <w:lang w:eastAsia="zh-CN"/>
        </w:rPr>
        <w:t>因地制宜、规模适度、管理方便、经济合理、美观大方、体现特色</w:t>
      </w:r>
      <w:r>
        <w:rPr>
          <w:rFonts w:hAnsi="Times New Roman" w:cs="宋体"/>
          <w:color w:val="auto"/>
          <w:highlight w:val="none"/>
          <w:lang w:eastAsia="zh-CN"/>
        </w:rPr>
        <w:t>”</w:t>
      </w:r>
      <w:r>
        <w:rPr>
          <w:rFonts w:cs="宋体"/>
          <w:color w:val="auto"/>
          <w:highlight w:val="none"/>
          <w:lang w:eastAsia="zh-CN"/>
        </w:rPr>
        <w:t>六大原则。</w:t>
      </w:r>
    </w:p>
    <w:p w14:paraId="5CD68B7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）办公用房宜采用砌体或结构可靠、可重复使用的钢结构装配式活动房，房屋建筑构件及芯材的燃烧性能等级应满足相关要求；板房搭设应安全牢固，房屋满足防强风要求。</w:t>
      </w:r>
    </w:p>
    <w:p w14:paraId="2DCB3BA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）消防通道宽度满足相关要求，消防设施及器材品种齐全、数量足够、性能完好，按区域明确安全保卫、卫生、消防及消防器材责任人。</w:t>
      </w:r>
    </w:p>
    <w:p w14:paraId="117AD16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）办公区临时建筑应包括（不限于）：大门、门卫室、旗台、花坛、停车场（棚）、运动场、宣传栏、办公室、会议室、资料室、卫生间、仓库、试验室等。</w:t>
      </w:r>
    </w:p>
    <w:p w14:paraId="440B830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）生活区临时建筑应包括（不限于）：大门、宿舍、食堂、餐厅、浴室、盥洗室、卫生间、洗衣台、晾衣间、仓库等。</w:t>
      </w:r>
    </w:p>
    <w:p w14:paraId="2042807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）配套设施：办公、生活区域场地道路应硬化，合理布置绿化，单独系统设置配电、供水、排水、热水、污水处理、生活垃圾处理、卫生消防等系统。</w:t>
      </w:r>
    </w:p>
    <w:p w14:paraId="453EB1E1">
      <w:pPr>
        <w:pStyle w:val="5"/>
        <w:jc w:val="left"/>
        <w:rPr>
          <w:rFonts w:hAnsi="Times New Roman" w:cs="楷体"/>
          <w:color w:val="auto"/>
          <w:highlight w:val="none"/>
          <w:lang w:eastAsia="zh-CN"/>
        </w:rPr>
      </w:pPr>
      <w:r>
        <w:rPr>
          <w:rFonts w:hAnsi="Times New Roman" w:cs="Times New Roman"/>
          <w:color w:val="auto"/>
          <w:highlight w:val="none"/>
          <w:lang w:eastAsia="zh-CN"/>
        </w:rPr>
        <w:t>3.2.6</w:t>
      </w:r>
      <w:r>
        <w:rPr>
          <w:rFonts w:hint="eastAsia" w:hAnsi="Times New Roman" w:cs="Times New Roman"/>
          <w:color w:val="auto"/>
          <w:highlight w:val="none"/>
          <w:lang w:eastAsia="zh-CN"/>
        </w:rPr>
        <w:t>　</w:t>
      </w:r>
      <w:r>
        <w:rPr>
          <w:rFonts w:hAnsi="楷体" w:cs="楷体"/>
          <w:color w:val="auto"/>
          <w:highlight w:val="none"/>
          <w:lang w:eastAsia="zh-CN"/>
        </w:rPr>
        <w:t>施工生产区</w:t>
      </w:r>
    </w:p>
    <w:p w14:paraId="0FC50A5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）施工现场的施工区域、办公区域和生活区域宜分开独立设置。当施工场地受限，施工区域内需设置办公、生活设施时，应采取安全隔离措施，并应设置导向、警示、定位、宣传等标示。</w:t>
      </w:r>
    </w:p>
    <w:p w14:paraId="1E85A9A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）施工平面布置应符合消防安全、卫生防疫等相关规定。不得在尚未竣工的建筑物内设置员工宿舍。</w:t>
      </w:r>
    </w:p>
    <w:p w14:paraId="6C4844D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）大型机械设备配置除满足吊装能力、覆盖范围等施工需求外，不宜对周边的环境安全带来不利影响；当可能带来不利影响时，应采取安全技术措施和管理措施。</w:t>
      </w:r>
    </w:p>
    <w:p w14:paraId="347D4AE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）施工现场出入口设置应满足交通安全的基本要求。</w:t>
      </w:r>
    </w:p>
    <w:p w14:paraId="7135F6BB">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）水库、泵站、水闸等集中施工现场应实行封闭施工，河道、堤防等线性施工现场的主要施工区域应实行封闭施工。</w:t>
      </w:r>
    </w:p>
    <w:p w14:paraId="48E67D86">
      <w:pPr>
        <w:ind w:firstLine="0" w:firstLineChars="0"/>
        <w:jc w:val="left"/>
        <w:rPr>
          <w:rFonts w:hint="eastAsia" w:ascii="宋体" w:hAnsi="Times New Roman" w:eastAsia="宋体" w:cs="Times New Roman"/>
          <w:snapToGrid w:val="0"/>
          <w:color w:val="auto"/>
          <w:sz w:val="24"/>
          <w:szCs w:val="24"/>
          <w:highlight w:val="none"/>
          <w:lang w:val="en-US" w:eastAsia="zh-CN" w:bidi="ar-SA"/>
        </w:rPr>
      </w:pPr>
      <w:r>
        <w:rPr>
          <w:rFonts w:ascii="宋体" w:hAnsi="Times New Roman" w:eastAsia="宋体" w:cs="Times New Roman"/>
          <w:snapToGrid w:val="0"/>
          <w:color w:val="auto"/>
          <w:sz w:val="24"/>
          <w:szCs w:val="24"/>
          <w:highlight w:val="none"/>
          <w:lang w:val="en-US" w:eastAsia="zh-CN" w:bidi="ar-SA"/>
        </w:rPr>
        <w:t>3.2.</w:t>
      </w:r>
      <w:r>
        <w:rPr>
          <w:rFonts w:hint="eastAsia" w:hAnsi="Times New Roman" w:cs="Times New Roman"/>
          <w:snapToGrid w:val="0"/>
          <w:color w:val="auto"/>
          <w:sz w:val="24"/>
          <w:szCs w:val="24"/>
          <w:highlight w:val="none"/>
          <w:lang w:val="en-US" w:eastAsia="zh-CN" w:bidi="ar-SA"/>
        </w:rPr>
        <w:t>7</w:t>
      </w:r>
      <w:r>
        <w:rPr>
          <w:rFonts w:hint="eastAsia" w:ascii="宋体" w:hAnsi="Times New Roman" w:eastAsia="宋体" w:cs="Times New Roman"/>
          <w:snapToGrid w:val="0"/>
          <w:color w:val="auto"/>
          <w:sz w:val="24"/>
          <w:szCs w:val="24"/>
          <w:highlight w:val="none"/>
          <w:lang w:val="en-US" w:eastAsia="zh-CN" w:bidi="ar-SA"/>
        </w:rPr>
        <w:t>　承包人应执行、遵守</w:t>
      </w:r>
      <w:r>
        <w:rPr>
          <w:rFonts w:ascii="宋体" w:hAnsi="Times New Roman" w:eastAsia="宋体" w:cs="Times New Roman"/>
          <w:snapToGrid w:val="0"/>
          <w:color w:val="auto"/>
          <w:sz w:val="24"/>
          <w:szCs w:val="24"/>
          <w:highlight w:val="none"/>
          <w:lang w:val="en-US" w:eastAsia="en-US" w:bidi="ar-SA"/>
        </w:rPr>
        <w:t>《浙江省水利建设工程文明标化工地创建指导手册（2024年）》</w:t>
      </w:r>
      <w:r>
        <w:rPr>
          <w:rFonts w:hint="eastAsia" w:ascii="宋体" w:hAnsi="Times New Roman" w:eastAsia="宋体" w:cs="Times New Roman"/>
          <w:snapToGrid w:val="0"/>
          <w:color w:val="auto"/>
          <w:sz w:val="24"/>
          <w:szCs w:val="24"/>
          <w:highlight w:val="none"/>
          <w:lang w:val="en-US" w:eastAsia="zh-CN" w:bidi="ar-SA"/>
        </w:rPr>
        <w:t>的相关规定，积极创建省级文明标化工地。</w:t>
      </w:r>
    </w:p>
    <w:p w14:paraId="6AF23784">
      <w:pPr>
        <w:pStyle w:val="4"/>
        <w:spacing w:beforeLines="0" w:afterLines="0"/>
        <w:jc w:val="both"/>
        <w:rPr>
          <w:rFonts w:hint="eastAsia" w:hAnsi="宋体" w:cs="宋体"/>
          <w:bCs/>
          <w:color w:val="auto"/>
          <w:szCs w:val="24"/>
          <w:highlight w:val="none"/>
          <w:lang w:eastAsia="zh-CN"/>
        </w:rPr>
      </w:pPr>
      <w:bookmarkStart w:id="1664" w:name="_Toc25337"/>
      <w:bookmarkStart w:id="1665" w:name="_Toc8693"/>
      <w:bookmarkStart w:id="1666" w:name="_Toc25437"/>
      <w:r>
        <w:rPr>
          <w:rFonts w:hint="eastAsia" w:cs="宋体"/>
          <w:bCs/>
          <w:color w:val="auto"/>
          <w:szCs w:val="24"/>
          <w:highlight w:val="none"/>
          <w:lang w:eastAsia="zh-CN"/>
        </w:rPr>
        <w:t>3.3　施工安全措施</w:t>
      </w:r>
      <w:bookmarkEnd w:id="1664"/>
      <w:bookmarkEnd w:id="1665"/>
      <w:bookmarkEnd w:id="1666"/>
    </w:p>
    <w:p w14:paraId="29D47FF4">
      <w:pPr>
        <w:pStyle w:val="5"/>
        <w:jc w:val="left"/>
        <w:rPr>
          <w:rFonts w:hAnsi="Times New Roman" w:cs="楷体"/>
          <w:color w:val="auto"/>
          <w:highlight w:val="none"/>
          <w:lang w:eastAsia="zh-CN"/>
        </w:rPr>
      </w:pPr>
      <w:r>
        <w:rPr>
          <w:rFonts w:hAnsi="Times New Roman" w:cs="Times New Roman"/>
          <w:color w:val="auto"/>
          <w:highlight w:val="none"/>
          <w:lang w:eastAsia="zh-CN"/>
        </w:rPr>
        <w:t>3.3.1</w:t>
      </w:r>
      <w:r>
        <w:rPr>
          <w:rFonts w:hint="eastAsia" w:hAnsi="Times New Roman" w:cs="Times New Roman"/>
          <w:color w:val="auto"/>
          <w:highlight w:val="none"/>
          <w:lang w:eastAsia="zh-CN"/>
        </w:rPr>
        <w:t>　</w:t>
      </w:r>
      <w:r>
        <w:rPr>
          <w:rFonts w:hAnsi="楷体" w:cs="楷体"/>
          <w:color w:val="auto"/>
          <w:highlight w:val="none"/>
          <w:lang w:eastAsia="zh-CN"/>
        </w:rPr>
        <w:t>施工安全措施计划</w:t>
      </w:r>
    </w:p>
    <w:p w14:paraId="5FC6628C">
      <w:pPr>
        <w:ind w:firstLine="420"/>
        <w:jc w:val="left"/>
        <w:rPr>
          <w:rFonts w:hAnsi="Times New Roman" w:cs="宋体"/>
          <w:color w:val="auto"/>
          <w:highlight w:val="none"/>
          <w:lang w:eastAsia="zh-CN"/>
        </w:rPr>
      </w:pPr>
      <w:r>
        <w:rPr>
          <w:rFonts w:cs="宋体"/>
          <w:color w:val="auto"/>
          <w:highlight w:val="none"/>
          <w:lang w:eastAsia="zh-CN"/>
        </w:rPr>
        <w:t>承包人应按本章第</w:t>
      </w:r>
      <w:r>
        <w:rPr>
          <w:rFonts w:hAnsi="Times New Roman" w:cs="Times New Roman"/>
          <w:color w:val="auto"/>
          <w:highlight w:val="none"/>
          <w:lang w:eastAsia="zh-CN"/>
        </w:rPr>
        <w:t>3.1.3</w:t>
      </w:r>
      <w:r>
        <w:rPr>
          <w:rFonts w:cs="宋体"/>
          <w:color w:val="auto"/>
          <w:highlight w:val="none"/>
          <w:lang w:eastAsia="zh-CN"/>
        </w:rPr>
        <w:t>项的规定提交施工安全措施计划，其内容应包括施工安全机构的设置、专职安全人员的配备，安全作业环境和安全防护措施及用具、装备，安全设施及特种设备的监测、监控，特殊安全作业防护用品、救生设施、防毒面具、有毒气体检测仪器，安全警示、安全保卫设施，以及防洪、防火、防毒、防噪声、防爆破烟尘、救护、警报、治安和炸药管理等。施工安全措施的项目和范围，还应符合国家颁发的《安全技术措施计划的项目总名称表》及其附录</w:t>
      </w:r>
      <w:r>
        <w:rPr>
          <w:rFonts w:hAnsi="Times New Roman" w:cs="Times New Roman"/>
          <w:color w:val="auto"/>
          <w:highlight w:val="none"/>
          <w:lang w:eastAsia="zh-CN"/>
        </w:rPr>
        <w:t>H</w:t>
      </w:r>
      <w:r>
        <w:rPr>
          <w:rFonts w:cs="宋体"/>
          <w:color w:val="auto"/>
          <w:highlight w:val="none"/>
          <w:lang w:eastAsia="zh-CN"/>
        </w:rPr>
        <w:t>、</w:t>
      </w:r>
      <w:r>
        <w:rPr>
          <w:rFonts w:hAnsi="Times New Roman" w:cs="Times New Roman"/>
          <w:color w:val="auto"/>
          <w:highlight w:val="none"/>
          <w:lang w:eastAsia="zh-CN"/>
        </w:rPr>
        <w:t>I</w:t>
      </w:r>
      <w:r>
        <w:rPr>
          <w:rFonts w:cs="宋体"/>
          <w:color w:val="auto"/>
          <w:highlight w:val="none"/>
          <w:lang w:eastAsia="zh-CN"/>
        </w:rPr>
        <w:t>、</w:t>
      </w:r>
      <w:r>
        <w:rPr>
          <w:rFonts w:hAnsi="Times New Roman" w:cs="Times New Roman"/>
          <w:color w:val="auto"/>
          <w:highlight w:val="none"/>
          <w:lang w:eastAsia="zh-CN"/>
        </w:rPr>
        <w:t>J</w:t>
      </w:r>
      <w:r>
        <w:rPr>
          <w:rFonts w:cs="宋体"/>
          <w:color w:val="auto"/>
          <w:highlight w:val="none"/>
          <w:lang w:eastAsia="zh-CN"/>
        </w:rPr>
        <w:t>的规定。并对重大危险源和事故隐患进行分析、评估、监控和整改。</w:t>
      </w:r>
    </w:p>
    <w:p w14:paraId="6231752D">
      <w:pPr>
        <w:pStyle w:val="5"/>
        <w:jc w:val="left"/>
        <w:rPr>
          <w:rFonts w:hAnsi="Times New Roman" w:cs="楷体"/>
          <w:color w:val="auto"/>
          <w:highlight w:val="none"/>
          <w:lang w:eastAsia="zh-CN"/>
        </w:rPr>
      </w:pPr>
      <w:r>
        <w:rPr>
          <w:rFonts w:hAnsi="Times New Roman" w:cs="Times New Roman"/>
          <w:color w:val="auto"/>
          <w:highlight w:val="none"/>
          <w:lang w:eastAsia="zh-CN"/>
        </w:rPr>
        <w:t>3.3.2</w:t>
      </w:r>
      <w:r>
        <w:rPr>
          <w:rFonts w:hint="eastAsia" w:hAnsi="Times New Roman" w:cs="Times New Roman"/>
          <w:color w:val="auto"/>
          <w:highlight w:val="none"/>
          <w:lang w:eastAsia="zh-CN"/>
        </w:rPr>
        <w:t>　</w:t>
      </w:r>
      <w:r>
        <w:rPr>
          <w:rFonts w:hAnsi="楷体" w:cs="楷体"/>
          <w:color w:val="auto"/>
          <w:highlight w:val="none"/>
          <w:lang w:eastAsia="zh-CN"/>
        </w:rPr>
        <w:t>劳动保护</w:t>
      </w:r>
    </w:p>
    <w:p w14:paraId="7411632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）承包人应定期向所有现场施工人员发放安全帽、水鞋、雨衣、手套、手灯、防护面具和安全带等劳动保护用品，以及特殊工种作业人员的劳动保护津贴和营养补助等。</w:t>
      </w:r>
    </w:p>
    <w:p w14:paraId="696D56B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）按《中华人民共和国劳动法》的有关规定安排现场作业人员的劳动和休息时间，加班时间不得超过《中华人民共和国劳动法》第四章的规定。</w:t>
      </w:r>
    </w:p>
    <w:p w14:paraId="66B47D56">
      <w:pPr>
        <w:pStyle w:val="5"/>
        <w:jc w:val="left"/>
        <w:rPr>
          <w:rFonts w:hAnsi="Times New Roman" w:cs="楷体"/>
          <w:color w:val="auto"/>
          <w:highlight w:val="none"/>
          <w:lang w:eastAsia="zh-CN"/>
        </w:rPr>
      </w:pPr>
      <w:r>
        <w:rPr>
          <w:rFonts w:hAnsi="Times New Roman" w:cs="Times New Roman"/>
          <w:color w:val="auto"/>
          <w:highlight w:val="none"/>
          <w:lang w:eastAsia="zh-CN"/>
        </w:rPr>
        <w:t>3.3.3</w:t>
      </w:r>
      <w:r>
        <w:rPr>
          <w:rFonts w:hint="eastAsia" w:hAnsi="Times New Roman" w:cs="Times New Roman"/>
          <w:color w:val="auto"/>
          <w:highlight w:val="none"/>
          <w:lang w:eastAsia="zh-CN"/>
        </w:rPr>
        <w:t>　</w:t>
      </w:r>
      <w:r>
        <w:rPr>
          <w:rFonts w:hAnsi="楷体" w:cs="楷体"/>
          <w:color w:val="auto"/>
          <w:highlight w:val="none"/>
          <w:lang w:eastAsia="zh-CN"/>
        </w:rPr>
        <w:t>伤病防治和卫生保健</w:t>
      </w:r>
    </w:p>
    <w:p w14:paraId="775C82C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）承包人应在施工现场设置医疗卫生机构，负责施工人员的伤病防治和卫生保健工作。</w:t>
      </w:r>
    </w:p>
    <w:p w14:paraId="6FA7887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）施工人员进入生活区和作业面前，应对环境进行卫生清理，以及采取消毒、杀虫、灭鼠等卫生措施，并对饮用水进行消毒。</w:t>
      </w:r>
    </w:p>
    <w:p w14:paraId="4C0E025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）及时做好病源和疫情监测。一旦发现疫情，应立即采取措施控制感染源和感染者。</w:t>
      </w:r>
    </w:p>
    <w:p w14:paraId="1FD5C83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）职工食堂应严格执行《中华人民共和国食品卫生法》的有关规定。</w:t>
      </w:r>
    </w:p>
    <w:p w14:paraId="2374C5F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）所有传染病人、病原携带者和疑似病人一律不得从事易于使该病传播的工作。</w:t>
      </w:r>
    </w:p>
    <w:p w14:paraId="62675520">
      <w:pPr>
        <w:pStyle w:val="5"/>
        <w:jc w:val="left"/>
        <w:rPr>
          <w:rFonts w:hAnsi="Times New Roman" w:cs="楷体"/>
          <w:color w:val="auto"/>
          <w:highlight w:val="none"/>
          <w:lang w:eastAsia="zh-CN"/>
        </w:rPr>
      </w:pPr>
      <w:r>
        <w:rPr>
          <w:rFonts w:hAnsi="Times New Roman" w:cs="Times New Roman"/>
          <w:color w:val="auto"/>
          <w:highlight w:val="none"/>
          <w:lang w:eastAsia="zh-CN"/>
        </w:rPr>
        <w:t>3.3.4</w:t>
      </w:r>
      <w:r>
        <w:rPr>
          <w:rFonts w:hint="eastAsia" w:hAnsi="Times New Roman" w:cs="Times New Roman"/>
          <w:color w:val="auto"/>
          <w:highlight w:val="none"/>
          <w:lang w:eastAsia="zh-CN"/>
        </w:rPr>
        <w:t>　</w:t>
      </w:r>
      <w:r>
        <w:rPr>
          <w:rFonts w:hAnsi="楷体" w:cs="楷体"/>
          <w:color w:val="auto"/>
          <w:highlight w:val="none"/>
          <w:lang w:eastAsia="zh-CN"/>
        </w:rPr>
        <w:t>危险物品的安全管理</w:t>
      </w:r>
    </w:p>
    <w:p w14:paraId="656CAB6D">
      <w:pPr>
        <w:ind w:firstLine="420"/>
        <w:jc w:val="left"/>
        <w:rPr>
          <w:rFonts w:hAnsi="Times New Roman" w:cs="宋体"/>
          <w:color w:val="auto"/>
          <w:highlight w:val="none"/>
          <w:lang w:eastAsia="zh-CN"/>
        </w:rPr>
      </w:pPr>
      <w:r>
        <w:rPr>
          <w:rFonts w:cs="宋体"/>
          <w:color w:val="auto"/>
          <w:highlight w:val="none"/>
          <w:lang w:eastAsia="zh-CN"/>
        </w:rPr>
        <w:t>承包人运输和存放爆破器材，应遵守《水利水电工程施工通用安全技术规程》（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8.3.3</w:t>
      </w:r>
      <w:r>
        <w:rPr>
          <w:rFonts w:cs="宋体"/>
          <w:color w:val="auto"/>
          <w:highlight w:val="none"/>
          <w:lang w:eastAsia="zh-CN"/>
        </w:rPr>
        <w:t>条、第</w:t>
      </w:r>
      <w:r>
        <w:rPr>
          <w:rFonts w:hAnsi="Times New Roman" w:cs="Times New Roman"/>
          <w:color w:val="auto"/>
          <w:highlight w:val="none"/>
          <w:lang w:eastAsia="zh-CN"/>
        </w:rPr>
        <w:t>8.3.4</w:t>
      </w:r>
      <w:r>
        <w:rPr>
          <w:rFonts w:cs="宋体"/>
          <w:color w:val="auto"/>
          <w:highlight w:val="none"/>
          <w:lang w:eastAsia="zh-CN"/>
        </w:rPr>
        <w:t>条的规定；易燃物品的管理应遵守《水利水电工程施工通用安全技术规程》（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11.2</w:t>
      </w:r>
      <w:r>
        <w:rPr>
          <w:rFonts w:cs="宋体"/>
          <w:color w:val="auto"/>
          <w:highlight w:val="none"/>
          <w:lang w:eastAsia="zh-CN"/>
        </w:rPr>
        <w:t>节的规定；放射性物品的管理及防护应遵守《水利水电工程施工通用安全技术规程》（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11.4</w:t>
      </w:r>
      <w:r>
        <w:rPr>
          <w:rFonts w:cs="宋体"/>
          <w:color w:val="auto"/>
          <w:highlight w:val="none"/>
          <w:lang w:eastAsia="zh-CN"/>
        </w:rPr>
        <w:t>节的规定；油库的管理应遵守《水利水电工程施工通用安全技术规程》（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11.5</w:t>
      </w:r>
      <w:r>
        <w:rPr>
          <w:rFonts w:cs="宋体"/>
          <w:color w:val="auto"/>
          <w:highlight w:val="none"/>
          <w:lang w:eastAsia="zh-CN"/>
        </w:rPr>
        <w:t>节的规定。</w:t>
      </w:r>
    </w:p>
    <w:p w14:paraId="3DD73FAD">
      <w:pPr>
        <w:pStyle w:val="5"/>
        <w:jc w:val="left"/>
        <w:rPr>
          <w:rFonts w:hAnsi="Times New Roman" w:cs="楷体"/>
          <w:color w:val="auto"/>
          <w:highlight w:val="none"/>
          <w:lang w:eastAsia="zh-CN"/>
        </w:rPr>
      </w:pPr>
      <w:r>
        <w:rPr>
          <w:rFonts w:hAnsi="Times New Roman" w:cs="Times New Roman"/>
          <w:color w:val="auto"/>
          <w:highlight w:val="none"/>
          <w:lang w:eastAsia="zh-CN"/>
        </w:rPr>
        <w:t>3.3.5</w:t>
      </w:r>
      <w:r>
        <w:rPr>
          <w:rFonts w:hint="eastAsia" w:hAnsi="Times New Roman" w:cs="Times New Roman"/>
          <w:color w:val="auto"/>
          <w:highlight w:val="none"/>
          <w:lang w:eastAsia="zh-CN"/>
        </w:rPr>
        <w:t>　</w:t>
      </w:r>
      <w:r>
        <w:rPr>
          <w:rFonts w:hAnsi="楷体" w:cs="楷体"/>
          <w:color w:val="auto"/>
          <w:highlight w:val="none"/>
          <w:lang w:eastAsia="zh-CN"/>
        </w:rPr>
        <w:t>照明安全</w:t>
      </w:r>
    </w:p>
    <w:p w14:paraId="4DEF7C6B">
      <w:pPr>
        <w:ind w:firstLine="420"/>
        <w:jc w:val="left"/>
        <w:rPr>
          <w:rFonts w:hAnsi="Times New Roman" w:cs="宋体"/>
          <w:color w:val="auto"/>
          <w:highlight w:val="none"/>
          <w:lang w:eastAsia="zh-CN"/>
        </w:rPr>
      </w:pPr>
      <w:r>
        <w:rPr>
          <w:rFonts w:cs="宋体"/>
          <w:color w:val="auto"/>
          <w:highlight w:val="none"/>
          <w:lang w:eastAsia="zh-CN"/>
        </w:rPr>
        <w:t>承包人应在施工作业区、施工道路、临时设施、办公区和生活区设置足够的照明，地下洞室的施工作业区、运输通道应布置照明设施并符合《水利水电工程施工通用安全技术规程》（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4.5.9</w:t>
      </w:r>
      <w:r>
        <w:rPr>
          <w:rFonts w:cs="宋体"/>
          <w:color w:val="auto"/>
          <w:highlight w:val="none"/>
          <w:lang w:eastAsia="zh-CN"/>
        </w:rPr>
        <w:t>～</w:t>
      </w:r>
      <w:r>
        <w:rPr>
          <w:rFonts w:hAnsi="Times New Roman" w:cs="Times New Roman"/>
          <w:color w:val="auto"/>
          <w:highlight w:val="none"/>
          <w:lang w:eastAsia="zh-CN"/>
        </w:rPr>
        <w:t>4.5.14</w:t>
      </w:r>
      <w:r>
        <w:rPr>
          <w:rFonts w:cs="宋体"/>
          <w:color w:val="auto"/>
          <w:highlight w:val="none"/>
          <w:lang w:eastAsia="zh-CN"/>
        </w:rPr>
        <w:t>条的规定。</w:t>
      </w:r>
    </w:p>
    <w:p w14:paraId="00DC64D3">
      <w:pPr>
        <w:pStyle w:val="5"/>
        <w:jc w:val="left"/>
        <w:rPr>
          <w:rFonts w:hAnsi="Times New Roman" w:cs="楷体"/>
          <w:color w:val="auto"/>
          <w:highlight w:val="none"/>
          <w:lang w:eastAsia="zh-CN"/>
        </w:rPr>
      </w:pPr>
      <w:r>
        <w:rPr>
          <w:rFonts w:hAnsi="Times New Roman" w:cs="Times New Roman"/>
          <w:color w:val="auto"/>
          <w:highlight w:val="none"/>
          <w:lang w:eastAsia="zh-CN"/>
        </w:rPr>
        <w:t>3.3.6</w:t>
      </w:r>
      <w:r>
        <w:rPr>
          <w:rFonts w:hint="eastAsia" w:hAnsi="Times New Roman" w:cs="Times New Roman"/>
          <w:color w:val="auto"/>
          <w:highlight w:val="none"/>
          <w:lang w:eastAsia="zh-CN"/>
        </w:rPr>
        <w:t>　</w:t>
      </w:r>
      <w:r>
        <w:rPr>
          <w:rFonts w:hAnsi="楷体" w:cs="楷体"/>
          <w:color w:val="auto"/>
          <w:highlight w:val="none"/>
          <w:lang w:eastAsia="zh-CN"/>
        </w:rPr>
        <w:t>接地及防雷装置</w:t>
      </w:r>
    </w:p>
    <w:p w14:paraId="234CB41F">
      <w:pPr>
        <w:ind w:firstLine="420"/>
        <w:jc w:val="left"/>
        <w:rPr>
          <w:rFonts w:hAnsi="Times New Roman" w:cs="宋体"/>
          <w:color w:val="auto"/>
          <w:highlight w:val="none"/>
          <w:lang w:eastAsia="zh-CN"/>
        </w:rPr>
      </w:pPr>
      <w:r>
        <w:rPr>
          <w:rFonts w:cs="宋体"/>
          <w:color w:val="auto"/>
          <w:highlight w:val="none"/>
          <w:lang w:eastAsia="zh-CN"/>
        </w:rPr>
        <w:t>接地及防雷装置应符合《水利水电工程施工通用安全技术规程》（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4.2</w:t>
      </w:r>
      <w:r>
        <w:rPr>
          <w:rFonts w:cs="宋体"/>
          <w:color w:val="auto"/>
          <w:highlight w:val="none"/>
          <w:lang w:eastAsia="zh-CN"/>
        </w:rPr>
        <w:t>节</w:t>
      </w:r>
      <w:r>
        <w:rPr>
          <w:rFonts w:hAnsi="Times New Roman" w:cs="宋体"/>
          <w:color w:val="auto"/>
          <w:highlight w:val="none"/>
          <w:lang w:eastAsia="zh-CN"/>
        </w:rPr>
        <w:t>“</w:t>
      </w:r>
      <w:r>
        <w:rPr>
          <w:rFonts w:cs="宋体"/>
          <w:color w:val="auto"/>
          <w:highlight w:val="none"/>
          <w:lang w:eastAsia="zh-CN"/>
        </w:rPr>
        <w:t>接地（接零）与防雷规定</w:t>
      </w:r>
      <w:r>
        <w:rPr>
          <w:rFonts w:hAnsi="Times New Roman" w:cs="宋体"/>
          <w:color w:val="auto"/>
          <w:highlight w:val="none"/>
          <w:lang w:eastAsia="zh-CN"/>
        </w:rPr>
        <w:t>”</w:t>
      </w:r>
      <w:r>
        <w:rPr>
          <w:rFonts w:cs="宋体"/>
          <w:color w:val="auto"/>
          <w:highlight w:val="none"/>
          <w:lang w:eastAsia="zh-CN"/>
        </w:rPr>
        <w:t>的要求。凡可能漏电伤人或易受雷击的电器及建筑物均应设置接地或防雷装置。</w:t>
      </w:r>
    </w:p>
    <w:p w14:paraId="7B0B19B7">
      <w:pPr>
        <w:pStyle w:val="5"/>
        <w:jc w:val="left"/>
        <w:rPr>
          <w:rFonts w:hAnsi="Times New Roman" w:cs="楷体"/>
          <w:color w:val="auto"/>
          <w:highlight w:val="none"/>
          <w:lang w:eastAsia="zh-CN"/>
        </w:rPr>
      </w:pPr>
      <w:r>
        <w:rPr>
          <w:rFonts w:hAnsi="Times New Roman" w:cs="Times New Roman"/>
          <w:color w:val="auto"/>
          <w:highlight w:val="none"/>
          <w:lang w:eastAsia="zh-CN"/>
        </w:rPr>
        <w:t>3.3.7</w:t>
      </w:r>
      <w:r>
        <w:rPr>
          <w:rFonts w:hint="eastAsia" w:hAnsi="Times New Roman" w:cs="Times New Roman"/>
          <w:color w:val="auto"/>
          <w:highlight w:val="none"/>
          <w:lang w:eastAsia="zh-CN"/>
        </w:rPr>
        <w:t>　</w:t>
      </w:r>
      <w:r>
        <w:rPr>
          <w:rFonts w:hAnsi="楷体" w:cs="楷体"/>
          <w:color w:val="auto"/>
          <w:highlight w:val="none"/>
          <w:lang w:eastAsia="zh-CN"/>
        </w:rPr>
        <w:t>防有毒、有害物品的控制</w:t>
      </w:r>
    </w:p>
    <w:p w14:paraId="47492D23">
      <w:pPr>
        <w:ind w:firstLine="420"/>
        <w:jc w:val="left"/>
        <w:rPr>
          <w:rFonts w:hAnsi="Times New Roman" w:cs="宋体"/>
          <w:color w:val="auto"/>
          <w:highlight w:val="none"/>
          <w:lang w:eastAsia="zh-CN"/>
        </w:rPr>
      </w:pPr>
      <w:r>
        <w:rPr>
          <w:rFonts w:cs="宋体"/>
          <w:color w:val="auto"/>
          <w:highlight w:val="none"/>
          <w:lang w:eastAsia="zh-CN"/>
        </w:rPr>
        <w:t>承包人应遵守《水工建筑物地下开挖工程施工规范》（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11.3</w:t>
      </w:r>
      <w:r>
        <w:rPr>
          <w:rFonts w:cs="宋体"/>
          <w:color w:val="auto"/>
          <w:highlight w:val="none"/>
          <w:lang w:eastAsia="zh-CN"/>
        </w:rPr>
        <w:t>节防尘、有害气体的规定。</w:t>
      </w:r>
    </w:p>
    <w:p w14:paraId="67417773">
      <w:pPr>
        <w:pStyle w:val="5"/>
        <w:jc w:val="left"/>
        <w:rPr>
          <w:rFonts w:hAnsi="Times New Roman" w:cs="楷体"/>
          <w:color w:val="auto"/>
          <w:highlight w:val="none"/>
          <w:lang w:eastAsia="zh-CN"/>
        </w:rPr>
      </w:pPr>
      <w:r>
        <w:rPr>
          <w:rFonts w:hAnsi="Times New Roman" w:cs="Times New Roman"/>
          <w:color w:val="auto"/>
          <w:highlight w:val="none"/>
          <w:lang w:eastAsia="zh-CN"/>
        </w:rPr>
        <w:t>3.3.8</w:t>
      </w:r>
      <w:r>
        <w:rPr>
          <w:rFonts w:hint="eastAsia" w:hAnsi="Times New Roman" w:cs="Times New Roman"/>
          <w:color w:val="auto"/>
          <w:highlight w:val="none"/>
          <w:lang w:eastAsia="zh-CN"/>
        </w:rPr>
        <w:t>　</w:t>
      </w:r>
      <w:r>
        <w:rPr>
          <w:rFonts w:hAnsi="楷体" w:cs="楷体"/>
          <w:color w:val="auto"/>
          <w:highlight w:val="none"/>
          <w:lang w:eastAsia="zh-CN"/>
        </w:rPr>
        <w:t>爆破作业安全</w:t>
      </w:r>
    </w:p>
    <w:p w14:paraId="51108E8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）承包人的施工爆破作业应严格遵照《爆破安全规程》（</w:t>
      </w:r>
      <w:r>
        <w:rPr>
          <w:rFonts w:hint="eastAsia" w:hAnsi="Times New Roman" w:cs="Times New Roman"/>
          <w:color w:val="auto"/>
          <w:highlight w:val="none"/>
          <w:lang w:eastAsia="zh-CN"/>
        </w:rPr>
        <w:t>GB　</w:t>
      </w:r>
      <w:r>
        <w:rPr>
          <w:rFonts w:hAnsi="Times New Roman" w:cs="Times New Roman"/>
          <w:color w:val="auto"/>
          <w:highlight w:val="none"/>
          <w:lang w:eastAsia="zh-CN"/>
        </w:rPr>
        <w:t>6722—2014</w:t>
      </w:r>
      <w:r>
        <w:rPr>
          <w:rFonts w:cs="宋体"/>
          <w:color w:val="auto"/>
          <w:highlight w:val="none"/>
          <w:lang w:eastAsia="zh-CN"/>
        </w:rPr>
        <w:t>）及国家有关爆破安全管理的规定。承包人应对爆破造成的工程和人身损害和财产损失承担责任。</w:t>
      </w:r>
    </w:p>
    <w:p w14:paraId="4364EF1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）对实施电引爆的作业区，承包人应采用必要的特殊安全装置，以防止暴风雨时的大气或邻近电气设备放电的影响。特殊安全装置应经过试验证明其确保安全可靠时方可使用。试验报告应提交监理人。</w:t>
      </w:r>
    </w:p>
    <w:p w14:paraId="53E928E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）当承包人的现场爆破作业对其它承包人的施工造成干扰及影响</w:t>
      </w:r>
      <w:r>
        <w:rPr>
          <w:rFonts w:hint="eastAsia" w:cs="宋体"/>
          <w:color w:val="auto"/>
          <w:highlight w:val="none"/>
          <w:lang w:val="en-US" w:eastAsia="zh-CN"/>
        </w:rPr>
        <w:t>邻近</w:t>
      </w:r>
      <w:r>
        <w:rPr>
          <w:rFonts w:cs="宋体"/>
          <w:color w:val="auto"/>
          <w:highlight w:val="none"/>
          <w:lang w:eastAsia="zh-CN"/>
        </w:rPr>
        <w:t>设施和人员的安全时，应由监理人协调解决。现场爆破时，各方均应服从爆破作业指挥人员的命令。</w:t>
      </w:r>
    </w:p>
    <w:p w14:paraId="330A535A">
      <w:pPr>
        <w:pStyle w:val="5"/>
        <w:jc w:val="left"/>
        <w:rPr>
          <w:rFonts w:hAnsi="Times New Roman" w:cs="楷体"/>
          <w:color w:val="auto"/>
          <w:highlight w:val="none"/>
          <w:lang w:eastAsia="zh-CN"/>
        </w:rPr>
      </w:pPr>
      <w:r>
        <w:rPr>
          <w:rFonts w:hAnsi="Times New Roman" w:cs="Times New Roman"/>
          <w:color w:val="auto"/>
          <w:highlight w:val="none"/>
          <w:lang w:eastAsia="zh-CN"/>
        </w:rPr>
        <w:t>3.3.9</w:t>
      </w:r>
      <w:r>
        <w:rPr>
          <w:rFonts w:hint="eastAsia" w:hAnsi="Times New Roman" w:cs="Times New Roman"/>
          <w:color w:val="auto"/>
          <w:highlight w:val="none"/>
          <w:lang w:eastAsia="zh-CN"/>
        </w:rPr>
        <w:t>　</w:t>
      </w:r>
      <w:r>
        <w:rPr>
          <w:rFonts w:hAnsi="楷体" w:cs="楷体"/>
          <w:color w:val="auto"/>
          <w:highlight w:val="none"/>
          <w:lang w:eastAsia="zh-CN"/>
        </w:rPr>
        <w:t>消防</w:t>
      </w:r>
    </w:p>
    <w:p w14:paraId="4975E0A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）承包人应遵守《中华人民共和国消防法》，并负责其自己辖区内的消防工作。承包人应对其辖区内发生的火灾及其造成的人员伤亡和财产损失负责。</w:t>
      </w:r>
    </w:p>
    <w:p w14:paraId="5BC0B58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）承包人应按《水利水电工程施工通用安全技术规程》（</w:t>
      </w:r>
      <w:r>
        <w:rPr>
          <w:rFonts w:hAnsi="Times New Roman" w:cs="Times New Roman"/>
          <w:color w:val="auto"/>
          <w:highlight w:val="none"/>
          <w:lang w:eastAsia="zh-CN"/>
        </w:rPr>
        <w:t>SL398—2007</w:t>
      </w:r>
      <w:r>
        <w:rPr>
          <w:rFonts w:cs="宋体"/>
          <w:color w:val="auto"/>
          <w:highlight w:val="none"/>
          <w:lang w:eastAsia="zh-CN"/>
        </w:rPr>
        <w:t>）第</w:t>
      </w:r>
      <w:r>
        <w:rPr>
          <w:rFonts w:hAnsi="Times New Roman" w:cs="Times New Roman"/>
          <w:color w:val="auto"/>
          <w:highlight w:val="none"/>
          <w:lang w:eastAsia="zh-CN"/>
        </w:rPr>
        <w:t>3.5</w:t>
      </w:r>
      <w:r>
        <w:rPr>
          <w:rFonts w:cs="宋体"/>
          <w:color w:val="auto"/>
          <w:highlight w:val="none"/>
          <w:lang w:eastAsia="zh-CN"/>
        </w:rPr>
        <w:t>节的规定，建立现场消防组织，配置必要的消防专职人员和消防设备器材。消防设备的型号和功率应满足消防任务的需要。在现场配备必要的灭火器材、设置防火警示标志，保持畅通的消防通道。</w:t>
      </w:r>
    </w:p>
    <w:p w14:paraId="2B96D01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）承包人应对职工进行经常性的消防知识教育和消防安全训练，消防设备器材应经常检查和保养，使其处于良好的待命状态。</w:t>
      </w:r>
    </w:p>
    <w:p w14:paraId="7E7657C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）承包人应制定经常性的消防检查制度，划分施工现场的防火责任区。承包人的消防专职人员应定期检查各施工现场，以及办公与生活区的消防安全，特别是用电安全。</w:t>
      </w:r>
    </w:p>
    <w:p w14:paraId="22176118">
      <w:pPr>
        <w:pStyle w:val="5"/>
        <w:jc w:val="left"/>
        <w:rPr>
          <w:rFonts w:hAnsi="Times New Roman" w:cs="楷体"/>
          <w:color w:val="auto"/>
          <w:highlight w:val="none"/>
          <w:lang w:eastAsia="zh-CN"/>
        </w:rPr>
      </w:pPr>
      <w:r>
        <w:rPr>
          <w:rFonts w:hAnsi="Times New Roman" w:cs="Times New Roman"/>
          <w:color w:val="auto"/>
          <w:highlight w:val="none"/>
          <w:lang w:eastAsia="zh-CN"/>
        </w:rPr>
        <w:t>3.3.10</w:t>
      </w:r>
      <w:r>
        <w:rPr>
          <w:rFonts w:hint="eastAsia" w:hAnsi="Times New Roman" w:cs="Times New Roman"/>
          <w:color w:val="auto"/>
          <w:highlight w:val="none"/>
          <w:lang w:eastAsia="zh-CN"/>
        </w:rPr>
        <w:t>　</w:t>
      </w:r>
      <w:r>
        <w:rPr>
          <w:rFonts w:hAnsi="楷体" w:cs="楷体"/>
          <w:color w:val="auto"/>
          <w:highlight w:val="none"/>
          <w:lang w:eastAsia="zh-CN"/>
        </w:rPr>
        <w:t>洪水和气象灾害的防护</w:t>
      </w:r>
    </w:p>
    <w:p w14:paraId="3E5330A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做好水情和气象预报工作。承包人应向发包人或地方主管水文、气象预报工作的部门获取工程所在区域短、中、长期水文、气象预报资料。一旦发现有可能危及工程和人身财产安全的灾害预兆时，应立即采取确保安全的有效措施。</w:t>
      </w:r>
    </w:p>
    <w:p w14:paraId="47D8161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）每年汛前，承包人应编制度汛方案防洪度汛预案，并按《水利水电工程施工通用安全技术规程》（</w:t>
      </w:r>
      <w:r>
        <w:rPr>
          <w:rFonts w:hAnsi="Times New Roman" w:cs="Times New Roman"/>
          <w:color w:val="auto"/>
          <w:highlight w:val="none"/>
          <w:lang w:eastAsia="zh-CN"/>
        </w:rPr>
        <w:t>SL</w:t>
      </w:r>
      <w:r>
        <w:rPr>
          <w:rFonts w:hint="eastAsia" w:hAnsi="Times New Roman" w:cs="Times New Roman"/>
          <w:color w:val="auto"/>
          <w:highlight w:val="none"/>
          <w:lang w:val="en-US" w:eastAsia="zh-CN"/>
        </w:rPr>
        <w:t xml:space="preserve"> </w:t>
      </w:r>
      <w:r>
        <w:rPr>
          <w:rFonts w:hAnsi="Times New Roman" w:cs="Times New Roman"/>
          <w:color w:val="auto"/>
          <w:highlight w:val="none"/>
          <w:lang w:eastAsia="zh-CN"/>
        </w:rPr>
        <w:t>398-2007</w:t>
      </w:r>
      <w:r>
        <w:rPr>
          <w:rFonts w:cs="宋体"/>
          <w:color w:val="auto"/>
          <w:highlight w:val="none"/>
          <w:lang w:eastAsia="zh-CN"/>
        </w:rPr>
        <w:t>）第</w:t>
      </w:r>
      <w:r>
        <w:rPr>
          <w:rFonts w:hAnsi="Times New Roman" w:cs="Times New Roman"/>
          <w:color w:val="auto"/>
          <w:highlight w:val="none"/>
          <w:lang w:eastAsia="zh-CN"/>
        </w:rPr>
        <w:t>3.6</w:t>
      </w:r>
      <w:r>
        <w:rPr>
          <w:rFonts w:cs="宋体"/>
          <w:color w:val="auto"/>
          <w:highlight w:val="none"/>
          <w:lang w:eastAsia="zh-CN"/>
        </w:rPr>
        <w:t>节、第</w:t>
      </w:r>
      <w:r>
        <w:rPr>
          <w:rFonts w:hAnsi="Times New Roman" w:cs="Times New Roman"/>
          <w:color w:val="auto"/>
          <w:highlight w:val="none"/>
          <w:lang w:eastAsia="zh-CN"/>
        </w:rPr>
        <w:t>3.7</w:t>
      </w:r>
      <w:r>
        <w:rPr>
          <w:rFonts w:cs="宋体"/>
          <w:color w:val="auto"/>
          <w:highlight w:val="none"/>
          <w:lang w:eastAsia="zh-CN"/>
        </w:rPr>
        <w:t>节的规定，制定切实可行的预防和减灾措施。</w:t>
      </w:r>
    </w:p>
    <w:p w14:paraId="1B4BE5E4">
      <w:pPr>
        <w:pStyle w:val="5"/>
        <w:jc w:val="left"/>
        <w:rPr>
          <w:rFonts w:hAnsi="Times New Roman" w:cs="楷体"/>
          <w:color w:val="auto"/>
          <w:highlight w:val="none"/>
          <w:lang w:eastAsia="zh-CN"/>
        </w:rPr>
      </w:pPr>
      <w:r>
        <w:rPr>
          <w:rFonts w:hAnsi="Times New Roman" w:cs="Times New Roman"/>
          <w:color w:val="auto"/>
          <w:highlight w:val="none"/>
          <w:lang w:eastAsia="zh-CN"/>
        </w:rPr>
        <w:t>3.3.11</w:t>
      </w:r>
      <w:r>
        <w:rPr>
          <w:rFonts w:hint="eastAsia" w:hAnsi="Times New Roman" w:cs="Times New Roman"/>
          <w:color w:val="auto"/>
          <w:highlight w:val="none"/>
          <w:lang w:eastAsia="zh-CN"/>
        </w:rPr>
        <w:t>　</w:t>
      </w:r>
      <w:r>
        <w:rPr>
          <w:rFonts w:hAnsi="楷体" w:cs="楷体"/>
          <w:color w:val="auto"/>
          <w:highlight w:val="none"/>
          <w:lang w:eastAsia="zh-CN"/>
        </w:rPr>
        <w:t>安全标志</w:t>
      </w:r>
    </w:p>
    <w:p w14:paraId="1B1ADA9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）承包人应按《安全标志及其使用导则》（</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2894-2008</w:t>
      </w:r>
      <w:r>
        <w:rPr>
          <w:rFonts w:cs="宋体"/>
          <w:color w:val="auto"/>
          <w:highlight w:val="none"/>
          <w:lang w:eastAsia="zh-CN"/>
        </w:rPr>
        <w:t>）的要求，在施工区内设置一切必需的安全标志，其标志类型包括：</w:t>
      </w:r>
    </w:p>
    <w:p w14:paraId="4596B4E5">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）禁止标志。</w:t>
      </w:r>
    </w:p>
    <w:p w14:paraId="068DC442">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）警告标志。</w:t>
      </w:r>
    </w:p>
    <w:p w14:paraId="5CB67DE2">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）指令标志。</w:t>
      </w:r>
    </w:p>
    <w:p w14:paraId="4FB341E8">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）提示标志。</w:t>
      </w:r>
    </w:p>
    <w:p w14:paraId="78DC204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）承包人应负责保护施工区内的所有标志，并按监理人指示补充或更换失效的标志。</w:t>
      </w:r>
    </w:p>
    <w:p w14:paraId="13180F90">
      <w:pPr>
        <w:pStyle w:val="5"/>
        <w:jc w:val="left"/>
        <w:rPr>
          <w:rFonts w:hAnsi="Times New Roman" w:cs="楷体"/>
          <w:color w:val="auto"/>
          <w:highlight w:val="none"/>
          <w:lang w:eastAsia="zh-CN"/>
        </w:rPr>
      </w:pPr>
      <w:r>
        <w:rPr>
          <w:rFonts w:hAnsi="Times New Roman" w:cs="Times New Roman"/>
          <w:color w:val="auto"/>
          <w:highlight w:val="none"/>
          <w:lang w:eastAsia="zh-CN"/>
        </w:rPr>
        <w:t>3.3.12</w:t>
      </w:r>
      <w:r>
        <w:rPr>
          <w:rFonts w:hint="eastAsia" w:hAnsi="Times New Roman" w:cs="Times New Roman"/>
          <w:color w:val="auto"/>
          <w:highlight w:val="none"/>
          <w:lang w:eastAsia="zh-CN"/>
        </w:rPr>
        <w:t>　</w:t>
      </w:r>
      <w:r>
        <w:rPr>
          <w:rFonts w:hAnsi="Times New Roman" w:cs="楷体"/>
          <w:color w:val="auto"/>
          <w:highlight w:val="none"/>
          <w:lang w:eastAsia="zh-CN"/>
        </w:rPr>
        <w:t>“</w:t>
      </w:r>
      <w:r>
        <w:rPr>
          <w:rFonts w:hAnsi="楷体" w:cs="楷体"/>
          <w:color w:val="auto"/>
          <w:highlight w:val="none"/>
          <w:lang w:eastAsia="zh-CN"/>
        </w:rPr>
        <w:t>二禁、三宝、四口、五边、六防</w:t>
      </w:r>
      <w:r>
        <w:rPr>
          <w:rFonts w:hAnsi="Times New Roman" w:cs="楷体"/>
          <w:color w:val="auto"/>
          <w:highlight w:val="none"/>
          <w:lang w:eastAsia="zh-CN"/>
        </w:rPr>
        <w:t>”</w:t>
      </w:r>
    </w:p>
    <w:p w14:paraId="001DE64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）二禁：严禁违章作业、严禁违章指挥。</w:t>
      </w:r>
    </w:p>
    <w:p w14:paraId="661227C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）三宝：安全帽、安全带、安全网。</w:t>
      </w:r>
    </w:p>
    <w:p w14:paraId="37E436E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）四口：井孔口、通道口、隧洞口、预留洞口。</w:t>
      </w:r>
    </w:p>
    <w:p w14:paraId="55F76385">
      <w:pPr>
        <w:ind w:firstLine="420"/>
        <w:jc w:val="left"/>
        <w:rPr>
          <w:rFonts w:hAnsi="Times New Roman"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4</w:t>
      </w:r>
      <w:r>
        <w:rPr>
          <w:rFonts w:cs="宋体"/>
          <w:color w:val="auto"/>
          <w:highlight w:val="none"/>
          <w:lang w:eastAsia="zh-CN"/>
        </w:rPr>
        <w:t>）五边：沟、坑、槽、池周边；高边坡周边；建筑物临边；作业平台周边；施工设备周边。</w:t>
      </w:r>
    </w:p>
    <w:p w14:paraId="587015BB">
      <w:pPr>
        <w:ind w:firstLine="420"/>
        <w:jc w:val="left"/>
        <w:rPr>
          <w:rFonts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5</w:t>
      </w:r>
      <w:r>
        <w:rPr>
          <w:rFonts w:cs="宋体"/>
          <w:color w:val="auto"/>
          <w:highlight w:val="none"/>
          <w:lang w:eastAsia="zh-CN"/>
        </w:rPr>
        <w:t>）六防：防洪水（超标洪水、隧洞涌水、基坑漫水、泥石流）、防触电（漏保未装或失效、电线老化破损、设备故障漏电、私拉乱接）、防坍塌（边坡坍塌、支撑坍塌、隧洞坍塌、围堰坍塌）、防坠落（高空坠落、人员坠落、车辆坠落）、防碰撞（车辆碰撞、挖机碰撞、吊车碰撞、滚动碰撞）、防中毒（粉尘中毒、一氧化碳中毒、缺氧、食物中毒）。</w:t>
      </w:r>
    </w:p>
    <w:p w14:paraId="51C8225B">
      <w:pPr>
        <w:widowControl w:val="0"/>
        <w:suppressAutoHyphens/>
        <w:kinsoku/>
        <w:adjustRightInd w:val="0"/>
        <w:snapToGrid w:val="0"/>
        <w:spacing w:line="360" w:lineRule="auto"/>
        <w:ind w:firstLine="0" w:firstLineChars="0"/>
        <w:jc w:val="left"/>
        <w:textAlignment w:val="baseline"/>
        <w:outlineLvl w:val="9"/>
        <w:rPr>
          <w:rFonts w:hint="default" w:ascii="宋体" w:hAnsi="宋体" w:eastAsia="宋体" w:cs="Arial"/>
          <w:snapToGrid w:val="0"/>
          <w:color w:val="auto"/>
          <w:sz w:val="24"/>
          <w:szCs w:val="21"/>
          <w:highlight w:val="none"/>
          <w:lang w:val="en-US" w:eastAsia="zh-CN" w:bidi="ar-SA"/>
        </w:rPr>
      </w:pPr>
      <w:bookmarkStart w:id="1667" w:name="_Toc32679"/>
      <w:bookmarkStart w:id="1668" w:name="_Toc14796"/>
      <w:r>
        <w:rPr>
          <w:rFonts w:ascii="宋体" w:hAnsi="宋体" w:eastAsia="宋体" w:cs="Arial"/>
          <w:snapToGrid w:val="0"/>
          <w:color w:val="auto"/>
          <w:sz w:val="24"/>
          <w:szCs w:val="21"/>
          <w:highlight w:val="none"/>
          <w:lang w:val="en-US" w:eastAsia="zh-CN" w:bidi="ar-SA"/>
        </w:rPr>
        <w:t>3.3.13</w:t>
      </w:r>
      <w:r>
        <w:rPr>
          <w:rFonts w:hint="eastAsia" w:ascii="宋体" w:hAnsi="宋体" w:eastAsia="宋体" w:cs="Arial"/>
          <w:snapToGrid w:val="0"/>
          <w:color w:val="auto"/>
          <w:sz w:val="24"/>
          <w:szCs w:val="21"/>
          <w:highlight w:val="none"/>
          <w:lang w:val="en-US" w:eastAsia="zh-CN" w:bidi="ar-SA"/>
        </w:rPr>
        <w:t>　施工安全监测</w:t>
      </w:r>
    </w:p>
    <w:p w14:paraId="3A9689CC">
      <w:pPr>
        <w:pStyle w:val="5"/>
        <w:suppressAutoHyphens/>
        <w:ind w:firstLine="480" w:firstLineChars="200"/>
        <w:jc w:val="left"/>
        <w:outlineLvl w:val="9"/>
        <w:rPr>
          <w:rFonts w:eastAsia="宋体"/>
          <w:color w:val="auto"/>
          <w:highlight w:val="none"/>
          <w:lang w:eastAsia="zh-CN"/>
        </w:rPr>
      </w:pPr>
      <w:r>
        <w:rPr>
          <w:rFonts w:hint="eastAsia" w:ascii="宋体" w:hAnsi="宋体" w:eastAsia="宋体" w:cs="Times New Roman"/>
          <w:snapToGrid w:val="0"/>
          <w:color w:val="auto"/>
          <w:sz w:val="24"/>
          <w:szCs w:val="21"/>
          <w:highlight w:val="none"/>
          <w:lang w:val="en-US" w:eastAsia="zh-CN" w:bidi="ar-SA"/>
        </w:rPr>
        <w:t>有关施工期的安全监测详见本技术条款第25章。</w:t>
      </w:r>
    </w:p>
    <w:bookmarkEnd w:id="1667"/>
    <w:bookmarkEnd w:id="1668"/>
    <w:p w14:paraId="574E48D1">
      <w:pPr>
        <w:pStyle w:val="4"/>
        <w:spacing w:beforeLines="0" w:afterLines="0"/>
        <w:jc w:val="both"/>
        <w:rPr>
          <w:rFonts w:hint="eastAsia" w:cs="宋体"/>
          <w:bCs/>
          <w:color w:val="auto"/>
          <w:szCs w:val="24"/>
          <w:highlight w:val="none"/>
          <w:lang w:eastAsia="zh-CN"/>
        </w:rPr>
      </w:pPr>
      <w:bookmarkStart w:id="1669" w:name="_Toc28767"/>
      <w:bookmarkStart w:id="1670" w:name="_Toc13672"/>
      <w:bookmarkStart w:id="1671" w:name="_Toc9627"/>
      <w:r>
        <w:rPr>
          <w:rFonts w:hint="eastAsia" w:cs="宋体"/>
          <w:bCs/>
          <w:color w:val="auto"/>
          <w:szCs w:val="24"/>
          <w:highlight w:val="none"/>
          <w:lang w:eastAsia="zh-CN"/>
        </w:rPr>
        <w:t>3.4　应急救援措施</w:t>
      </w:r>
      <w:bookmarkEnd w:id="1669"/>
      <w:bookmarkEnd w:id="1670"/>
      <w:bookmarkEnd w:id="1671"/>
    </w:p>
    <w:p w14:paraId="3438B2B9">
      <w:pPr>
        <w:pStyle w:val="5"/>
        <w:jc w:val="left"/>
        <w:rPr>
          <w:rFonts w:hAnsi="Times New Roman" w:cs="楷体"/>
          <w:color w:val="auto"/>
          <w:highlight w:val="none"/>
          <w:lang w:eastAsia="zh-CN"/>
        </w:rPr>
      </w:pPr>
      <w:r>
        <w:rPr>
          <w:rFonts w:hAnsi="Times New Roman" w:cs="Times New Roman"/>
          <w:color w:val="auto"/>
          <w:highlight w:val="none"/>
          <w:lang w:eastAsia="zh-CN"/>
        </w:rPr>
        <w:t>3.4.1</w:t>
      </w:r>
      <w:r>
        <w:rPr>
          <w:rFonts w:hint="eastAsia" w:hAnsi="Times New Roman" w:cs="Times New Roman"/>
          <w:color w:val="auto"/>
          <w:highlight w:val="none"/>
          <w:lang w:eastAsia="zh-CN"/>
        </w:rPr>
        <w:t>　</w:t>
      </w:r>
      <w:r>
        <w:rPr>
          <w:rFonts w:hAnsi="楷体" w:cs="楷体"/>
          <w:color w:val="auto"/>
          <w:highlight w:val="none"/>
          <w:lang w:eastAsia="zh-CN"/>
        </w:rPr>
        <w:t>事故应急救援预案</w:t>
      </w:r>
    </w:p>
    <w:p w14:paraId="35080EE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）承包人应制定生产安全事故的应急救援预案，应急救援预案应能随时紧急调动救援人员，救援专职人员应定期组织应急预案的演练。</w:t>
      </w:r>
    </w:p>
    <w:p w14:paraId="0895726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）发生事故后，承包人应按应急救援要求，配备必需的应急救援器材和设备，并及时将应急救援的措施报告提交监理人。</w:t>
      </w:r>
    </w:p>
    <w:p w14:paraId="4313AC7D">
      <w:pPr>
        <w:pStyle w:val="5"/>
        <w:jc w:val="left"/>
        <w:rPr>
          <w:rFonts w:hAnsi="Times New Roman" w:cs="楷体"/>
          <w:color w:val="auto"/>
          <w:highlight w:val="none"/>
          <w:lang w:eastAsia="zh-CN"/>
        </w:rPr>
      </w:pPr>
      <w:r>
        <w:rPr>
          <w:rFonts w:hAnsi="Times New Roman" w:cs="Times New Roman"/>
          <w:color w:val="auto"/>
          <w:highlight w:val="none"/>
          <w:lang w:eastAsia="zh-CN"/>
        </w:rPr>
        <w:t>3.4.2</w:t>
      </w:r>
      <w:r>
        <w:rPr>
          <w:rFonts w:hint="eastAsia" w:hAnsi="Times New Roman" w:cs="Times New Roman"/>
          <w:color w:val="auto"/>
          <w:highlight w:val="none"/>
          <w:lang w:eastAsia="zh-CN"/>
        </w:rPr>
        <w:t>　</w:t>
      </w:r>
      <w:r>
        <w:rPr>
          <w:rFonts w:hAnsi="楷体" w:cs="楷体"/>
          <w:color w:val="auto"/>
          <w:highlight w:val="none"/>
          <w:lang w:eastAsia="zh-CN"/>
        </w:rPr>
        <w:t>伤亡事故处理</w:t>
      </w:r>
    </w:p>
    <w:p w14:paraId="37B37AD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）施工过程中，若发生施工生产人员或第三者人员的伤亡事故时，承包人应按本合同通用合同条款第</w:t>
      </w:r>
      <w:r>
        <w:rPr>
          <w:rFonts w:hAnsi="Times New Roman" w:cs="Times New Roman"/>
          <w:color w:val="auto"/>
          <w:highlight w:val="none"/>
          <w:lang w:eastAsia="zh-CN"/>
        </w:rPr>
        <w:t>9.5</w:t>
      </w:r>
      <w:r>
        <w:rPr>
          <w:rFonts w:cs="宋体"/>
          <w:color w:val="auto"/>
          <w:highlight w:val="none"/>
          <w:lang w:eastAsia="zh-CN"/>
        </w:rPr>
        <w:t>款的约定，及时进行处理，并立即报告监理人。</w:t>
      </w:r>
    </w:p>
    <w:p w14:paraId="2C0069C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）发生重大伤亡或特大事故时，承包人必须保护事故现场，立即报告发包人和当地政府的安全管理部门，并在当地政府的支持和协助下，按国家有关规定妥善处理好事故。</w:t>
      </w:r>
    </w:p>
    <w:p w14:paraId="5A53D9D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）事故处理结案后，承包人应向公众张榜告示处理事故结果。</w:t>
      </w:r>
    </w:p>
    <w:p w14:paraId="0B8DE88A">
      <w:pPr>
        <w:pStyle w:val="5"/>
        <w:jc w:val="left"/>
        <w:rPr>
          <w:rFonts w:hAnsi="Times New Roman" w:cs="楷体"/>
          <w:color w:val="auto"/>
          <w:highlight w:val="none"/>
          <w:lang w:eastAsia="zh-CN"/>
        </w:rPr>
      </w:pPr>
      <w:r>
        <w:rPr>
          <w:rFonts w:hAnsi="Times New Roman" w:cs="Times New Roman"/>
          <w:color w:val="auto"/>
          <w:highlight w:val="none"/>
          <w:lang w:eastAsia="zh-CN"/>
        </w:rPr>
        <w:t>3.4.3</w:t>
      </w:r>
      <w:r>
        <w:rPr>
          <w:rFonts w:hint="eastAsia" w:hAnsi="Times New Roman" w:cs="Times New Roman"/>
          <w:color w:val="auto"/>
          <w:highlight w:val="none"/>
          <w:lang w:eastAsia="zh-CN"/>
        </w:rPr>
        <w:t>　</w:t>
      </w:r>
      <w:r>
        <w:rPr>
          <w:rFonts w:hAnsi="楷体" w:cs="楷体"/>
          <w:color w:val="auto"/>
          <w:highlight w:val="none"/>
          <w:lang w:eastAsia="zh-CN"/>
        </w:rPr>
        <w:t>预防自然灾害措施</w:t>
      </w:r>
    </w:p>
    <w:p w14:paraId="684B31D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）施工期间一旦发生洪水或可能危及人身财产安全事故的预兆时，承包人应立即采取有效的防灾措施，确保工程人员和财产的安全。</w:t>
      </w:r>
    </w:p>
    <w:p w14:paraId="447F022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一旦发生安全事故，承包人应立即按其安全职责分工，组织人员、设备和物资，尽快制止事故发展，及时消除隐患，划定警戒范围，并在最短时间内组织好人员、车辆和设备的疏散，避免再次发生人员伤亡和财产损失。</w:t>
      </w:r>
    </w:p>
    <w:p w14:paraId="711DE92E">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保护好事故现场，为事故调查分析提供直接证据，做好现场标志和书面记录，绘制现场简图，并妥善保存现场重要痕迹、物证，必要时应对事故现场和伤亡情况进行录像或拍照，待事故调查部门有明确指令后，才能清除事故现场。</w:t>
      </w:r>
    </w:p>
    <w:p w14:paraId="56BE116A">
      <w:pPr>
        <w:pStyle w:val="5"/>
        <w:jc w:val="left"/>
        <w:rPr>
          <w:rFonts w:cs="宋体"/>
          <w:color w:val="auto"/>
          <w:highlight w:val="none"/>
          <w:lang w:eastAsia="zh-CN"/>
        </w:rPr>
      </w:pPr>
      <w:r>
        <w:rPr>
          <w:rFonts w:cs="宋体"/>
          <w:color w:val="auto"/>
          <w:highlight w:val="none"/>
          <w:lang w:eastAsia="zh-CN"/>
        </w:rPr>
        <w:t>3.4.4</w:t>
      </w:r>
      <w:r>
        <w:rPr>
          <w:rFonts w:hint="eastAsia" w:hAnsi="Times New Roman" w:cs="Times New Roman"/>
          <w:color w:val="auto"/>
          <w:highlight w:val="none"/>
          <w:lang w:eastAsia="zh-CN"/>
        </w:rPr>
        <w:t>　</w:t>
      </w:r>
      <w:r>
        <w:rPr>
          <w:rFonts w:hint="eastAsia" w:cs="宋体"/>
          <w:color w:val="auto"/>
          <w:highlight w:val="none"/>
          <w:lang w:eastAsia="zh-CN"/>
        </w:rPr>
        <w:t>应急管理</w:t>
      </w:r>
    </w:p>
    <w:p w14:paraId="21A295CD">
      <w:pPr>
        <w:ind w:firstLine="420"/>
        <w:jc w:val="left"/>
        <w:rPr>
          <w:rFonts w:hAnsi="Times New Roman"/>
          <w:color w:val="auto"/>
          <w:highlight w:val="none"/>
          <w:lang w:eastAsia="zh-CN"/>
        </w:rPr>
      </w:pPr>
      <w:r>
        <w:rPr>
          <w:rFonts w:hint="eastAsia" w:hAnsi="Times New Roman"/>
          <w:color w:val="auto"/>
          <w:highlight w:val="none"/>
          <w:lang w:eastAsia="zh-CN"/>
        </w:rPr>
        <w:t>（1）隧洞应急救援应建立企业救援与地方救援相结合、现场救援与专业救援相结合、现场自救与外界救援相结合的抢险救援体系。</w:t>
      </w:r>
    </w:p>
    <w:p w14:paraId="4D45FC16">
      <w:pPr>
        <w:ind w:firstLine="420"/>
        <w:jc w:val="left"/>
        <w:rPr>
          <w:rFonts w:hAnsi="Times New Roman"/>
          <w:color w:val="auto"/>
          <w:highlight w:val="none"/>
          <w:lang w:eastAsia="zh-CN"/>
        </w:rPr>
      </w:pPr>
      <w:r>
        <w:rPr>
          <w:rFonts w:hint="eastAsia" w:hAnsi="Times New Roman"/>
          <w:color w:val="auto"/>
          <w:highlight w:val="none"/>
          <w:lang w:eastAsia="zh-CN"/>
        </w:rPr>
        <w:t>（2）参建各方应建立应急组织机构及预警、指挥系统，指定专门的管理部门和人员负责应急救援预案管理工作。</w:t>
      </w:r>
    </w:p>
    <w:p w14:paraId="76DD65E2">
      <w:pPr>
        <w:ind w:firstLine="420"/>
        <w:jc w:val="left"/>
        <w:rPr>
          <w:rFonts w:hAnsi="Times New Roman"/>
          <w:color w:val="auto"/>
          <w:highlight w:val="none"/>
          <w:lang w:eastAsia="zh-CN"/>
        </w:rPr>
      </w:pPr>
      <w:r>
        <w:rPr>
          <w:rFonts w:hint="eastAsia" w:hAnsi="Times New Roman"/>
          <w:color w:val="auto"/>
          <w:highlight w:val="none"/>
          <w:lang w:eastAsia="zh-CN"/>
        </w:rPr>
        <w:t>（3）建设各方应先进行事故风险评估和应急资源调查，再根据施工实际情况编制综合应急预案、专项应急预案和现场处置方案，建立应急预案体系。</w:t>
      </w:r>
    </w:p>
    <w:p w14:paraId="6FF20A4F">
      <w:pPr>
        <w:ind w:firstLine="420"/>
        <w:jc w:val="left"/>
        <w:rPr>
          <w:rFonts w:hAnsi="Times New Roman"/>
          <w:color w:val="auto"/>
          <w:highlight w:val="none"/>
          <w:lang w:eastAsia="zh-CN"/>
        </w:rPr>
      </w:pPr>
      <w:r>
        <w:rPr>
          <w:rFonts w:hint="eastAsia" w:hAnsi="Times New Roman"/>
          <w:color w:val="auto"/>
          <w:highlight w:val="none"/>
          <w:lang w:eastAsia="zh-CN"/>
        </w:rPr>
        <w:t>（4）应急预案编制应符合《生产经营单位生产安全事故应急预案编制导则》（GB／T29639）的相关规定。</w:t>
      </w:r>
    </w:p>
    <w:p w14:paraId="5AF97E80">
      <w:pPr>
        <w:ind w:firstLine="420"/>
        <w:jc w:val="left"/>
        <w:rPr>
          <w:rFonts w:hAnsi="Times New Roman"/>
          <w:color w:val="auto"/>
          <w:highlight w:val="none"/>
          <w:lang w:eastAsia="zh-CN"/>
        </w:rPr>
      </w:pPr>
      <w:r>
        <w:rPr>
          <w:rFonts w:hint="eastAsia" w:hAnsi="Times New Roman"/>
          <w:color w:val="auto"/>
          <w:highlight w:val="none"/>
          <w:lang w:eastAsia="zh-CN"/>
        </w:rPr>
        <w:t>（5）建设各方应按照应急预案建立应急救援队伍，配备救援人员和机械设备，储备应急救援物资。</w:t>
      </w:r>
    </w:p>
    <w:p w14:paraId="43B513A5">
      <w:pPr>
        <w:ind w:firstLine="420"/>
        <w:jc w:val="left"/>
        <w:rPr>
          <w:rFonts w:hAnsi="Times New Roman"/>
          <w:color w:val="auto"/>
          <w:highlight w:val="none"/>
          <w:lang w:eastAsia="zh-CN"/>
        </w:rPr>
      </w:pPr>
      <w:r>
        <w:rPr>
          <w:rFonts w:hint="eastAsia" w:hAnsi="Times New Roman"/>
          <w:color w:val="auto"/>
          <w:highlight w:val="none"/>
          <w:lang w:eastAsia="zh-CN"/>
        </w:rPr>
        <w:t>（6）建设各方应对</w:t>
      </w:r>
      <w:r>
        <w:rPr>
          <w:rFonts w:hint="eastAsia" w:hAnsi="Times New Roman"/>
          <w:color w:val="auto"/>
          <w:highlight w:val="none"/>
          <w:lang w:val="en-US" w:eastAsia="zh-CN"/>
        </w:rPr>
        <w:t>相关</w:t>
      </w:r>
      <w:r>
        <w:rPr>
          <w:rFonts w:hint="eastAsia" w:hAnsi="Times New Roman"/>
          <w:color w:val="auto"/>
          <w:highlight w:val="none"/>
          <w:lang w:eastAsia="zh-CN"/>
        </w:rPr>
        <w:t>人员进行应急救援相关知识和技能的培训、教育，并按规定组织和实施应急演练。</w:t>
      </w:r>
    </w:p>
    <w:p w14:paraId="4C9001B2">
      <w:pPr>
        <w:ind w:firstLine="420"/>
        <w:jc w:val="left"/>
        <w:rPr>
          <w:rFonts w:hAnsi="Times New Roman"/>
          <w:color w:val="auto"/>
          <w:highlight w:val="none"/>
          <w:lang w:eastAsia="zh-CN"/>
        </w:rPr>
      </w:pPr>
      <w:r>
        <w:rPr>
          <w:rFonts w:hint="eastAsia" w:hAnsi="Times New Roman"/>
          <w:color w:val="auto"/>
          <w:highlight w:val="none"/>
          <w:lang w:eastAsia="zh-CN"/>
        </w:rPr>
        <w:t>（7）建设单位应结合项目风险特点，协调配置全线应急资源，并组织专家论证。</w:t>
      </w:r>
    </w:p>
    <w:p w14:paraId="404D33DE">
      <w:pPr>
        <w:ind w:firstLine="420"/>
        <w:jc w:val="left"/>
        <w:rPr>
          <w:rFonts w:hAnsi="Times New Roman"/>
          <w:color w:val="auto"/>
          <w:highlight w:val="none"/>
          <w:lang w:eastAsia="zh-CN"/>
        </w:rPr>
      </w:pPr>
      <w:r>
        <w:rPr>
          <w:rFonts w:hint="eastAsia" w:hAnsi="Times New Roman"/>
          <w:color w:val="auto"/>
          <w:highlight w:val="none"/>
          <w:lang w:eastAsia="zh-CN"/>
        </w:rPr>
        <w:t>（8）施工单位应与附近医院、消防队，临近施工队伍及其他救援组织建立正式的互助协议，并做好相应的安排，确保在应急救援中及时得到外部救援力量和资源的援助。</w:t>
      </w:r>
    </w:p>
    <w:p w14:paraId="6694CF4B">
      <w:pPr>
        <w:ind w:firstLine="420"/>
        <w:jc w:val="left"/>
        <w:rPr>
          <w:rFonts w:hAnsi="Times New Roman"/>
          <w:color w:val="auto"/>
          <w:highlight w:val="none"/>
          <w:lang w:eastAsia="zh-CN"/>
        </w:rPr>
      </w:pPr>
      <w:r>
        <w:rPr>
          <w:rFonts w:hint="eastAsia" w:hAnsi="Times New Roman"/>
          <w:color w:val="auto"/>
          <w:highlight w:val="none"/>
          <w:lang w:eastAsia="zh-CN"/>
        </w:rPr>
        <w:t>（9）隧洞施工时设专人管理救援机械设备和物资，对配备的应急救援机械设备、监测仪器、堵漏和清洗消毒材料、交通工具、个体防护设备、医疗设备和药品、生活保障物资等，应进行定期检查、维护和更新，确保应急救援物资和设备能随时投入使用。</w:t>
      </w:r>
    </w:p>
    <w:p w14:paraId="03BE69E1">
      <w:pPr>
        <w:ind w:firstLine="420"/>
        <w:jc w:val="left"/>
        <w:rPr>
          <w:rFonts w:hAnsi="Times New Roman"/>
          <w:color w:val="auto"/>
          <w:highlight w:val="none"/>
          <w:lang w:eastAsia="zh-CN"/>
        </w:rPr>
      </w:pPr>
      <w:r>
        <w:rPr>
          <w:rFonts w:hint="eastAsia" w:hAnsi="Times New Roman"/>
          <w:color w:val="auto"/>
          <w:highlight w:val="none"/>
          <w:lang w:eastAsia="zh-CN"/>
        </w:rPr>
        <w:t>（10）隧洞施工应事先规划逃生路线，按规定设置逃生通道、避难和急救场所，避难处应准备足够数量的逃生设备、救护器械和生活保障品，如矿灯、水、食物、医疗急救用品、氧气瓶、灭火器等，在无任何外界支持的情况下，额定防护时间不低于96小时。</w:t>
      </w:r>
    </w:p>
    <w:p w14:paraId="2D153D9C">
      <w:pPr>
        <w:ind w:firstLine="420"/>
        <w:jc w:val="left"/>
        <w:rPr>
          <w:rFonts w:hAnsi="Times New Roman"/>
          <w:color w:val="auto"/>
          <w:highlight w:val="none"/>
          <w:lang w:eastAsia="zh-CN"/>
        </w:rPr>
      </w:pPr>
      <w:r>
        <w:rPr>
          <w:rFonts w:hint="eastAsia" w:hAnsi="Times New Roman"/>
          <w:color w:val="auto"/>
          <w:highlight w:val="none"/>
          <w:lang w:eastAsia="zh-CN"/>
        </w:rPr>
        <w:t>（11）在软弱围岩及大变形隧洞施工段应设置逃生管道。逃生管道纵向连接采用可靠连措施，防止管道脱落。</w:t>
      </w:r>
    </w:p>
    <w:p w14:paraId="1FEA893D">
      <w:pPr>
        <w:ind w:firstLine="420"/>
        <w:jc w:val="left"/>
        <w:rPr>
          <w:rFonts w:hAnsi="Times New Roman"/>
          <w:color w:val="auto"/>
          <w:highlight w:val="none"/>
          <w:lang w:eastAsia="zh-CN"/>
        </w:rPr>
      </w:pPr>
      <w:r>
        <w:rPr>
          <w:rFonts w:hint="eastAsia" w:hAnsi="Times New Roman"/>
          <w:color w:val="auto"/>
          <w:highlight w:val="none"/>
          <w:lang w:eastAsia="zh-CN"/>
        </w:rPr>
        <w:t>（12）隧洞内交通道路及开挖作业等重要场所应设置安全应急照明和应急逃生标志，应急照明应有备用电源并保证光照度符合要求。</w:t>
      </w:r>
    </w:p>
    <w:p w14:paraId="36439AFE">
      <w:pPr>
        <w:ind w:firstLine="420"/>
        <w:jc w:val="left"/>
        <w:rPr>
          <w:rFonts w:hAnsi="Times New Roman"/>
          <w:color w:val="auto"/>
          <w:highlight w:val="none"/>
          <w:lang w:eastAsia="zh-CN"/>
        </w:rPr>
      </w:pPr>
      <w:r>
        <w:rPr>
          <w:rFonts w:hint="eastAsia" w:hAnsi="Times New Roman"/>
          <w:color w:val="auto"/>
          <w:highlight w:val="none"/>
          <w:lang w:eastAsia="zh-CN"/>
        </w:rPr>
        <w:t>（13）隧洞施工期间各施工作业面应安装警报装置，警报装置的设置应符合下列规定：</w:t>
      </w:r>
    </w:p>
    <w:p w14:paraId="501E6DA7">
      <w:pPr>
        <w:ind w:firstLine="420"/>
        <w:jc w:val="left"/>
        <w:rPr>
          <w:rFonts w:hAnsi="Times New Roman"/>
          <w:color w:val="auto"/>
          <w:highlight w:val="none"/>
          <w:lang w:eastAsia="zh-CN"/>
        </w:rPr>
      </w:pPr>
      <w:r>
        <w:rPr>
          <w:rFonts w:hint="eastAsia" w:hAnsi="Times New Roman"/>
          <w:color w:val="auto"/>
          <w:highlight w:val="none"/>
          <w:lang w:eastAsia="zh-CN"/>
        </w:rPr>
        <w:t>1）设置警报设备的场所，应有应急照明，并在停电时能够识别；</w:t>
      </w:r>
    </w:p>
    <w:p w14:paraId="00020974">
      <w:pPr>
        <w:ind w:firstLine="420"/>
        <w:jc w:val="left"/>
        <w:rPr>
          <w:rFonts w:hAnsi="Times New Roman"/>
          <w:color w:val="auto"/>
          <w:highlight w:val="none"/>
          <w:lang w:eastAsia="zh-CN"/>
        </w:rPr>
      </w:pPr>
      <w:r>
        <w:rPr>
          <w:rFonts w:hint="eastAsia" w:hAnsi="Times New Roman"/>
          <w:color w:val="auto"/>
          <w:highlight w:val="none"/>
          <w:lang w:eastAsia="zh-CN"/>
        </w:rPr>
        <w:t>2）使用电源的警报设备应配备备用电源；</w:t>
      </w:r>
    </w:p>
    <w:p w14:paraId="0A5DD115">
      <w:pPr>
        <w:ind w:firstLine="420"/>
        <w:jc w:val="left"/>
        <w:rPr>
          <w:rFonts w:hAnsi="Times New Roman"/>
          <w:color w:val="auto"/>
          <w:highlight w:val="none"/>
          <w:lang w:eastAsia="zh-CN"/>
        </w:rPr>
      </w:pPr>
      <w:r>
        <w:rPr>
          <w:rFonts w:hint="eastAsia" w:hAnsi="Times New Roman"/>
          <w:color w:val="auto"/>
          <w:highlight w:val="none"/>
          <w:lang w:eastAsia="zh-CN"/>
        </w:rPr>
        <w:t>3）警报设备应采用手动警报设备、自动警报设备、旋转灯、广播设备用的扩音器及其它警报设备，组合使用，互为备用，保证其性能可靠。</w:t>
      </w:r>
    </w:p>
    <w:p w14:paraId="7648FF6C">
      <w:pPr>
        <w:ind w:firstLine="420"/>
        <w:jc w:val="left"/>
        <w:rPr>
          <w:rFonts w:hAnsi="Times New Roman"/>
          <w:color w:val="auto"/>
          <w:highlight w:val="none"/>
          <w:lang w:eastAsia="zh-CN"/>
        </w:rPr>
      </w:pPr>
      <w:r>
        <w:rPr>
          <w:rFonts w:hint="eastAsia" w:hAnsi="Times New Roman"/>
          <w:color w:val="auto"/>
          <w:highlight w:val="none"/>
          <w:lang w:eastAsia="zh-CN"/>
        </w:rPr>
        <w:t>（14）隧洞施工期间通信系统应保证畅通，必要时应采用远程监控系统，及时掌握现场情况。同时应满足下列要求：</w:t>
      </w:r>
    </w:p>
    <w:p w14:paraId="42155B20">
      <w:pPr>
        <w:ind w:firstLine="420"/>
        <w:jc w:val="left"/>
        <w:rPr>
          <w:rFonts w:hAnsi="Times New Roman"/>
          <w:color w:val="auto"/>
          <w:highlight w:val="none"/>
          <w:lang w:eastAsia="zh-CN"/>
        </w:rPr>
      </w:pPr>
      <w:r>
        <w:rPr>
          <w:rFonts w:hint="eastAsia" w:hAnsi="Times New Roman"/>
          <w:color w:val="auto"/>
          <w:highlight w:val="none"/>
          <w:lang w:eastAsia="zh-CN"/>
        </w:rPr>
        <w:t>1）应在现场各应急组织相关部门、洞口值班室、开挖工作面及其它必要的地方设置通信设备；</w:t>
      </w:r>
    </w:p>
    <w:p w14:paraId="2825A25A">
      <w:pPr>
        <w:ind w:firstLine="420"/>
        <w:jc w:val="left"/>
        <w:rPr>
          <w:rFonts w:hAnsi="Times New Roman"/>
          <w:color w:val="auto"/>
          <w:highlight w:val="none"/>
          <w:lang w:eastAsia="zh-CN"/>
        </w:rPr>
      </w:pPr>
      <w:r>
        <w:rPr>
          <w:rFonts w:hint="eastAsia" w:hAnsi="Times New Roman"/>
          <w:color w:val="auto"/>
          <w:highlight w:val="none"/>
          <w:lang w:eastAsia="zh-CN"/>
        </w:rPr>
        <w:t>2）使用带电源的通话装置应配备备用电源，保证停电时不影响使用；</w:t>
      </w:r>
    </w:p>
    <w:p w14:paraId="77FE66F3">
      <w:pPr>
        <w:ind w:firstLine="420"/>
        <w:jc w:val="left"/>
        <w:rPr>
          <w:rFonts w:hAnsi="Times New Roman"/>
          <w:color w:val="auto"/>
          <w:highlight w:val="none"/>
          <w:lang w:eastAsia="zh-CN"/>
        </w:rPr>
      </w:pPr>
      <w:r>
        <w:rPr>
          <w:rFonts w:hint="eastAsia" w:hAnsi="Times New Roman"/>
          <w:color w:val="auto"/>
          <w:highlight w:val="none"/>
          <w:lang w:eastAsia="zh-CN"/>
        </w:rPr>
        <w:t>3）通信设备应采用洞内有线电话，并保证其性能可靠。</w:t>
      </w:r>
    </w:p>
    <w:p w14:paraId="38CC63BC">
      <w:pPr>
        <w:ind w:firstLine="420"/>
        <w:jc w:val="left"/>
        <w:rPr>
          <w:rFonts w:hAnsi="Times New Roman"/>
          <w:color w:val="auto"/>
          <w:highlight w:val="none"/>
          <w:lang w:eastAsia="zh-CN"/>
        </w:rPr>
      </w:pPr>
      <w:r>
        <w:rPr>
          <w:rFonts w:hint="eastAsia" w:hAnsi="Times New Roman"/>
          <w:color w:val="auto"/>
          <w:highlight w:val="none"/>
          <w:lang w:eastAsia="zh-CN"/>
        </w:rPr>
        <w:t>（15）按规定定期组织应急预案演练。演练前应结合施工环境改变和以往演练的情况制定计划，演练后应及时评审，并不断改进和完善应急救援体系。</w:t>
      </w:r>
    </w:p>
    <w:p w14:paraId="1E54DDB6">
      <w:pPr>
        <w:ind w:firstLine="420"/>
        <w:jc w:val="left"/>
        <w:rPr>
          <w:rFonts w:hAnsi="Times New Roman"/>
          <w:color w:val="auto"/>
          <w:highlight w:val="none"/>
          <w:lang w:eastAsia="zh-CN"/>
        </w:rPr>
      </w:pPr>
      <w:r>
        <w:rPr>
          <w:rFonts w:hint="eastAsia" w:hAnsi="Times New Roman"/>
          <w:color w:val="auto"/>
          <w:highlight w:val="none"/>
          <w:lang w:eastAsia="zh-CN"/>
        </w:rPr>
        <w:t>（16）隧洞内所有施工作业人员应经过应急救援培训。应急救援培训应包括下列内容：</w:t>
      </w:r>
    </w:p>
    <w:p w14:paraId="1BB3AF29">
      <w:pPr>
        <w:ind w:firstLine="420"/>
        <w:jc w:val="left"/>
        <w:rPr>
          <w:rFonts w:hAnsi="Times New Roman"/>
          <w:color w:val="auto"/>
          <w:highlight w:val="none"/>
          <w:lang w:eastAsia="zh-CN"/>
        </w:rPr>
      </w:pPr>
      <w:r>
        <w:rPr>
          <w:rFonts w:hint="eastAsia" w:hAnsi="Times New Roman"/>
          <w:color w:val="auto"/>
          <w:highlight w:val="none"/>
          <w:lang w:eastAsia="zh-CN"/>
        </w:rPr>
        <w:t>1）了解潜在危险的性质和对健康的危害；</w:t>
      </w:r>
    </w:p>
    <w:p w14:paraId="676F1450">
      <w:pPr>
        <w:ind w:firstLine="420"/>
        <w:jc w:val="left"/>
        <w:rPr>
          <w:rFonts w:hAnsi="Times New Roman"/>
          <w:color w:val="auto"/>
          <w:highlight w:val="none"/>
          <w:lang w:eastAsia="zh-CN"/>
        </w:rPr>
      </w:pPr>
      <w:r>
        <w:rPr>
          <w:rFonts w:hint="eastAsia" w:hAnsi="Times New Roman"/>
          <w:color w:val="auto"/>
          <w:highlight w:val="none"/>
          <w:lang w:eastAsia="zh-CN"/>
        </w:rPr>
        <w:t>2）熟悉应急救援程序；</w:t>
      </w:r>
    </w:p>
    <w:p w14:paraId="24564619">
      <w:pPr>
        <w:ind w:firstLine="420"/>
        <w:jc w:val="left"/>
        <w:rPr>
          <w:rFonts w:hAnsi="Times New Roman"/>
          <w:color w:val="auto"/>
          <w:highlight w:val="none"/>
          <w:lang w:eastAsia="zh-CN"/>
        </w:rPr>
      </w:pPr>
      <w:r>
        <w:rPr>
          <w:rFonts w:hint="eastAsia" w:hAnsi="Times New Roman"/>
          <w:color w:val="auto"/>
          <w:highlight w:val="none"/>
          <w:lang w:eastAsia="zh-CN"/>
        </w:rPr>
        <w:t>3）掌握必要的自救及互救知识；</w:t>
      </w:r>
    </w:p>
    <w:p w14:paraId="27C36CF8">
      <w:pPr>
        <w:ind w:firstLine="420"/>
        <w:jc w:val="left"/>
        <w:rPr>
          <w:rFonts w:hAnsi="Times New Roman"/>
          <w:color w:val="auto"/>
          <w:highlight w:val="none"/>
          <w:lang w:eastAsia="zh-CN"/>
        </w:rPr>
      </w:pPr>
      <w:r>
        <w:rPr>
          <w:rFonts w:hint="eastAsia" w:hAnsi="Times New Roman"/>
          <w:color w:val="auto"/>
          <w:highlight w:val="none"/>
          <w:lang w:eastAsia="zh-CN"/>
        </w:rPr>
        <w:t>4）了解预先指定的主要及备用逃生路线、集合地点及各种避难急救场所位置；</w:t>
      </w:r>
    </w:p>
    <w:p w14:paraId="392BD2F2">
      <w:pPr>
        <w:ind w:firstLine="420"/>
        <w:jc w:val="left"/>
        <w:rPr>
          <w:rFonts w:hAnsi="Times New Roman"/>
          <w:color w:val="auto"/>
          <w:highlight w:val="none"/>
          <w:lang w:eastAsia="zh-CN"/>
        </w:rPr>
      </w:pPr>
      <w:r>
        <w:rPr>
          <w:rFonts w:hint="eastAsia" w:hAnsi="Times New Roman"/>
          <w:color w:val="auto"/>
          <w:highlight w:val="none"/>
          <w:lang w:eastAsia="zh-CN"/>
        </w:rPr>
        <w:t>5）了解各种警报含义，掌握警报设备、通信装置、避难器具等的使用方法。</w:t>
      </w:r>
    </w:p>
    <w:p w14:paraId="5D5E0965">
      <w:pPr>
        <w:ind w:firstLine="420"/>
        <w:jc w:val="left"/>
        <w:rPr>
          <w:rFonts w:hAnsi="Times New Roman"/>
          <w:color w:val="auto"/>
          <w:highlight w:val="none"/>
          <w:lang w:eastAsia="zh-CN"/>
        </w:rPr>
      </w:pPr>
      <w:r>
        <w:rPr>
          <w:rFonts w:hint="eastAsia" w:hAnsi="Times New Roman"/>
          <w:color w:val="auto"/>
          <w:highlight w:val="none"/>
          <w:lang w:eastAsia="zh-CN"/>
        </w:rPr>
        <w:t>（17）不得盲目进行救援，应在保证救援人员的安全的前提下开展应急救援工作。</w:t>
      </w:r>
    </w:p>
    <w:p w14:paraId="05F37F32">
      <w:pPr>
        <w:ind w:firstLine="420"/>
        <w:jc w:val="left"/>
        <w:rPr>
          <w:rFonts w:hAnsi="Times New Roman"/>
          <w:color w:val="auto"/>
          <w:highlight w:val="none"/>
          <w:lang w:eastAsia="zh-CN"/>
        </w:rPr>
      </w:pPr>
      <w:r>
        <w:rPr>
          <w:rFonts w:hint="eastAsia" w:hAnsi="Times New Roman"/>
          <w:color w:val="auto"/>
          <w:highlight w:val="none"/>
          <w:lang w:eastAsia="zh-CN"/>
        </w:rPr>
        <w:t>（18）当隧洞施工中发生险情时，应迅速作出判断，确定相应的响应级别，并按响应级别启动应急救援程序，同时根据下列各项要求，迅速开展事故的侦测、警戒、疏散、人员救助、工程抢险等有关应急救援工作。</w:t>
      </w:r>
    </w:p>
    <w:p w14:paraId="434F68E6">
      <w:pPr>
        <w:ind w:firstLine="420"/>
        <w:jc w:val="left"/>
        <w:rPr>
          <w:rFonts w:hAnsi="Times New Roman"/>
          <w:color w:val="auto"/>
          <w:highlight w:val="none"/>
          <w:lang w:eastAsia="zh-CN"/>
        </w:rPr>
      </w:pPr>
      <w:r>
        <w:rPr>
          <w:rFonts w:hint="eastAsia" w:hAnsi="Times New Roman"/>
          <w:color w:val="auto"/>
          <w:highlight w:val="none"/>
          <w:lang w:eastAsia="zh-CN"/>
        </w:rPr>
        <w:t>1）值班人员和安全负责人应立即通过警报装置通知隧洞内所有作业人员紧急撤离；</w:t>
      </w:r>
    </w:p>
    <w:p w14:paraId="6890213F">
      <w:pPr>
        <w:ind w:firstLine="420"/>
        <w:jc w:val="left"/>
        <w:rPr>
          <w:rFonts w:hAnsi="Times New Roman"/>
          <w:color w:val="auto"/>
          <w:highlight w:val="none"/>
          <w:lang w:eastAsia="zh-CN"/>
        </w:rPr>
      </w:pPr>
      <w:r>
        <w:rPr>
          <w:rFonts w:hint="eastAsia" w:hAnsi="Times New Roman"/>
          <w:color w:val="auto"/>
          <w:highlight w:val="none"/>
          <w:lang w:eastAsia="zh-CN"/>
        </w:rPr>
        <w:t>2）现场最高管理者应负责指挥疏散撤离，各级相关人员应坚守岗位，保持通信畅通，及时反馈人员撤离及险情出现情况等信息；</w:t>
      </w:r>
    </w:p>
    <w:p w14:paraId="1AC78F7B">
      <w:pPr>
        <w:ind w:firstLine="420"/>
        <w:jc w:val="left"/>
        <w:rPr>
          <w:rFonts w:hAnsi="Times New Roman"/>
          <w:color w:val="auto"/>
          <w:highlight w:val="none"/>
          <w:lang w:eastAsia="zh-CN"/>
        </w:rPr>
      </w:pPr>
      <w:r>
        <w:rPr>
          <w:rFonts w:hint="eastAsia" w:hAnsi="Times New Roman"/>
          <w:color w:val="auto"/>
          <w:highlight w:val="none"/>
          <w:lang w:eastAsia="zh-CN"/>
        </w:rPr>
        <w:t>3）按规定应及时上报地方政府和相关部门，并做好相关配合工作；</w:t>
      </w:r>
    </w:p>
    <w:p w14:paraId="24B17C43">
      <w:pPr>
        <w:ind w:firstLine="420"/>
        <w:jc w:val="left"/>
        <w:rPr>
          <w:rFonts w:hAnsi="Times New Roman"/>
          <w:color w:val="auto"/>
          <w:highlight w:val="none"/>
          <w:lang w:eastAsia="zh-CN"/>
        </w:rPr>
      </w:pPr>
      <w:r>
        <w:rPr>
          <w:rFonts w:hint="eastAsia" w:hAnsi="Times New Roman"/>
          <w:color w:val="auto"/>
          <w:highlight w:val="none"/>
          <w:lang w:eastAsia="zh-CN"/>
        </w:rPr>
        <w:t>4）现场应采取警戒和隔离措施，防止其他人员进入危险区域，避免灾害损失扩大；</w:t>
      </w:r>
    </w:p>
    <w:p w14:paraId="7B946A2D">
      <w:pPr>
        <w:ind w:firstLine="420"/>
        <w:jc w:val="left"/>
        <w:rPr>
          <w:rFonts w:hAnsi="Times New Roman"/>
          <w:color w:val="auto"/>
          <w:highlight w:val="none"/>
          <w:lang w:eastAsia="zh-CN"/>
        </w:rPr>
      </w:pPr>
      <w:r>
        <w:rPr>
          <w:rFonts w:hint="eastAsia" w:hAnsi="Times New Roman"/>
          <w:color w:val="auto"/>
          <w:highlight w:val="none"/>
          <w:lang w:eastAsia="zh-CN"/>
        </w:rPr>
        <w:t>5）进行事故原因分析，保证应急救援安全，防止发生次生灾害，并注意保护事故证据；</w:t>
      </w:r>
    </w:p>
    <w:p w14:paraId="708035CA">
      <w:pPr>
        <w:ind w:firstLine="420"/>
        <w:jc w:val="left"/>
        <w:rPr>
          <w:rFonts w:hAnsi="Times New Roman"/>
          <w:color w:val="auto"/>
          <w:highlight w:val="none"/>
          <w:lang w:eastAsia="zh-CN"/>
        </w:rPr>
      </w:pPr>
      <w:r>
        <w:rPr>
          <w:rFonts w:hint="eastAsia" w:hAnsi="Times New Roman"/>
          <w:color w:val="auto"/>
          <w:highlight w:val="none"/>
          <w:lang w:eastAsia="zh-CN"/>
        </w:rPr>
        <w:t>6）制定相应的预防措施和工程处理措施，上报建设、设计、监理和相关单位，按批复的方案对事故进行救援。</w:t>
      </w:r>
    </w:p>
    <w:p w14:paraId="7772AA8F">
      <w:pPr>
        <w:ind w:firstLine="420"/>
        <w:jc w:val="left"/>
        <w:rPr>
          <w:rFonts w:hAnsi="Times New Roman"/>
          <w:color w:val="auto"/>
          <w:highlight w:val="none"/>
          <w:lang w:eastAsia="zh-CN"/>
        </w:rPr>
      </w:pPr>
      <w:r>
        <w:rPr>
          <w:rFonts w:hint="eastAsia" w:hAnsi="Times New Roman"/>
          <w:color w:val="auto"/>
          <w:highlight w:val="none"/>
          <w:lang w:eastAsia="zh-CN"/>
        </w:rPr>
        <w:t>（19）隧洞灾害应急救援应按下图所示的工作程序进行。</w:t>
      </w:r>
    </w:p>
    <w:p w14:paraId="5A245535">
      <w:pPr>
        <w:ind w:firstLine="420"/>
        <w:jc w:val="center"/>
        <w:rPr>
          <w:rFonts w:hAnsi="Times New Roman"/>
          <w:color w:val="auto"/>
          <w:highlight w:val="none"/>
          <w:lang w:eastAsia="zh-CN"/>
        </w:rPr>
      </w:pPr>
      <w:r>
        <w:rPr>
          <w:rFonts w:hAnsi="Times New Roman"/>
          <w:color w:val="auto"/>
          <w:highlight w:val="none"/>
          <w:lang w:eastAsia="zh-CN"/>
        </w:rPr>
        <w:drawing>
          <wp:inline distT="0" distB="0" distL="0" distR="0">
            <wp:extent cx="3834765" cy="3470910"/>
            <wp:effectExtent l="0" t="0" r="5715" b="0"/>
            <wp:docPr id="1" name="图片 5" descr="应急救援工作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应急救援工作流程"/>
                    <pic:cNvPicPr>
                      <a:picLocks noChangeAspect="1" noChangeArrowheads="1"/>
                    </pic:cNvPicPr>
                  </pic:nvPicPr>
                  <pic:blipFill>
                    <a:blip r:embed="rId22"/>
                    <a:srcRect l="4553" t="5278" r="3290" b="3064"/>
                    <a:stretch>
                      <a:fillRect/>
                    </a:stretch>
                  </pic:blipFill>
                  <pic:spPr>
                    <a:xfrm>
                      <a:off x="0" y="0"/>
                      <a:ext cx="3837099" cy="3472744"/>
                    </a:xfrm>
                    <a:prstGeom prst="rect">
                      <a:avLst/>
                    </a:prstGeom>
                    <a:noFill/>
                    <a:ln w="9525" cmpd="sng">
                      <a:noFill/>
                      <a:miter lim="800000"/>
                      <a:headEnd/>
                      <a:tailEnd/>
                    </a:ln>
                  </pic:spPr>
                </pic:pic>
              </a:graphicData>
            </a:graphic>
          </wp:inline>
        </w:drawing>
      </w:r>
    </w:p>
    <w:p w14:paraId="4EDDF9DC">
      <w:pPr>
        <w:ind w:firstLine="420"/>
        <w:jc w:val="center"/>
        <w:rPr>
          <w:rFonts w:hAnsi="Times New Roman"/>
          <w:color w:val="auto"/>
          <w:highlight w:val="none"/>
          <w:lang w:eastAsia="zh-CN"/>
        </w:rPr>
      </w:pPr>
      <w:r>
        <w:rPr>
          <w:rFonts w:hint="eastAsia" w:hAnsi="Times New Roman"/>
          <w:b/>
          <w:bCs/>
          <w:color w:val="auto"/>
          <w:highlight w:val="none"/>
          <w:lang w:eastAsia="zh-CN"/>
        </w:rPr>
        <w:t>图3.5-1</w:t>
      </w:r>
      <w:r>
        <w:rPr>
          <w:rFonts w:hint="eastAsia" w:hAnsi="Times New Roman"/>
          <w:b/>
          <w:bCs/>
          <w:color w:val="auto"/>
          <w:highlight w:val="none"/>
          <w:lang w:val="en-US" w:eastAsia="zh-CN"/>
        </w:rPr>
        <w:t xml:space="preserve">  </w:t>
      </w:r>
      <w:r>
        <w:rPr>
          <w:rFonts w:hint="eastAsia" w:hAnsi="Times New Roman"/>
          <w:b/>
          <w:bCs/>
          <w:color w:val="auto"/>
          <w:highlight w:val="none"/>
          <w:lang w:eastAsia="zh-CN"/>
        </w:rPr>
        <w:t>隧洞灾害救援工作程序</w:t>
      </w:r>
    </w:p>
    <w:p w14:paraId="009B289D">
      <w:pPr>
        <w:ind w:firstLine="420"/>
        <w:jc w:val="left"/>
        <w:rPr>
          <w:rFonts w:hAnsi="Times New Roman"/>
          <w:color w:val="auto"/>
          <w:highlight w:val="none"/>
          <w:lang w:eastAsia="zh-CN"/>
        </w:rPr>
      </w:pPr>
      <w:r>
        <w:rPr>
          <w:rFonts w:hint="eastAsia" w:hAnsi="Times New Roman"/>
          <w:color w:val="auto"/>
          <w:highlight w:val="none"/>
          <w:lang w:eastAsia="zh-CN"/>
        </w:rPr>
        <w:t>（20）隧洞内发生瓦斯燃烧、中毒、爆炸险情后，应采取下列措施：</w:t>
      </w:r>
    </w:p>
    <w:p w14:paraId="120F0FB9">
      <w:pPr>
        <w:ind w:firstLine="420"/>
        <w:jc w:val="left"/>
        <w:rPr>
          <w:rFonts w:hAnsi="Times New Roman"/>
          <w:color w:val="auto"/>
          <w:highlight w:val="none"/>
          <w:lang w:eastAsia="zh-CN"/>
        </w:rPr>
      </w:pPr>
      <w:r>
        <w:rPr>
          <w:rFonts w:hint="eastAsia" w:hAnsi="Times New Roman"/>
          <w:color w:val="auto"/>
          <w:highlight w:val="none"/>
          <w:lang w:eastAsia="zh-CN"/>
        </w:rPr>
        <w:t>1）立即切断洞内所有施工及照明线路电源；</w:t>
      </w:r>
    </w:p>
    <w:p w14:paraId="0C6DDE1C">
      <w:pPr>
        <w:ind w:firstLine="420"/>
        <w:jc w:val="left"/>
        <w:rPr>
          <w:rFonts w:hAnsi="Times New Roman"/>
          <w:color w:val="auto"/>
          <w:highlight w:val="none"/>
          <w:lang w:eastAsia="zh-CN"/>
        </w:rPr>
      </w:pPr>
      <w:r>
        <w:rPr>
          <w:rFonts w:hint="eastAsia" w:hAnsi="Times New Roman"/>
          <w:color w:val="auto"/>
          <w:highlight w:val="none"/>
          <w:lang w:eastAsia="zh-CN"/>
        </w:rPr>
        <w:t>2）立即停止施工，作业人员全部撤出，同时清点施工人数，确认人员伤亡情况；</w:t>
      </w:r>
    </w:p>
    <w:p w14:paraId="68377A47">
      <w:pPr>
        <w:ind w:firstLine="420"/>
        <w:jc w:val="left"/>
        <w:rPr>
          <w:rFonts w:hAnsi="Times New Roman"/>
          <w:color w:val="auto"/>
          <w:highlight w:val="none"/>
          <w:lang w:eastAsia="zh-CN"/>
        </w:rPr>
      </w:pPr>
      <w:r>
        <w:rPr>
          <w:rFonts w:hint="eastAsia" w:hAnsi="Times New Roman"/>
          <w:color w:val="auto"/>
          <w:highlight w:val="none"/>
          <w:lang w:eastAsia="zh-CN"/>
        </w:rPr>
        <w:t>3）立即报告应急抢险领导小组，并及时上报相关单位；</w:t>
      </w:r>
    </w:p>
    <w:p w14:paraId="27167833">
      <w:pPr>
        <w:ind w:firstLine="420"/>
        <w:jc w:val="left"/>
        <w:rPr>
          <w:rFonts w:hAnsi="Times New Roman"/>
          <w:color w:val="auto"/>
          <w:highlight w:val="none"/>
          <w:lang w:eastAsia="zh-CN"/>
        </w:rPr>
      </w:pPr>
      <w:r>
        <w:rPr>
          <w:rFonts w:hint="eastAsia" w:hAnsi="Times New Roman"/>
          <w:color w:val="auto"/>
          <w:highlight w:val="none"/>
          <w:lang w:eastAsia="zh-CN"/>
        </w:rPr>
        <w:t>4）派专人封锁现场，防止无关人员进入危险区域；</w:t>
      </w:r>
    </w:p>
    <w:p w14:paraId="57302D27">
      <w:pPr>
        <w:ind w:firstLine="420"/>
        <w:jc w:val="left"/>
        <w:rPr>
          <w:rFonts w:hAnsi="Times New Roman"/>
          <w:color w:val="auto"/>
          <w:highlight w:val="none"/>
          <w:lang w:eastAsia="zh-CN"/>
        </w:rPr>
      </w:pPr>
      <w:r>
        <w:rPr>
          <w:rFonts w:hint="eastAsia" w:hAnsi="Times New Roman"/>
          <w:color w:val="auto"/>
          <w:highlight w:val="none"/>
          <w:lang w:eastAsia="zh-CN"/>
        </w:rPr>
        <w:t>5）事故处理救护基地，应设在安全区通风良好的安全地带；</w:t>
      </w:r>
    </w:p>
    <w:p w14:paraId="578FDA5F">
      <w:pPr>
        <w:ind w:firstLine="420"/>
        <w:jc w:val="left"/>
        <w:rPr>
          <w:rFonts w:hAnsi="Times New Roman"/>
          <w:color w:val="auto"/>
          <w:highlight w:val="none"/>
          <w:lang w:eastAsia="zh-CN"/>
        </w:rPr>
      </w:pPr>
      <w:r>
        <w:rPr>
          <w:rFonts w:hint="eastAsia" w:hAnsi="Times New Roman"/>
          <w:color w:val="auto"/>
          <w:highlight w:val="none"/>
          <w:lang w:eastAsia="zh-CN"/>
        </w:rPr>
        <w:t>6）应急抢险救援指挥组织人员现场勘察，立即对遇险、受伤人员组织急救；</w:t>
      </w:r>
    </w:p>
    <w:p w14:paraId="5CC22C76">
      <w:pPr>
        <w:ind w:firstLine="420"/>
        <w:jc w:val="left"/>
        <w:rPr>
          <w:rFonts w:hAnsi="Times New Roman"/>
          <w:color w:val="auto"/>
          <w:highlight w:val="none"/>
          <w:lang w:eastAsia="zh-CN"/>
        </w:rPr>
      </w:pPr>
      <w:r>
        <w:rPr>
          <w:rFonts w:hint="eastAsia" w:hAnsi="Times New Roman"/>
          <w:color w:val="auto"/>
          <w:highlight w:val="none"/>
          <w:lang w:eastAsia="zh-CN"/>
        </w:rPr>
        <w:t>7）非救护队成员不得进洞抢救。救护队在执行任务前，应了解事故性质，并制定侦察工作的安全措施，方可进入事故区进行侦察。救护队应在统一指挥下开展抢救工作，个人不得单独行动；</w:t>
      </w:r>
    </w:p>
    <w:p w14:paraId="2F453E12">
      <w:pPr>
        <w:ind w:firstLine="420"/>
        <w:jc w:val="left"/>
        <w:rPr>
          <w:rFonts w:hAnsi="Times New Roman"/>
          <w:color w:val="auto"/>
          <w:highlight w:val="none"/>
          <w:lang w:eastAsia="zh-CN"/>
        </w:rPr>
      </w:pPr>
      <w:r>
        <w:rPr>
          <w:rFonts w:hint="eastAsia" w:hAnsi="Times New Roman"/>
          <w:color w:val="auto"/>
          <w:highlight w:val="none"/>
          <w:lang w:eastAsia="zh-CN"/>
        </w:rPr>
        <w:t>8）可供临时处置的供氧呼吸机、清洗器具、急救箱、担架等医药卫生设备及时到位；</w:t>
      </w:r>
    </w:p>
    <w:p w14:paraId="3E712CB5">
      <w:pPr>
        <w:ind w:firstLine="420"/>
        <w:jc w:val="left"/>
        <w:rPr>
          <w:rFonts w:hAnsi="Times New Roman"/>
          <w:color w:val="auto"/>
          <w:highlight w:val="none"/>
          <w:lang w:eastAsia="zh-CN"/>
        </w:rPr>
      </w:pPr>
      <w:r>
        <w:rPr>
          <w:rFonts w:hint="eastAsia" w:hAnsi="Times New Roman"/>
          <w:color w:val="auto"/>
          <w:highlight w:val="none"/>
          <w:lang w:eastAsia="zh-CN"/>
        </w:rPr>
        <w:t>9）救助受困人员至安全地带进行现场救护，并尽快将受伤人员就近转送医院进行治疗。</w:t>
      </w:r>
    </w:p>
    <w:p w14:paraId="5D345F46">
      <w:pPr>
        <w:ind w:firstLine="420"/>
        <w:jc w:val="left"/>
        <w:rPr>
          <w:rFonts w:hAnsi="Times New Roman"/>
          <w:color w:val="auto"/>
          <w:highlight w:val="none"/>
          <w:lang w:eastAsia="zh-CN"/>
        </w:rPr>
      </w:pPr>
      <w:r>
        <w:rPr>
          <w:rFonts w:hint="eastAsia" w:hAnsi="Times New Roman"/>
          <w:color w:val="auto"/>
          <w:highlight w:val="none"/>
          <w:lang w:eastAsia="zh-CN"/>
        </w:rPr>
        <w:t>（21）隧洞内发生突涌水险情后应采取下列措施：</w:t>
      </w:r>
    </w:p>
    <w:p w14:paraId="690C6800">
      <w:pPr>
        <w:ind w:firstLine="420"/>
        <w:jc w:val="left"/>
        <w:rPr>
          <w:rFonts w:hAnsi="Times New Roman"/>
          <w:color w:val="auto"/>
          <w:highlight w:val="none"/>
          <w:lang w:eastAsia="zh-CN"/>
        </w:rPr>
      </w:pPr>
      <w:r>
        <w:rPr>
          <w:rFonts w:hint="eastAsia" w:hAnsi="Times New Roman"/>
          <w:color w:val="auto"/>
          <w:highlight w:val="none"/>
          <w:lang w:eastAsia="zh-CN"/>
        </w:rPr>
        <w:t>1）突然遇到大面积渗漏水时，应即令工人停止工作，撤至安全地点。同时应对出水部位、水量大小、变化规律、水的浑浊程度等进行观测记录，采取必要的防护措施；</w:t>
      </w:r>
    </w:p>
    <w:p w14:paraId="2A6FE05F">
      <w:pPr>
        <w:ind w:firstLine="420"/>
        <w:jc w:val="left"/>
        <w:rPr>
          <w:rFonts w:hAnsi="Times New Roman"/>
          <w:color w:val="auto"/>
          <w:highlight w:val="none"/>
          <w:lang w:eastAsia="zh-CN"/>
        </w:rPr>
      </w:pPr>
      <w:r>
        <w:rPr>
          <w:rFonts w:hint="eastAsia" w:hAnsi="Times New Roman"/>
          <w:color w:val="auto"/>
          <w:highlight w:val="none"/>
          <w:lang w:eastAsia="zh-CN"/>
        </w:rPr>
        <w:t>2）在突然发生特大涌水，当洞内设有防水闸门时，作业人员应立即启动报警系统，关闭防水闸门，按既定的逃生路线进行洞内人员和机械设备的撤离，并利用防水闸门处安设的抽水机对突涌水段进行抽排水；当洞内未设防水闸门时，作业人员应按既定的逃生路线立即撤出；</w:t>
      </w:r>
    </w:p>
    <w:p w14:paraId="51BEA80C">
      <w:pPr>
        <w:ind w:firstLine="420"/>
        <w:jc w:val="left"/>
        <w:rPr>
          <w:rFonts w:hAnsi="Times New Roman"/>
          <w:color w:val="auto"/>
          <w:highlight w:val="none"/>
          <w:lang w:eastAsia="zh-CN"/>
        </w:rPr>
      </w:pPr>
      <w:r>
        <w:rPr>
          <w:rFonts w:hint="eastAsia" w:hAnsi="Times New Roman"/>
          <w:color w:val="auto"/>
          <w:highlight w:val="none"/>
          <w:lang w:eastAsia="zh-CN"/>
        </w:rPr>
        <w:t>3）在开挖作业过程中发生特大突涌水，开挖工作面人员应立即沿逃生路线迅速向洞外或避难所撤离，当涌水量较大时，人员可利用事先准备的救生圈、皮划艇等进行逃生。其他人员应立即启动报警系统，发出警报信号，迅速切断电源，启动应急照明；</w:t>
      </w:r>
    </w:p>
    <w:p w14:paraId="562E10ED">
      <w:pPr>
        <w:ind w:firstLine="420"/>
        <w:jc w:val="left"/>
        <w:rPr>
          <w:rFonts w:hAnsi="Times New Roman"/>
          <w:color w:val="auto"/>
          <w:highlight w:val="none"/>
          <w:lang w:eastAsia="zh-CN"/>
        </w:rPr>
      </w:pPr>
      <w:r>
        <w:rPr>
          <w:rFonts w:hint="eastAsia" w:hAnsi="Times New Roman"/>
          <w:color w:val="auto"/>
          <w:highlight w:val="none"/>
          <w:lang w:eastAsia="zh-CN"/>
        </w:rPr>
        <w:t>4）立即报告应急抢险领导小组，并及时上报相关单位；</w:t>
      </w:r>
    </w:p>
    <w:p w14:paraId="1A3CA4EF">
      <w:pPr>
        <w:ind w:firstLine="420"/>
        <w:jc w:val="left"/>
        <w:rPr>
          <w:rFonts w:hAnsi="Times New Roman"/>
          <w:color w:val="auto"/>
          <w:highlight w:val="none"/>
          <w:lang w:eastAsia="zh-CN"/>
        </w:rPr>
      </w:pPr>
      <w:r>
        <w:rPr>
          <w:rFonts w:hint="eastAsia" w:hAnsi="Times New Roman"/>
          <w:color w:val="auto"/>
          <w:highlight w:val="none"/>
          <w:lang w:eastAsia="zh-CN"/>
        </w:rPr>
        <w:t>5）派专人封锁现场，防止无关人员进入危险区域；</w:t>
      </w:r>
    </w:p>
    <w:p w14:paraId="30F078F8">
      <w:pPr>
        <w:ind w:firstLine="420"/>
        <w:jc w:val="left"/>
        <w:rPr>
          <w:rFonts w:hAnsi="Times New Roman"/>
          <w:color w:val="auto"/>
          <w:highlight w:val="none"/>
          <w:lang w:eastAsia="zh-CN"/>
        </w:rPr>
      </w:pPr>
      <w:r>
        <w:rPr>
          <w:rFonts w:hint="eastAsia" w:hAnsi="Times New Roman"/>
          <w:color w:val="auto"/>
          <w:highlight w:val="none"/>
          <w:lang w:eastAsia="zh-CN"/>
        </w:rPr>
        <w:t>6）突涌水保持稳定后，利用抽水设备进行排水。</w:t>
      </w:r>
    </w:p>
    <w:p w14:paraId="55F3986E">
      <w:pPr>
        <w:ind w:firstLine="420"/>
        <w:jc w:val="left"/>
        <w:rPr>
          <w:rFonts w:hAnsi="Times New Roman"/>
          <w:color w:val="auto"/>
          <w:highlight w:val="none"/>
          <w:lang w:eastAsia="zh-CN"/>
        </w:rPr>
      </w:pPr>
      <w:r>
        <w:rPr>
          <w:rFonts w:hint="eastAsia" w:hAnsi="Times New Roman"/>
          <w:color w:val="auto"/>
          <w:highlight w:val="none"/>
          <w:lang w:eastAsia="zh-CN"/>
        </w:rPr>
        <w:t>（22）当隧洞发生塌方时应采取下列措施：</w:t>
      </w:r>
    </w:p>
    <w:p w14:paraId="44E1C3A7">
      <w:pPr>
        <w:ind w:firstLine="420"/>
        <w:jc w:val="left"/>
        <w:rPr>
          <w:rFonts w:hAnsi="Times New Roman"/>
          <w:color w:val="auto"/>
          <w:highlight w:val="none"/>
          <w:lang w:eastAsia="zh-CN"/>
        </w:rPr>
      </w:pPr>
      <w:r>
        <w:rPr>
          <w:rFonts w:hint="eastAsia" w:hAnsi="Times New Roman"/>
          <w:color w:val="auto"/>
          <w:highlight w:val="none"/>
          <w:lang w:eastAsia="zh-CN"/>
        </w:rPr>
        <w:t>1）立即停止施工，作业人员全部撤出，同时清点施工人数，确认人员伤亡情况；</w:t>
      </w:r>
    </w:p>
    <w:p w14:paraId="5849B6AE">
      <w:pPr>
        <w:ind w:firstLine="420"/>
        <w:jc w:val="left"/>
        <w:rPr>
          <w:rFonts w:hAnsi="Times New Roman"/>
          <w:color w:val="auto"/>
          <w:highlight w:val="none"/>
          <w:lang w:eastAsia="zh-CN"/>
        </w:rPr>
      </w:pPr>
      <w:r>
        <w:rPr>
          <w:rFonts w:hint="eastAsia" w:hAnsi="Times New Roman"/>
          <w:color w:val="auto"/>
          <w:highlight w:val="none"/>
          <w:lang w:eastAsia="zh-CN"/>
        </w:rPr>
        <w:t>2）应按事故分级规定迅速向有关单位报告，并立即启动应急预案实施救援；</w:t>
      </w:r>
    </w:p>
    <w:p w14:paraId="0C5C563F">
      <w:pPr>
        <w:ind w:firstLine="420"/>
        <w:jc w:val="left"/>
        <w:rPr>
          <w:rFonts w:hAnsi="Times New Roman"/>
          <w:color w:val="auto"/>
          <w:highlight w:val="none"/>
          <w:lang w:eastAsia="zh-CN"/>
        </w:rPr>
      </w:pPr>
      <w:r>
        <w:rPr>
          <w:rFonts w:hint="eastAsia" w:hAnsi="Times New Roman"/>
          <w:color w:val="auto"/>
          <w:highlight w:val="none"/>
          <w:lang w:eastAsia="zh-CN"/>
        </w:rPr>
        <w:t>3）派专人封锁现场，防止无关人员进入危险区域；</w:t>
      </w:r>
    </w:p>
    <w:p w14:paraId="0DCC296D">
      <w:pPr>
        <w:ind w:firstLine="420"/>
        <w:jc w:val="left"/>
        <w:rPr>
          <w:rFonts w:hAnsi="Times New Roman"/>
          <w:color w:val="auto"/>
          <w:highlight w:val="none"/>
          <w:lang w:eastAsia="zh-CN"/>
        </w:rPr>
      </w:pPr>
      <w:r>
        <w:rPr>
          <w:rFonts w:hint="eastAsia" w:hAnsi="Times New Roman"/>
          <w:color w:val="auto"/>
          <w:highlight w:val="none"/>
          <w:lang w:eastAsia="zh-CN"/>
        </w:rPr>
        <w:t>4）当隧洞塌方造成人员被困时，参建各方应在调查清楚塌方发生的部位、规模、被困人员避难位置等具体情况基础上，制定科学合理的救援方案，防止二次灾害发生；</w:t>
      </w:r>
    </w:p>
    <w:p w14:paraId="486371DA">
      <w:pPr>
        <w:ind w:firstLine="420"/>
        <w:jc w:val="left"/>
        <w:rPr>
          <w:rFonts w:hAnsi="Times New Roman"/>
          <w:color w:val="auto"/>
          <w:highlight w:val="none"/>
          <w:lang w:eastAsia="zh-CN"/>
        </w:rPr>
      </w:pPr>
      <w:r>
        <w:rPr>
          <w:rFonts w:hint="eastAsia" w:hAnsi="Times New Roman"/>
          <w:color w:val="auto"/>
          <w:highlight w:val="none"/>
          <w:lang w:eastAsia="zh-CN"/>
        </w:rPr>
        <w:t>5）尽快打通生命通道，利用生命通道或高压风管等与洞内被困人员进行联系，并向洞内供风、供氧、供应食物及药品等；</w:t>
      </w:r>
    </w:p>
    <w:p w14:paraId="7154ED69">
      <w:pPr>
        <w:ind w:firstLine="420"/>
        <w:jc w:val="left"/>
        <w:rPr>
          <w:rFonts w:hAnsi="Times New Roman"/>
          <w:color w:val="auto"/>
          <w:highlight w:val="none"/>
          <w:lang w:eastAsia="zh-CN"/>
        </w:rPr>
      </w:pPr>
      <w:r>
        <w:rPr>
          <w:rFonts w:hint="eastAsia" w:hAnsi="Times New Roman"/>
          <w:color w:val="auto"/>
          <w:highlight w:val="none"/>
          <w:lang w:eastAsia="zh-CN"/>
        </w:rPr>
        <w:t>6）被困人员救出后应由专业医护人员进行救治。</w:t>
      </w:r>
    </w:p>
    <w:p w14:paraId="7CB87CED">
      <w:pPr>
        <w:ind w:firstLine="420"/>
        <w:jc w:val="left"/>
        <w:rPr>
          <w:rFonts w:hAnsi="Times New Roman"/>
          <w:color w:val="auto"/>
          <w:highlight w:val="none"/>
          <w:lang w:eastAsia="zh-CN"/>
        </w:rPr>
      </w:pPr>
      <w:r>
        <w:rPr>
          <w:rFonts w:hint="eastAsia" w:hAnsi="Times New Roman"/>
          <w:color w:val="auto"/>
          <w:highlight w:val="none"/>
          <w:lang w:eastAsia="zh-CN"/>
        </w:rPr>
        <w:t>（23）当隧洞内发生火灾时应采取下列措施：</w:t>
      </w:r>
    </w:p>
    <w:p w14:paraId="005B07CE">
      <w:pPr>
        <w:ind w:firstLine="420"/>
        <w:jc w:val="left"/>
        <w:rPr>
          <w:rFonts w:hAnsi="Times New Roman"/>
          <w:color w:val="auto"/>
          <w:highlight w:val="none"/>
          <w:lang w:eastAsia="zh-CN"/>
        </w:rPr>
      </w:pPr>
      <w:r>
        <w:rPr>
          <w:rFonts w:hint="eastAsia" w:hAnsi="Times New Roman"/>
          <w:color w:val="auto"/>
          <w:highlight w:val="none"/>
          <w:lang w:eastAsia="zh-CN"/>
        </w:rPr>
        <w:t>1）及时迅速启动报警系统；</w:t>
      </w:r>
    </w:p>
    <w:p w14:paraId="3DDBD608">
      <w:pPr>
        <w:ind w:firstLine="420"/>
        <w:jc w:val="left"/>
        <w:rPr>
          <w:rFonts w:hAnsi="Times New Roman"/>
          <w:color w:val="auto"/>
          <w:highlight w:val="none"/>
          <w:lang w:eastAsia="zh-CN"/>
        </w:rPr>
      </w:pPr>
      <w:r>
        <w:rPr>
          <w:rFonts w:hint="eastAsia" w:hAnsi="Times New Roman"/>
          <w:color w:val="auto"/>
          <w:highlight w:val="none"/>
          <w:lang w:eastAsia="zh-CN"/>
        </w:rPr>
        <w:t>2）起火初期，当火势不大，未对人与环境造成较大威胁时，应运用平时培训演练的技能，就近采用灭火器、水管等消防器材，尽可能地在第一时间将火扑灭；</w:t>
      </w:r>
    </w:p>
    <w:p w14:paraId="0E326E4A">
      <w:pPr>
        <w:ind w:firstLine="420"/>
        <w:jc w:val="left"/>
        <w:rPr>
          <w:rFonts w:hAnsi="Times New Roman"/>
          <w:color w:val="auto"/>
          <w:highlight w:val="none"/>
          <w:lang w:eastAsia="zh-CN"/>
        </w:rPr>
      </w:pPr>
      <w:r>
        <w:rPr>
          <w:rFonts w:hint="eastAsia" w:hAnsi="Times New Roman"/>
          <w:color w:val="auto"/>
          <w:highlight w:val="none"/>
          <w:lang w:eastAsia="zh-CN"/>
        </w:rPr>
        <w:t>3）当火势失去控制时，应判明方向，迅速判断危险地点和安全地点，组织作业人员按逃生路线向洞外或附近避难所撤离；</w:t>
      </w:r>
    </w:p>
    <w:p w14:paraId="2172CAA4">
      <w:pPr>
        <w:ind w:firstLine="420"/>
        <w:jc w:val="left"/>
        <w:rPr>
          <w:rFonts w:hAnsi="Times New Roman"/>
          <w:color w:val="auto"/>
          <w:highlight w:val="none"/>
          <w:lang w:eastAsia="zh-CN"/>
        </w:rPr>
      </w:pPr>
      <w:r>
        <w:rPr>
          <w:rFonts w:hint="eastAsia" w:hAnsi="Times New Roman"/>
          <w:color w:val="auto"/>
          <w:highlight w:val="none"/>
          <w:lang w:eastAsia="zh-CN"/>
        </w:rPr>
        <w:t>4）立即报告应急抢险领导小组，并及时上报相关单位；</w:t>
      </w:r>
    </w:p>
    <w:p w14:paraId="553830DD">
      <w:pPr>
        <w:ind w:firstLine="420"/>
        <w:jc w:val="left"/>
        <w:rPr>
          <w:rFonts w:hAnsi="Times New Roman"/>
          <w:color w:val="auto"/>
          <w:highlight w:val="none"/>
          <w:lang w:eastAsia="zh-CN"/>
        </w:rPr>
      </w:pPr>
      <w:r>
        <w:rPr>
          <w:rFonts w:hint="eastAsia" w:hAnsi="Times New Roman"/>
          <w:color w:val="auto"/>
          <w:highlight w:val="none"/>
          <w:lang w:eastAsia="zh-CN"/>
        </w:rPr>
        <w:t>5）对遇险、受伤人员组织急救。</w:t>
      </w:r>
    </w:p>
    <w:p w14:paraId="4DE54B37">
      <w:pPr>
        <w:ind w:firstLine="420"/>
        <w:jc w:val="left"/>
        <w:rPr>
          <w:rFonts w:hAnsi="Times New Roman"/>
          <w:color w:val="auto"/>
          <w:highlight w:val="none"/>
          <w:lang w:eastAsia="zh-CN"/>
        </w:rPr>
      </w:pPr>
      <w:r>
        <w:rPr>
          <w:rFonts w:hint="eastAsia" w:hAnsi="Times New Roman"/>
          <w:color w:val="auto"/>
          <w:highlight w:val="none"/>
          <w:lang w:eastAsia="zh-CN"/>
        </w:rPr>
        <w:t>（24）在可能发生自然灾害的地区施工时，应有计划地采取下列相应的措施：</w:t>
      </w:r>
    </w:p>
    <w:p w14:paraId="2A979AF7">
      <w:pPr>
        <w:ind w:firstLine="420"/>
        <w:jc w:val="left"/>
        <w:rPr>
          <w:rFonts w:hAnsi="Times New Roman"/>
          <w:color w:val="auto"/>
          <w:highlight w:val="none"/>
          <w:lang w:eastAsia="zh-CN"/>
        </w:rPr>
      </w:pPr>
      <w:r>
        <w:rPr>
          <w:rFonts w:hint="eastAsia" w:hAnsi="Times New Roman"/>
          <w:color w:val="auto"/>
          <w:highlight w:val="none"/>
          <w:lang w:eastAsia="zh-CN"/>
        </w:rPr>
        <w:t>1）收集历史气象和地质信息，并关注天气预报；</w:t>
      </w:r>
    </w:p>
    <w:p w14:paraId="52A09967">
      <w:pPr>
        <w:ind w:firstLine="420"/>
        <w:jc w:val="left"/>
        <w:rPr>
          <w:rFonts w:hAnsi="Times New Roman"/>
          <w:color w:val="auto"/>
          <w:highlight w:val="none"/>
          <w:lang w:eastAsia="zh-CN"/>
        </w:rPr>
      </w:pPr>
      <w:r>
        <w:rPr>
          <w:rFonts w:hint="eastAsia" w:hAnsi="Times New Roman"/>
          <w:color w:val="auto"/>
          <w:highlight w:val="none"/>
          <w:lang w:eastAsia="zh-CN"/>
        </w:rPr>
        <w:t>2）可能发生自然灾害时，应立即停止施工，对施工现场进行警戒检查并采取防护措施；</w:t>
      </w:r>
    </w:p>
    <w:p w14:paraId="3B185BE1">
      <w:pPr>
        <w:ind w:firstLine="420"/>
        <w:jc w:val="left"/>
        <w:rPr>
          <w:rFonts w:hAnsi="Times New Roman"/>
          <w:color w:val="auto"/>
          <w:highlight w:val="none"/>
          <w:lang w:eastAsia="zh-CN"/>
        </w:rPr>
      </w:pPr>
      <w:r>
        <w:rPr>
          <w:rFonts w:hint="eastAsia" w:hAnsi="Times New Roman"/>
          <w:color w:val="auto"/>
          <w:highlight w:val="none"/>
          <w:lang w:eastAsia="zh-CN"/>
        </w:rPr>
        <w:t>3）自然灾害警报解除后，应确认作业条件安全方可进行作业；</w:t>
      </w:r>
    </w:p>
    <w:p w14:paraId="7B413B20">
      <w:pPr>
        <w:ind w:firstLine="420"/>
        <w:jc w:val="left"/>
        <w:rPr>
          <w:rFonts w:hAnsi="Times New Roman"/>
          <w:color w:val="auto"/>
          <w:highlight w:val="none"/>
          <w:lang w:eastAsia="zh-CN"/>
        </w:rPr>
      </w:pPr>
      <w:r>
        <w:rPr>
          <w:rFonts w:hint="eastAsia" w:hAnsi="Times New Roman"/>
          <w:color w:val="auto"/>
          <w:highlight w:val="none"/>
          <w:lang w:eastAsia="zh-CN"/>
        </w:rPr>
        <w:t>4）大雨时隧洞施工应注意下列事项：</w:t>
      </w:r>
    </w:p>
    <w:p w14:paraId="07627869">
      <w:pPr>
        <w:ind w:firstLine="420"/>
        <w:jc w:val="left"/>
        <w:rPr>
          <w:rFonts w:hAnsi="Times New Roman"/>
          <w:color w:val="auto"/>
          <w:highlight w:val="none"/>
          <w:lang w:eastAsia="zh-CN"/>
        </w:rPr>
      </w:pPr>
      <w:r>
        <w:rPr>
          <w:rFonts w:hint="eastAsia" w:cs="宋体"/>
          <w:color w:val="auto"/>
          <w:highlight w:val="none"/>
          <w:lang w:eastAsia="zh-CN"/>
        </w:rPr>
        <w:t>①</w:t>
      </w:r>
      <w:r>
        <w:rPr>
          <w:rFonts w:hint="eastAsia" w:hAnsi="Times New Roman"/>
          <w:color w:val="auto"/>
          <w:highlight w:val="none"/>
          <w:lang w:eastAsia="zh-CN"/>
        </w:rPr>
        <w:t>当洞口地质地形可能因降雨引发泥石流时，应采取加固措施；</w:t>
      </w:r>
    </w:p>
    <w:p w14:paraId="65D5CCAE">
      <w:pPr>
        <w:ind w:firstLine="420"/>
        <w:jc w:val="left"/>
        <w:rPr>
          <w:rFonts w:hAnsi="Times New Roman"/>
          <w:color w:val="auto"/>
          <w:highlight w:val="none"/>
          <w:lang w:eastAsia="zh-CN"/>
        </w:rPr>
      </w:pPr>
      <w:r>
        <w:rPr>
          <w:rFonts w:hint="eastAsia" w:cs="宋体"/>
          <w:color w:val="auto"/>
          <w:highlight w:val="none"/>
          <w:lang w:eastAsia="zh-CN"/>
        </w:rPr>
        <w:t>②</w:t>
      </w:r>
      <w:r>
        <w:rPr>
          <w:rFonts w:hint="eastAsia" w:hAnsi="Times New Roman"/>
          <w:color w:val="auto"/>
          <w:highlight w:val="none"/>
          <w:lang w:eastAsia="zh-CN"/>
        </w:rPr>
        <w:t>机械设备应向安全场所转移或进行拆除，防止水淹、倾倒；</w:t>
      </w:r>
    </w:p>
    <w:p w14:paraId="52D3AC93">
      <w:pPr>
        <w:ind w:firstLine="420"/>
        <w:jc w:val="left"/>
        <w:rPr>
          <w:rFonts w:hAnsi="Times New Roman"/>
          <w:color w:val="auto"/>
          <w:highlight w:val="none"/>
          <w:lang w:eastAsia="zh-CN"/>
        </w:rPr>
      </w:pPr>
      <w:r>
        <w:rPr>
          <w:rFonts w:hint="eastAsia" w:cs="宋体"/>
          <w:color w:val="auto"/>
          <w:highlight w:val="none"/>
          <w:lang w:eastAsia="zh-CN"/>
        </w:rPr>
        <w:t>③</w:t>
      </w:r>
      <w:r>
        <w:rPr>
          <w:rFonts w:hint="eastAsia" w:hAnsi="Times New Roman"/>
          <w:color w:val="auto"/>
          <w:highlight w:val="none"/>
          <w:lang w:eastAsia="zh-CN"/>
        </w:rPr>
        <w:t>可能发生漫水、沉陷或垮塌的地方，应进行加固处理，并设警示标志。</w:t>
      </w:r>
    </w:p>
    <w:p w14:paraId="1427F7C9">
      <w:pPr>
        <w:ind w:firstLine="420"/>
        <w:jc w:val="left"/>
        <w:rPr>
          <w:rFonts w:hAnsi="Times New Roman"/>
          <w:color w:val="auto"/>
          <w:highlight w:val="none"/>
          <w:lang w:eastAsia="zh-CN"/>
        </w:rPr>
      </w:pPr>
      <w:r>
        <w:rPr>
          <w:rFonts w:hint="eastAsia" w:hAnsi="Times New Roman"/>
          <w:color w:val="auto"/>
          <w:highlight w:val="none"/>
          <w:lang w:eastAsia="zh-CN"/>
        </w:rPr>
        <w:t>5）在遇强风、暴风时，对各种大型机械应采取防止倾倒及滑跑措施，对临时设备、脚手架等应采取加固、拉结等保护措施；</w:t>
      </w:r>
    </w:p>
    <w:p w14:paraId="39DDF884">
      <w:pPr>
        <w:ind w:firstLine="420"/>
        <w:jc w:val="left"/>
        <w:rPr>
          <w:rFonts w:hAnsi="Times New Roman"/>
          <w:color w:val="auto"/>
          <w:highlight w:val="none"/>
          <w:lang w:eastAsia="zh-CN"/>
        </w:rPr>
      </w:pPr>
      <w:r>
        <w:rPr>
          <w:rFonts w:hint="eastAsia" w:hAnsi="Times New Roman"/>
          <w:color w:val="auto"/>
          <w:highlight w:val="none"/>
          <w:lang w:eastAsia="zh-CN"/>
        </w:rPr>
        <w:t>6）雷暴天气时，隧洞施工用机械设备应按规定置雷电报警器和避雷针。</w:t>
      </w:r>
    </w:p>
    <w:p w14:paraId="5E55A5AB">
      <w:pPr>
        <w:ind w:firstLine="420"/>
        <w:jc w:val="left"/>
        <w:rPr>
          <w:rFonts w:hAnsi="Times New Roman"/>
          <w:color w:val="auto"/>
          <w:highlight w:val="none"/>
          <w:lang w:eastAsia="zh-CN"/>
        </w:rPr>
      </w:pPr>
      <w:r>
        <w:rPr>
          <w:rFonts w:hint="eastAsia" w:hAnsi="Times New Roman"/>
          <w:color w:val="auto"/>
          <w:highlight w:val="none"/>
          <w:lang w:eastAsia="zh-CN"/>
        </w:rPr>
        <w:t>7）为防止地震和海啸造成的灾害，应关注预报信息，加强避灾演练。地震发生时，应迅速组织作业人员退避到安全场所。</w:t>
      </w:r>
    </w:p>
    <w:p w14:paraId="7F24B361">
      <w:pPr>
        <w:ind w:firstLine="420"/>
        <w:jc w:val="left"/>
        <w:rPr>
          <w:rFonts w:hint="eastAsia" w:hAnsi="Times New Roman"/>
          <w:color w:val="auto"/>
          <w:highlight w:val="none"/>
          <w:lang w:eastAsia="zh-CN"/>
        </w:rPr>
      </w:pPr>
      <w:r>
        <w:rPr>
          <w:rFonts w:hint="eastAsia" w:hAnsi="Times New Roman"/>
          <w:color w:val="auto"/>
          <w:highlight w:val="none"/>
          <w:lang w:eastAsia="zh-CN"/>
        </w:rPr>
        <w:t>（25）应急救援工作和事故处置完成后，恢复施工前，应组织对作业现场进行全面安全排查，确认安全后再重新组织隧洞施工。</w:t>
      </w:r>
    </w:p>
    <w:p w14:paraId="3E04578E">
      <w:pPr>
        <w:pStyle w:val="4"/>
        <w:spacing w:beforeLines="0" w:afterLines="0"/>
        <w:jc w:val="both"/>
        <w:rPr>
          <w:rFonts w:hint="eastAsia" w:cs="宋体"/>
          <w:bCs/>
          <w:color w:val="auto"/>
          <w:szCs w:val="24"/>
          <w:highlight w:val="none"/>
          <w:lang w:eastAsia="zh-CN"/>
        </w:rPr>
      </w:pPr>
      <w:bookmarkStart w:id="1672" w:name="_Toc10703"/>
      <w:bookmarkStart w:id="1673" w:name="_Toc4469"/>
      <w:bookmarkStart w:id="1674" w:name="_Toc29776"/>
      <w:r>
        <w:rPr>
          <w:rFonts w:hint="eastAsia" w:cs="宋体"/>
          <w:bCs/>
          <w:color w:val="auto"/>
          <w:szCs w:val="24"/>
          <w:highlight w:val="none"/>
          <w:lang w:eastAsia="zh-CN"/>
        </w:rPr>
        <w:t>3.5　钻爆隧洞施工安全措施</w:t>
      </w:r>
      <w:bookmarkEnd w:id="1672"/>
      <w:bookmarkEnd w:id="1673"/>
      <w:bookmarkEnd w:id="1674"/>
    </w:p>
    <w:p w14:paraId="7ACE1449">
      <w:pPr>
        <w:pStyle w:val="5"/>
        <w:jc w:val="left"/>
        <w:rPr>
          <w:rFonts w:hAnsi="Times New Roman" w:cs="楷体"/>
          <w:color w:val="auto"/>
          <w:highlight w:val="none"/>
          <w:lang w:eastAsia="zh-CN"/>
        </w:rPr>
      </w:pPr>
      <w:r>
        <w:rPr>
          <w:rFonts w:hAnsi="Times New Roman"/>
          <w:color w:val="auto"/>
          <w:highlight w:val="none"/>
          <w:lang w:eastAsia="zh-CN"/>
        </w:rPr>
        <w:t>3.5.1</w:t>
      </w:r>
      <w:r>
        <w:rPr>
          <w:rFonts w:hint="eastAsia" w:hAnsi="Times New Roman"/>
          <w:color w:val="auto"/>
          <w:highlight w:val="none"/>
          <w:lang w:eastAsia="zh-CN"/>
        </w:rPr>
        <w:t>　</w:t>
      </w:r>
      <w:r>
        <w:rPr>
          <w:rFonts w:hint="eastAsia"/>
          <w:color w:val="auto"/>
          <w:highlight w:val="none"/>
          <w:lang w:eastAsia="zh-CN"/>
        </w:rPr>
        <w:t>洞口工程</w:t>
      </w:r>
    </w:p>
    <w:p w14:paraId="0B808244">
      <w:pPr>
        <w:pStyle w:val="5"/>
        <w:jc w:val="left"/>
        <w:rPr>
          <w:rFonts w:hAnsi="Times New Roman" w:cs="楷体"/>
          <w:color w:val="auto"/>
          <w:highlight w:val="none"/>
          <w:lang w:eastAsia="zh-CN"/>
        </w:rPr>
      </w:pPr>
      <w:r>
        <w:rPr>
          <w:rFonts w:hAnsi="Times New Roman"/>
          <w:color w:val="auto"/>
          <w:highlight w:val="none"/>
          <w:lang w:eastAsia="zh-CN"/>
        </w:rPr>
        <w:t>3.5.1.1</w:t>
      </w:r>
      <w:r>
        <w:rPr>
          <w:rFonts w:hint="eastAsia" w:hAnsi="Times New Roman"/>
          <w:color w:val="auto"/>
          <w:highlight w:val="none"/>
          <w:lang w:eastAsia="zh-CN"/>
        </w:rPr>
        <w:t>　</w:t>
      </w:r>
      <w:r>
        <w:rPr>
          <w:rFonts w:hint="eastAsia"/>
          <w:color w:val="auto"/>
          <w:highlight w:val="none"/>
          <w:lang w:eastAsia="zh-CN"/>
        </w:rPr>
        <w:t>一般规定</w:t>
      </w:r>
    </w:p>
    <w:p w14:paraId="721FEFE5">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）洞口工程施工作业应考虑下列主要危险源、危害因素：</w:t>
      </w:r>
    </w:p>
    <w:p w14:paraId="71CFF343">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）对边仰坡坍塌、地表下沉、地基承载力不足、工作面崩塌、偏压、滑坡等情况未及时处理或加强防护；</w:t>
      </w:r>
    </w:p>
    <w:p w14:paraId="6F2DA816">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）洞口各项工程与洞口相邻工程、临时工程的统筹安排不当；</w:t>
      </w:r>
    </w:p>
    <w:p w14:paraId="5F2A1FFA">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）土石方开挖违反作业顺序要求；</w:t>
      </w:r>
    </w:p>
    <w:p w14:paraId="5B6EE9E4">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）施工机具失稳及安全性能缺失、下降；</w:t>
      </w:r>
    </w:p>
    <w:p w14:paraId="54724D9F">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）高处作业台（支）架失稳、安全防护失效；</w:t>
      </w:r>
    </w:p>
    <w:p w14:paraId="42E3598C">
      <w:pPr>
        <w:ind w:firstLine="420"/>
        <w:jc w:val="left"/>
        <w:rPr>
          <w:rFonts w:hAnsi="Times New Roman"/>
          <w:color w:val="auto"/>
          <w:highlight w:val="none"/>
          <w:lang w:eastAsia="zh-CN"/>
        </w:rPr>
      </w:pPr>
      <w:r>
        <w:rPr>
          <w:rFonts w:hAnsi="Times New Roman"/>
          <w:color w:val="auto"/>
          <w:highlight w:val="none"/>
          <w:lang w:eastAsia="zh-CN"/>
        </w:rPr>
        <w:t>6</w:t>
      </w:r>
      <w:r>
        <w:rPr>
          <w:rFonts w:hint="eastAsia"/>
          <w:color w:val="auto"/>
          <w:highlight w:val="none"/>
          <w:lang w:eastAsia="zh-CN"/>
        </w:rPr>
        <w:t>）爆破方式方法不当、防护措施不足、违规处理火工产品；</w:t>
      </w:r>
    </w:p>
    <w:p w14:paraId="7E891247">
      <w:pPr>
        <w:ind w:firstLine="420"/>
        <w:jc w:val="left"/>
        <w:rPr>
          <w:rFonts w:hAnsi="Times New Roman"/>
          <w:color w:val="auto"/>
          <w:highlight w:val="none"/>
          <w:lang w:eastAsia="zh-CN"/>
        </w:rPr>
      </w:pPr>
      <w:r>
        <w:rPr>
          <w:rFonts w:hAnsi="Times New Roman"/>
          <w:color w:val="auto"/>
          <w:highlight w:val="none"/>
          <w:lang w:eastAsia="zh-CN"/>
        </w:rPr>
        <w:t>7</w:t>
      </w:r>
      <w:r>
        <w:rPr>
          <w:rFonts w:hint="eastAsia"/>
          <w:color w:val="auto"/>
          <w:highlight w:val="none"/>
          <w:lang w:eastAsia="zh-CN"/>
        </w:rPr>
        <w:t>）洞口周边邻近房屋、架空洞口架空高压线或埋地管线，因洞口施工造成建构物和管线等环境设施沉降、开裂、损坏、倒塌、中断等风险。</w:t>
      </w:r>
    </w:p>
    <w:p w14:paraId="0658420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）隧洞洞口施工前应核对施工图与现场实际地质、毗邻建（构）筑物情况，当设计与实际情况不符时，施工单位应及时提请设计变更。</w:t>
      </w:r>
    </w:p>
    <w:p w14:paraId="66B894D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）洞口各项工程应与洞口相邻工程、临时工程统筹安排，及早完成。施工时还应采取下列措施：</w:t>
      </w:r>
    </w:p>
    <w:p w14:paraId="4DA54DCD">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）洞口的截、排水系统应与洞口相邻工程排水系统顺接，不得冲刷路基坡面、桥台锥体和农田房舍。</w:t>
      </w:r>
    </w:p>
    <w:p w14:paraId="24AD3A15">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）施工道路的引入和施工场地的平整应减少对边、仰坡周边原地貌的破坏，并避免对洞口段围岩稳定的影响。</w:t>
      </w:r>
    </w:p>
    <w:p w14:paraId="53C8843D">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）洞口工程爆破应符合下列规定：</w:t>
      </w:r>
    </w:p>
    <w:p w14:paraId="70800013">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）洞口石质边、仰坡的开挖应采用光面爆破，不得采用深孔爆破或松动爆破。</w:t>
      </w:r>
    </w:p>
    <w:p w14:paraId="13FB0A55">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）洞口邻近有建（构）筑物，开挖爆破应采用控制爆破，爆破振动速度应符合现行国家标准《爆破安全规程》（</w:t>
      </w:r>
      <w:r>
        <w:rPr>
          <w:rFonts w:hint="eastAsia" w:hAnsi="Times New Roman"/>
          <w:color w:val="auto"/>
          <w:highlight w:val="none"/>
          <w:lang w:eastAsia="zh-CN"/>
        </w:rPr>
        <w:t xml:space="preserve">GB </w:t>
      </w:r>
      <w:r>
        <w:rPr>
          <w:rFonts w:hAnsi="Times New Roman"/>
          <w:color w:val="auto"/>
          <w:highlight w:val="none"/>
          <w:lang w:eastAsia="zh-CN"/>
        </w:rPr>
        <w:t>6722</w:t>
      </w:r>
      <w:r>
        <w:rPr>
          <w:rFonts w:hint="eastAsia"/>
          <w:color w:val="auto"/>
          <w:highlight w:val="none"/>
          <w:lang w:eastAsia="zh-CN"/>
        </w:rPr>
        <w:t>）的有关规定。</w:t>
      </w:r>
    </w:p>
    <w:p w14:paraId="07016BD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）洞口工程施工应采取措施对周围建（构）筑物、既有线、交通设施进行有效防护。</w:t>
      </w:r>
    </w:p>
    <w:p w14:paraId="2EDA123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6</w:t>
      </w:r>
      <w:r>
        <w:rPr>
          <w:rFonts w:hint="eastAsia"/>
          <w:color w:val="auto"/>
          <w:highlight w:val="none"/>
          <w:lang w:eastAsia="zh-CN"/>
        </w:rPr>
        <w:t>）洞口工程开挖前，应完成洞口周边可能滑坍表土及危石的清理，并应完成天沟、边沟、截水沟等洞口排水系统。</w:t>
      </w:r>
    </w:p>
    <w:p w14:paraId="1734837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7</w:t>
      </w:r>
      <w:r>
        <w:rPr>
          <w:rFonts w:hint="eastAsia"/>
          <w:color w:val="auto"/>
          <w:highlight w:val="none"/>
          <w:lang w:eastAsia="zh-CN"/>
        </w:rPr>
        <w:t>）洞口工程开挖不得形成可能坍滑的土体，不得堵塞沟渠、河道，不得对桥梁墩（台）造成偏压，不得危及周边建（构）筑物及交通设施的安全。</w:t>
      </w:r>
    </w:p>
    <w:p w14:paraId="0A15AA8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8</w:t>
      </w:r>
      <w:r>
        <w:rPr>
          <w:rFonts w:hint="eastAsia"/>
          <w:color w:val="auto"/>
          <w:highlight w:val="none"/>
          <w:lang w:eastAsia="zh-CN"/>
        </w:rPr>
        <w:t>）隧洞进洞前，应完成洞口抗滑桩、防护网、管棚、预注浆等保证隧洞洞口稳定的相关工程。</w:t>
      </w:r>
    </w:p>
    <w:p w14:paraId="1A6113B3">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9</w:t>
      </w:r>
      <w:r>
        <w:rPr>
          <w:rFonts w:hint="eastAsia"/>
          <w:color w:val="auto"/>
          <w:highlight w:val="none"/>
          <w:lang w:eastAsia="zh-CN"/>
        </w:rPr>
        <w:t>）隧洞洞口施工应符合以下要求：</w:t>
      </w:r>
    </w:p>
    <w:p w14:paraId="4EC5A1D2">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）有良好的排水措施。</w:t>
      </w:r>
    </w:p>
    <w:p w14:paraId="580B50B6">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）应及时清理洞脸，及时锁口。在洞脸边坡外侧应设置挡渣墙或积石槽，或在洞口设置网或木构架防护棚，其顺洞轴方向伸出洞口外长度不得小于</w:t>
      </w:r>
      <w:r>
        <w:rPr>
          <w:rFonts w:hAnsi="Times New Roman"/>
          <w:color w:val="auto"/>
          <w:highlight w:val="none"/>
          <w:lang w:eastAsia="zh-CN"/>
        </w:rPr>
        <w:t>5m</w:t>
      </w:r>
      <w:r>
        <w:rPr>
          <w:rFonts w:hint="eastAsia"/>
          <w:color w:val="auto"/>
          <w:highlight w:val="none"/>
          <w:lang w:eastAsia="zh-CN"/>
        </w:rPr>
        <w:t>。</w:t>
      </w:r>
    </w:p>
    <w:p w14:paraId="08818D42">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）洞口以上边坡和两侧岩壁不完整时，应采用喷锚支护或混凝土永久支护等措施。</w:t>
      </w:r>
    </w:p>
    <w:p w14:paraId="190ABAAB">
      <w:pPr>
        <w:pStyle w:val="5"/>
        <w:jc w:val="left"/>
        <w:rPr>
          <w:rFonts w:hAnsi="Times New Roman"/>
          <w:color w:val="auto"/>
          <w:highlight w:val="none"/>
          <w:lang w:eastAsia="zh-CN"/>
        </w:rPr>
      </w:pPr>
      <w:r>
        <w:rPr>
          <w:rFonts w:hAnsi="Times New Roman"/>
          <w:color w:val="auto"/>
          <w:highlight w:val="none"/>
          <w:lang w:eastAsia="zh-CN"/>
        </w:rPr>
        <w:t>3.5.1.2</w:t>
      </w:r>
      <w:r>
        <w:rPr>
          <w:rFonts w:hint="eastAsia" w:hAnsi="Times New Roman"/>
          <w:color w:val="auto"/>
          <w:highlight w:val="none"/>
          <w:lang w:eastAsia="zh-CN"/>
        </w:rPr>
        <w:t>　</w:t>
      </w:r>
      <w:r>
        <w:rPr>
          <w:rFonts w:hint="eastAsia"/>
          <w:color w:val="auto"/>
          <w:highlight w:val="none"/>
          <w:lang w:eastAsia="zh-CN"/>
        </w:rPr>
        <w:t>边、仰坡开挖及防护工程</w:t>
      </w:r>
    </w:p>
    <w:p w14:paraId="3423B042">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）边、仰坡应自上而下分层开挖，及时支护，不得掏底开挖或重叠开挖。</w:t>
      </w:r>
    </w:p>
    <w:p w14:paraId="055E866E">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）开挖作业区应设置防护栏杆、防护网及人员专用上下通道。在高于</w:t>
      </w:r>
      <w:r>
        <w:rPr>
          <w:rFonts w:hAnsi="Times New Roman"/>
          <w:color w:val="auto"/>
          <w:highlight w:val="none"/>
          <w:lang w:eastAsia="zh-CN"/>
        </w:rPr>
        <w:t>2m</w:t>
      </w:r>
      <w:r>
        <w:rPr>
          <w:rFonts w:hint="eastAsia"/>
          <w:color w:val="auto"/>
          <w:highlight w:val="none"/>
          <w:lang w:eastAsia="zh-CN"/>
        </w:rPr>
        <w:t>的边坡上作业时应符合国家现行《建筑施工高处作业安全技术规范》（</w:t>
      </w:r>
      <w:r>
        <w:rPr>
          <w:rFonts w:hAnsi="Times New Roman"/>
          <w:color w:val="auto"/>
          <w:highlight w:val="none"/>
          <w:lang w:eastAsia="zh-CN"/>
        </w:rPr>
        <w:t>JGJ80</w:t>
      </w:r>
      <w:r>
        <w:rPr>
          <w:rFonts w:hint="eastAsia"/>
          <w:color w:val="auto"/>
          <w:highlight w:val="none"/>
          <w:lang w:eastAsia="zh-CN"/>
        </w:rPr>
        <w:t>）的规定。</w:t>
      </w:r>
    </w:p>
    <w:p w14:paraId="4794EED0">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）防护网施工前应清除坡面防护区域的危石，施工脚手架和作业平台应搭设牢固，铺挂防护网应采取防坠落措施。</w:t>
      </w:r>
    </w:p>
    <w:p w14:paraId="448C97E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）管棚施工脚手架和作业平台应搭设牢固，设扶手栏杆，并应有安全</w:t>
      </w:r>
      <w:r>
        <w:rPr>
          <w:rFonts w:hint="eastAsia"/>
          <w:color w:val="auto"/>
          <w:highlight w:val="none"/>
          <w:lang w:val="en-US" w:eastAsia="zh-CN"/>
        </w:rPr>
        <w:t>验算</w:t>
      </w:r>
      <w:r>
        <w:rPr>
          <w:rFonts w:hint="eastAsia"/>
          <w:color w:val="auto"/>
          <w:highlight w:val="none"/>
          <w:lang w:eastAsia="zh-CN"/>
        </w:rPr>
        <w:t>。</w:t>
      </w:r>
    </w:p>
    <w:p w14:paraId="1B013BE0">
      <w:pPr>
        <w:suppressAutoHyphens/>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）注浆作业应加强对注浆软管和接头的完好性和可靠性检查，施工人员应有完善的保护用具，堵管处理应采取先减压再处理的措施。</w:t>
      </w:r>
    </w:p>
    <w:p w14:paraId="6BE8D5FD">
      <w:pPr>
        <w:suppressAutoHyphens/>
        <w:ind w:firstLine="420"/>
        <w:jc w:val="left"/>
        <w:rPr>
          <w:color w:val="auto"/>
          <w:highlight w:val="none"/>
          <w:lang w:eastAsia="zh-CN"/>
        </w:rPr>
      </w:pPr>
      <w:r>
        <w:rPr>
          <w:rFonts w:hint="eastAsia"/>
          <w:color w:val="auto"/>
          <w:highlight w:val="none"/>
          <w:lang w:eastAsia="zh-CN"/>
        </w:rPr>
        <w:t>（6）抗滑桩采用人工挖孔时，应设置人员上下固定爬梯，配备通风设备，并采取孔口临边防护及孔内坠物防护措施。</w:t>
      </w:r>
    </w:p>
    <w:p w14:paraId="2D2BFE49">
      <w:pPr>
        <w:pStyle w:val="5"/>
        <w:jc w:val="left"/>
        <w:rPr>
          <w:rFonts w:hAnsi="Times New Roman"/>
          <w:color w:val="auto"/>
          <w:highlight w:val="none"/>
          <w:lang w:eastAsia="zh-CN"/>
        </w:rPr>
      </w:pPr>
      <w:r>
        <w:rPr>
          <w:rFonts w:hAnsi="Times New Roman"/>
          <w:color w:val="auto"/>
          <w:highlight w:val="none"/>
          <w:lang w:eastAsia="zh-CN"/>
        </w:rPr>
        <w:t>3.5.1.3</w:t>
      </w:r>
      <w:r>
        <w:rPr>
          <w:rFonts w:hint="eastAsia" w:hAnsi="Times New Roman"/>
          <w:color w:val="auto"/>
          <w:highlight w:val="none"/>
          <w:lang w:eastAsia="zh-CN"/>
        </w:rPr>
        <w:t>　明洞</w:t>
      </w:r>
    </w:p>
    <w:p w14:paraId="0EBEF216">
      <w:pPr>
        <w:suppressAutoHyphens/>
        <w:ind w:firstLine="420"/>
        <w:jc w:val="left"/>
        <w:rPr>
          <w:color w:val="auto"/>
          <w:highlight w:val="none"/>
          <w:lang w:eastAsia="zh-CN"/>
        </w:rPr>
      </w:pPr>
      <w:r>
        <w:rPr>
          <w:rFonts w:hint="eastAsia"/>
          <w:color w:val="auto"/>
          <w:highlight w:val="none"/>
          <w:lang w:eastAsia="zh-CN"/>
        </w:rPr>
        <w:t>（1）明洞应避开雨天施工，当确需在雨天施工时，应制定严密的施工方案和防护措施，同时应加强对山体稳定情况的监测、检查。</w:t>
      </w:r>
    </w:p>
    <w:p w14:paraId="6F83C090">
      <w:pPr>
        <w:suppressAutoHyphens/>
        <w:ind w:firstLine="420"/>
        <w:jc w:val="left"/>
        <w:rPr>
          <w:color w:val="auto"/>
          <w:highlight w:val="none"/>
          <w:lang w:eastAsia="zh-CN"/>
        </w:rPr>
      </w:pPr>
      <w:r>
        <w:rPr>
          <w:rFonts w:hint="eastAsia"/>
          <w:color w:val="auto"/>
          <w:highlight w:val="none"/>
          <w:lang w:eastAsia="zh-CN"/>
        </w:rPr>
        <w:t>（2）明洞开挖前，应采取洞顶及四周的防水、排水措施，防止地面水冲刷导致边、仰坡落石和坍方。</w:t>
      </w:r>
    </w:p>
    <w:p w14:paraId="11BC1A9A">
      <w:pPr>
        <w:suppressAutoHyphens/>
        <w:ind w:firstLine="420"/>
        <w:jc w:val="left"/>
        <w:rPr>
          <w:color w:val="auto"/>
          <w:highlight w:val="none"/>
          <w:lang w:eastAsia="zh-CN"/>
        </w:rPr>
      </w:pPr>
      <w:r>
        <w:rPr>
          <w:rFonts w:hint="eastAsia"/>
          <w:color w:val="auto"/>
          <w:highlight w:val="none"/>
          <w:lang w:eastAsia="zh-CN"/>
        </w:rPr>
        <w:t>（3）明洞土石方开挖应符合下列规定：</w:t>
      </w:r>
    </w:p>
    <w:p w14:paraId="50D8F325">
      <w:pPr>
        <w:suppressAutoHyphens/>
        <w:ind w:firstLine="420"/>
        <w:jc w:val="left"/>
        <w:rPr>
          <w:color w:val="auto"/>
          <w:highlight w:val="none"/>
          <w:lang w:eastAsia="zh-CN"/>
        </w:rPr>
      </w:pPr>
      <w:r>
        <w:rPr>
          <w:rFonts w:hint="eastAsia"/>
          <w:color w:val="auto"/>
          <w:highlight w:val="none"/>
          <w:lang w:eastAsia="zh-CN"/>
        </w:rPr>
        <w:t>1）根据地形、地质条件，边仰坡稳定程度和采用的施工方法，确定全段或分段开挖及边仰坡的坡度，开挖时应按自上而下的顺序进行。</w:t>
      </w:r>
    </w:p>
    <w:p w14:paraId="6F258146">
      <w:pPr>
        <w:suppressAutoHyphens/>
        <w:ind w:firstLine="420"/>
        <w:jc w:val="left"/>
        <w:rPr>
          <w:color w:val="auto"/>
          <w:highlight w:val="none"/>
          <w:lang w:eastAsia="zh-CN"/>
        </w:rPr>
      </w:pPr>
      <w:r>
        <w:rPr>
          <w:rFonts w:hint="eastAsia"/>
          <w:color w:val="auto"/>
          <w:highlight w:val="none"/>
          <w:lang w:eastAsia="zh-CN"/>
        </w:rPr>
        <w:t>2）石质地段开挖，应控制爆破炸药用量，减小爆破振动的影响，开挖后应立即进行边坡防护。</w:t>
      </w:r>
    </w:p>
    <w:p w14:paraId="2ADB2542">
      <w:pPr>
        <w:suppressAutoHyphens/>
        <w:ind w:firstLine="420"/>
        <w:jc w:val="left"/>
        <w:rPr>
          <w:color w:val="auto"/>
          <w:highlight w:val="none"/>
          <w:lang w:eastAsia="zh-CN"/>
        </w:rPr>
      </w:pPr>
      <w:r>
        <w:rPr>
          <w:rFonts w:hint="eastAsia"/>
          <w:color w:val="auto"/>
          <w:highlight w:val="none"/>
          <w:lang w:eastAsia="zh-CN"/>
        </w:rPr>
        <w:t>3）在松软地层开挖边、仰坡时，应随挖随支护。</w:t>
      </w:r>
    </w:p>
    <w:p w14:paraId="05DCBC34">
      <w:pPr>
        <w:suppressAutoHyphens/>
        <w:ind w:firstLine="420"/>
        <w:jc w:val="left"/>
        <w:rPr>
          <w:color w:val="auto"/>
          <w:highlight w:val="none"/>
          <w:lang w:eastAsia="zh-CN"/>
        </w:rPr>
      </w:pPr>
      <w:r>
        <w:rPr>
          <w:rFonts w:hint="eastAsia"/>
          <w:color w:val="auto"/>
          <w:highlight w:val="none"/>
          <w:lang w:eastAsia="zh-CN"/>
        </w:rPr>
        <w:t>4）开挖的土石不应堆弃在危害边坡及其他建筑物的地点。</w:t>
      </w:r>
    </w:p>
    <w:p w14:paraId="383771C6">
      <w:pPr>
        <w:suppressAutoHyphens/>
        <w:ind w:firstLine="420"/>
        <w:jc w:val="left"/>
        <w:rPr>
          <w:color w:val="auto"/>
          <w:highlight w:val="none"/>
          <w:lang w:eastAsia="zh-CN"/>
        </w:rPr>
      </w:pPr>
      <w:r>
        <w:rPr>
          <w:rFonts w:hint="eastAsia"/>
          <w:color w:val="auto"/>
          <w:highlight w:val="none"/>
          <w:lang w:eastAsia="zh-CN"/>
        </w:rPr>
        <w:t>（4）明洞的基础应设置在稳固的地基上。两侧墙体地基松软或软硬不均时，应采取措施处理，防止地基不均匀沉降。</w:t>
      </w:r>
    </w:p>
    <w:p w14:paraId="0CA6FBD9">
      <w:pPr>
        <w:suppressAutoHyphens/>
        <w:ind w:firstLine="420"/>
        <w:jc w:val="left"/>
        <w:rPr>
          <w:color w:val="auto"/>
          <w:highlight w:val="none"/>
          <w:lang w:eastAsia="zh-CN"/>
        </w:rPr>
      </w:pPr>
      <w:r>
        <w:rPr>
          <w:rFonts w:hint="eastAsia"/>
          <w:color w:val="auto"/>
          <w:highlight w:val="none"/>
          <w:lang w:eastAsia="zh-CN"/>
        </w:rPr>
        <w:t>（5）明洞衬砌施作应符合下列规定：</w:t>
      </w:r>
    </w:p>
    <w:p w14:paraId="3A00AD77">
      <w:pPr>
        <w:suppressAutoHyphens/>
        <w:ind w:firstLine="420"/>
        <w:jc w:val="left"/>
        <w:rPr>
          <w:color w:val="auto"/>
          <w:highlight w:val="none"/>
          <w:lang w:eastAsia="zh-CN"/>
        </w:rPr>
      </w:pPr>
      <w:r>
        <w:rPr>
          <w:rFonts w:hint="eastAsia"/>
          <w:color w:val="auto"/>
          <w:highlight w:val="none"/>
          <w:lang w:eastAsia="zh-CN"/>
        </w:rPr>
        <w:t>1）模板及支（拱）架的强度、刚度和稳定性应进行检算；</w:t>
      </w:r>
    </w:p>
    <w:p w14:paraId="7BE40E69">
      <w:pPr>
        <w:suppressAutoHyphens/>
        <w:ind w:firstLine="420"/>
        <w:jc w:val="left"/>
        <w:rPr>
          <w:color w:val="auto"/>
          <w:highlight w:val="none"/>
          <w:lang w:eastAsia="zh-CN"/>
        </w:rPr>
      </w:pPr>
      <w:r>
        <w:rPr>
          <w:rFonts w:hint="eastAsia"/>
          <w:color w:val="auto"/>
          <w:highlight w:val="none"/>
          <w:lang w:eastAsia="zh-CN"/>
        </w:rPr>
        <w:t>2）模板及支（拱）架安装应稳固牢靠，模板及支（拱）架与脚手架之间不得相互连接；</w:t>
      </w:r>
    </w:p>
    <w:p w14:paraId="1788CBA1">
      <w:pPr>
        <w:suppressAutoHyphens/>
        <w:ind w:firstLine="420"/>
        <w:jc w:val="left"/>
        <w:rPr>
          <w:color w:val="auto"/>
          <w:highlight w:val="none"/>
          <w:lang w:eastAsia="zh-CN"/>
        </w:rPr>
      </w:pPr>
      <w:r>
        <w:rPr>
          <w:rFonts w:hint="eastAsia"/>
          <w:color w:val="auto"/>
          <w:highlight w:val="none"/>
          <w:lang w:eastAsia="zh-CN"/>
        </w:rPr>
        <w:t>3）脚手架和工作平台应搭设牢固，并设有扶手、栏杆；</w:t>
      </w:r>
    </w:p>
    <w:p w14:paraId="7752F857">
      <w:pPr>
        <w:suppressAutoHyphens/>
        <w:ind w:firstLine="420"/>
        <w:jc w:val="left"/>
        <w:rPr>
          <w:color w:val="auto"/>
          <w:highlight w:val="none"/>
          <w:lang w:eastAsia="zh-CN"/>
        </w:rPr>
      </w:pPr>
      <w:r>
        <w:rPr>
          <w:rFonts w:hint="eastAsia"/>
          <w:color w:val="auto"/>
          <w:highlight w:val="none"/>
          <w:lang w:eastAsia="zh-CN"/>
        </w:rPr>
        <w:t>4）衬砌钢筋安装时应设临时支撑；</w:t>
      </w:r>
    </w:p>
    <w:p w14:paraId="7AC8A587">
      <w:pPr>
        <w:suppressAutoHyphens/>
        <w:ind w:firstLine="420"/>
        <w:jc w:val="left"/>
        <w:rPr>
          <w:color w:val="auto"/>
          <w:highlight w:val="none"/>
          <w:lang w:eastAsia="zh-CN"/>
        </w:rPr>
      </w:pPr>
      <w:r>
        <w:rPr>
          <w:rFonts w:hint="eastAsia"/>
          <w:color w:val="auto"/>
          <w:highlight w:val="none"/>
          <w:lang w:eastAsia="zh-CN"/>
        </w:rPr>
        <w:t>5）衬砌端头挡板应安设牢固，支撑稳固，并有防止模板移动的措施；</w:t>
      </w:r>
    </w:p>
    <w:p w14:paraId="33A214ED">
      <w:pPr>
        <w:suppressAutoHyphens/>
        <w:ind w:firstLine="420"/>
        <w:jc w:val="left"/>
        <w:rPr>
          <w:color w:val="auto"/>
          <w:highlight w:val="none"/>
          <w:lang w:eastAsia="zh-CN"/>
        </w:rPr>
      </w:pPr>
      <w:r>
        <w:rPr>
          <w:rFonts w:hint="eastAsia"/>
          <w:color w:val="auto"/>
          <w:highlight w:val="none"/>
          <w:lang w:eastAsia="zh-CN"/>
        </w:rPr>
        <w:t>6）起重吊装作业时应符合起重吊装安全规定；</w:t>
      </w:r>
    </w:p>
    <w:p w14:paraId="574F196A">
      <w:pPr>
        <w:suppressAutoHyphens/>
        <w:ind w:firstLine="420"/>
        <w:jc w:val="left"/>
        <w:rPr>
          <w:color w:val="auto"/>
          <w:highlight w:val="none"/>
          <w:lang w:eastAsia="zh-CN"/>
        </w:rPr>
      </w:pPr>
      <w:r>
        <w:rPr>
          <w:rFonts w:hint="eastAsia"/>
          <w:color w:val="auto"/>
          <w:highlight w:val="none"/>
          <w:lang w:eastAsia="zh-CN"/>
        </w:rPr>
        <w:t>7）需要及时回填的明洞，内模板支架应在回填至拱脚位置且混凝土强度达到设计强度的70%后方可拆除。</w:t>
      </w:r>
    </w:p>
    <w:p w14:paraId="79723A20">
      <w:pPr>
        <w:suppressAutoHyphens/>
        <w:ind w:firstLine="420"/>
        <w:jc w:val="left"/>
        <w:rPr>
          <w:color w:val="auto"/>
          <w:highlight w:val="none"/>
          <w:lang w:eastAsia="zh-CN"/>
        </w:rPr>
      </w:pPr>
      <w:r>
        <w:rPr>
          <w:rFonts w:hint="eastAsia"/>
          <w:color w:val="auto"/>
          <w:highlight w:val="none"/>
          <w:lang w:eastAsia="zh-CN"/>
        </w:rPr>
        <w:t>（6）明洞防水施工应符合下列规定：</w:t>
      </w:r>
    </w:p>
    <w:p w14:paraId="4A34FE16">
      <w:pPr>
        <w:suppressAutoHyphens/>
        <w:ind w:firstLine="420"/>
        <w:jc w:val="left"/>
        <w:rPr>
          <w:color w:val="auto"/>
          <w:highlight w:val="none"/>
          <w:lang w:eastAsia="zh-CN"/>
        </w:rPr>
      </w:pPr>
      <w:r>
        <w:rPr>
          <w:rFonts w:hint="eastAsia"/>
          <w:color w:val="auto"/>
          <w:highlight w:val="none"/>
          <w:lang w:eastAsia="zh-CN"/>
        </w:rPr>
        <w:t>1）涂抹热沥青时，作业人员应佩戴防护口罩、手套、安全带等防护用具。</w:t>
      </w:r>
    </w:p>
    <w:p w14:paraId="0A75037F">
      <w:pPr>
        <w:suppressAutoHyphens/>
        <w:ind w:firstLine="420"/>
        <w:jc w:val="left"/>
        <w:rPr>
          <w:color w:val="auto"/>
          <w:highlight w:val="none"/>
          <w:lang w:eastAsia="zh-CN"/>
        </w:rPr>
      </w:pPr>
      <w:r>
        <w:rPr>
          <w:rFonts w:hint="eastAsia"/>
          <w:color w:val="auto"/>
          <w:highlight w:val="none"/>
          <w:lang w:eastAsia="zh-CN"/>
        </w:rPr>
        <w:t>2）卷材铺设时应严格遵守作业程序，不应上下同时作业。</w:t>
      </w:r>
    </w:p>
    <w:p w14:paraId="3FBBD01F">
      <w:pPr>
        <w:ind w:firstLine="420"/>
        <w:jc w:val="left"/>
        <w:rPr>
          <w:rFonts w:hAnsi="Times New Roman"/>
          <w:color w:val="auto"/>
          <w:highlight w:val="none"/>
          <w:lang w:eastAsia="zh-CN"/>
        </w:rPr>
      </w:pPr>
      <w:r>
        <w:rPr>
          <w:rFonts w:hint="eastAsia"/>
          <w:color w:val="auto"/>
          <w:highlight w:val="none"/>
          <w:lang w:eastAsia="zh-CN"/>
        </w:rPr>
        <w:t>（7）明洞回填应在防水层完成，且衬砌达到设计强度的70%后进行。明洞回填超过拱顶1.0m以上方可采用大型机械回填。</w:t>
      </w:r>
    </w:p>
    <w:p w14:paraId="24217989">
      <w:pPr>
        <w:pStyle w:val="5"/>
        <w:jc w:val="left"/>
        <w:rPr>
          <w:rFonts w:hAnsi="Times New Roman"/>
          <w:color w:val="auto"/>
          <w:highlight w:val="none"/>
          <w:lang w:eastAsia="zh-CN"/>
        </w:rPr>
      </w:pPr>
      <w:r>
        <w:rPr>
          <w:rFonts w:hAnsi="Times New Roman"/>
          <w:color w:val="auto"/>
          <w:highlight w:val="none"/>
          <w:lang w:eastAsia="zh-CN"/>
        </w:rPr>
        <w:t>3.5.1.4</w:t>
      </w:r>
      <w:r>
        <w:rPr>
          <w:rFonts w:hint="eastAsia" w:hAnsi="Times New Roman"/>
          <w:color w:val="auto"/>
          <w:highlight w:val="none"/>
          <w:lang w:eastAsia="zh-CN"/>
        </w:rPr>
        <w:t>　</w:t>
      </w:r>
      <w:r>
        <w:rPr>
          <w:rFonts w:hint="eastAsia"/>
          <w:color w:val="auto"/>
          <w:highlight w:val="none"/>
          <w:lang w:eastAsia="zh-CN"/>
        </w:rPr>
        <w:t>洞门</w:t>
      </w:r>
    </w:p>
    <w:p w14:paraId="28C5AD7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）洞门应避开雨天和严寒季节施工，并应及早完成。</w:t>
      </w:r>
    </w:p>
    <w:p w14:paraId="1DB42DF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）洞门基础应置于稳固的地基上，当地基承载力不能满足要求时，应结合具体条件采取加固措施。基底不得有虚渣、杂物、积水、软层，超挖部分应采用同级混凝土与基础同步浇筑。</w:t>
      </w:r>
    </w:p>
    <w:p w14:paraId="2124E266">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）洞门施工的脚手架不应妨碍车辆通行。</w:t>
      </w:r>
    </w:p>
    <w:p w14:paraId="1A78F715">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）洞门完工后，其周围边、仰坡受破坏处应及时处理。</w:t>
      </w:r>
    </w:p>
    <w:p w14:paraId="7DA2F1B7">
      <w:pPr>
        <w:pStyle w:val="5"/>
        <w:jc w:val="left"/>
        <w:rPr>
          <w:rFonts w:hAnsi="Times New Roman"/>
          <w:color w:val="auto"/>
          <w:highlight w:val="none"/>
          <w:lang w:eastAsia="zh-CN"/>
        </w:rPr>
      </w:pPr>
      <w:r>
        <w:rPr>
          <w:rFonts w:hAnsi="Times New Roman"/>
          <w:color w:val="auto"/>
          <w:highlight w:val="none"/>
          <w:lang w:eastAsia="zh-CN"/>
        </w:rPr>
        <w:t>3.5.2</w:t>
      </w:r>
      <w:r>
        <w:rPr>
          <w:rFonts w:hint="eastAsia" w:hAnsi="Times New Roman"/>
          <w:color w:val="auto"/>
          <w:highlight w:val="none"/>
          <w:lang w:eastAsia="zh-CN"/>
        </w:rPr>
        <w:t>　</w:t>
      </w:r>
      <w:r>
        <w:rPr>
          <w:rFonts w:hint="eastAsia"/>
          <w:color w:val="auto"/>
          <w:highlight w:val="none"/>
          <w:lang w:eastAsia="zh-CN"/>
        </w:rPr>
        <w:t>超前地质预报</w:t>
      </w:r>
    </w:p>
    <w:p w14:paraId="7163C203">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1</w:t>
      </w:r>
      <w:r>
        <w:rPr>
          <w:rFonts w:hint="eastAsia"/>
          <w:bCs/>
          <w:color w:val="auto"/>
          <w:highlight w:val="none"/>
          <w:lang w:eastAsia="zh-CN"/>
        </w:rPr>
        <w:t>）超前地质预报作业应考虑下列主要危险源、危害因素：</w:t>
      </w:r>
    </w:p>
    <w:p w14:paraId="68151F8C">
      <w:pPr>
        <w:ind w:firstLine="420"/>
        <w:jc w:val="left"/>
        <w:rPr>
          <w:rFonts w:hAnsi="Times New Roman"/>
          <w:bCs/>
          <w:color w:val="auto"/>
          <w:highlight w:val="none"/>
          <w:lang w:eastAsia="zh-CN"/>
        </w:rPr>
      </w:pPr>
      <w:r>
        <w:rPr>
          <w:rFonts w:hAnsi="Times New Roman"/>
          <w:bCs/>
          <w:color w:val="auto"/>
          <w:highlight w:val="none"/>
          <w:lang w:eastAsia="zh-CN"/>
        </w:rPr>
        <w:t>1</w:t>
      </w:r>
      <w:r>
        <w:rPr>
          <w:rFonts w:hint="eastAsia"/>
          <w:bCs/>
          <w:color w:val="auto"/>
          <w:highlight w:val="none"/>
          <w:lang w:eastAsia="zh-CN"/>
        </w:rPr>
        <w:t>）工作面坍塌；</w:t>
      </w:r>
    </w:p>
    <w:p w14:paraId="0E9C7BD5">
      <w:pPr>
        <w:ind w:firstLine="420"/>
        <w:jc w:val="left"/>
        <w:rPr>
          <w:rFonts w:hAnsi="Times New Roman"/>
          <w:bCs/>
          <w:color w:val="auto"/>
          <w:highlight w:val="none"/>
          <w:lang w:eastAsia="zh-CN"/>
        </w:rPr>
      </w:pPr>
      <w:r>
        <w:rPr>
          <w:rFonts w:hAnsi="Times New Roman"/>
          <w:bCs/>
          <w:color w:val="auto"/>
          <w:highlight w:val="none"/>
          <w:lang w:eastAsia="zh-CN"/>
        </w:rPr>
        <w:t>2</w:t>
      </w:r>
      <w:r>
        <w:rPr>
          <w:rFonts w:hint="eastAsia"/>
          <w:bCs/>
          <w:color w:val="auto"/>
          <w:highlight w:val="none"/>
          <w:lang w:eastAsia="zh-CN"/>
        </w:rPr>
        <w:t>）找顶不彻底；</w:t>
      </w:r>
    </w:p>
    <w:p w14:paraId="073DEAB8">
      <w:pPr>
        <w:ind w:firstLine="420"/>
        <w:jc w:val="left"/>
        <w:rPr>
          <w:rFonts w:hAnsi="Times New Roman"/>
          <w:bCs/>
          <w:color w:val="auto"/>
          <w:highlight w:val="none"/>
          <w:lang w:eastAsia="zh-CN"/>
        </w:rPr>
      </w:pPr>
      <w:r>
        <w:rPr>
          <w:rFonts w:hAnsi="Times New Roman"/>
          <w:bCs/>
          <w:color w:val="auto"/>
          <w:highlight w:val="none"/>
          <w:lang w:eastAsia="zh-CN"/>
        </w:rPr>
        <w:t>3</w:t>
      </w:r>
      <w:r>
        <w:rPr>
          <w:rFonts w:hint="eastAsia"/>
          <w:bCs/>
          <w:color w:val="auto"/>
          <w:highlight w:val="none"/>
          <w:lang w:eastAsia="zh-CN"/>
        </w:rPr>
        <w:t>）高处作业台（支）架失稳、安全防护失效；</w:t>
      </w:r>
    </w:p>
    <w:p w14:paraId="56069FD0">
      <w:pPr>
        <w:ind w:firstLine="420"/>
        <w:jc w:val="left"/>
        <w:rPr>
          <w:rFonts w:hAnsi="Times New Roman"/>
          <w:bCs/>
          <w:color w:val="auto"/>
          <w:highlight w:val="none"/>
        </w:rPr>
      </w:pPr>
      <w:r>
        <w:rPr>
          <w:rFonts w:hAnsi="Times New Roman"/>
          <w:bCs/>
          <w:color w:val="auto"/>
          <w:highlight w:val="none"/>
        </w:rPr>
        <w:t>4</w:t>
      </w:r>
      <w:r>
        <w:rPr>
          <w:rFonts w:hint="eastAsia"/>
          <w:bCs/>
          <w:color w:val="auto"/>
          <w:highlight w:val="none"/>
        </w:rPr>
        <w:t>）突泥、突水；</w:t>
      </w:r>
    </w:p>
    <w:p w14:paraId="216FE313">
      <w:pPr>
        <w:ind w:firstLine="420"/>
        <w:jc w:val="left"/>
        <w:rPr>
          <w:rFonts w:hAnsi="Times New Roman"/>
          <w:bCs/>
          <w:color w:val="auto"/>
          <w:highlight w:val="none"/>
        </w:rPr>
      </w:pPr>
      <w:r>
        <w:rPr>
          <w:rFonts w:hAnsi="Times New Roman"/>
          <w:bCs/>
          <w:color w:val="auto"/>
          <w:highlight w:val="none"/>
        </w:rPr>
        <w:t>5</w:t>
      </w:r>
      <w:r>
        <w:rPr>
          <w:rFonts w:hint="eastAsia"/>
          <w:bCs/>
          <w:color w:val="auto"/>
          <w:highlight w:val="none"/>
        </w:rPr>
        <w:t>）瓦斯等有毒有害气体。</w:t>
      </w:r>
    </w:p>
    <w:p w14:paraId="110E0F38">
      <w:pPr>
        <w:ind w:firstLine="420"/>
        <w:jc w:val="left"/>
        <w:rPr>
          <w:rFonts w:hAnsi="Times New Roman"/>
          <w:bCs/>
          <w:color w:val="auto"/>
          <w:highlight w:val="none"/>
          <w:lang w:eastAsia="zh-CN"/>
        </w:rPr>
      </w:pPr>
      <w:r>
        <w:rPr>
          <w:rFonts w:hint="eastAsia"/>
          <w:bCs/>
          <w:color w:val="auto"/>
          <w:highlight w:val="none"/>
          <w:lang w:eastAsia="zh-CN"/>
        </w:rPr>
        <w:t>超前地质预报工作应作为工序纳入施工组织管理。</w:t>
      </w:r>
    </w:p>
    <w:p w14:paraId="5D3E3712">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2</w:t>
      </w:r>
      <w:r>
        <w:rPr>
          <w:rFonts w:hint="eastAsia"/>
          <w:bCs/>
          <w:color w:val="auto"/>
          <w:highlight w:val="none"/>
          <w:lang w:eastAsia="zh-CN"/>
        </w:rPr>
        <w:t>）隧洞施工应根据风险特点和等级制定超前地质预报专项方案，方案应包括安全保障措施，施工前应进行安全技术交底。</w:t>
      </w:r>
    </w:p>
    <w:p w14:paraId="45000F85">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3</w:t>
      </w:r>
      <w:r>
        <w:rPr>
          <w:rFonts w:hint="eastAsia"/>
          <w:bCs/>
          <w:color w:val="auto"/>
          <w:highlight w:val="none"/>
          <w:lang w:eastAsia="zh-CN"/>
        </w:rPr>
        <w:t>）隧洞超前地质预报应根据隧洞环境及风险特点选择预报实施单位，对于地质复杂和较复杂的隧洞工程，应选择有资质的专业队伍承担。</w:t>
      </w:r>
    </w:p>
    <w:p w14:paraId="70D29E74">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4</w:t>
      </w:r>
      <w:r>
        <w:rPr>
          <w:rFonts w:hint="eastAsia"/>
          <w:bCs/>
          <w:color w:val="auto"/>
          <w:highlight w:val="none"/>
          <w:lang w:eastAsia="zh-CN"/>
        </w:rPr>
        <w:t>）隧洞施工应开展超前地质预报工作。地质复杂的隧洞应采用钻探为主，地质调查、物探等多种手段相结合的综合预报方法。</w:t>
      </w:r>
    </w:p>
    <w:p w14:paraId="68CDA73C">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5</w:t>
      </w:r>
      <w:r>
        <w:rPr>
          <w:rFonts w:hint="eastAsia"/>
          <w:bCs/>
          <w:color w:val="auto"/>
          <w:highlight w:val="none"/>
          <w:lang w:eastAsia="zh-CN"/>
        </w:rPr>
        <w:t>）超前地质预报人员应经过隧洞施工安全教育培训，并掌握安全操作技术和安全生产的基本知识。</w:t>
      </w:r>
    </w:p>
    <w:p w14:paraId="0A3013F6">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6</w:t>
      </w:r>
      <w:r>
        <w:rPr>
          <w:rFonts w:hint="eastAsia"/>
          <w:bCs/>
          <w:color w:val="auto"/>
          <w:highlight w:val="none"/>
          <w:lang w:eastAsia="zh-CN"/>
        </w:rPr>
        <w:t>）地质预报工作应在隧洞初期支护作业结束后进行，并确认工作区域无掉块、掌子面溜坍等安全风险。</w:t>
      </w:r>
    </w:p>
    <w:p w14:paraId="6202E67B">
      <w:pPr>
        <w:ind w:firstLine="420"/>
        <w:jc w:val="left"/>
        <w:rPr>
          <w:rFonts w:hAnsi="Times New Roman"/>
          <w:bCs/>
          <w:color w:val="auto"/>
          <w:highlight w:val="none"/>
          <w:lang w:eastAsia="zh-CN"/>
        </w:rPr>
      </w:pPr>
      <w:r>
        <w:rPr>
          <w:rFonts w:hint="eastAsia"/>
          <w:bCs/>
          <w:color w:val="auto"/>
          <w:highlight w:val="none"/>
          <w:lang w:eastAsia="zh-CN"/>
        </w:rPr>
        <w:t>（</w:t>
      </w:r>
      <w:r>
        <w:rPr>
          <w:rFonts w:hAnsi="Times New Roman"/>
          <w:bCs/>
          <w:color w:val="auto"/>
          <w:highlight w:val="none"/>
          <w:lang w:eastAsia="zh-CN"/>
        </w:rPr>
        <w:t>7</w:t>
      </w:r>
      <w:r>
        <w:rPr>
          <w:rFonts w:hint="eastAsia"/>
          <w:bCs/>
          <w:color w:val="auto"/>
          <w:highlight w:val="none"/>
          <w:lang w:eastAsia="zh-CN"/>
        </w:rPr>
        <w:t>）超前地质预报作业使用的台架等设备应安设牢固，操作人员应遵守作业的有关规定。</w:t>
      </w:r>
    </w:p>
    <w:p w14:paraId="1869DC1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8</w:t>
      </w:r>
      <w:r>
        <w:rPr>
          <w:rFonts w:hint="eastAsia"/>
          <w:color w:val="auto"/>
          <w:highlight w:val="none"/>
          <w:lang w:eastAsia="zh-CN"/>
        </w:rPr>
        <w:t>）洞内瓦斯地层段施工应符合下列规定：应采用</w:t>
      </w:r>
      <w:r>
        <w:rPr>
          <w:rFonts w:hAnsi="Times New Roman"/>
          <w:color w:val="auto"/>
          <w:highlight w:val="none"/>
          <w:lang w:eastAsia="zh-CN"/>
        </w:rPr>
        <w:t>TSP</w:t>
      </w:r>
      <w:r>
        <w:rPr>
          <w:rFonts w:hint="eastAsia"/>
          <w:color w:val="auto"/>
          <w:highlight w:val="none"/>
          <w:lang w:eastAsia="zh-CN"/>
        </w:rPr>
        <w:t>地震波超前预报技术，提前预防，超前排放。在瓦斯地层段加强瓦斯监测，瓦斯浓度超标时，应立即停止施工，严禁人员进入洞内。</w:t>
      </w:r>
    </w:p>
    <w:p w14:paraId="416AF855">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9</w:t>
      </w:r>
      <w:r>
        <w:rPr>
          <w:rFonts w:hint="eastAsia"/>
          <w:color w:val="auto"/>
          <w:highlight w:val="none"/>
          <w:lang w:eastAsia="zh-CN"/>
        </w:rPr>
        <w:t>）断层及破碎带、缓倾角节理密集带、岩溶发育、地下水丰富及膨胀岩体地段和高地应力区等不良地质条件洞段开挖应根据地质预报针对其性质和特殊的地质问题制定专项保证安全施工的工程措施。</w:t>
      </w:r>
    </w:p>
    <w:p w14:paraId="7EB3409F">
      <w:pPr>
        <w:pStyle w:val="5"/>
        <w:jc w:val="left"/>
        <w:rPr>
          <w:rFonts w:hAnsi="Times New Roman"/>
          <w:color w:val="auto"/>
          <w:highlight w:val="none"/>
          <w:lang w:eastAsia="zh-CN"/>
        </w:rPr>
      </w:pPr>
      <w:r>
        <w:rPr>
          <w:rFonts w:hAnsi="Times New Roman"/>
          <w:color w:val="auto"/>
          <w:highlight w:val="none"/>
          <w:lang w:eastAsia="zh-CN"/>
        </w:rPr>
        <w:t>3.5.3</w:t>
      </w:r>
      <w:r>
        <w:rPr>
          <w:rFonts w:hint="eastAsia" w:hAnsi="Times New Roman"/>
          <w:color w:val="auto"/>
          <w:highlight w:val="none"/>
          <w:lang w:eastAsia="zh-CN"/>
        </w:rPr>
        <w:t>　</w:t>
      </w:r>
      <w:r>
        <w:rPr>
          <w:rFonts w:hint="eastAsia"/>
          <w:color w:val="auto"/>
          <w:highlight w:val="none"/>
          <w:lang w:eastAsia="zh-CN"/>
        </w:rPr>
        <w:t>洞身开挖</w:t>
      </w:r>
    </w:p>
    <w:p w14:paraId="22981F67">
      <w:pPr>
        <w:pStyle w:val="5"/>
        <w:jc w:val="left"/>
        <w:rPr>
          <w:rFonts w:hAnsi="Times New Roman"/>
          <w:color w:val="auto"/>
          <w:highlight w:val="none"/>
          <w:lang w:eastAsia="zh-CN"/>
        </w:rPr>
      </w:pPr>
      <w:r>
        <w:rPr>
          <w:rFonts w:hAnsi="Times New Roman"/>
          <w:color w:val="auto"/>
          <w:highlight w:val="none"/>
          <w:lang w:eastAsia="zh-CN"/>
        </w:rPr>
        <w:t>3.5.3.1</w:t>
      </w:r>
      <w:r>
        <w:rPr>
          <w:rFonts w:hint="eastAsia" w:hAnsi="Times New Roman"/>
          <w:color w:val="auto"/>
          <w:highlight w:val="none"/>
          <w:lang w:eastAsia="zh-CN"/>
        </w:rPr>
        <w:t>　</w:t>
      </w:r>
      <w:r>
        <w:rPr>
          <w:rFonts w:hint="eastAsia"/>
          <w:color w:val="auto"/>
          <w:highlight w:val="none"/>
          <w:lang w:eastAsia="zh-CN"/>
        </w:rPr>
        <w:t>一般规定</w:t>
      </w:r>
    </w:p>
    <w:p w14:paraId="7F7DDD4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）隧洞洞身开挖作业应重点注意下列主要危险源、危害因素：</w:t>
      </w:r>
    </w:p>
    <w:p w14:paraId="0617DD1B">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）开挖方法选择不当；</w:t>
      </w:r>
    </w:p>
    <w:p w14:paraId="22B62F6F">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）开挖循环进尺过大，支护不及时；</w:t>
      </w:r>
    </w:p>
    <w:p w14:paraId="1474A595">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）找顶不彻底；</w:t>
      </w:r>
    </w:p>
    <w:p w14:paraId="44360C6A">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）开挖作业台架防护措施不到位；</w:t>
      </w:r>
    </w:p>
    <w:p w14:paraId="5D436277">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）爆破作业时无安全防护，爆破作业违章操作。</w:t>
      </w:r>
    </w:p>
    <w:p w14:paraId="31B8762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）隧洞开挖前应根据其地质条件、断面大小等因素选择初期支护快速封闭成环的开挖方法，并应编制专项技术方案，履行审批手续。开挖过程中应根据超前地质预报结果，动态调整开挖方法。</w:t>
      </w:r>
    </w:p>
    <w:p w14:paraId="2994BBDD">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）隧洞钻爆开挖应采用光面爆破技术，爆破作业前应进行钻爆设计。钻爆设计应根据围岩地质条件、周边环境等因素重点控制循环进尺和</w:t>
      </w:r>
      <w:r>
        <w:rPr>
          <w:rFonts w:hint="eastAsia"/>
          <w:color w:val="auto"/>
          <w:highlight w:val="none"/>
          <w:lang w:val="en-US" w:eastAsia="zh-CN"/>
        </w:rPr>
        <w:t>其</w:t>
      </w:r>
      <w:r>
        <w:rPr>
          <w:rFonts w:hint="eastAsia"/>
          <w:color w:val="auto"/>
          <w:highlight w:val="none"/>
          <w:lang w:eastAsia="zh-CN"/>
        </w:rPr>
        <w:t>爆炸药用量，尽可能降低对围岩和周边环境的影响。</w:t>
      </w:r>
    </w:p>
    <w:p w14:paraId="62F9CAC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）隧洞在开挖下一循环作业前，应对照设计检查初期支护施作情况、确保施工作业环境安全。</w:t>
      </w:r>
    </w:p>
    <w:p w14:paraId="6D3A902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）洞室开挖作业应遵守下列规定：</w:t>
      </w:r>
    </w:p>
    <w:p w14:paraId="11C72D61">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）洞室开挖的洞口边坡上不应存在浮石、危石及倒悬石。</w:t>
      </w:r>
    </w:p>
    <w:p w14:paraId="2F766967">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）作业施工环境和条件相对较差时，施工前应制定全方位的安全技术措施，并对作业人员进行交底。</w:t>
      </w:r>
    </w:p>
    <w:p w14:paraId="3AE43BB3">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）洞口削坡，应按照明挖要求进行。不应上下同时作业，并应做好坡面、马道加固及排水等工作。</w:t>
      </w:r>
    </w:p>
    <w:p w14:paraId="0006EB20">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）进洞前，应对洞脸岩体进行察看，确认稳定或采取可靠措施后方可开挖洞口。</w:t>
      </w:r>
    </w:p>
    <w:p w14:paraId="54493536">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）洞口应设置防护棚。其顺洞轴方向的长度，可依据实际地形、地质和洞型断面选定，不小于</w:t>
      </w:r>
      <w:r>
        <w:rPr>
          <w:rFonts w:hAnsi="Times New Roman"/>
          <w:color w:val="auto"/>
          <w:highlight w:val="none"/>
          <w:lang w:eastAsia="zh-CN"/>
        </w:rPr>
        <w:t>5m</w:t>
      </w:r>
      <w:r>
        <w:rPr>
          <w:rFonts w:hint="eastAsia"/>
          <w:color w:val="auto"/>
          <w:highlight w:val="none"/>
          <w:lang w:eastAsia="zh-CN"/>
        </w:rPr>
        <w:t>。</w:t>
      </w:r>
    </w:p>
    <w:p w14:paraId="25B88EAB">
      <w:pPr>
        <w:ind w:firstLine="420"/>
        <w:jc w:val="left"/>
        <w:rPr>
          <w:rFonts w:hAnsi="Times New Roman"/>
          <w:color w:val="auto"/>
          <w:highlight w:val="none"/>
          <w:lang w:eastAsia="zh-CN"/>
        </w:rPr>
      </w:pPr>
      <w:r>
        <w:rPr>
          <w:rFonts w:hAnsi="Times New Roman"/>
          <w:color w:val="auto"/>
          <w:highlight w:val="none"/>
          <w:lang w:eastAsia="zh-CN"/>
        </w:rPr>
        <w:t>6</w:t>
      </w:r>
      <w:r>
        <w:rPr>
          <w:rFonts w:hint="eastAsia"/>
          <w:color w:val="auto"/>
          <w:highlight w:val="none"/>
          <w:lang w:eastAsia="zh-CN"/>
        </w:rPr>
        <w:t>）自洞口计起，当洞挖长度不超过</w:t>
      </w:r>
      <w:r>
        <w:rPr>
          <w:rFonts w:hAnsi="Times New Roman"/>
          <w:color w:val="auto"/>
          <w:highlight w:val="none"/>
          <w:lang w:eastAsia="zh-CN"/>
        </w:rPr>
        <w:t>15</w:t>
      </w:r>
      <w:r>
        <w:rPr>
          <w:rFonts w:hint="eastAsia" w:hAnsi="Times New Roman"/>
          <w:color w:val="auto"/>
          <w:highlight w:val="none"/>
          <w:lang w:eastAsia="zh-CN"/>
        </w:rPr>
        <w:t>～</w:t>
      </w:r>
      <w:r>
        <w:rPr>
          <w:rFonts w:hAnsi="Times New Roman"/>
          <w:color w:val="auto"/>
          <w:highlight w:val="none"/>
          <w:lang w:eastAsia="zh-CN"/>
        </w:rPr>
        <w:t>20m</w:t>
      </w:r>
      <w:r>
        <w:rPr>
          <w:rFonts w:hint="eastAsia"/>
          <w:color w:val="auto"/>
          <w:highlight w:val="none"/>
          <w:lang w:eastAsia="zh-CN"/>
        </w:rPr>
        <w:t>时，应依据地质条件、断面尺寸，及时作好洞口永久性或临时性支护。支护长度不宜小于</w:t>
      </w:r>
      <w:r>
        <w:rPr>
          <w:rFonts w:hAnsi="Times New Roman"/>
          <w:color w:val="auto"/>
          <w:highlight w:val="none"/>
          <w:lang w:eastAsia="zh-CN"/>
        </w:rPr>
        <w:t>10m</w:t>
      </w:r>
      <w:r>
        <w:rPr>
          <w:rFonts w:hint="eastAsia"/>
          <w:color w:val="auto"/>
          <w:highlight w:val="none"/>
          <w:lang w:eastAsia="zh-CN"/>
        </w:rPr>
        <w:t>。当地质条件不良全部洞身应进行支护时，洞口段则应进行永久性支护。</w:t>
      </w:r>
    </w:p>
    <w:p w14:paraId="14AC68FB">
      <w:pPr>
        <w:ind w:firstLine="420"/>
        <w:jc w:val="left"/>
        <w:rPr>
          <w:rFonts w:hAnsi="Times New Roman"/>
          <w:color w:val="auto"/>
          <w:highlight w:val="none"/>
          <w:lang w:eastAsia="zh-CN"/>
        </w:rPr>
      </w:pPr>
      <w:r>
        <w:rPr>
          <w:rFonts w:hAnsi="Times New Roman"/>
          <w:color w:val="auto"/>
          <w:highlight w:val="none"/>
          <w:lang w:eastAsia="zh-CN"/>
        </w:rPr>
        <w:t>7</w:t>
      </w:r>
      <w:r>
        <w:rPr>
          <w:rFonts w:hint="eastAsia"/>
          <w:color w:val="auto"/>
          <w:highlight w:val="none"/>
          <w:lang w:eastAsia="zh-CN"/>
        </w:rPr>
        <w:t>）暗挖作业中，在遇到不良地质构造或易发生塌方地段、有害气体逸出及地下涌水等突发事件，应即令停工，作业人员撤至安全地点。</w:t>
      </w:r>
    </w:p>
    <w:p w14:paraId="01EF4B5C">
      <w:pPr>
        <w:ind w:firstLine="420"/>
        <w:jc w:val="left"/>
        <w:rPr>
          <w:rFonts w:hAnsi="Times New Roman"/>
          <w:color w:val="auto"/>
          <w:highlight w:val="none"/>
          <w:lang w:eastAsia="zh-CN"/>
        </w:rPr>
      </w:pPr>
      <w:r>
        <w:rPr>
          <w:rFonts w:hAnsi="Times New Roman"/>
          <w:color w:val="auto"/>
          <w:highlight w:val="none"/>
          <w:lang w:eastAsia="zh-CN"/>
        </w:rPr>
        <w:t>8</w:t>
      </w:r>
      <w:r>
        <w:rPr>
          <w:rFonts w:hint="eastAsia"/>
          <w:color w:val="auto"/>
          <w:highlight w:val="none"/>
          <w:lang w:eastAsia="zh-CN"/>
        </w:rPr>
        <w:t>）暗挖作业设置的风、水、电等管线路应符合相关安全规定。</w:t>
      </w:r>
    </w:p>
    <w:p w14:paraId="3A46A440">
      <w:pPr>
        <w:ind w:firstLine="420"/>
        <w:jc w:val="left"/>
        <w:rPr>
          <w:rFonts w:hAnsi="Times New Roman"/>
          <w:color w:val="auto"/>
          <w:highlight w:val="none"/>
          <w:lang w:eastAsia="zh-CN"/>
        </w:rPr>
      </w:pPr>
      <w:r>
        <w:rPr>
          <w:rFonts w:hAnsi="Times New Roman"/>
          <w:color w:val="auto"/>
          <w:highlight w:val="none"/>
          <w:lang w:eastAsia="zh-CN"/>
        </w:rPr>
        <w:t>9</w:t>
      </w:r>
      <w:r>
        <w:rPr>
          <w:rFonts w:hint="eastAsia"/>
          <w:color w:val="auto"/>
          <w:highlight w:val="none"/>
          <w:lang w:eastAsia="zh-CN"/>
        </w:rPr>
        <w:t>）每次放炮后，应立即进行全方位的安全检查，并清除危石、浮石，若发现非撬挖所能排除的险情时，应果断地采取其他措施进行处理。洞内进行安全处理时，应有专人监护，及时观察险石动态。</w:t>
      </w:r>
    </w:p>
    <w:p w14:paraId="397B50AF">
      <w:pPr>
        <w:ind w:firstLine="420"/>
        <w:jc w:val="left"/>
        <w:rPr>
          <w:color w:val="auto"/>
          <w:highlight w:val="none"/>
          <w:lang w:eastAsia="zh-CN"/>
        </w:rPr>
      </w:pPr>
      <w:r>
        <w:rPr>
          <w:rFonts w:hAnsi="Times New Roman"/>
          <w:color w:val="auto"/>
          <w:highlight w:val="none"/>
          <w:lang w:eastAsia="zh-CN"/>
        </w:rPr>
        <w:t>10</w:t>
      </w:r>
      <w:r>
        <w:rPr>
          <w:rFonts w:hint="eastAsia"/>
          <w:color w:val="auto"/>
          <w:highlight w:val="none"/>
          <w:lang w:eastAsia="zh-CN"/>
        </w:rPr>
        <w:t>）处理冒顶或边墙滑脱等现象时应遵守下列规定：</w:t>
      </w:r>
    </w:p>
    <w:p w14:paraId="0ED88E0E">
      <w:pPr>
        <w:ind w:firstLine="420"/>
        <w:jc w:val="left"/>
        <w:rPr>
          <w:color w:val="auto"/>
          <w:highlight w:val="none"/>
          <w:lang w:eastAsia="zh-CN"/>
        </w:rPr>
      </w:pPr>
      <w:r>
        <w:rPr>
          <w:rFonts w:hint="eastAsia"/>
          <w:color w:val="auto"/>
          <w:highlight w:val="none"/>
          <w:lang w:eastAsia="zh-CN"/>
        </w:rPr>
        <w:t>①应查清原因，制定具体施工方案及安全防范措施，迅速处理。</w:t>
      </w:r>
    </w:p>
    <w:p w14:paraId="34A7A992">
      <w:pPr>
        <w:ind w:firstLine="420"/>
        <w:jc w:val="left"/>
        <w:rPr>
          <w:color w:val="auto"/>
          <w:highlight w:val="none"/>
          <w:lang w:eastAsia="zh-CN"/>
        </w:rPr>
      </w:pPr>
      <w:r>
        <w:rPr>
          <w:rFonts w:hint="eastAsia"/>
          <w:color w:val="auto"/>
          <w:highlight w:val="none"/>
          <w:lang w:eastAsia="zh-CN"/>
        </w:rPr>
        <w:t>②地下水十分活跃的地段，应先治水后治塌。</w:t>
      </w:r>
    </w:p>
    <w:p w14:paraId="45B7E833">
      <w:pPr>
        <w:ind w:firstLine="420"/>
        <w:jc w:val="left"/>
        <w:rPr>
          <w:color w:val="auto"/>
          <w:highlight w:val="none"/>
          <w:lang w:eastAsia="zh-CN"/>
        </w:rPr>
      </w:pPr>
      <w:r>
        <w:rPr>
          <w:rFonts w:hint="eastAsia"/>
          <w:color w:val="auto"/>
          <w:highlight w:val="none"/>
          <w:lang w:eastAsia="zh-CN"/>
        </w:rPr>
        <w:t>③应准备好畅通的撤离通道，备足施工器材。</w:t>
      </w:r>
    </w:p>
    <w:p w14:paraId="4F0753AD">
      <w:pPr>
        <w:ind w:firstLine="420"/>
        <w:jc w:val="left"/>
        <w:rPr>
          <w:color w:val="auto"/>
          <w:highlight w:val="none"/>
          <w:lang w:eastAsia="zh-CN"/>
        </w:rPr>
      </w:pPr>
      <w:r>
        <w:rPr>
          <w:rFonts w:hint="eastAsia"/>
          <w:color w:val="auto"/>
          <w:highlight w:val="none"/>
          <w:lang w:eastAsia="zh-CN"/>
        </w:rPr>
        <w:t>④处理工作开始前，应先加固好塌方段两端未被破坏的支护或岩体。</w:t>
      </w:r>
    </w:p>
    <w:p w14:paraId="6DD68BD9">
      <w:pPr>
        <w:ind w:firstLine="420"/>
        <w:jc w:val="left"/>
        <w:rPr>
          <w:color w:val="auto"/>
          <w:highlight w:val="none"/>
          <w:lang w:eastAsia="zh-CN"/>
        </w:rPr>
      </w:pPr>
      <w:r>
        <w:rPr>
          <w:rFonts w:hint="eastAsia"/>
          <w:color w:val="auto"/>
          <w:highlight w:val="none"/>
          <w:lang w:eastAsia="zh-CN"/>
        </w:rPr>
        <w:t>⑤处理坍塌，宜先处理两侧边墙，然后再逐步处理顶拱。</w:t>
      </w:r>
    </w:p>
    <w:p w14:paraId="555CE2EC">
      <w:pPr>
        <w:ind w:firstLine="420"/>
        <w:jc w:val="left"/>
        <w:rPr>
          <w:color w:val="auto"/>
          <w:highlight w:val="none"/>
          <w:lang w:eastAsia="zh-CN"/>
        </w:rPr>
      </w:pPr>
      <w:r>
        <w:rPr>
          <w:rFonts w:hint="eastAsia"/>
          <w:color w:val="auto"/>
          <w:highlight w:val="none"/>
          <w:lang w:eastAsia="zh-CN"/>
        </w:rPr>
        <w:t>⑥施工人员应位于有可靠的掩护体下进行工作；作业的整个过程应有专人现场监护。</w:t>
      </w:r>
    </w:p>
    <w:p w14:paraId="61FB9CCF">
      <w:pPr>
        <w:ind w:firstLine="420"/>
        <w:jc w:val="left"/>
        <w:rPr>
          <w:color w:val="auto"/>
          <w:highlight w:val="none"/>
          <w:lang w:eastAsia="zh-CN"/>
        </w:rPr>
      </w:pPr>
      <w:r>
        <w:rPr>
          <w:rFonts w:hint="eastAsia"/>
          <w:color w:val="auto"/>
          <w:highlight w:val="none"/>
          <w:lang w:eastAsia="zh-CN"/>
        </w:rPr>
        <w:t>⑦应随时观察险情变化，及时修改或补充原</w:t>
      </w:r>
      <w:r>
        <w:rPr>
          <w:rFonts w:hint="eastAsia"/>
          <w:color w:val="auto"/>
          <w:highlight w:val="none"/>
          <w:lang w:val="en-US" w:eastAsia="zh-CN"/>
        </w:rPr>
        <w:t>定</w:t>
      </w:r>
      <w:r>
        <w:rPr>
          <w:rFonts w:hint="eastAsia"/>
          <w:color w:val="auto"/>
          <w:highlight w:val="none"/>
          <w:lang w:eastAsia="zh-CN"/>
        </w:rPr>
        <w:t>措施计划。</w:t>
      </w:r>
    </w:p>
    <w:p w14:paraId="46411A93">
      <w:pPr>
        <w:ind w:firstLine="420"/>
        <w:jc w:val="left"/>
        <w:rPr>
          <w:rFonts w:hAnsi="Times New Roman"/>
          <w:color w:val="auto"/>
          <w:highlight w:val="none"/>
          <w:lang w:eastAsia="zh-CN"/>
        </w:rPr>
      </w:pPr>
      <w:r>
        <w:rPr>
          <w:rFonts w:hint="eastAsia"/>
          <w:color w:val="auto"/>
          <w:highlight w:val="none"/>
          <w:lang w:eastAsia="zh-CN"/>
        </w:rPr>
        <w:t>⑧开挖与衬砌平行作业时的距离，应按设计要求控制，但不宜小于</w:t>
      </w:r>
      <w:r>
        <w:rPr>
          <w:rFonts w:hAnsi="Times New Roman"/>
          <w:color w:val="auto"/>
          <w:highlight w:val="none"/>
          <w:lang w:eastAsia="zh-CN"/>
        </w:rPr>
        <w:t>30m</w:t>
      </w:r>
      <w:r>
        <w:rPr>
          <w:rFonts w:hint="eastAsia"/>
          <w:color w:val="auto"/>
          <w:highlight w:val="none"/>
          <w:lang w:eastAsia="zh-CN"/>
        </w:rPr>
        <w:t>。</w:t>
      </w:r>
    </w:p>
    <w:p w14:paraId="3879133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6</w:t>
      </w:r>
      <w:r>
        <w:rPr>
          <w:rFonts w:hint="eastAsia"/>
          <w:color w:val="auto"/>
          <w:highlight w:val="none"/>
          <w:lang w:eastAsia="zh-CN"/>
        </w:rPr>
        <w:t>）不良地质地段开挖作业应遵守下列规定：</w:t>
      </w:r>
    </w:p>
    <w:p w14:paraId="71962734">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）根据设计工程地质资料制定施工技术措施和安全技术措施，并应向作业人员进行交底。作业现场应有专职安全人员进行监护作业。</w:t>
      </w:r>
    </w:p>
    <w:p w14:paraId="0E33BEA5">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）不良地质地段的支护应严格按施工方案进行，应待支护稳定并验收合格后方可进行下一工序的施工。</w:t>
      </w:r>
    </w:p>
    <w:p w14:paraId="1DE99BC4">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）当出现围岩不稳定、涌水及发生塌方情况时，所有作业人员应立即撤至安全地带。</w:t>
      </w:r>
    </w:p>
    <w:p w14:paraId="15CFF891">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）施工作业时，岩石既是开挖的对象，又是成洞的介质，为此施工人员应充分了解围岩性质和合理运用洞室体型特征，以确保施工安全。</w:t>
      </w:r>
    </w:p>
    <w:p w14:paraId="1B6781DC">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）施工时应采取浅钻孔、弱爆破、多循环，尽量减少对围岩的扰动。应采取分</w:t>
      </w:r>
      <w:r>
        <w:rPr>
          <w:rFonts w:hint="eastAsia"/>
          <w:color w:val="auto"/>
          <w:highlight w:val="none"/>
          <w:lang w:val="en-US" w:eastAsia="zh-CN"/>
        </w:rPr>
        <w:t>步</w:t>
      </w:r>
      <w:r>
        <w:rPr>
          <w:rFonts w:hint="eastAsia"/>
          <w:color w:val="auto"/>
          <w:highlight w:val="none"/>
          <w:lang w:eastAsia="zh-CN"/>
        </w:rPr>
        <w:t>开挖，及时进行支护。每一循环掘进应控制在</w:t>
      </w:r>
      <w:r>
        <w:rPr>
          <w:rFonts w:hAnsi="Times New Roman"/>
          <w:color w:val="auto"/>
          <w:highlight w:val="none"/>
          <w:lang w:eastAsia="zh-CN"/>
        </w:rPr>
        <w:t>0.5</w:t>
      </w:r>
      <w:r>
        <w:rPr>
          <w:rFonts w:hint="eastAsia" w:hAnsi="Times New Roman"/>
          <w:color w:val="auto"/>
          <w:highlight w:val="none"/>
          <w:lang w:eastAsia="zh-CN"/>
        </w:rPr>
        <w:t>～</w:t>
      </w:r>
      <w:r>
        <w:rPr>
          <w:rFonts w:hAnsi="Times New Roman"/>
          <w:color w:val="auto"/>
          <w:highlight w:val="none"/>
          <w:lang w:eastAsia="zh-CN"/>
        </w:rPr>
        <w:t>1.0m</w:t>
      </w:r>
      <w:r>
        <w:rPr>
          <w:rFonts w:hint="eastAsia"/>
          <w:color w:val="auto"/>
          <w:highlight w:val="none"/>
          <w:lang w:eastAsia="zh-CN"/>
        </w:rPr>
        <w:t>。</w:t>
      </w:r>
    </w:p>
    <w:p w14:paraId="20CCB034">
      <w:pPr>
        <w:ind w:firstLine="420"/>
        <w:jc w:val="left"/>
        <w:rPr>
          <w:rFonts w:hAnsi="Times New Roman"/>
          <w:color w:val="auto"/>
          <w:highlight w:val="none"/>
          <w:lang w:eastAsia="zh-CN"/>
        </w:rPr>
      </w:pPr>
      <w:r>
        <w:rPr>
          <w:rFonts w:hAnsi="Times New Roman"/>
          <w:color w:val="auto"/>
          <w:highlight w:val="none"/>
          <w:lang w:eastAsia="zh-CN"/>
        </w:rPr>
        <w:t>6</w:t>
      </w:r>
      <w:r>
        <w:rPr>
          <w:rFonts w:hint="eastAsia"/>
          <w:color w:val="auto"/>
          <w:highlight w:val="none"/>
          <w:lang w:eastAsia="zh-CN"/>
        </w:rPr>
        <w:t>）在完成一开挖作业循环时，应全面清除危石，及时支护，防止落石。</w:t>
      </w:r>
    </w:p>
    <w:p w14:paraId="13711260">
      <w:pPr>
        <w:ind w:firstLine="420"/>
        <w:jc w:val="left"/>
        <w:rPr>
          <w:rFonts w:hAnsi="Times New Roman"/>
          <w:color w:val="auto"/>
          <w:highlight w:val="none"/>
          <w:lang w:eastAsia="zh-CN"/>
        </w:rPr>
      </w:pPr>
      <w:r>
        <w:rPr>
          <w:rFonts w:hAnsi="Times New Roman"/>
          <w:color w:val="auto"/>
          <w:highlight w:val="none"/>
          <w:lang w:eastAsia="zh-CN"/>
        </w:rPr>
        <w:t>7</w:t>
      </w:r>
      <w:r>
        <w:rPr>
          <w:rFonts w:hint="eastAsia"/>
          <w:color w:val="auto"/>
          <w:highlight w:val="none"/>
          <w:lang w:eastAsia="zh-CN"/>
        </w:rPr>
        <w:t>）在不良地质地段施工，应做好工程地质、地下水类型和涌水量的预报工作，并设置排水沟、积水坑和充分的抽排水设备。</w:t>
      </w:r>
    </w:p>
    <w:p w14:paraId="17247FDC">
      <w:pPr>
        <w:ind w:firstLine="420"/>
        <w:jc w:val="left"/>
        <w:rPr>
          <w:rFonts w:hAnsi="Times New Roman"/>
          <w:color w:val="auto"/>
          <w:highlight w:val="none"/>
          <w:lang w:eastAsia="zh-CN"/>
        </w:rPr>
      </w:pPr>
      <w:r>
        <w:rPr>
          <w:rFonts w:hAnsi="Times New Roman"/>
          <w:color w:val="auto"/>
          <w:highlight w:val="none"/>
          <w:lang w:eastAsia="zh-CN"/>
        </w:rPr>
        <w:t>8</w:t>
      </w:r>
      <w:r>
        <w:rPr>
          <w:rFonts w:hint="eastAsia"/>
          <w:color w:val="auto"/>
          <w:highlight w:val="none"/>
          <w:lang w:eastAsia="zh-CN"/>
        </w:rPr>
        <w:t>）在软弱、松散破碎带施工，应待支护稳定后方可进行下一段施工作业。</w:t>
      </w:r>
    </w:p>
    <w:p w14:paraId="631B36D5">
      <w:pPr>
        <w:ind w:firstLine="420"/>
        <w:jc w:val="left"/>
        <w:rPr>
          <w:rFonts w:hAnsi="Times New Roman"/>
          <w:color w:val="auto"/>
          <w:highlight w:val="none"/>
          <w:lang w:eastAsia="zh-CN"/>
        </w:rPr>
      </w:pPr>
      <w:r>
        <w:rPr>
          <w:rFonts w:hAnsi="Times New Roman"/>
          <w:color w:val="auto"/>
          <w:highlight w:val="none"/>
          <w:lang w:eastAsia="zh-CN"/>
        </w:rPr>
        <w:t>9</w:t>
      </w:r>
      <w:r>
        <w:rPr>
          <w:rFonts w:hint="eastAsia"/>
          <w:color w:val="auto"/>
          <w:highlight w:val="none"/>
          <w:lang w:eastAsia="zh-CN"/>
        </w:rPr>
        <w:t>）在不良地质地段施工应按所制定的临时安全用电方案实施，设置漏电保护器，并有断、停电应急措施。</w:t>
      </w:r>
    </w:p>
    <w:p w14:paraId="6AEA1638">
      <w:pPr>
        <w:pStyle w:val="5"/>
        <w:jc w:val="left"/>
        <w:rPr>
          <w:rFonts w:hAnsi="Times New Roman"/>
          <w:color w:val="auto"/>
          <w:highlight w:val="none"/>
          <w:lang w:eastAsia="zh-CN"/>
        </w:rPr>
      </w:pPr>
      <w:r>
        <w:rPr>
          <w:rFonts w:hAnsi="Times New Roman"/>
          <w:color w:val="auto"/>
          <w:highlight w:val="none"/>
          <w:lang w:eastAsia="zh-CN"/>
        </w:rPr>
        <w:t>3.5.3.2</w:t>
      </w:r>
      <w:r>
        <w:rPr>
          <w:rFonts w:hint="eastAsia" w:hAnsi="Times New Roman"/>
          <w:color w:val="auto"/>
          <w:highlight w:val="none"/>
          <w:lang w:eastAsia="zh-CN"/>
        </w:rPr>
        <w:t>　全断面法开挖</w:t>
      </w:r>
    </w:p>
    <w:p w14:paraId="72257348">
      <w:pPr>
        <w:suppressAutoHyphens/>
        <w:ind w:firstLine="420"/>
        <w:jc w:val="left"/>
        <w:rPr>
          <w:color w:val="auto"/>
          <w:highlight w:val="none"/>
          <w:lang w:val="en-GB" w:eastAsia="zh-CN"/>
        </w:rPr>
      </w:pPr>
      <w:r>
        <w:rPr>
          <w:rFonts w:hint="eastAsia"/>
          <w:color w:val="auto"/>
          <w:highlight w:val="none"/>
          <w:lang w:val="en-GB" w:eastAsia="zh-CN"/>
        </w:rPr>
        <w:t>（1）采用全断面法开挖隧洞时，应控制炸齐爆炸药用量和总装药量，降低爆破振动对围岩的影响，防止炮渣飞石对初期支护、衬砌结构和施工机具造成损伤。</w:t>
      </w:r>
    </w:p>
    <w:p w14:paraId="78DF1B53">
      <w:pPr>
        <w:suppressAutoHyphens/>
        <w:ind w:firstLine="420"/>
        <w:jc w:val="left"/>
        <w:rPr>
          <w:color w:val="auto"/>
          <w:highlight w:val="none"/>
          <w:lang w:val="en-GB" w:eastAsia="zh-CN"/>
        </w:rPr>
      </w:pPr>
      <w:r>
        <w:rPr>
          <w:rFonts w:hint="eastAsia"/>
          <w:color w:val="auto"/>
          <w:highlight w:val="none"/>
          <w:lang w:val="en-GB" w:eastAsia="zh-CN"/>
        </w:rPr>
        <w:t>（2）在地质条件较差地段采用全断面法开挖隧洞时，应对围岩进行超前支护或预加固，并控制开挖循环进尺。</w:t>
      </w:r>
    </w:p>
    <w:p w14:paraId="00AECF78">
      <w:pPr>
        <w:pStyle w:val="7"/>
        <w:ind w:firstLine="420"/>
        <w:jc w:val="left"/>
        <w:rPr>
          <w:color w:val="auto"/>
          <w:highlight w:val="none"/>
          <w:lang w:eastAsia="zh-CN"/>
        </w:rPr>
      </w:pPr>
      <w:r>
        <w:rPr>
          <w:rFonts w:hint="eastAsia"/>
          <w:color w:val="auto"/>
          <w:highlight w:val="none"/>
          <w:lang w:val="en-GB" w:eastAsia="zh-CN"/>
        </w:rPr>
        <w:t>（3）当隧洞地质条件发生变化时，应根据情况及时变换适宜的开挖方法。</w:t>
      </w:r>
    </w:p>
    <w:p w14:paraId="1A4A95CE">
      <w:pPr>
        <w:pStyle w:val="5"/>
        <w:jc w:val="left"/>
        <w:rPr>
          <w:rFonts w:hAnsi="Times New Roman"/>
          <w:color w:val="auto"/>
          <w:highlight w:val="none"/>
          <w:lang w:eastAsia="zh-CN"/>
        </w:rPr>
      </w:pPr>
      <w:r>
        <w:rPr>
          <w:rFonts w:hAnsi="Times New Roman"/>
          <w:color w:val="auto"/>
          <w:highlight w:val="none"/>
          <w:lang w:eastAsia="zh-CN"/>
        </w:rPr>
        <w:t>3.5.3.3</w:t>
      </w:r>
      <w:r>
        <w:rPr>
          <w:rFonts w:hint="eastAsia" w:hAnsi="Times New Roman"/>
          <w:color w:val="auto"/>
          <w:highlight w:val="none"/>
          <w:lang w:eastAsia="zh-CN"/>
        </w:rPr>
        <w:t>　台阶法开挖</w:t>
      </w:r>
    </w:p>
    <w:p w14:paraId="1C2DE350">
      <w:pPr>
        <w:suppressAutoHyphens/>
        <w:ind w:firstLine="420"/>
        <w:jc w:val="left"/>
        <w:rPr>
          <w:color w:val="auto"/>
          <w:highlight w:val="none"/>
          <w:lang w:val="en-GB" w:eastAsia="zh-CN"/>
        </w:rPr>
      </w:pPr>
      <w:r>
        <w:rPr>
          <w:rFonts w:hint="eastAsia"/>
          <w:color w:val="auto"/>
          <w:highlight w:val="none"/>
          <w:lang w:val="en-GB" w:eastAsia="zh-CN"/>
        </w:rPr>
        <w:t>（1）采用台阶法开挖时，应根据围岩条件，合理确定台阶长度和高度。围岩稳定性较差时，每个台阶长度应控制0.5-1倍洞径范围。</w:t>
      </w:r>
    </w:p>
    <w:p w14:paraId="4F1B17C3">
      <w:pPr>
        <w:suppressAutoHyphens/>
        <w:ind w:firstLine="420"/>
        <w:jc w:val="left"/>
        <w:rPr>
          <w:color w:val="auto"/>
          <w:highlight w:val="none"/>
          <w:lang w:val="en-GB" w:eastAsia="zh-CN"/>
        </w:rPr>
      </w:pPr>
      <w:r>
        <w:rPr>
          <w:rFonts w:hint="eastAsia"/>
          <w:color w:val="auto"/>
          <w:highlight w:val="none"/>
          <w:lang w:val="en-GB" w:eastAsia="zh-CN"/>
        </w:rPr>
        <w:t>（2）采用台阶法开挖时，初期支护应尽早封闭成环；仰拱单独开挖时，应严格控制仰拱一次开挖长度，并应及时施做初期支护。</w:t>
      </w:r>
    </w:p>
    <w:p w14:paraId="019FE3A6">
      <w:pPr>
        <w:suppressAutoHyphens/>
        <w:ind w:firstLine="420"/>
        <w:jc w:val="left"/>
        <w:rPr>
          <w:color w:val="auto"/>
          <w:highlight w:val="none"/>
          <w:lang w:val="en-GB" w:eastAsia="zh-CN"/>
        </w:rPr>
      </w:pPr>
      <w:r>
        <w:rPr>
          <w:rFonts w:hint="eastAsia"/>
          <w:color w:val="auto"/>
          <w:highlight w:val="none"/>
          <w:lang w:val="en-GB" w:eastAsia="zh-CN"/>
        </w:rPr>
        <w:t>（3）台阶法开挖的各台阶的循环进尺应根据围岩开挖后的自稳能力，并结合设计钢架间距合理确定。</w:t>
      </w:r>
    </w:p>
    <w:p w14:paraId="458345B0">
      <w:pPr>
        <w:suppressAutoHyphens/>
        <w:ind w:firstLine="420"/>
        <w:jc w:val="left"/>
        <w:rPr>
          <w:color w:val="auto"/>
          <w:highlight w:val="none"/>
          <w:lang w:val="en-GB" w:eastAsia="zh-CN"/>
        </w:rPr>
      </w:pPr>
      <w:r>
        <w:rPr>
          <w:rFonts w:hint="eastAsia"/>
          <w:color w:val="auto"/>
          <w:highlight w:val="none"/>
          <w:lang w:val="en-GB" w:eastAsia="zh-CN"/>
        </w:rPr>
        <w:t>（4）当围岩地质较差、开挖工作面不稳定时，应采用短进尺环形开挖预留核心土法，或在开挖工作面进行喷射混凝土、玻璃纤维锚杆等措施预加固后采用台阶法开挖。</w:t>
      </w:r>
    </w:p>
    <w:p w14:paraId="2FB46F79">
      <w:pPr>
        <w:suppressAutoHyphens/>
        <w:ind w:firstLine="420"/>
        <w:jc w:val="left"/>
        <w:rPr>
          <w:color w:val="auto"/>
          <w:highlight w:val="none"/>
          <w:lang w:val="en-GB" w:eastAsia="zh-CN"/>
        </w:rPr>
      </w:pPr>
      <w:r>
        <w:rPr>
          <w:rFonts w:hint="eastAsia"/>
          <w:color w:val="auto"/>
          <w:highlight w:val="none"/>
          <w:lang w:val="en-GB" w:eastAsia="zh-CN"/>
        </w:rPr>
        <w:t>（5）开挖后围岩变形较大地段，钢架拱脚、墙脚应根据变形情况采取锁脚锚杆（管）、扩大拱脚及临时仰拱等措施控制围岩及初期支护变形量。</w:t>
      </w:r>
    </w:p>
    <w:p w14:paraId="655590E0">
      <w:pPr>
        <w:ind w:firstLine="420"/>
        <w:jc w:val="left"/>
        <w:rPr>
          <w:color w:val="auto"/>
          <w:highlight w:val="none"/>
          <w:lang w:eastAsia="zh-CN"/>
        </w:rPr>
      </w:pPr>
      <w:r>
        <w:rPr>
          <w:rFonts w:hint="eastAsia"/>
          <w:color w:val="auto"/>
          <w:highlight w:val="none"/>
          <w:lang w:val="en-GB" w:eastAsia="zh-CN"/>
        </w:rPr>
        <w:t>（6）初期支护设计钢架的，下台阶开挖前，应对拱部钢架进行锁脚加固，并及时喷射混凝土封闭，钢架不得悬空。</w:t>
      </w:r>
    </w:p>
    <w:p w14:paraId="5964C6E5">
      <w:pPr>
        <w:pStyle w:val="5"/>
        <w:jc w:val="left"/>
        <w:rPr>
          <w:rFonts w:hAnsi="Times New Roman"/>
          <w:color w:val="auto"/>
          <w:highlight w:val="none"/>
          <w:lang w:eastAsia="zh-CN"/>
        </w:rPr>
      </w:pPr>
      <w:r>
        <w:rPr>
          <w:rFonts w:hAnsi="Times New Roman"/>
          <w:color w:val="auto"/>
          <w:highlight w:val="none"/>
          <w:lang w:eastAsia="zh-CN"/>
        </w:rPr>
        <w:t>3.5.3.4</w:t>
      </w:r>
      <w:r>
        <w:rPr>
          <w:rFonts w:hint="eastAsia" w:hAnsi="Times New Roman"/>
          <w:color w:val="auto"/>
          <w:highlight w:val="none"/>
          <w:lang w:eastAsia="zh-CN"/>
        </w:rPr>
        <w:t>　分部法开挖</w:t>
      </w:r>
    </w:p>
    <w:p w14:paraId="3667BD51">
      <w:pPr>
        <w:suppressAutoHyphens/>
        <w:ind w:firstLine="420"/>
        <w:jc w:val="left"/>
        <w:rPr>
          <w:color w:val="auto"/>
          <w:highlight w:val="none"/>
          <w:lang w:val="en-GB" w:eastAsia="zh-CN"/>
        </w:rPr>
      </w:pPr>
      <w:r>
        <w:rPr>
          <w:rFonts w:hint="eastAsia"/>
          <w:color w:val="auto"/>
          <w:highlight w:val="none"/>
          <w:lang w:val="en-GB" w:eastAsia="zh-CN"/>
        </w:rPr>
        <w:t>（1）采用分部法开挖时，应优先选择机械开挖；采用爆破开挖时，应采用弱爆破，严格控制炸药用量。</w:t>
      </w:r>
    </w:p>
    <w:p w14:paraId="366A4CFA">
      <w:pPr>
        <w:suppressAutoHyphens/>
        <w:ind w:firstLine="420"/>
        <w:jc w:val="left"/>
        <w:rPr>
          <w:color w:val="auto"/>
          <w:highlight w:val="none"/>
          <w:lang w:val="en-GB" w:eastAsia="zh-CN"/>
        </w:rPr>
      </w:pPr>
      <w:r>
        <w:rPr>
          <w:rFonts w:hint="eastAsia"/>
          <w:color w:val="auto"/>
          <w:highlight w:val="none"/>
          <w:lang w:val="en-GB" w:eastAsia="zh-CN"/>
        </w:rPr>
        <w:t>（2）各分部的开挖断面大小、循环进尺应根据围岩自稳能力、断面大小及埋深等情况合理确定。</w:t>
      </w:r>
    </w:p>
    <w:p w14:paraId="43FADE26">
      <w:pPr>
        <w:suppressAutoHyphens/>
        <w:ind w:firstLine="420"/>
        <w:jc w:val="left"/>
        <w:rPr>
          <w:color w:val="auto"/>
          <w:highlight w:val="none"/>
          <w:lang w:val="en-GB" w:eastAsia="zh-CN"/>
        </w:rPr>
      </w:pPr>
      <w:r>
        <w:rPr>
          <w:rFonts w:hint="eastAsia"/>
          <w:color w:val="auto"/>
          <w:highlight w:val="none"/>
          <w:lang w:val="en-GB" w:eastAsia="zh-CN"/>
        </w:rPr>
        <w:t>（3）各分部开挖后应及时施做初期支护、临时支护，并尽早封闭成环。</w:t>
      </w:r>
    </w:p>
    <w:p w14:paraId="01ECEFA1">
      <w:pPr>
        <w:suppressAutoHyphens/>
        <w:ind w:firstLine="420"/>
        <w:jc w:val="left"/>
        <w:rPr>
          <w:color w:val="auto"/>
          <w:highlight w:val="none"/>
          <w:lang w:val="en-GB" w:eastAsia="zh-CN"/>
        </w:rPr>
      </w:pPr>
      <w:r>
        <w:rPr>
          <w:rFonts w:hint="eastAsia"/>
          <w:color w:val="auto"/>
          <w:highlight w:val="none"/>
          <w:lang w:val="en-GB" w:eastAsia="zh-CN"/>
        </w:rPr>
        <w:t>（4）各分部钢架基脚处应施做锁脚锚杆（管）或采用扩大拱脚等措施，减少拱脚下沉量。</w:t>
      </w:r>
    </w:p>
    <w:p w14:paraId="505A747F">
      <w:pPr>
        <w:suppressAutoHyphens/>
        <w:ind w:firstLine="420"/>
        <w:jc w:val="left"/>
        <w:rPr>
          <w:color w:val="auto"/>
          <w:highlight w:val="none"/>
          <w:lang w:val="en-GB" w:eastAsia="zh-CN"/>
        </w:rPr>
      </w:pPr>
      <w:r>
        <w:rPr>
          <w:rFonts w:hint="eastAsia"/>
          <w:color w:val="auto"/>
          <w:highlight w:val="none"/>
          <w:lang w:val="en-GB" w:eastAsia="zh-CN"/>
        </w:rPr>
        <w:t>（5）采用中隔壁法、交叉中隔壁法开挖时，应符合下列规定：</w:t>
      </w:r>
    </w:p>
    <w:p w14:paraId="3A79910F">
      <w:pPr>
        <w:suppressAutoHyphens/>
        <w:ind w:firstLine="420"/>
        <w:jc w:val="left"/>
        <w:rPr>
          <w:color w:val="auto"/>
          <w:highlight w:val="none"/>
          <w:lang w:val="en-GB" w:eastAsia="zh-CN"/>
        </w:rPr>
      </w:pPr>
      <w:r>
        <w:rPr>
          <w:rFonts w:hint="eastAsia"/>
          <w:color w:val="auto"/>
          <w:highlight w:val="none"/>
          <w:lang w:val="en-GB" w:eastAsia="zh-CN"/>
        </w:rPr>
        <w:t>1）同侧上、下层开挖面沿纵向应错开3～5m；</w:t>
      </w:r>
    </w:p>
    <w:p w14:paraId="0516FEC9">
      <w:pPr>
        <w:suppressAutoHyphens/>
        <w:ind w:firstLine="420"/>
        <w:jc w:val="left"/>
        <w:rPr>
          <w:color w:val="auto"/>
          <w:highlight w:val="none"/>
          <w:lang w:val="en-GB" w:eastAsia="zh-CN"/>
        </w:rPr>
      </w:pPr>
      <w:r>
        <w:rPr>
          <w:rFonts w:hint="eastAsia"/>
          <w:color w:val="auto"/>
          <w:highlight w:val="none"/>
          <w:lang w:val="en-GB" w:eastAsia="zh-CN"/>
        </w:rPr>
        <w:t>2）同层左、右侧开挖面沿纵向应错开10～15m。</w:t>
      </w:r>
    </w:p>
    <w:p w14:paraId="2281C50E">
      <w:pPr>
        <w:suppressAutoHyphens/>
        <w:ind w:firstLine="420"/>
        <w:jc w:val="left"/>
        <w:rPr>
          <w:color w:val="auto"/>
          <w:highlight w:val="none"/>
          <w:lang w:val="en-GB" w:eastAsia="zh-CN"/>
        </w:rPr>
      </w:pPr>
      <w:r>
        <w:rPr>
          <w:rFonts w:hint="eastAsia"/>
          <w:color w:val="auto"/>
          <w:highlight w:val="none"/>
          <w:lang w:val="en-GB" w:eastAsia="zh-CN"/>
        </w:rPr>
        <w:t>（6）采用双侧壁导坑法开挖时，应符合下列规定：</w:t>
      </w:r>
    </w:p>
    <w:p w14:paraId="6617E524">
      <w:pPr>
        <w:suppressAutoHyphens/>
        <w:ind w:firstLine="420"/>
        <w:jc w:val="left"/>
        <w:rPr>
          <w:color w:val="auto"/>
          <w:highlight w:val="none"/>
          <w:lang w:val="en-GB" w:eastAsia="zh-CN"/>
        </w:rPr>
      </w:pPr>
      <w:r>
        <w:rPr>
          <w:rFonts w:hint="eastAsia"/>
          <w:color w:val="auto"/>
          <w:highlight w:val="none"/>
          <w:lang w:val="en-GB" w:eastAsia="zh-CN"/>
        </w:rPr>
        <w:t>1）侧壁导坑形状应近似椭圆形，导坑宽度不应大于0.3倍隧洞宽度；</w:t>
      </w:r>
    </w:p>
    <w:p w14:paraId="07BB1D77">
      <w:pPr>
        <w:suppressAutoHyphens/>
        <w:ind w:firstLine="420"/>
        <w:jc w:val="left"/>
        <w:rPr>
          <w:color w:val="auto"/>
          <w:highlight w:val="none"/>
          <w:lang w:val="en-GB" w:eastAsia="zh-CN"/>
        </w:rPr>
      </w:pPr>
      <w:r>
        <w:rPr>
          <w:rFonts w:hint="eastAsia"/>
          <w:color w:val="auto"/>
          <w:highlight w:val="none"/>
          <w:lang w:val="en-GB" w:eastAsia="zh-CN"/>
        </w:rPr>
        <w:t>2）侧壁导坑、中槽部位开挖应采用短台阶，台阶长度3～5m，必要时应预留核心土；</w:t>
      </w:r>
    </w:p>
    <w:p w14:paraId="5FBABE31">
      <w:pPr>
        <w:suppressAutoHyphens/>
        <w:ind w:firstLine="420"/>
        <w:jc w:val="left"/>
        <w:rPr>
          <w:color w:val="auto"/>
          <w:highlight w:val="none"/>
          <w:lang w:val="en-GB" w:eastAsia="zh-CN"/>
        </w:rPr>
      </w:pPr>
      <w:r>
        <w:rPr>
          <w:rFonts w:hint="eastAsia"/>
          <w:color w:val="auto"/>
          <w:highlight w:val="none"/>
          <w:lang w:val="en-GB" w:eastAsia="zh-CN"/>
        </w:rPr>
        <w:t>3）侧壁导坑开挖应超前中槽部位10～15m。</w:t>
      </w:r>
    </w:p>
    <w:p w14:paraId="1D732C9A">
      <w:pPr>
        <w:pStyle w:val="7"/>
        <w:ind w:firstLine="420"/>
        <w:jc w:val="left"/>
        <w:rPr>
          <w:color w:val="auto"/>
          <w:highlight w:val="none"/>
          <w:lang w:val="en-GB" w:eastAsia="zh-CN"/>
        </w:rPr>
      </w:pPr>
      <w:r>
        <w:rPr>
          <w:rFonts w:hint="eastAsia"/>
          <w:color w:val="auto"/>
          <w:highlight w:val="none"/>
          <w:lang w:val="en-GB" w:eastAsia="zh-CN"/>
        </w:rPr>
        <w:t>（7）采用分部法开挖的临时支护应根据监控量测结果逐段拆除，每段拆除长度不得大于15m。</w:t>
      </w:r>
    </w:p>
    <w:p w14:paraId="53DB8476">
      <w:pPr>
        <w:pStyle w:val="5"/>
        <w:jc w:val="left"/>
        <w:rPr>
          <w:rFonts w:hAnsi="Times New Roman"/>
          <w:color w:val="auto"/>
          <w:highlight w:val="none"/>
          <w:lang w:eastAsia="zh-CN"/>
        </w:rPr>
      </w:pPr>
      <w:r>
        <w:rPr>
          <w:rFonts w:hAnsi="Times New Roman"/>
          <w:color w:val="auto"/>
          <w:highlight w:val="none"/>
          <w:lang w:eastAsia="zh-CN"/>
        </w:rPr>
        <w:t>3.5.3.5</w:t>
      </w:r>
      <w:r>
        <w:rPr>
          <w:rFonts w:hint="eastAsia" w:hAnsi="Times New Roman"/>
          <w:color w:val="auto"/>
          <w:highlight w:val="none"/>
          <w:lang w:eastAsia="zh-CN"/>
        </w:rPr>
        <w:t>　钻爆作业</w:t>
      </w:r>
    </w:p>
    <w:p w14:paraId="6FFD52D4">
      <w:pPr>
        <w:suppressAutoHyphens/>
        <w:ind w:firstLine="420"/>
        <w:jc w:val="left"/>
        <w:rPr>
          <w:color w:val="auto"/>
          <w:highlight w:val="none"/>
          <w:lang w:val="en-GB" w:eastAsia="zh-CN"/>
        </w:rPr>
      </w:pPr>
      <w:r>
        <w:rPr>
          <w:rFonts w:hint="eastAsia"/>
          <w:color w:val="auto"/>
          <w:highlight w:val="none"/>
          <w:lang w:val="en-GB" w:eastAsia="zh-CN"/>
        </w:rPr>
        <w:t>（1）钻孔作业应符合下列规定：</w:t>
      </w:r>
    </w:p>
    <w:p w14:paraId="371C1AA2">
      <w:pPr>
        <w:suppressAutoHyphens/>
        <w:ind w:firstLine="420"/>
        <w:jc w:val="left"/>
        <w:rPr>
          <w:color w:val="auto"/>
          <w:highlight w:val="none"/>
          <w:lang w:val="en-GB" w:eastAsia="zh-CN"/>
        </w:rPr>
      </w:pPr>
      <w:r>
        <w:rPr>
          <w:rFonts w:hint="eastAsia"/>
          <w:color w:val="auto"/>
          <w:highlight w:val="none"/>
          <w:lang w:val="en-GB" w:eastAsia="zh-CN"/>
        </w:rPr>
        <w:t>1）钻孔前，应由专人对开挖作业面安全状况和作业人员安全防护进行检查，及时消除各种安全隐患；</w:t>
      </w:r>
    </w:p>
    <w:p w14:paraId="3A27D76D">
      <w:pPr>
        <w:suppressAutoHyphens/>
        <w:ind w:firstLine="420"/>
        <w:jc w:val="left"/>
        <w:rPr>
          <w:color w:val="auto"/>
          <w:highlight w:val="none"/>
          <w:lang w:val="en-GB" w:eastAsia="zh-CN"/>
        </w:rPr>
      </w:pPr>
      <w:r>
        <w:rPr>
          <w:rFonts w:hint="eastAsia"/>
          <w:color w:val="auto"/>
          <w:highlight w:val="none"/>
          <w:lang w:val="en-GB" w:eastAsia="zh-CN"/>
        </w:rPr>
        <w:t>2）钻孔作业应采用湿式钻孔，不得在残孔中继续钻孔；</w:t>
      </w:r>
    </w:p>
    <w:p w14:paraId="4DB53C5F">
      <w:pPr>
        <w:suppressAutoHyphens/>
        <w:ind w:firstLine="420"/>
        <w:jc w:val="left"/>
        <w:rPr>
          <w:color w:val="auto"/>
          <w:highlight w:val="none"/>
          <w:lang w:val="en-GB" w:eastAsia="zh-CN"/>
        </w:rPr>
      </w:pPr>
      <w:r>
        <w:rPr>
          <w:rFonts w:hint="eastAsia"/>
          <w:color w:val="auto"/>
          <w:highlight w:val="none"/>
          <w:lang w:val="en-GB" w:eastAsia="zh-CN"/>
        </w:rPr>
        <w:t>3）钻孔作业中，若开挖工作面出现地下水突出、气体逸出、异常声响和围岩突变等情况，应立即停止钻孔作业，撤离洞内人员，再根据情况处置；</w:t>
      </w:r>
    </w:p>
    <w:p w14:paraId="2B3D8A85">
      <w:pPr>
        <w:suppressAutoHyphens/>
        <w:ind w:firstLine="420"/>
        <w:jc w:val="left"/>
        <w:rPr>
          <w:color w:val="auto"/>
          <w:highlight w:val="none"/>
          <w:lang w:val="en-GB" w:eastAsia="zh-CN"/>
        </w:rPr>
      </w:pPr>
      <w:r>
        <w:rPr>
          <w:rFonts w:hint="eastAsia"/>
          <w:color w:val="auto"/>
          <w:highlight w:val="none"/>
          <w:lang w:val="en-GB" w:eastAsia="zh-CN"/>
        </w:rPr>
        <w:t>4）在强岩爆地段，应采用凿岩台车实施钻爆作业；</w:t>
      </w:r>
    </w:p>
    <w:p w14:paraId="2CAC9D69">
      <w:pPr>
        <w:suppressAutoHyphens/>
        <w:ind w:firstLine="420"/>
        <w:jc w:val="left"/>
        <w:rPr>
          <w:color w:val="auto"/>
          <w:highlight w:val="none"/>
          <w:lang w:val="en-GB" w:eastAsia="zh-CN"/>
        </w:rPr>
      </w:pPr>
      <w:r>
        <w:rPr>
          <w:rFonts w:hint="eastAsia"/>
          <w:color w:val="auto"/>
          <w:highlight w:val="none"/>
          <w:lang w:val="en-GB" w:eastAsia="zh-CN"/>
        </w:rPr>
        <w:t>5）凿岩台车行走前，操作司机应查看并确认台车周边无人和障碍物后，按照引导人员的指示信号操作。行走时要平稳，避免紧急操作发生意外事故；</w:t>
      </w:r>
    </w:p>
    <w:p w14:paraId="050C190F">
      <w:pPr>
        <w:suppressAutoHyphens/>
        <w:ind w:firstLine="420"/>
        <w:jc w:val="left"/>
        <w:rPr>
          <w:color w:val="auto"/>
          <w:highlight w:val="none"/>
          <w:lang w:val="en-GB" w:eastAsia="zh-CN"/>
        </w:rPr>
      </w:pPr>
      <w:r>
        <w:rPr>
          <w:rFonts w:hint="eastAsia"/>
          <w:color w:val="auto"/>
          <w:highlight w:val="none"/>
          <w:lang w:val="en-GB" w:eastAsia="zh-CN"/>
        </w:rPr>
        <w:t>6）凿岩台车钻孔完成后应停放在不影响通行的安全场所。</w:t>
      </w:r>
    </w:p>
    <w:p w14:paraId="1CF7D0A9">
      <w:pPr>
        <w:ind w:firstLine="420"/>
        <w:jc w:val="left"/>
        <w:rPr>
          <w:color w:val="auto"/>
          <w:highlight w:val="none"/>
          <w:lang w:eastAsia="zh-CN"/>
        </w:rPr>
      </w:pPr>
      <w:r>
        <w:rPr>
          <w:color w:val="auto"/>
          <w:highlight w:val="none"/>
          <w:lang w:eastAsia="zh-CN"/>
        </w:rPr>
        <w:t>7</w:t>
      </w:r>
      <w:r>
        <w:rPr>
          <w:rFonts w:hint="eastAsia"/>
          <w:color w:val="auto"/>
          <w:highlight w:val="none"/>
          <w:lang w:val="en-GB" w:eastAsia="zh-CN"/>
        </w:rPr>
        <w:t>）</w:t>
      </w:r>
      <w:r>
        <w:rPr>
          <w:rFonts w:hint="eastAsia"/>
          <w:color w:val="auto"/>
          <w:highlight w:val="none"/>
          <w:lang w:eastAsia="zh-CN"/>
        </w:rPr>
        <w:t>在</w:t>
      </w:r>
      <w:r>
        <w:rPr>
          <w:rFonts w:hint="eastAsia"/>
          <w:color w:val="auto"/>
          <w:highlight w:val="none"/>
          <w:lang w:val="en-GB" w:eastAsia="zh-CN"/>
        </w:rPr>
        <w:t>高</w:t>
      </w:r>
      <w:r>
        <w:rPr>
          <w:rFonts w:hint="eastAsia"/>
          <w:color w:val="auto"/>
          <w:highlight w:val="none"/>
          <w:lang w:eastAsia="zh-CN"/>
        </w:rPr>
        <w:t>地下水洞</w:t>
      </w:r>
      <w:r>
        <w:rPr>
          <w:rFonts w:hint="eastAsia"/>
          <w:color w:val="auto"/>
          <w:highlight w:val="none"/>
          <w:lang w:val="en-GB" w:eastAsia="zh-CN"/>
        </w:rPr>
        <w:t>段钻孔作业应</w:t>
      </w:r>
      <w:r>
        <w:rPr>
          <w:rFonts w:hint="eastAsia"/>
          <w:color w:val="auto"/>
          <w:highlight w:val="none"/>
          <w:lang w:eastAsia="zh-CN"/>
        </w:rPr>
        <w:t>进行安全防护，防止高压水射对作业人员造成伤害。</w:t>
      </w:r>
    </w:p>
    <w:p w14:paraId="468EA466">
      <w:pPr>
        <w:suppressAutoHyphens/>
        <w:ind w:firstLine="420"/>
        <w:jc w:val="left"/>
        <w:rPr>
          <w:color w:val="auto"/>
          <w:highlight w:val="none"/>
          <w:lang w:val="en-GB" w:eastAsia="zh-CN"/>
        </w:rPr>
      </w:pPr>
      <w:r>
        <w:rPr>
          <w:rFonts w:hint="eastAsia"/>
          <w:color w:val="auto"/>
          <w:highlight w:val="none"/>
          <w:lang w:eastAsia="zh-CN"/>
        </w:rPr>
        <w:t>8）钻孔期间应有专人进行安全巡查</w:t>
      </w:r>
      <w:r>
        <w:rPr>
          <w:rFonts w:hint="eastAsia"/>
          <w:color w:val="auto"/>
          <w:highlight w:val="none"/>
          <w:lang w:val="en-GB" w:eastAsia="zh-CN"/>
        </w:rPr>
        <w:t>，发现</w:t>
      </w:r>
      <w:r>
        <w:rPr>
          <w:rFonts w:hint="eastAsia"/>
          <w:color w:val="auto"/>
          <w:highlight w:val="none"/>
          <w:lang w:eastAsia="zh-CN"/>
        </w:rPr>
        <w:t>有</w:t>
      </w:r>
      <w:r>
        <w:rPr>
          <w:rFonts w:hint="eastAsia"/>
          <w:color w:val="auto"/>
          <w:highlight w:val="none"/>
          <w:lang w:val="en-GB" w:eastAsia="zh-CN"/>
        </w:rPr>
        <w:t>突涌水</w:t>
      </w:r>
      <w:r>
        <w:rPr>
          <w:rFonts w:hint="eastAsia"/>
          <w:color w:val="auto"/>
          <w:highlight w:val="none"/>
          <w:lang w:eastAsia="zh-CN"/>
        </w:rPr>
        <w:t>迹象</w:t>
      </w:r>
      <w:r>
        <w:rPr>
          <w:rFonts w:hint="eastAsia"/>
          <w:color w:val="auto"/>
          <w:highlight w:val="none"/>
          <w:lang w:val="en-GB" w:eastAsia="zh-CN"/>
        </w:rPr>
        <w:t>时</w:t>
      </w:r>
      <w:r>
        <w:rPr>
          <w:rFonts w:hint="eastAsia"/>
          <w:color w:val="auto"/>
          <w:highlight w:val="none"/>
          <w:lang w:eastAsia="zh-CN"/>
        </w:rPr>
        <w:t>应</w:t>
      </w:r>
      <w:r>
        <w:rPr>
          <w:rFonts w:hint="eastAsia"/>
          <w:color w:val="auto"/>
          <w:highlight w:val="none"/>
          <w:lang w:val="en-GB" w:eastAsia="zh-CN"/>
        </w:rPr>
        <w:t>及时撤离</w:t>
      </w:r>
      <w:r>
        <w:rPr>
          <w:rFonts w:hint="eastAsia"/>
          <w:color w:val="auto"/>
          <w:highlight w:val="none"/>
          <w:lang w:eastAsia="zh-CN"/>
        </w:rPr>
        <w:t>所有</w:t>
      </w:r>
      <w:r>
        <w:rPr>
          <w:rFonts w:hint="eastAsia"/>
          <w:color w:val="auto"/>
          <w:highlight w:val="none"/>
          <w:lang w:val="en-GB" w:eastAsia="zh-CN"/>
        </w:rPr>
        <w:t>现场作业人员。</w:t>
      </w:r>
    </w:p>
    <w:p w14:paraId="5E453BEF">
      <w:pPr>
        <w:suppressAutoHyphens/>
        <w:ind w:firstLine="420"/>
        <w:jc w:val="left"/>
        <w:rPr>
          <w:color w:val="auto"/>
          <w:highlight w:val="none"/>
          <w:lang w:val="en-GB" w:eastAsia="zh-CN"/>
        </w:rPr>
      </w:pPr>
      <w:r>
        <w:rPr>
          <w:rFonts w:hint="eastAsia"/>
          <w:color w:val="auto"/>
          <w:highlight w:val="none"/>
          <w:lang w:val="en-GB" w:eastAsia="zh-CN"/>
        </w:rPr>
        <w:t>（2）装药作业应符合下列规定：</w:t>
      </w:r>
    </w:p>
    <w:p w14:paraId="144D28B3">
      <w:pPr>
        <w:suppressAutoHyphens/>
        <w:ind w:firstLine="420"/>
        <w:jc w:val="left"/>
        <w:rPr>
          <w:color w:val="auto"/>
          <w:highlight w:val="none"/>
          <w:lang w:val="en-GB" w:eastAsia="zh-CN"/>
        </w:rPr>
      </w:pPr>
      <w:r>
        <w:rPr>
          <w:rFonts w:hint="eastAsia"/>
          <w:color w:val="auto"/>
          <w:highlight w:val="none"/>
          <w:lang w:val="en-GB" w:eastAsia="zh-CN"/>
        </w:rPr>
        <w:t>1）装药作业前，应对钻孔情况逐一检查，并检查开挖工作面的安全状况；</w:t>
      </w:r>
    </w:p>
    <w:p w14:paraId="00A0892E">
      <w:pPr>
        <w:suppressAutoHyphens/>
        <w:ind w:firstLine="420"/>
        <w:jc w:val="left"/>
        <w:rPr>
          <w:color w:val="auto"/>
          <w:highlight w:val="none"/>
          <w:lang w:val="en-GB" w:eastAsia="zh-CN"/>
        </w:rPr>
      </w:pPr>
      <w:r>
        <w:rPr>
          <w:rFonts w:hint="eastAsia"/>
          <w:color w:val="auto"/>
          <w:highlight w:val="none"/>
          <w:lang w:val="en-GB" w:eastAsia="zh-CN"/>
        </w:rPr>
        <w:t>2）装药时应使用木质炮棍装药，无关人员与机具等应撤至安全地点，作业人员应穿戴防静电衣物；</w:t>
      </w:r>
    </w:p>
    <w:p w14:paraId="76F179FA">
      <w:pPr>
        <w:suppressAutoHyphens/>
        <w:ind w:firstLine="420"/>
        <w:jc w:val="left"/>
        <w:rPr>
          <w:color w:val="auto"/>
          <w:highlight w:val="none"/>
          <w:lang w:val="en-GB" w:eastAsia="zh-CN"/>
        </w:rPr>
      </w:pPr>
      <w:r>
        <w:rPr>
          <w:color w:val="auto"/>
          <w:highlight w:val="none"/>
          <w:lang w:eastAsia="zh-CN"/>
        </w:rPr>
        <w:t>3</w:t>
      </w:r>
      <w:r>
        <w:rPr>
          <w:rFonts w:hint="eastAsia"/>
          <w:color w:val="auto"/>
          <w:highlight w:val="none"/>
          <w:lang w:val="en-GB" w:eastAsia="zh-CN"/>
        </w:rPr>
        <w:t>）不得装药与钻孔平行作业；</w:t>
      </w:r>
    </w:p>
    <w:p w14:paraId="7A85F563">
      <w:pPr>
        <w:suppressAutoHyphens/>
        <w:ind w:firstLine="420"/>
        <w:jc w:val="left"/>
        <w:rPr>
          <w:color w:val="auto"/>
          <w:highlight w:val="none"/>
          <w:lang w:val="en-GB" w:eastAsia="zh-CN"/>
        </w:rPr>
      </w:pPr>
      <w:r>
        <w:rPr>
          <w:color w:val="auto"/>
          <w:highlight w:val="none"/>
          <w:lang w:eastAsia="zh-CN"/>
        </w:rPr>
        <w:t>4</w:t>
      </w:r>
      <w:r>
        <w:rPr>
          <w:rFonts w:hint="eastAsia"/>
          <w:color w:val="auto"/>
          <w:highlight w:val="none"/>
          <w:lang w:val="en-GB" w:eastAsia="zh-CN"/>
        </w:rPr>
        <w:t>）装药作业完成后，应及时清理现场、清点火工产品数量，剩余的炸药和数码电子雷管应由领取炸药、数码电子雷管的人员退回库房。</w:t>
      </w:r>
    </w:p>
    <w:p w14:paraId="6D22D089">
      <w:pPr>
        <w:suppressAutoHyphens/>
        <w:ind w:firstLine="420"/>
        <w:jc w:val="left"/>
        <w:rPr>
          <w:color w:val="auto"/>
          <w:highlight w:val="none"/>
          <w:lang w:val="en-GB" w:eastAsia="zh-CN"/>
        </w:rPr>
      </w:pPr>
      <w:r>
        <w:rPr>
          <w:rFonts w:hint="eastAsia"/>
          <w:color w:val="auto"/>
          <w:highlight w:val="none"/>
          <w:lang w:val="en-GB" w:eastAsia="zh-CN"/>
        </w:rPr>
        <w:t>（3）爆破作业除应符合现行国家标准《爆破安全规程》GB 6722相关规定外，还应符合下列规定：</w:t>
      </w:r>
    </w:p>
    <w:p w14:paraId="10FFF898">
      <w:pPr>
        <w:suppressAutoHyphens/>
        <w:ind w:firstLine="420"/>
        <w:jc w:val="left"/>
        <w:rPr>
          <w:color w:val="auto"/>
          <w:highlight w:val="none"/>
          <w:lang w:val="en-GB" w:eastAsia="zh-CN"/>
        </w:rPr>
      </w:pPr>
      <w:r>
        <w:rPr>
          <w:rFonts w:hint="eastAsia"/>
          <w:color w:val="auto"/>
          <w:highlight w:val="none"/>
          <w:lang w:val="en-GB" w:eastAsia="zh-CN"/>
        </w:rPr>
        <w:t>1）洞内爆破作业前，应确定指挥人员、警戒人员、起爆人员，并确保统一指挥；</w:t>
      </w:r>
    </w:p>
    <w:p w14:paraId="0C7783C2">
      <w:pPr>
        <w:suppressAutoHyphens/>
        <w:ind w:firstLine="420"/>
        <w:jc w:val="left"/>
        <w:rPr>
          <w:color w:val="auto"/>
          <w:highlight w:val="none"/>
          <w:lang w:val="en-GB" w:eastAsia="zh-CN"/>
        </w:rPr>
      </w:pPr>
      <w:r>
        <w:rPr>
          <w:rFonts w:hint="eastAsia"/>
          <w:color w:val="auto"/>
          <w:highlight w:val="none"/>
          <w:lang w:val="en-GB" w:eastAsia="zh-CN"/>
        </w:rPr>
        <w:t>2）洞内爆破作业时，指挥人员应指挥所有人员、设备撤离至安全地点；警戒人员负责警戒工作，设置警示标志；</w:t>
      </w:r>
    </w:p>
    <w:p w14:paraId="20B8FE00">
      <w:pPr>
        <w:suppressAutoHyphens/>
        <w:ind w:firstLine="420"/>
        <w:jc w:val="left"/>
        <w:rPr>
          <w:color w:val="auto"/>
          <w:highlight w:val="none"/>
          <w:lang w:val="en-GB" w:eastAsia="zh-CN"/>
        </w:rPr>
      </w:pPr>
      <w:r>
        <w:rPr>
          <w:rFonts w:hint="eastAsia"/>
          <w:color w:val="auto"/>
          <w:highlight w:val="none"/>
          <w:lang w:val="en-GB" w:eastAsia="zh-CN"/>
        </w:rPr>
        <w:t>3）爆破时，爆破工应随身携带带有绝缘装置的手电筒；</w:t>
      </w:r>
    </w:p>
    <w:p w14:paraId="6E0CEE24">
      <w:pPr>
        <w:suppressAutoHyphens/>
        <w:ind w:firstLine="420"/>
        <w:jc w:val="left"/>
        <w:rPr>
          <w:color w:val="auto"/>
          <w:highlight w:val="none"/>
          <w:lang w:val="en-GB" w:eastAsia="zh-CN"/>
        </w:rPr>
      </w:pPr>
      <w:r>
        <w:rPr>
          <w:rFonts w:hint="eastAsia"/>
          <w:color w:val="auto"/>
          <w:highlight w:val="none"/>
          <w:lang w:val="en-GB" w:eastAsia="zh-CN"/>
        </w:rPr>
        <w:t>4）若爆破后发现盲炮、残余炸药及数码电子雷管时，应由原爆破人员按规定处理。</w:t>
      </w:r>
    </w:p>
    <w:p w14:paraId="1DD1CAAD">
      <w:pPr>
        <w:pStyle w:val="5"/>
        <w:jc w:val="left"/>
        <w:outlineLvl w:val="9"/>
        <w:rPr>
          <w:color w:val="auto"/>
          <w:highlight w:val="none"/>
          <w:lang w:eastAsia="zh-CN"/>
        </w:rPr>
      </w:pPr>
      <w:r>
        <w:rPr>
          <w:color w:val="auto"/>
          <w:highlight w:val="none"/>
          <w:lang w:eastAsia="zh-CN"/>
        </w:rPr>
        <w:t>3.5.2.6</w:t>
      </w:r>
      <w:r>
        <w:rPr>
          <w:rFonts w:hint="eastAsia"/>
          <w:color w:val="auto"/>
          <w:highlight w:val="none"/>
          <w:lang w:eastAsia="zh-CN"/>
        </w:rPr>
        <w:t>　找顶作业</w:t>
      </w:r>
    </w:p>
    <w:p w14:paraId="2FDCFFA9">
      <w:pPr>
        <w:suppressAutoHyphens/>
        <w:ind w:firstLine="420"/>
        <w:jc w:val="left"/>
        <w:rPr>
          <w:color w:val="auto"/>
          <w:highlight w:val="none"/>
          <w:lang w:val="en-GB" w:eastAsia="zh-CN"/>
        </w:rPr>
      </w:pPr>
      <w:r>
        <w:rPr>
          <w:rFonts w:hint="eastAsia"/>
          <w:color w:val="auto"/>
          <w:highlight w:val="none"/>
          <w:lang w:val="en-GB" w:eastAsia="zh-CN"/>
        </w:rPr>
        <w:t>（1）找顶作业应在洞内爆破后经充分通风排烟、洒水降尘，作业环境符合要求后进行，通风排烟时间不应小于15min。</w:t>
      </w:r>
    </w:p>
    <w:p w14:paraId="7A39C23E">
      <w:pPr>
        <w:suppressAutoHyphens/>
        <w:ind w:firstLine="420"/>
        <w:jc w:val="left"/>
        <w:rPr>
          <w:color w:val="auto"/>
          <w:highlight w:val="none"/>
          <w:lang w:val="en-GB" w:eastAsia="zh-CN"/>
        </w:rPr>
      </w:pPr>
      <w:r>
        <w:rPr>
          <w:rFonts w:hint="eastAsia"/>
          <w:color w:val="auto"/>
          <w:highlight w:val="none"/>
          <w:lang w:val="en-GB" w:eastAsia="zh-CN"/>
        </w:rPr>
        <w:t>（2）找顶作业应在专职安全员现场指导下进行，确认找顶作业区无其他人员。</w:t>
      </w:r>
    </w:p>
    <w:p w14:paraId="0A24E249">
      <w:pPr>
        <w:suppressAutoHyphens/>
        <w:ind w:firstLine="420"/>
        <w:jc w:val="left"/>
        <w:rPr>
          <w:color w:val="auto"/>
          <w:highlight w:val="none"/>
          <w:lang w:val="en-GB" w:eastAsia="zh-CN"/>
        </w:rPr>
      </w:pPr>
      <w:r>
        <w:rPr>
          <w:rFonts w:hint="eastAsia"/>
          <w:color w:val="auto"/>
          <w:highlight w:val="none"/>
          <w:lang w:val="en-GB" w:eastAsia="zh-CN"/>
        </w:rPr>
        <w:t>（3）找顶作业应检查有无盲炮、有无残余炸药及数码电子雷管，清除开挖工作面松动的岩块、对已开挖支护地段的支护结构变形或开裂进行处理。</w:t>
      </w:r>
    </w:p>
    <w:p w14:paraId="7587D209">
      <w:pPr>
        <w:suppressAutoHyphens/>
        <w:ind w:firstLine="420"/>
        <w:jc w:val="left"/>
        <w:rPr>
          <w:color w:val="auto"/>
          <w:highlight w:val="none"/>
          <w:lang w:val="en-GB" w:eastAsia="zh-CN"/>
        </w:rPr>
      </w:pPr>
      <w:r>
        <w:rPr>
          <w:rFonts w:hint="eastAsia"/>
          <w:color w:val="auto"/>
          <w:highlight w:val="none"/>
          <w:lang w:val="en-GB" w:eastAsia="zh-CN"/>
        </w:rPr>
        <w:t>（4）找顶作业应先用挖掘机等机械设备找顶，再配合人工找顶，消除掉块等安全隐患。</w:t>
      </w:r>
    </w:p>
    <w:p w14:paraId="4FA0E27E">
      <w:pPr>
        <w:suppressAutoHyphens/>
        <w:ind w:firstLine="420"/>
        <w:jc w:val="left"/>
        <w:rPr>
          <w:color w:val="auto"/>
          <w:highlight w:val="none"/>
          <w:lang w:val="en-GB" w:eastAsia="zh-CN"/>
        </w:rPr>
      </w:pPr>
      <w:r>
        <w:rPr>
          <w:rFonts w:hint="eastAsia"/>
          <w:color w:val="auto"/>
          <w:highlight w:val="none"/>
          <w:lang w:val="en-GB" w:eastAsia="zh-CN"/>
        </w:rPr>
        <w:t>（5）对掌子面不宜立即清除的危石，应采取锚杆等措施锁固后方可进入下道工序。</w:t>
      </w:r>
    </w:p>
    <w:p w14:paraId="77613DA8">
      <w:pPr>
        <w:pStyle w:val="5"/>
        <w:jc w:val="left"/>
        <w:rPr>
          <w:color w:val="auto"/>
          <w:highlight w:val="none"/>
          <w:lang w:eastAsia="zh-CN"/>
        </w:rPr>
      </w:pPr>
      <w:r>
        <w:rPr>
          <w:rFonts w:hAnsi="Times New Roman"/>
          <w:color w:val="auto"/>
          <w:highlight w:val="none"/>
          <w:lang w:eastAsia="zh-CN"/>
        </w:rPr>
        <w:t>3.5.4</w:t>
      </w:r>
      <w:r>
        <w:rPr>
          <w:rFonts w:hint="eastAsia" w:hAnsi="Times New Roman"/>
          <w:color w:val="auto"/>
          <w:highlight w:val="none"/>
          <w:lang w:eastAsia="zh-CN"/>
        </w:rPr>
        <w:t>　</w:t>
      </w:r>
      <w:r>
        <w:rPr>
          <w:rFonts w:hint="eastAsia"/>
          <w:color w:val="auto"/>
          <w:highlight w:val="none"/>
          <w:lang w:eastAsia="zh-CN"/>
        </w:rPr>
        <w:t>装渣与运输</w:t>
      </w:r>
    </w:p>
    <w:p w14:paraId="36013C49">
      <w:pPr>
        <w:pStyle w:val="5"/>
        <w:jc w:val="left"/>
        <w:rPr>
          <w:rFonts w:hAnsi="Times New Roman"/>
          <w:color w:val="auto"/>
          <w:highlight w:val="none"/>
          <w:lang w:eastAsia="zh-CN"/>
        </w:rPr>
      </w:pPr>
      <w:r>
        <w:rPr>
          <w:color w:val="auto"/>
          <w:highlight w:val="none"/>
          <w:lang w:eastAsia="zh-CN"/>
        </w:rPr>
        <w:t>3.5.4.1</w:t>
      </w:r>
      <w:r>
        <w:rPr>
          <w:rFonts w:hint="eastAsia"/>
          <w:color w:val="auto"/>
          <w:highlight w:val="none"/>
          <w:lang w:eastAsia="zh-CN"/>
        </w:rPr>
        <w:t>　一般规定</w:t>
      </w:r>
    </w:p>
    <w:p w14:paraId="3BBAC694">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）装渣与运输作业应考虑下列主要危险源、危害因素：</w:t>
      </w:r>
    </w:p>
    <w:p w14:paraId="63691C79">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）通风不到位，粉尘和有害气体含量及放射性剂量超标；</w:t>
      </w:r>
    </w:p>
    <w:p w14:paraId="71FCB575">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）照明不足，施工环境观察不清；</w:t>
      </w:r>
    </w:p>
    <w:p w14:paraId="5700AA7B">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）围岩失稳或找顶不彻底，坍塌或掉块；</w:t>
      </w:r>
    </w:p>
    <w:p w14:paraId="48AECCE9">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）运输计划制定不当，车辆管理混乱；</w:t>
      </w:r>
    </w:p>
    <w:p w14:paraId="66A65156">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）警示标识、联络信号设置不当，信息提示不清晰；</w:t>
      </w:r>
    </w:p>
    <w:p w14:paraId="08532B75">
      <w:pPr>
        <w:ind w:firstLine="420"/>
        <w:jc w:val="left"/>
        <w:rPr>
          <w:rFonts w:hAnsi="Times New Roman"/>
          <w:color w:val="auto"/>
          <w:highlight w:val="none"/>
          <w:lang w:eastAsia="zh-CN"/>
        </w:rPr>
      </w:pPr>
      <w:r>
        <w:rPr>
          <w:rFonts w:hAnsi="Times New Roman"/>
          <w:color w:val="auto"/>
          <w:highlight w:val="none"/>
          <w:lang w:eastAsia="zh-CN"/>
        </w:rPr>
        <w:t>6</w:t>
      </w:r>
      <w:r>
        <w:rPr>
          <w:rFonts w:hint="eastAsia"/>
          <w:color w:val="auto"/>
          <w:highlight w:val="none"/>
          <w:lang w:eastAsia="zh-CN"/>
        </w:rPr>
        <w:t>）车辆装载不合规，超限、超载、人货混装；</w:t>
      </w:r>
    </w:p>
    <w:p w14:paraId="4B3728F3">
      <w:pPr>
        <w:ind w:firstLine="420"/>
        <w:jc w:val="left"/>
        <w:rPr>
          <w:color w:val="auto"/>
          <w:highlight w:val="none"/>
          <w:lang w:eastAsia="zh-CN"/>
        </w:rPr>
      </w:pPr>
      <w:r>
        <w:rPr>
          <w:rFonts w:hAnsi="Times New Roman"/>
          <w:color w:val="auto"/>
          <w:highlight w:val="none"/>
          <w:lang w:eastAsia="zh-CN"/>
        </w:rPr>
        <w:t>7</w:t>
      </w:r>
      <w:r>
        <w:rPr>
          <w:rFonts w:hint="eastAsia"/>
          <w:color w:val="auto"/>
          <w:highlight w:val="none"/>
          <w:lang w:eastAsia="zh-CN"/>
        </w:rPr>
        <w:t>）机械设备、车辆失控，溜车、挂碰、倾翻。</w:t>
      </w:r>
    </w:p>
    <w:p w14:paraId="6FF667FF">
      <w:pPr>
        <w:suppressAutoHyphens/>
        <w:ind w:firstLine="420"/>
        <w:jc w:val="left"/>
        <w:rPr>
          <w:color w:val="auto"/>
          <w:highlight w:val="none"/>
          <w:lang w:val="en-GB" w:eastAsia="zh-CN"/>
        </w:rPr>
      </w:pPr>
      <w:r>
        <w:rPr>
          <w:rFonts w:hint="eastAsia"/>
          <w:color w:val="auto"/>
          <w:highlight w:val="none"/>
          <w:lang w:val="en-GB" w:eastAsia="zh-CN"/>
        </w:rPr>
        <w:t>（2）隧洞运输应满足最小行车限界规定，临时设施和隧洞支护不得侵入限界。</w:t>
      </w:r>
    </w:p>
    <w:p w14:paraId="5BE98D6A">
      <w:pPr>
        <w:suppressAutoHyphens/>
        <w:ind w:firstLine="420"/>
        <w:jc w:val="left"/>
        <w:rPr>
          <w:color w:val="auto"/>
          <w:highlight w:val="none"/>
          <w:lang w:val="en-GB" w:eastAsia="zh-CN"/>
        </w:rPr>
      </w:pPr>
      <w:r>
        <w:rPr>
          <w:rFonts w:hint="eastAsia"/>
          <w:color w:val="auto"/>
          <w:highlight w:val="none"/>
          <w:lang w:val="en-GB" w:eastAsia="zh-CN"/>
        </w:rPr>
        <w:t>（3）按设计或方案设置运输线路和栈桥，并定期进行维护保养。</w:t>
      </w:r>
    </w:p>
    <w:p w14:paraId="14CD6BDD">
      <w:pPr>
        <w:ind w:firstLine="420"/>
        <w:jc w:val="left"/>
        <w:rPr>
          <w:color w:val="auto"/>
          <w:highlight w:val="none"/>
          <w:lang w:eastAsia="zh-CN"/>
        </w:rPr>
      </w:pPr>
      <w:r>
        <w:rPr>
          <w:rFonts w:hint="eastAsia"/>
          <w:color w:val="auto"/>
          <w:highlight w:val="none"/>
          <w:lang w:val="en-GB" w:eastAsia="zh-CN"/>
        </w:rPr>
        <w:t>（4）制定载人列车安全保证措施，明确责任人员对其进行管理。</w:t>
      </w:r>
    </w:p>
    <w:p w14:paraId="7469AA45">
      <w:pPr>
        <w:ind w:firstLine="420"/>
        <w:jc w:val="left"/>
        <w:rPr>
          <w:rFonts w:hAnsi="Times New Roman"/>
          <w:color w:val="auto"/>
          <w:highlight w:val="none"/>
          <w:lang w:eastAsia="zh-CN"/>
        </w:rPr>
      </w:pPr>
      <w:r>
        <w:rPr>
          <w:rFonts w:hint="eastAsia"/>
          <w:bCs/>
          <w:color w:val="auto"/>
          <w:highlight w:val="none"/>
          <w:lang w:eastAsia="zh-CN"/>
        </w:rPr>
        <w:t>（</w:t>
      </w:r>
      <w:r>
        <w:rPr>
          <w:bCs/>
          <w:color w:val="auto"/>
          <w:highlight w:val="none"/>
          <w:lang w:eastAsia="zh-CN"/>
        </w:rPr>
        <w:t>5</w:t>
      </w:r>
      <w:r>
        <w:rPr>
          <w:rFonts w:hint="eastAsia"/>
          <w:bCs/>
          <w:color w:val="auto"/>
          <w:highlight w:val="none"/>
          <w:lang w:eastAsia="zh-CN"/>
        </w:rPr>
        <w:t>）弃渣场</w:t>
      </w:r>
      <w:r>
        <w:rPr>
          <w:rFonts w:hint="eastAsia"/>
          <w:color w:val="auto"/>
          <w:highlight w:val="none"/>
          <w:lang w:eastAsia="zh-CN"/>
        </w:rPr>
        <w:t>设置应符合国家环保要求。隧洞弃渣应符合设计规定，同时应根据环境要求采取保护环境措施。</w:t>
      </w:r>
    </w:p>
    <w:p w14:paraId="5E34C7C2">
      <w:pPr>
        <w:pStyle w:val="5"/>
        <w:jc w:val="left"/>
        <w:rPr>
          <w:rFonts w:hAnsi="Times New Roman"/>
          <w:color w:val="auto"/>
          <w:highlight w:val="none"/>
          <w:lang w:eastAsia="zh-CN"/>
        </w:rPr>
      </w:pPr>
      <w:r>
        <w:rPr>
          <w:rFonts w:hAnsi="Times New Roman"/>
          <w:color w:val="auto"/>
          <w:highlight w:val="none"/>
          <w:lang w:eastAsia="zh-CN"/>
        </w:rPr>
        <w:t>3.5.4.2</w:t>
      </w:r>
      <w:r>
        <w:rPr>
          <w:rFonts w:hint="eastAsia" w:hAnsi="Times New Roman"/>
          <w:color w:val="auto"/>
          <w:highlight w:val="none"/>
          <w:lang w:eastAsia="zh-CN"/>
        </w:rPr>
        <w:t>　</w:t>
      </w:r>
      <w:r>
        <w:rPr>
          <w:rFonts w:hint="eastAsia"/>
          <w:color w:val="auto"/>
          <w:highlight w:val="none"/>
          <w:lang w:eastAsia="zh-CN"/>
        </w:rPr>
        <w:t>装渣</w:t>
      </w:r>
    </w:p>
    <w:p w14:paraId="14FAFAC3">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）隧洞爆破后应及时进行通风、照明、找顶和初喷混凝土等工作，确认通风、照明满足要求及工作面安全后，方可进行装渣作业。</w:t>
      </w:r>
    </w:p>
    <w:p w14:paraId="2D50250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）装渣作业应有专人指挥，作业场地的照明应满足作业安全需要。</w:t>
      </w:r>
    </w:p>
    <w:p w14:paraId="2845925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）装渣前及装渣过程中，应检查开挖面围岩的稳定情况，发现松动岩石或有塌方征兆时，必须先处理再装渣。</w:t>
      </w:r>
    </w:p>
    <w:p w14:paraId="28ECB0DD">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）装渣作业应按国家职业健康规定严格控制粉尘、噪声及废气。装渣作业前必须对渣石进行喷水降尘，作业人员应按规定佩带防尘护具；装渣作业后，应及时进行通风、降尘。</w:t>
      </w:r>
    </w:p>
    <w:p w14:paraId="6533CC78">
      <w:pPr>
        <w:suppressAutoHyphens/>
        <w:ind w:firstLine="420"/>
        <w:jc w:val="left"/>
        <w:rPr>
          <w:color w:val="auto"/>
          <w:highlight w:val="none"/>
          <w:lang w:val="en-GB" w:eastAsia="zh-CN"/>
        </w:rPr>
      </w:pPr>
      <w:r>
        <w:rPr>
          <w:rFonts w:hint="eastAsia"/>
          <w:color w:val="auto"/>
          <w:highlight w:val="none"/>
          <w:lang w:val="en-GB" w:eastAsia="zh-CN"/>
        </w:rPr>
        <w:t>（5）装渣作业应遵守下列规定：</w:t>
      </w:r>
    </w:p>
    <w:p w14:paraId="074A3C7A">
      <w:pPr>
        <w:suppressAutoHyphens/>
        <w:ind w:firstLine="420"/>
        <w:jc w:val="left"/>
        <w:rPr>
          <w:color w:val="auto"/>
          <w:highlight w:val="none"/>
          <w:lang w:val="en-GB" w:eastAsia="zh-CN"/>
        </w:rPr>
      </w:pPr>
      <w:r>
        <w:rPr>
          <w:rFonts w:hint="eastAsia"/>
          <w:color w:val="auto"/>
          <w:highlight w:val="none"/>
          <w:lang w:val="en-GB" w:eastAsia="zh-CN"/>
        </w:rPr>
        <w:t>1）装渣作业应规定作业区域，机械作业时，其回转范围内不得有人通过；</w:t>
      </w:r>
    </w:p>
    <w:p w14:paraId="49C39504">
      <w:pPr>
        <w:suppressAutoHyphens/>
        <w:ind w:firstLine="420"/>
        <w:jc w:val="left"/>
        <w:rPr>
          <w:color w:val="auto"/>
          <w:highlight w:val="none"/>
          <w:lang w:val="en-GB" w:eastAsia="zh-CN"/>
        </w:rPr>
      </w:pPr>
      <w:r>
        <w:rPr>
          <w:rFonts w:hint="eastAsia"/>
          <w:color w:val="auto"/>
          <w:highlight w:val="none"/>
          <w:lang w:val="en-GB" w:eastAsia="zh-CN"/>
        </w:rPr>
        <w:t>2）装渣过程中，发现渣堆中有残留的炸药、数码电子雷管时，必须通知专业人员立即处理；</w:t>
      </w:r>
    </w:p>
    <w:p w14:paraId="6DEB8D61">
      <w:pPr>
        <w:suppressAutoHyphens/>
        <w:ind w:firstLine="420"/>
        <w:jc w:val="left"/>
        <w:rPr>
          <w:color w:val="auto"/>
          <w:highlight w:val="none"/>
          <w:lang w:val="en-GB" w:eastAsia="zh-CN"/>
        </w:rPr>
      </w:pPr>
      <w:r>
        <w:rPr>
          <w:rFonts w:hint="eastAsia"/>
          <w:color w:val="auto"/>
          <w:highlight w:val="none"/>
          <w:lang w:val="en-GB" w:eastAsia="zh-CN"/>
        </w:rPr>
        <w:t>3）用扒渣设备装渣时，若遇岩块卡堵，严禁用手直接搬动岩块，身体任何部位不得接触传送带；</w:t>
      </w:r>
    </w:p>
    <w:p w14:paraId="73675DB7">
      <w:pPr>
        <w:suppressAutoHyphens/>
        <w:ind w:firstLine="420"/>
        <w:jc w:val="left"/>
        <w:rPr>
          <w:color w:val="auto"/>
          <w:highlight w:val="none"/>
          <w:lang w:val="en-GB" w:eastAsia="zh-CN"/>
        </w:rPr>
      </w:pPr>
      <w:r>
        <w:rPr>
          <w:rFonts w:hint="eastAsia"/>
          <w:color w:val="auto"/>
          <w:highlight w:val="none"/>
          <w:lang w:val="en-GB" w:eastAsia="zh-CN"/>
        </w:rPr>
        <w:t>4）向运渣车辆中装渣时，应避免偏载、超载；</w:t>
      </w:r>
    </w:p>
    <w:p w14:paraId="2449F97E">
      <w:pPr>
        <w:pStyle w:val="7"/>
        <w:ind w:firstLine="420"/>
        <w:jc w:val="left"/>
        <w:rPr>
          <w:color w:val="auto"/>
          <w:highlight w:val="none"/>
          <w:lang w:eastAsia="zh-CN"/>
        </w:rPr>
      </w:pPr>
      <w:r>
        <w:rPr>
          <w:rFonts w:hint="eastAsia"/>
          <w:color w:val="auto"/>
          <w:highlight w:val="none"/>
          <w:lang w:val="en-GB" w:eastAsia="zh-CN"/>
        </w:rPr>
        <w:t>5）机械装渣时，辅助人员应随时观察装渣和运输机械的运行情况，防止挤碰。</w:t>
      </w:r>
    </w:p>
    <w:p w14:paraId="32463F57">
      <w:pPr>
        <w:pStyle w:val="5"/>
        <w:jc w:val="left"/>
        <w:rPr>
          <w:rFonts w:hAnsi="Times New Roman"/>
          <w:color w:val="auto"/>
          <w:highlight w:val="none"/>
          <w:lang w:eastAsia="zh-CN"/>
        </w:rPr>
      </w:pPr>
      <w:r>
        <w:rPr>
          <w:rFonts w:hAnsi="Times New Roman"/>
          <w:color w:val="auto"/>
          <w:highlight w:val="none"/>
          <w:lang w:eastAsia="zh-CN"/>
        </w:rPr>
        <w:t>3.5.4.3</w:t>
      </w:r>
      <w:r>
        <w:rPr>
          <w:rFonts w:hint="eastAsia" w:hAnsi="Times New Roman"/>
          <w:color w:val="auto"/>
          <w:highlight w:val="none"/>
          <w:lang w:eastAsia="zh-CN"/>
        </w:rPr>
        <w:t>　</w:t>
      </w:r>
      <w:r>
        <w:rPr>
          <w:rFonts w:hint="eastAsia"/>
          <w:color w:val="auto"/>
          <w:highlight w:val="none"/>
          <w:lang w:eastAsia="zh-CN"/>
        </w:rPr>
        <w:t>运输</w:t>
      </w:r>
    </w:p>
    <w:p w14:paraId="47FABD3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）施工机械安全装置必须齐全有效，使用前及作业过程中应加强检查，按规定进行维修保养。</w:t>
      </w:r>
    </w:p>
    <w:p w14:paraId="1911A29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）运输路线的空间必须满足最小行车限界要求，并根据不同的运输方式，在洞口、台架、设备、设施等位置设置信号和标志予以警示。</w:t>
      </w:r>
    </w:p>
    <w:p w14:paraId="6E2EF003">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）运输车辆严禁人料混载，不得超载、超宽、超高运输。车辆行驶中应随时观察线路有无障碍，严禁超速行驶。</w:t>
      </w:r>
    </w:p>
    <w:p w14:paraId="75206F24">
      <w:pPr>
        <w:pStyle w:val="7"/>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4</w:t>
      </w:r>
      <w:r>
        <w:rPr>
          <w:rFonts w:hint="eastAsia"/>
          <w:color w:val="auto"/>
          <w:highlight w:val="none"/>
          <w:lang w:val="en-GB" w:eastAsia="zh-CN"/>
        </w:rPr>
        <w:t>）运输线路或道路应保持平整、畅通，并设专人按要求进行维修和养护。线路或道路两侧的废渣和杂物应随时清除。</w:t>
      </w:r>
    </w:p>
    <w:p w14:paraId="187DB4B4">
      <w:pPr>
        <w:suppressAutoHyphens/>
        <w:ind w:firstLine="420"/>
        <w:jc w:val="left"/>
        <w:rPr>
          <w:color w:val="auto"/>
          <w:highlight w:val="none"/>
          <w:lang w:val="en-GB" w:eastAsia="zh-CN"/>
        </w:rPr>
      </w:pPr>
      <w:r>
        <w:rPr>
          <w:rFonts w:hint="eastAsia"/>
          <w:color w:val="auto"/>
          <w:highlight w:val="none"/>
          <w:lang w:val="en-GB" w:eastAsia="zh-CN"/>
        </w:rPr>
        <w:t>（5）进出隧洞人员必须走人行道，不得与车辆抢道，严禁扒车、追车或强行搭车。</w:t>
      </w:r>
    </w:p>
    <w:p w14:paraId="60FCB52D">
      <w:pPr>
        <w:suppressAutoHyphens/>
        <w:ind w:firstLine="420"/>
        <w:jc w:val="left"/>
        <w:rPr>
          <w:color w:val="auto"/>
          <w:highlight w:val="none"/>
          <w:lang w:val="en-GB" w:eastAsia="zh-CN"/>
        </w:rPr>
      </w:pPr>
      <w:r>
        <w:rPr>
          <w:rFonts w:hint="eastAsia"/>
          <w:color w:val="auto"/>
          <w:highlight w:val="none"/>
          <w:lang w:val="en-GB" w:eastAsia="zh-CN"/>
        </w:rPr>
        <w:t>（6）有轨运输作业应符合下列规定：</w:t>
      </w:r>
    </w:p>
    <w:p w14:paraId="55414CD0">
      <w:pPr>
        <w:suppressAutoHyphens/>
        <w:ind w:firstLine="420"/>
        <w:jc w:val="left"/>
        <w:rPr>
          <w:color w:val="auto"/>
          <w:highlight w:val="none"/>
          <w:lang w:val="en-GB" w:eastAsia="zh-CN"/>
        </w:rPr>
      </w:pPr>
      <w:r>
        <w:rPr>
          <w:rFonts w:hint="eastAsia"/>
          <w:color w:val="auto"/>
          <w:highlight w:val="none"/>
          <w:lang w:val="en-GB" w:eastAsia="zh-CN"/>
        </w:rPr>
        <w:t>1）运输轨道必须按设计进行铺设，严格控制轨距、线间距和线形；</w:t>
      </w:r>
    </w:p>
    <w:p w14:paraId="2C71BFBA">
      <w:pPr>
        <w:suppressAutoHyphens/>
        <w:ind w:firstLine="420"/>
        <w:jc w:val="left"/>
        <w:rPr>
          <w:color w:val="auto"/>
          <w:highlight w:val="none"/>
          <w:lang w:val="en-GB" w:eastAsia="zh-CN"/>
        </w:rPr>
      </w:pPr>
      <w:r>
        <w:rPr>
          <w:rFonts w:hint="eastAsia"/>
          <w:color w:val="auto"/>
          <w:highlight w:val="none"/>
          <w:lang w:val="en-GB" w:eastAsia="zh-CN"/>
        </w:rPr>
        <w:t>2）车辆行驶时，应与信号、指挥人员协调配合和加强信号联络；</w:t>
      </w:r>
    </w:p>
    <w:p w14:paraId="2709F9AF">
      <w:pPr>
        <w:suppressAutoHyphens/>
        <w:ind w:firstLine="420"/>
        <w:jc w:val="left"/>
        <w:rPr>
          <w:color w:val="auto"/>
          <w:highlight w:val="none"/>
          <w:lang w:val="en-GB" w:eastAsia="zh-CN"/>
        </w:rPr>
      </w:pPr>
      <w:r>
        <w:rPr>
          <w:rFonts w:hint="eastAsia"/>
          <w:color w:val="auto"/>
          <w:highlight w:val="none"/>
          <w:lang w:val="en-GB" w:eastAsia="zh-CN"/>
        </w:rPr>
        <w:t>3）列车连接必须良好，机车摘挂后调车、编组和停留时，应有防溜车措施；</w:t>
      </w:r>
    </w:p>
    <w:p w14:paraId="77D48D75">
      <w:pPr>
        <w:suppressAutoHyphens/>
        <w:ind w:firstLine="420"/>
        <w:jc w:val="left"/>
        <w:rPr>
          <w:color w:val="auto"/>
          <w:highlight w:val="none"/>
          <w:lang w:val="en-GB" w:eastAsia="zh-CN"/>
        </w:rPr>
      </w:pPr>
      <w:r>
        <w:rPr>
          <w:rFonts w:hint="eastAsia"/>
          <w:color w:val="auto"/>
          <w:highlight w:val="none"/>
          <w:lang w:val="en-GB" w:eastAsia="zh-CN"/>
        </w:rPr>
        <w:t>4）两组列车在同方向行驶时，其间隔距离不得小于100m；</w:t>
      </w:r>
    </w:p>
    <w:p w14:paraId="0C2E4FE3">
      <w:pPr>
        <w:suppressAutoHyphens/>
        <w:ind w:firstLine="420"/>
        <w:jc w:val="left"/>
        <w:rPr>
          <w:color w:val="auto"/>
          <w:highlight w:val="none"/>
          <w:lang w:val="en-GB" w:eastAsia="zh-CN"/>
        </w:rPr>
      </w:pPr>
      <w:r>
        <w:rPr>
          <w:rFonts w:hint="eastAsia"/>
          <w:color w:val="auto"/>
          <w:highlight w:val="none"/>
          <w:lang w:val="en-GB" w:eastAsia="zh-CN"/>
        </w:rPr>
        <w:t>5）机动车牵引的列车，在洞内施工地段、视线不良的弯道、通过道岔和平交道等处，其行驶速度不得大于10km/h，其他地段在采取有效的安全措施后，行驶速度不得大于20km/h；</w:t>
      </w:r>
    </w:p>
    <w:p w14:paraId="2F760FC9">
      <w:pPr>
        <w:suppressAutoHyphens/>
        <w:ind w:firstLine="420"/>
        <w:jc w:val="left"/>
        <w:rPr>
          <w:color w:val="auto"/>
          <w:highlight w:val="none"/>
          <w:lang w:val="en-GB" w:eastAsia="zh-CN"/>
        </w:rPr>
      </w:pPr>
      <w:r>
        <w:rPr>
          <w:rFonts w:hint="eastAsia"/>
          <w:color w:val="auto"/>
          <w:highlight w:val="none"/>
          <w:lang w:val="en-GB" w:eastAsia="zh-CN"/>
        </w:rPr>
        <w:t>6）车辆运行时应加强瞭望，严禁在行驶中进行摘挂作业；</w:t>
      </w:r>
    </w:p>
    <w:p w14:paraId="18F6B228">
      <w:pPr>
        <w:suppressAutoHyphens/>
        <w:ind w:firstLine="420"/>
        <w:jc w:val="left"/>
        <w:rPr>
          <w:color w:val="auto"/>
          <w:highlight w:val="none"/>
          <w:lang w:val="en-GB" w:eastAsia="zh-CN"/>
        </w:rPr>
      </w:pPr>
      <w:r>
        <w:rPr>
          <w:rFonts w:hint="eastAsia"/>
          <w:color w:val="auto"/>
          <w:highlight w:val="none"/>
          <w:lang w:val="en-GB" w:eastAsia="zh-CN"/>
        </w:rPr>
        <w:t>7）载人列车必须制定保证安全的措施，严禁非专职人员开车，列车行驶中和尚未停稳前严禁人员上下。</w:t>
      </w:r>
    </w:p>
    <w:p w14:paraId="53DEC361">
      <w:pPr>
        <w:suppressAutoHyphens/>
        <w:ind w:firstLine="420"/>
        <w:jc w:val="left"/>
        <w:rPr>
          <w:color w:val="auto"/>
          <w:highlight w:val="none"/>
          <w:lang w:val="en-GB" w:eastAsia="zh-CN"/>
        </w:rPr>
      </w:pPr>
      <w:r>
        <w:rPr>
          <w:rFonts w:hint="eastAsia"/>
          <w:color w:val="auto"/>
          <w:highlight w:val="none"/>
          <w:lang w:val="en-GB" w:eastAsia="zh-CN"/>
        </w:rPr>
        <w:t>（7）有轨运输作业中，电瓶车的使用应符合下列规定：</w:t>
      </w:r>
    </w:p>
    <w:p w14:paraId="7ADE1249">
      <w:pPr>
        <w:suppressAutoHyphens/>
        <w:ind w:firstLine="420"/>
        <w:jc w:val="left"/>
        <w:rPr>
          <w:color w:val="auto"/>
          <w:highlight w:val="none"/>
          <w:lang w:val="en-GB" w:eastAsia="zh-CN"/>
        </w:rPr>
      </w:pPr>
      <w:r>
        <w:rPr>
          <w:rFonts w:hint="eastAsia"/>
          <w:color w:val="auto"/>
          <w:highlight w:val="none"/>
          <w:lang w:val="en-GB" w:eastAsia="zh-CN"/>
        </w:rPr>
        <w:t>1）电瓶车作业前，必须对车辆的制动器、喇叭、灯光、连接装置等进行安全检查，确认完好后方可行车；</w:t>
      </w:r>
    </w:p>
    <w:p w14:paraId="387FCF2D">
      <w:pPr>
        <w:suppressAutoHyphens/>
        <w:ind w:firstLine="420"/>
        <w:jc w:val="left"/>
        <w:rPr>
          <w:color w:val="auto"/>
          <w:highlight w:val="none"/>
          <w:lang w:val="en-GB" w:eastAsia="zh-CN"/>
        </w:rPr>
      </w:pPr>
      <w:r>
        <w:rPr>
          <w:rFonts w:hint="eastAsia"/>
          <w:color w:val="auto"/>
          <w:highlight w:val="none"/>
          <w:lang w:val="en-GB" w:eastAsia="zh-CN"/>
        </w:rPr>
        <w:t>2）电瓶车司机必须服从信号指挥，当信号不明确时不得擅自行车；</w:t>
      </w:r>
    </w:p>
    <w:p w14:paraId="5024372F">
      <w:pPr>
        <w:suppressAutoHyphens/>
        <w:ind w:firstLine="420"/>
        <w:jc w:val="left"/>
        <w:rPr>
          <w:color w:val="auto"/>
          <w:highlight w:val="none"/>
          <w:lang w:val="en-GB" w:eastAsia="zh-CN"/>
        </w:rPr>
      </w:pPr>
      <w:r>
        <w:rPr>
          <w:rFonts w:hint="eastAsia"/>
          <w:color w:val="auto"/>
          <w:highlight w:val="none"/>
          <w:lang w:val="en-GB" w:eastAsia="zh-CN"/>
        </w:rPr>
        <w:t>3）电瓶车作业结束后，必须将机车制动，切断电源，拔出启动钥匙。停车位置应位于水平场地上，不得已需要停在倾斜地面时，必须采取可靠的防溜车措施；</w:t>
      </w:r>
    </w:p>
    <w:p w14:paraId="3BA6D137">
      <w:pPr>
        <w:suppressAutoHyphens/>
        <w:ind w:firstLine="420"/>
        <w:jc w:val="left"/>
        <w:rPr>
          <w:color w:val="auto"/>
          <w:highlight w:val="none"/>
          <w:lang w:val="en-GB" w:eastAsia="zh-CN"/>
        </w:rPr>
      </w:pPr>
      <w:r>
        <w:rPr>
          <w:rFonts w:hint="eastAsia"/>
          <w:color w:val="auto"/>
          <w:highlight w:val="none"/>
          <w:lang w:val="en-GB" w:eastAsia="zh-CN"/>
        </w:rPr>
        <w:t>4）电瓶车牵引渣车的车辆编组应根据线路坡度、轨道状态、载重量等因素设计，确保电瓶车的安全制动距离。</w:t>
      </w:r>
    </w:p>
    <w:p w14:paraId="266D9D3B">
      <w:pPr>
        <w:suppressAutoHyphens/>
        <w:ind w:firstLine="420"/>
        <w:jc w:val="left"/>
        <w:rPr>
          <w:color w:val="auto"/>
          <w:highlight w:val="none"/>
          <w:lang w:val="en-GB" w:eastAsia="zh-CN"/>
        </w:rPr>
      </w:pPr>
      <w:r>
        <w:rPr>
          <w:rFonts w:hint="eastAsia"/>
          <w:color w:val="auto"/>
          <w:highlight w:val="none"/>
          <w:lang w:val="en-GB" w:eastAsia="zh-CN"/>
        </w:rPr>
        <w:t>（8）无轨运输作业应符合下列规定：</w:t>
      </w:r>
    </w:p>
    <w:p w14:paraId="13A3BFD6">
      <w:pPr>
        <w:suppressAutoHyphens/>
        <w:ind w:firstLine="420"/>
        <w:jc w:val="left"/>
        <w:rPr>
          <w:color w:val="auto"/>
          <w:highlight w:val="none"/>
          <w:lang w:val="en-GB" w:eastAsia="zh-CN"/>
        </w:rPr>
      </w:pPr>
      <w:r>
        <w:rPr>
          <w:rFonts w:hint="eastAsia"/>
          <w:color w:val="auto"/>
          <w:highlight w:val="none"/>
          <w:lang w:val="en-GB" w:eastAsia="zh-CN"/>
        </w:rPr>
        <w:t>1）施工机械应采用带净化装置的柴油机械，严禁汽油机械进洞；</w:t>
      </w:r>
    </w:p>
    <w:p w14:paraId="1E6F8BF5">
      <w:pPr>
        <w:suppressAutoHyphens/>
        <w:ind w:firstLine="420"/>
        <w:jc w:val="left"/>
        <w:rPr>
          <w:color w:val="auto"/>
          <w:highlight w:val="none"/>
          <w:lang w:val="en-GB" w:eastAsia="zh-CN"/>
        </w:rPr>
      </w:pPr>
      <w:r>
        <w:rPr>
          <w:rFonts w:hint="eastAsia"/>
          <w:color w:val="auto"/>
          <w:highlight w:val="none"/>
          <w:lang w:val="en-GB" w:eastAsia="zh-CN"/>
        </w:rPr>
        <w:t>2）施工作业地段的行车速度不得大于15km/h，成洞地段不得大于25km/h；</w:t>
      </w:r>
    </w:p>
    <w:p w14:paraId="7923713B">
      <w:pPr>
        <w:pStyle w:val="54"/>
        <w:ind w:firstLine="420"/>
        <w:jc w:val="left"/>
        <w:rPr>
          <w:color w:val="auto"/>
          <w:spacing w:val="0"/>
          <w:highlight w:val="none"/>
          <w:lang w:val="en-GB" w:eastAsia="zh-CN"/>
        </w:rPr>
      </w:pPr>
      <w:r>
        <w:rPr>
          <w:color w:val="auto"/>
          <w:spacing w:val="0"/>
          <w:highlight w:val="none"/>
          <w:lang w:val="en-GB" w:eastAsia="zh-CN"/>
        </w:rPr>
        <w:t>3）隧洞洞口、平交道口、狭窄的施工场地应设置慢行标志，必要时设专人指挥交通；</w:t>
      </w:r>
    </w:p>
    <w:p w14:paraId="7AE45D01">
      <w:pPr>
        <w:suppressAutoHyphens/>
        <w:ind w:firstLine="420"/>
        <w:jc w:val="left"/>
        <w:rPr>
          <w:color w:val="auto"/>
          <w:highlight w:val="none"/>
          <w:lang w:val="en-GB" w:eastAsia="zh-CN"/>
        </w:rPr>
      </w:pPr>
      <w:r>
        <w:rPr>
          <w:rFonts w:hint="eastAsia"/>
          <w:color w:val="auto"/>
          <w:highlight w:val="none"/>
          <w:lang w:val="en-GB" w:eastAsia="zh-CN"/>
        </w:rPr>
        <w:t>4）车辆接近或通过洞口、台架下、施工作业地段以及前方有障碍物时，司机必须减速瞭望并鸣笛示警；</w:t>
      </w:r>
    </w:p>
    <w:p w14:paraId="4D818BF8">
      <w:pPr>
        <w:pStyle w:val="7"/>
        <w:ind w:firstLine="420"/>
        <w:jc w:val="left"/>
        <w:rPr>
          <w:color w:val="auto"/>
          <w:highlight w:val="none"/>
          <w:lang w:val="en-GB" w:eastAsia="zh-CN"/>
        </w:rPr>
      </w:pPr>
      <w:r>
        <w:rPr>
          <w:rFonts w:hint="eastAsia"/>
          <w:color w:val="auto"/>
          <w:highlight w:val="none"/>
          <w:lang w:val="en-GB" w:eastAsia="zh-CN"/>
        </w:rPr>
        <w:t>5）在隧洞内倒车或转向必须开灯鸣笛或有专人指挥。</w:t>
      </w:r>
    </w:p>
    <w:p w14:paraId="509599BD">
      <w:pPr>
        <w:pStyle w:val="5"/>
        <w:jc w:val="left"/>
        <w:rPr>
          <w:rFonts w:hAnsi="Times New Roman"/>
          <w:color w:val="auto"/>
          <w:highlight w:val="none"/>
          <w:lang w:eastAsia="zh-CN"/>
        </w:rPr>
      </w:pPr>
      <w:r>
        <w:rPr>
          <w:rFonts w:hAnsi="Times New Roman"/>
          <w:color w:val="auto"/>
          <w:highlight w:val="none"/>
          <w:lang w:eastAsia="zh-CN"/>
        </w:rPr>
        <w:t>3.5.4.4</w:t>
      </w:r>
      <w:r>
        <w:rPr>
          <w:rFonts w:hint="eastAsia" w:hAnsi="Times New Roman"/>
          <w:color w:val="auto"/>
          <w:highlight w:val="none"/>
          <w:lang w:eastAsia="zh-CN"/>
        </w:rPr>
        <w:t>　</w:t>
      </w:r>
      <w:r>
        <w:rPr>
          <w:rFonts w:hint="eastAsia"/>
          <w:color w:val="auto"/>
          <w:highlight w:val="none"/>
          <w:lang w:eastAsia="zh-CN"/>
        </w:rPr>
        <w:t>弃渣</w:t>
      </w:r>
    </w:p>
    <w:p w14:paraId="6DF32EE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）隧洞施工的卸渣路线、弃渣场应按设计要求妥善布置，不得干扰其他作业和设施。</w:t>
      </w:r>
    </w:p>
    <w:p w14:paraId="590C782D">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）弃渣场应按设计要求修筑挡墙及排水沟，采取有效防护措施。</w:t>
      </w:r>
    </w:p>
    <w:p w14:paraId="222C32F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）弃渣场应指定专人负责管理，做好弃渣场的安全和环保工作。</w:t>
      </w:r>
    </w:p>
    <w:p w14:paraId="489C41CD">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）弃渣时，应将渣土倒入指定位置，渣不得超出渣场征地界线。</w:t>
      </w:r>
    </w:p>
    <w:p w14:paraId="633281A8">
      <w:pPr>
        <w:suppressAutoHyphens/>
        <w:ind w:firstLine="420"/>
        <w:jc w:val="left"/>
        <w:rPr>
          <w:color w:val="auto"/>
          <w:highlight w:val="none"/>
          <w:lang w:val="en-GB" w:eastAsia="zh-CN"/>
        </w:rPr>
      </w:pPr>
      <w:r>
        <w:rPr>
          <w:rFonts w:hint="eastAsia"/>
          <w:color w:val="auto"/>
          <w:highlight w:val="none"/>
          <w:lang w:val="en-GB" w:eastAsia="zh-CN"/>
        </w:rPr>
        <w:t>（5）卸渣时，应将车辆停稳制动渣；不得在坑洼、松软、倾斜的地面卸渣，车厢复位后方可行驶。</w:t>
      </w:r>
    </w:p>
    <w:p w14:paraId="19214ED3">
      <w:pPr>
        <w:suppressAutoHyphens/>
        <w:ind w:firstLine="420"/>
        <w:jc w:val="left"/>
        <w:rPr>
          <w:color w:val="auto"/>
          <w:highlight w:val="none"/>
          <w:lang w:val="en-GB" w:eastAsia="zh-CN"/>
        </w:rPr>
      </w:pPr>
      <w:r>
        <w:rPr>
          <w:rFonts w:hint="eastAsia"/>
          <w:color w:val="auto"/>
          <w:highlight w:val="none"/>
          <w:lang w:val="en-GB" w:eastAsia="zh-CN"/>
        </w:rPr>
        <w:t>（6）有轨运输卸渣场线路应设安全线并设置1%～3%的上坡道，卸渣码头应搭设牢固，并设有挂钩、栏杆及车挡等防溜车装置。</w:t>
      </w:r>
    </w:p>
    <w:p w14:paraId="7C42D7B2">
      <w:pPr>
        <w:ind w:firstLine="420"/>
        <w:jc w:val="left"/>
        <w:rPr>
          <w:color w:val="auto"/>
          <w:highlight w:val="none"/>
          <w:lang w:eastAsia="zh-CN"/>
        </w:rPr>
      </w:pPr>
      <w:r>
        <w:rPr>
          <w:rFonts w:hint="eastAsia"/>
          <w:color w:val="auto"/>
          <w:highlight w:val="none"/>
          <w:lang w:val="en-GB" w:eastAsia="zh-CN"/>
        </w:rPr>
        <w:t>（7）电瓶车牵引梭式矿车或渣车卸渣时，应用铁楔将车轮两个方向楔紧，不得采用石渣或木条代替铁楔。</w:t>
      </w:r>
    </w:p>
    <w:p w14:paraId="728A05AE">
      <w:pPr>
        <w:ind w:firstLine="420"/>
        <w:jc w:val="left"/>
        <w:rPr>
          <w:color w:val="auto"/>
          <w:highlight w:val="none"/>
          <w:lang w:eastAsia="zh-CN"/>
        </w:rPr>
      </w:pPr>
      <w:r>
        <w:rPr>
          <w:rFonts w:hint="eastAsia"/>
          <w:bCs/>
          <w:color w:val="auto"/>
          <w:highlight w:val="none"/>
          <w:lang w:eastAsia="zh-CN"/>
        </w:rPr>
        <w:t>（</w:t>
      </w:r>
      <w:r>
        <w:rPr>
          <w:bCs/>
          <w:color w:val="auto"/>
          <w:highlight w:val="none"/>
          <w:lang w:eastAsia="zh-CN"/>
        </w:rPr>
        <w:t>8</w:t>
      </w:r>
      <w:r>
        <w:rPr>
          <w:rFonts w:hint="eastAsia"/>
          <w:bCs/>
          <w:color w:val="auto"/>
          <w:highlight w:val="none"/>
          <w:lang w:eastAsia="zh-CN"/>
        </w:rPr>
        <w:t>）</w:t>
      </w:r>
      <w:r>
        <w:rPr>
          <w:rFonts w:hint="eastAsia"/>
          <w:color w:val="auto"/>
          <w:highlight w:val="none"/>
          <w:lang w:eastAsia="zh-CN"/>
        </w:rPr>
        <w:t>工程结束或弃渣量已达设计堆放量，应停止弃渣作业，并按要求进行处理。</w:t>
      </w:r>
    </w:p>
    <w:p w14:paraId="7EDEFCD4">
      <w:pPr>
        <w:pStyle w:val="5"/>
        <w:jc w:val="left"/>
        <w:rPr>
          <w:rFonts w:hAnsi="Times New Roman"/>
          <w:color w:val="auto"/>
          <w:highlight w:val="none"/>
          <w:lang w:eastAsia="zh-CN"/>
        </w:rPr>
      </w:pPr>
      <w:r>
        <w:rPr>
          <w:rFonts w:hAnsi="Times New Roman"/>
          <w:color w:val="auto"/>
          <w:highlight w:val="none"/>
          <w:lang w:eastAsia="zh-CN"/>
        </w:rPr>
        <w:t>3.5.4.5</w:t>
      </w:r>
      <w:r>
        <w:rPr>
          <w:rFonts w:hint="eastAsia" w:hAnsi="Times New Roman"/>
          <w:color w:val="auto"/>
          <w:highlight w:val="none"/>
          <w:lang w:eastAsia="zh-CN"/>
        </w:rPr>
        <w:t>　栈桥</w:t>
      </w:r>
    </w:p>
    <w:p w14:paraId="747DD450">
      <w:pPr>
        <w:suppressAutoHyphens/>
        <w:ind w:firstLine="420"/>
        <w:jc w:val="left"/>
        <w:rPr>
          <w:color w:val="auto"/>
          <w:highlight w:val="none"/>
          <w:lang w:val="en-GB" w:eastAsia="zh-CN"/>
        </w:rPr>
      </w:pPr>
      <w:r>
        <w:rPr>
          <w:rFonts w:hint="eastAsia"/>
          <w:color w:val="auto"/>
          <w:highlight w:val="none"/>
          <w:lang w:val="en-GB" w:eastAsia="zh-CN"/>
        </w:rPr>
        <w:t>（1）栈桥应满足隧洞施工车辆荷载通行要求。</w:t>
      </w:r>
    </w:p>
    <w:p w14:paraId="0DEE1C50">
      <w:pPr>
        <w:suppressAutoHyphens/>
        <w:ind w:firstLine="420"/>
        <w:jc w:val="left"/>
        <w:rPr>
          <w:color w:val="auto"/>
          <w:highlight w:val="none"/>
          <w:lang w:val="en-GB" w:eastAsia="zh-CN"/>
        </w:rPr>
      </w:pPr>
      <w:r>
        <w:rPr>
          <w:rFonts w:hint="eastAsia"/>
          <w:color w:val="auto"/>
          <w:highlight w:val="none"/>
          <w:lang w:val="en-GB" w:eastAsia="zh-CN"/>
        </w:rPr>
        <w:t>（2）栈桥前后支撑应置于稳固的地基上，搭接长度应满足施工需求。</w:t>
      </w:r>
    </w:p>
    <w:p w14:paraId="15919E5F">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val="en-GB" w:eastAsia="zh-CN"/>
        </w:rPr>
        <w:t>3）栈桥外侧边缘应设置高度不低于20cm的固定挡块，栈桥表面应设置防滑溜设施。</w:t>
      </w:r>
    </w:p>
    <w:p w14:paraId="4AA3E10A">
      <w:pPr>
        <w:suppressAutoHyphens/>
        <w:ind w:firstLine="420"/>
        <w:jc w:val="left"/>
        <w:rPr>
          <w:color w:val="auto"/>
          <w:highlight w:val="none"/>
          <w:lang w:val="en-GB" w:eastAsia="zh-CN"/>
        </w:rPr>
      </w:pPr>
      <w:r>
        <w:rPr>
          <w:rFonts w:hint="eastAsia"/>
          <w:color w:val="auto"/>
          <w:highlight w:val="none"/>
          <w:lang w:val="en-GB" w:eastAsia="zh-CN"/>
        </w:rPr>
        <w:t>（4）车辆通过栈桥时，栈桥下方作业人员应避让。</w:t>
      </w:r>
    </w:p>
    <w:p w14:paraId="6847C217">
      <w:pPr>
        <w:ind w:firstLine="420"/>
        <w:jc w:val="left"/>
        <w:rPr>
          <w:color w:val="auto"/>
          <w:highlight w:val="none"/>
          <w:lang w:eastAsia="zh-CN"/>
        </w:rPr>
      </w:pPr>
      <w:r>
        <w:rPr>
          <w:rFonts w:hint="eastAsia"/>
          <w:color w:val="auto"/>
          <w:highlight w:val="none"/>
          <w:lang w:val="en-GB" w:eastAsia="zh-CN"/>
        </w:rPr>
        <w:t>（5）栈桥两端应设置慢行和限重标志，车辆通过栈桥时，设专人指挥。</w:t>
      </w:r>
    </w:p>
    <w:p w14:paraId="521CCF30">
      <w:pPr>
        <w:pStyle w:val="5"/>
        <w:jc w:val="left"/>
        <w:rPr>
          <w:color w:val="auto"/>
          <w:highlight w:val="none"/>
          <w:lang w:eastAsia="zh-CN"/>
        </w:rPr>
      </w:pPr>
      <w:r>
        <w:rPr>
          <w:color w:val="auto"/>
          <w:highlight w:val="none"/>
          <w:lang w:eastAsia="zh-CN"/>
        </w:rPr>
        <w:t>3.5.5</w:t>
      </w:r>
      <w:r>
        <w:rPr>
          <w:rFonts w:hint="eastAsia"/>
          <w:color w:val="auto"/>
          <w:highlight w:val="none"/>
          <w:lang w:eastAsia="zh-CN"/>
        </w:rPr>
        <w:t>　支护与加固</w:t>
      </w:r>
    </w:p>
    <w:p w14:paraId="0EB49486">
      <w:pPr>
        <w:pStyle w:val="5"/>
        <w:jc w:val="left"/>
        <w:rPr>
          <w:rFonts w:hAnsi="Times New Roman"/>
          <w:color w:val="auto"/>
          <w:highlight w:val="none"/>
          <w:lang w:eastAsia="zh-CN"/>
        </w:rPr>
      </w:pPr>
      <w:r>
        <w:rPr>
          <w:color w:val="auto"/>
          <w:highlight w:val="none"/>
          <w:lang w:eastAsia="zh-CN"/>
        </w:rPr>
        <w:t>3.5.5.1</w:t>
      </w:r>
      <w:r>
        <w:rPr>
          <w:rFonts w:hint="eastAsia" w:hAnsi="Times New Roman"/>
          <w:color w:val="auto"/>
          <w:highlight w:val="none"/>
          <w:lang w:eastAsia="zh-CN"/>
        </w:rPr>
        <w:t>　</w:t>
      </w:r>
      <w:r>
        <w:rPr>
          <w:rFonts w:hint="eastAsia"/>
          <w:color w:val="auto"/>
          <w:highlight w:val="none"/>
          <w:lang w:eastAsia="zh-CN"/>
        </w:rPr>
        <w:t>一般规定</w:t>
      </w:r>
    </w:p>
    <w:p w14:paraId="13FB948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）支护与加固作业应重点注意下列主要危险源、危害因素：</w:t>
      </w:r>
    </w:p>
    <w:p w14:paraId="1F9E2E11">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）临时用电不符合要求，照明光照度不足；</w:t>
      </w:r>
    </w:p>
    <w:p w14:paraId="447970B3">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）找顶不彻底；</w:t>
      </w:r>
    </w:p>
    <w:p w14:paraId="5CC7E195">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）预支护强度不足致工作面坍塌、变形超限失稳；</w:t>
      </w:r>
    </w:p>
    <w:p w14:paraId="693E2FAF">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）高空作业台（支）架失稳，无安全防护或安全防护失效；</w:t>
      </w:r>
    </w:p>
    <w:p w14:paraId="5289F2A6">
      <w:pPr>
        <w:ind w:firstLine="420"/>
        <w:jc w:val="left"/>
        <w:rPr>
          <w:color w:val="auto"/>
          <w:highlight w:val="none"/>
          <w:lang w:eastAsia="zh-CN"/>
        </w:rPr>
      </w:pPr>
      <w:r>
        <w:rPr>
          <w:rFonts w:hAnsi="Times New Roman"/>
          <w:color w:val="auto"/>
          <w:highlight w:val="none"/>
          <w:lang w:eastAsia="zh-CN"/>
        </w:rPr>
        <w:t>5</w:t>
      </w:r>
      <w:r>
        <w:rPr>
          <w:rFonts w:hint="eastAsia"/>
          <w:color w:val="auto"/>
          <w:highlight w:val="none"/>
          <w:lang w:eastAsia="zh-CN"/>
        </w:rPr>
        <w:t>）施工机械倾覆或误操作。</w:t>
      </w:r>
    </w:p>
    <w:p w14:paraId="1AA0CF8C">
      <w:pPr>
        <w:pStyle w:val="7"/>
        <w:ind w:firstLine="420"/>
        <w:jc w:val="left"/>
        <w:rPr>
          <w:color w:val="auto"/>
          <w:highlight w:val="none"/>
          <w:lang w:eastAsia="zh-CN"/>
        </w:rPr>
      </w:pPr>
      <w:r>
        <w:rPr>
          <w:rFonts w:hint="eastAsia"/>
          <w:color w:val="auto"/>
          <w:highlight w:val="none"/>
          <w:lang w:val="en-GB" w:eastAsia="zh-CN"/>
        </w:rPr>
        <w:t>（2）隧洞支护作业前，应对作业面进行检查，清除松动的岩石和喷射混凝土块。作业面用电应符合临时用电的要求，光照度满足安全作业的需要，且不低于50lx。</w:t>
      </w:r>
    </w:p>
    <w:p w14:paraId="442FF8B8">
      <w:pPr>
        <w:ind w:firstLine="420"/>
        <w:jc w:val="left"/>
        <w:rPr>
          <w:rFonts w:hAnsi="Times New Roman"/>
          <w:color w:val="auto"/>
          <w:highlight w:val="none"/>
          <w:lang w:eastAsia="zh-CN"/>
        </w:rPr>
      </w:pPr>
      <w:r>
        <w:rPr>
          <w:rFonts w:hint="eastAsia"/>
          <w:color w:val="auto"/>
          <w:highlight w:val="none"/>
          <w:lang w:eastAsia="zh-CN"/>
        </w:rPr>
        <w:t>（</w:t>
      </w:r>
      <w:r>
        <w:rPr>
          <w:color w:val="auto"/>
          <w:highlight w:val="none"/>
          <w:lang w:eastAsia="zh-CN"/>
        </w:rPr>
        <w:t>3</w:t>
      </w:r>
      <w:r>
        <w:rPr>
          <w:rFonts w:hint="eastAsia"/>
          <w:color w:val="auto"/>
          <w:highlight w:val="none"/>
          <w:lang w:eastAsia="zh-CN"/>
        </w:rPr>
        <w:t>）隧洞支护应按初喷</w:t>
      </w:r>
      <w:r>
        <w:rPr>
          <w:rFonts w:hint="eastAsia" w:hAnsi="Times New Roman"/>
          <w:color w:val="auto"/>
          <w:highlight w:val="none"/>
          <w:lang w:eastAsia="zh-CN"/>
        </w:rPr>
        <w:t>→</w:t>
      </w:r>
      <w:r>
        <w:rPr>
          <w:rFonts w:hint="eastAsia"/>
          <w:color w:val="auto"/>
          <w:highlight w:val="none"/>
          <w:lang w:eastAsia="zh-CN"/>
        </w:rPr>
        <w:t>架设钢架</w:t>
      </w:r>
      <w:r>
        <w:rPr>
          <w:rFonts w:hint="eastAsia" w:hAnsi="Times New Roman"/>
          <w:color w:val="auto"/>
          <w:highlight w:val="none"/>
          <w:lang w:eastAsia="zh-CN"/>
        </w:rPr>
        <w:t>→</w:t>
      </w:r>
      <w:r>
        <w:rPr>
          <w:rFonts w:hint="eastAsia"/>
          <w:color w:val="auto"/>
          <w:highlight w:val="none"/>
          <w:lang w:eastAsia="zh-CN"/>
        </w:rPr>
        <w:t>钢筋网</w:t>
      </w:r>
      <w:r>
        <w:rPr>
          <w:rFonts w:hint="eastAsia" w:hAnsi="Times New Roman"/>
          <w:color w:val="auto"/>
          <w:highlight w:val="none"/>
          <w:lang w:eastAsia="zh-CN"/>
        </w:rPr>
        <w:t>→</w:t>
      </w:r>
      <w:r>
        <w:rPr>
          <w:rFonts w:hint="eastAsia"/>
          <w:color w:val="auto"/>
          <w:highlight w:val="none"/>
          <w:lang w:eastAsia="zh-CN"/>
        </w:rPr>
        <w:t>复喷</w:t>
      </w:r>
      <w:r>
        <w:rPr>
          <w:rFonts w:hint="eastAsia" w:hAnsi="Times New Roman"/>
          <w:color w:val="auto"/>
          <w:highlight w:val="none"/>
          <w:lang w:eastAsia="zh-CN"/>
        </w:rPr>
        <w:t>→</w:t>
      </w:r>
      <w:r>
        <w:rPr>
          <w:rFonts w:hint="eastAsia"/>
          <w:color w:val="auto"/>
          <w:highlight w:val="none"/>
          <w:lang w:eastAsia="zh-CN"/>
        </w:rPr>
        <w:t>系统锚杆的顺序组织施工。围岩较差地段，爆破找顶后应立即初喷混凝土封闭围岩。</w:t>
      </w:r>
    </w:p>
    <w:p w14:paraId="2A5B081C">
      <w:pPr>
        <w:suppressAutoHyphens/>
        <w:ind w:firstLine="420"/>
        <w:jc w:val="left"/>
        <w:rPr>
          <w:color w:val="auto"/>
          <w:highlight w:val="none"/>
          <w:lang w:val="en-GB" w:eastAsia="zh-CN"/>
        </w:rPr>
      </w:pPr>
      <w:r>
        <w:rPr>
          <w:rFonts w:hint="eastAsia"/>
          <w:color w:val="auto"/>
          <w:highlight w:val="none"/>
          <w:lang w:eastAsia="zh-CN"/>
        </w:rPr>
        <w:t>（</w:t>
      </w:r>
      <w:r>
        <w:rPr>
          <w:color w:val="auto"/>
          <w:highlight w:val="none"/>
          <w:lang w:eastAsia="zh-CN"/>
        </w:rPr>
        <w:t>4</w:t>
      </w:r>
      <w:r>
        <w:rPr>
          <w:rFonts w:hint="eastAsia"/>
          <w:color w:val="auto"/>
          <w:highlight w:val="none"/>
          <w:lang w:eastAsia="zh-CN"/>
        </w:rPr>
        <w:t>）隧洞超前支护、初期支护应严格按设计施工，每道工序均应按验收标准组织验收，合格后方可进行下道工序施工。</w:t>
      </w:r>
      <w:r>
        <w:rPr>
          <w:rFonts w:hint="eastAsia"/>
          <w:color w:val="auto"/>
          <w:highlight w:val="none"/>
          <w:lang w:val="en-GB" w:eastAsia="zh-CN"/>
        </w:rPr>
        <w:t>应重点检查下列工作：</w:t>
      </w:r>
    </w:p>
    <w:p w14:paraId="2B274520">
      <w:pPr>
        <w:suppressAutoHyphens/>
        <w:ind w:firstLine="420"/>
        <w:jc w:val="left"/>
        <w:rPr>
          <w:color w:val="auto"/>
          <w:highlight w:val="none"/>
          <w:lang w:val="en-GB" w:eastAsia="zh-CN"/>
        </w:rPr>
      </w:pPr>
      <w:r>
        <w:rPr>
          <w:rFonts w:hint="eastAsia"/>
          <w:color w:val="auto"/>
          <w:highlight w:val="none"/>
          <w:lang w:val="en-GB" w:eastAsia="zh-CN"/>
        </w:rPr>
        <w:t>1）锚杆数量与施工质量（砂浆饱满度、抗拔力）；</w:t>
      </w:r>
    </w:p>
    <w:p w14:paraId="758B213C">
      <w:pPr>
        <w:suppressAutoHyphens/>
        <w:ind w:firstLine="420"/>
        <w:jc w:val="left"/>
        <w:rPr>
          <w:color w:val="auto"/>
          <w:highlight w:val="none"/>
          <w:lang w:val="en-GB" w:eastAsia="zh-CN"/>
        </w:rPr>
      </w:pPr>
      <w:r>
        <w:rPr>
          <w:rFonts w:hint="eastAsia"/>
          <w:color w:val="auto"/>
          <w:highlight w:val="none"/>
          <w:lang w:val="en-GB" w:eastAsia="zh-CN"/>
        </w:rPr>
        <w:t>2）喷混凝土厚度、强度，钢筋网及钢架垂直度、间距；</w:t>
      </w:r>
    </w:p>
    <w:p w14:paraId="0A01BB74">
      <w:pPr>
        <w:suppressAutoHyphens/>
        <w:ind w:firstLine="420"/>
        <w:jc w:val="left"/>
        <w:rPr>
          <w:color w:val="auto"/>
          <w:highlight w:val="none"/>
          <w:lang w:val="en-GB" w:eastAsia="zh-CN"/>
        </w:rPr>
      </w:pPr>
      <w:r>
        <w:rPr>
          <w:rFonts w:hint="eastAsia"/>
          <w:color w:val="auto"/>
          <w:highlight w:val="none"/>
          <w:lang w:val="en-GB" w:eastAsia="zh-CN"/>
        </w:rPr>
        <w:t>3）管棚、超前小导管、超前锚杆的施工质量；</w:t>
      </w:r>
    </w:p>
    <w:p w14:paraId="13657F5E">
      <w:pPr>
        <w:ind w:firstLine="420"/>
        <w:jc w:val="left"/>
        <w:rPr>
          <w:color w:val="auto"/>
          <w:highlight w:val="none"/>
          <w:lang w:val="en-GB" w:eastAsia="zh-CN"/>
        </w:rPr>
      </w:pPr>
      <w:r>
        <w:rPr>
          <w:rFonts w:hint="eastAsia"/>
          <w:color w:val="auto"/>
          <w:highlight w:val="none"/>
          <w:lang w:val="en-GB" w:eastAsia="zh-CN"/>
        </w:rPr>
        <w:t>4）预注浆加固围岩与止水的效果。</w:t>
      </w:r>
    </w:p>
    <w:p w14:paraId="56FA232E">
      <w:pPr>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5</w:t>
      </w:r>
      <w:r>
        <w:rPr>
          <w:rFonts w:hint="eastAsia"/>
          <w:color w:val="auto"/>
          <w:highlight w:val="none"/>
          <w:lang w:val="en-GB" w:eastAsia="zh-CN"/>
        </w:rPr>
        <w:t>）施工作业台架应牢固可靠，防护设施齐全，并应进行结构受力和稳定性检算。使用前应组织检查验收，验收合格方可使用。</w:t>
      </w:r>
    </w:p>
    <w:p w14:paraId="600D5B5D">
      <w:pPr>
        <w:ind w:firstLine="420"/>
        <w:jc w:val="left"/>
        <w:rPr>
          <w:rFonts w:hAnsi="Times New Roman"/>
          <w:color w:val="auto"/>
          <w:highlight w:val="none"/>
          <w:lang w:eastAsia="zh-CN"/>
        </w:rPr>
      </w:pPr>
      <w:r>
        <w:rPr>
          <w:rFonts w:hint="eastAsia"/>
          <w:color w:val="auto"/>
          <w:highlight w:val="none"/>
          <w:lang w:eastAsia="zh-CN"/>
        </w:rPr>
        <w:t>（</w:t>
      </w:r>
      <w:r>
        <w:rPr>
          <w:color w:val="auto"/>
          <w:highlight w:val="none"/>
          <w:lang w:eastAsia="zh-CN"/>
        </w:rPr>
        <w:t>6</w:t>
      </w:r>
      <w:r>
        <w:rPr>
          <w:rFonts w:hint="eastAsia"/>
          <w:color w:val="auto"/>
          <w:highlight w:val="none"/>
          <w:lang w:eastAsia="zh-CN"/>
        </w:rPr>
        <w:t>）特殊不良地质条件的隧洞施工，超前支护和预加固措施应根据揭示的地质情况组织专项评审后方可施工。</w:t>
      </w:r>
    </w:p>
    <w:p w14:paraId="4894139F">
      <w:pPr>
        <w:pStyle w:val="5"/>
        <w:jc w:val="left"/>
        <w:rPr>
          <w:rFonts w:hAnsi="Times New Roman"/>
          <w:color w:val="auto"/>
          <w:highlight w:val="none"/>
          <w:lang w:eastAsia="zh-CN"/>
        </w:rPr>
      </w:pPr>
      <w:r>
        <w:rPr>
          <w:rFonts w:hAnsi="Times New Roman"/>
          <w:color w:val="auto"/>
          <w:highlight w:val="none"/>
          <w:lang w:eastAsia="zh-CN"/>
        </w:rPr>
        <w:t>3.5.5.2</w:t>
      </w:r>
      <w:r>
        <w:rPr>
          <w:rFonts w:hint="eastAsia" w:hAnsi="Times New Roman"/>
          <w:color w:val="auto"/>
          <w:highlight w:val="none"/>
          <w:lang w:eastAsia="zh-CN"/>
        </w:rPr>
        <w:t>　</w:t>
      </w:r>
      <w:r>
        <w:rPr>
          <w:rFonts w:hint="eastAsia"/>
          <w:color w:val="auto"/>
          <w:highlight w:val="none"/>
          <w:lang w:eastAsia="zh-CN"/>
        </w:rPr>
        <w:t>管棚、超前小导管</w:t>
      </w:r>
    </w:p>
    <w:p w14:paraId="6507008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）管棚、超前小导管施工应符合以下规定：</w:t>
      </w:r>
    </w:p>
    <w:p w14:paraId="01DBA359">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）作业前应检验作业台架安全性能，施工过程中应保持稳定；</w:t>
      </w:r>
    </w:p>
    <w:p w14:paraId="26F5ADC5">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）施工前应检查钻机、注浆机及配套设备、风水管等施工机具的安全性能，施工过程中应确保钻机稳定牢靠，注浆管接头及高压风水连接牢固；</w:t>
      </w:r>
    </w:p>
    <w:p w14:paraId="4134971A">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）应指定专人负责对开挖工作面进行安全观测；</w:t>
      </w:r>
    </w:p>
    <w:p w14:paraId="08BFC037">
      <w:pPr>
        <w:ind w:firstLine="420"/>
        <w:jc w:val="left"/>
        <w:rPr>
          <w:color w:val="auto"/>
          <w:highlight w:val="none"/>
          <w:lang w:eastAsia="zh-CN"/>
        </w:rPr>
      </w:pPr>
      <w:r>
        <w:rPr>
          <w:rFonts w:hAnsi="Times New Roman"/>
          <w:color w:val="auto"/>
          <w:highlight w:val="none"/>
          <w:lang w:eastAsia="zh-CN"/>
        </w:rPr>
        <w:t>4</w:t>
      </w:r>
      <w:r>
        <w:rPr>
          <w:rFonts w:hint="eastAsia"/>
          <w:color w:val="auto"/>
          <w:highlight w:val="none"/>
          <w:lang w:eastAsia="zh-CN"/>
        </w:rPr>
        <w:t>）应按作业程序和技术要求进行钻进、安装、注浆作业；</w:t>
      </w:r>
    </w:p>
    <w:p w14:paraId="041FD3AB">
      <w:pPr>
        <w:suppressAutoHyphens/>
        <w:ind w:firstLine="420"/>
        <w:jc w:val="left"/>
        <w:rPr>
          <w:color w:val="auto"/>
          <w:highlight w:val="none"/>
          <w:lang w:val="en-GB" w:eastAsia="zh-CN"/>
        </w:rPr>
      </w:pPr>
      <w:r>
        <w:rPr>
          <w:rFonts w:hint="eastAsia"/>
          <w:color w:val="auto"/>
          <w:highlight w:val="none"/>
          <w:lang w:val="en-GB" w:eastAsia="zh-CN"/>
        </w:rPr>
        <w:t>5）管棚作业换钻杆及超前小导管作业顶进钢管时，应防止钻杆、钢管掉落伤人；</w:t>
      </w:r>
    </w:p>
    <w:p w14:paraId="7E2E3073">
      <w:pPr>
        <w:ind w:firstLine="420"/>
        <w:jc w:val="left"/>
        <w:rPr>
          <w:color w:val="auto"/>
          <w:highlight w:val="none"/>
          <w:lang w:eastAsia="zh-CN"/>
        </w:rPr>
      </w:pPr>
      <w:r>
        <w:rPr>
          <w:rFonts w:hint="eastAsia"/>
          <w:color w:val="auto"/>
          <w:highlight w:val="none"/>
          <w:lang w:val="en-GB" w:eastAsia="zh-CN"/>
        </w:rPr>
        <w:t>6）管棚作业起吊钻杆及其它物件时，应指定专人指挥，统一口令，起吊范围内任何人不得进入。</w:t>
      </w:r>
    </w:p>
    <w:p w14:paraId="1687D74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）高水压隧洞管棚施工，应选择适应高水压并具有防突水突泥功能的钻孔设备，孔口管应安装满足水压要求的止水阀门；作业时人员不应站在孔口正面。</w:t>
      </w:r>
    </w:p>
    <w:p w14:paraId="74DFC775">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）管棚钻孔过程中，应记录钻进各项技术参数，观察钻渣排出和孔内出水的情况，并与超前地质预报的结果核对。出现异常应及时报告和处理。</w:t>
      </w:r>
    </w:p>
    <w:p w14:paraId="6E0871DC">
      <w:pPr>
        <w:pStyle w:val="7"/>
        <w:ind w:firstLine="420"/>
        <w:jc w:val="left"/>
        <w:rPr>
          <w:color w:val="auto"/>
          <w:highlight w:val="none"/>
          <w:lang w:eastAsia="zh-CN"/>
        </w:rPr>
      </w:pPr>
      <w:r>
        <w:rPr>
          <w:rFonts w:hint="eastAsia"/>
          <w:color w:val="auto"/>
          <w:highlight w:val="none"/>
          <w:lang w:val="en-GB" w:eastAsia="zh-CN"/>
        </w:rPr>
        <w:t>（4）管棚、小导管在作业平台上临时存放时，应控制存放数量和高度，并采取防坠落措施。在洞内空地堆放时除应采取防止其滚落的措施外，还应设置醒目的安全警示标志。</w:t>
      </w:r>
    </w:p>
    <w:p w14:paraId="7EF9994D">
      <w:pPr>
        <w:pStyle w:val="5"/>
        <w:jc w:val="left"/>
        <w:rPr>
          <w:rFonts w:hAnsi="Times New Roman"/>
          <w:color w:val="auto"/>
          <w:highlight w:val="none"/>
          <w:lang w:eastAsia="zh-CN"/>
        </w:rPr>
      </w:pPr>
      <w:r>
        <w:rPr>
          <w:rFonts w:hAnsi="Times New Roman"/>
          <w:color w:val="auto"/>
          <w:highlight w:val="none"/>
          <w:lang w:eastAsia="zh-CN"/>
        </w:rPr>
        <w:t>3.5.5.3</w:t>
      </w:r>
      <w:r>
        <w:rPr>
          <w:rFonts w:hint="eastAsia" w:hAnsi="Times New Roman"/>
          <w:color w:val="auto"/>
          <w:highlight w:val="none"/>
          <w:lang w:eastAsia="zh-CN"/>
        </w:rPr>
        <w:t>　</w:t>
      </w:r>
      <w:r>
        <w:rPr>
          <w:rFonts w:hint="eastAsia"/>
          <w:color w:val="auto"/>
          <w:highlight w:val="none"/>
          <w:lang w:eastAsia="zh-CN"/>
        </w:rPr>
        <w:t>预注浆</w:t>
      </w:r>
    </w:p>
    <w:p w14:paraId="21E7789D">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）预注浆前，应对后方已开挖地段一定范围内采取锚喷或混凝土加固措施，并检查止浆墙或止水岩盘及已开挖段的抗渗情况。</w:t>
      </w:r>
    </w:p>
    <w:p w14:paraId="0DD79F2E">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）预注浆应有单项设计，明确注浆孔布置、注浆顺序、注浆方式、注浆压力、注浆量等参数，并应检算止浆墙或止水岩盘的抗压能力。</w:t>
      </w:r>
    </w:p>
    <w:p w14:paraId="5FBA536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）预注浆应安装流量计和压力表，注浆压力不得超过注浆管和止浆设施的最大额定值。注浆管接头应连接牢固，防止爆管伤人。</w:t>
      </w:r>
    </w:p>
    <w:p w14:paraId="49BF440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）预注浆过程中应安排专人对其影响范围内的围岩和结构进行观察和量测，防止因注浆压力过大而引起围岩失稳和结构损坏。</w:t>
      </w:r>
    </w:p>
    <w:p w14:paraId="3579BE0B">
      <w:pPr>
        <w:ind w:firstLine="420"/>
        <w:jc w:val="left"/>
        <w:rPr>
          <w:rFonts w:hAnsi="Times New Roman"/>
          <w:color w:val="auto"/>
          <w:highlight w:val="none"/>
          <w:lang w:eastAsia="zh-CN"/>
        </w:rPr>
      </w:pPr>
      <w:r>
        <w:rPr>
          <w:rFonts w:hint="eastAsia"/>
          <w:bCs/>
          <w:color w:val="auto"/>
          <w:highlight w:val="none"/>
          <w:lang w:eastAsia="zh-CN"/>
        </w:rPr>
        <w:t>（</w:t>
      </w:r>
      <w:r>
        <w:rPr>
          <w:rFonts w:hAnsi="Times New Roman"/>
          <w:bCs/>
          <w:color w:val="auto"/>
          <w:highlight w:val="none"/>
          <w:lang w:eastAsia="zh-CN"/>
        </w:rPr>
        <w:t>5</w:t>
      </w:r>
      <w:r>
        <w:rPr>
          <w:rFonts w:hint="eastAsia"/>
          <w:bCs/>
          <w:color w:val="auto"/>
          <w:highlight w:val="none"/>
          <w:lang w:eastAsia="zh-CN"/>
        </w:rPr>
        <w:t>）采用预</w:t>
      </w:r>
      <w:r>
        <w:rPr>
          <w:rFonts w:hint="eastAsia"/>
          <w:color w:val="auto"/>
          <w:highlight w:val="none"/>
          <w:lang w:eastAsia="zh-CN"/>
        </w:rPr>
        <w:t>注浆加固围岩或止水，每循环结束后应采取超前探孔或取芯等手段检查注浆效果，达到要求后方可进入下道工序施工。</w:t>
      </w:r>
    </w:p>
    <w:p w14:paraId="227FEFBE">
      <w:pPr>
        <w:pStyle w:val="5"/>
        <w:jc w:val="left"/>
        <w:rPr>
          <w:rFonts w:hAnsi="Times New Roman"/>
          <w:color w:val="auto"/>
          <w:highlight w:val="none"/>
          <w:lang w:eastAsia="zh-CN"/>
        </w:rPr>
      </w:pPr>
      <w:r>
        <w:rPr>
          <w:rFonts w:hAnsi="Times New Roman"/>
          <w:color w:val="auto"/>
          <w:highlight w:val="none"/>
          <w:lang w:eastAsia="zh-CN"/>
        </w:rPr>
        <w:t>3.5.5.4</w:t>
      </w:r>
      <w:r>
        <w:rPr>
          <w:rFonts w:hint="eastAsia" w:hAnsi="Times New Roman"/>
          <w:color w:val="auto"/>
          <w:highlight w:val="none"/>
          <w:lang w:eastAsia="zh-CN"/>
        </w:rPr>
        <w:t>　</w:t>
      </w:r>
      <w:r>
        <w:rPr>
          <w:rFonts w:hint="eastAsia"/>
          <w:color w:val="auto"/>
          <w:highlight w:val="none"/>
          <w:lang w:eastAsia="zh-CN"/>
        </w:rPr>
        <w:t>喷混凝土</w:t>
      </w:r>
    </w:p>
    <w:p w14:paraId="17E3B804">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）喷混凝土作业前应清除工作面松动的岩石，确认作业区无塌方、落石等安全风险。</w:t>
      </w:r>
    </w:p>
    <w:p w14:paraId="3657DA76">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）喷混凝土设备开机前，应确认喷嘴前无人员活动；非施工人员不得进入正在进行喷混凝土的作业区。</w:t>
      </w:r>
    </w:p>
    <w:p w14:paraId="5883D583">
      <w:pPr>
        <w:ind w:firstLine="420"/>
        <w:jc w:val="left"/>
        <w:rPr>
          <w:color w:val="auto"/>
          <w:highlight w:val="none"/>
          <w:lang w:eastAsia="zh-CN"/>
        </w:rPr>
      </w:pPr>
      <w:r>
        <w:rPr>
          <w:rFonts w:hint="eastAsia"/>
          <w:bCs/>
          <w:color w:val="auto"/>
          <w:highlight w:val="none"/>
          <w:lang w:eastAsia="zh-CN"/>
        </w:rPr>
        <w:t>（</w:t>
      </w:r>
      <w:r>
        <w:rPr>
          <w:rFonts w:hAnsi="Times New Roman"/>
          <w:bCs/>
          <w:color w:val="auto"/>
          <w:highlight w:val="none"/>
          <w:lang w:eastAsia="zh-CN"/>
        </w:rPr>
        <w:t>3</w:t>
      </w:r>
      <w:r>
        <w:rPr>
          <w:rFonts w:hint="eastAsia"/>
          <w:bCs/>
          <w:color w:val="auto"/>
          <w:highlight w:val="none"/>
          <w:lang w:eastAsia="zh-CN"/>
        </w:rPr>
        <w:t>）</w:t>
      </w:r>
      <w:r>
        <w:rPr>
          <w:rFonts w:hint="eastAsia"/>
          <w:color w:val="auto"/>
          <w:highlight w:val="none"/>
          <w:lang w:eastAsia="zh-CN"/>
        </w:rPr>
        <w:t>喷混凝土台车、湿喷机等设备应按规程及时维护、保养，避免带病作业，在非作业时间应停放于安全且不影响通行的位置。</w:t>
      </w:r>
    </w:p>
    <w:p w14:paraId="4B22EFDA">
      <w:pPr>
        <w:pStyle w:val="7"/>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4</w:t>
      </w:r>
      <w:r>
        <w:rPr>
          <w:rFonts w:hint="eastAsia"/>
          <w:color w:val="auto"/>
          <w:highlight w:val="none"/>
          <w:lang w:val="en-GB" w:eastAsia="zh-CN"/>
        </w:rPr>
        <w:t>）喷混凝土作业人员应佩戴防尘口罩、防护眼罩等防护用品，避免直接接触液体速凝剂，不慎接触后应立即用清水冲洗。</w:t>
      </w:r>
    </w:p>
    <w:p w14:paraId="3BE52ED2">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5</w:t>
      </w:r>
      <w:r>
        <w:rPr>
          <w:rFonts w:hint="eastAsia"/>
          <w:color w:val="auto"/>
          <w:highlight w:val="none"/>
          <w:lang w:val="en-GB" w:eastAsia="zh-CN"/>
        </w:rPr>
        <w:t>）喷混凝土作业中，发生堵管或爆管时，应依次停止投料、送水和供风，并应按操作规程正确处置。</w:t>
      </w:r>
    </w:p>
    <w:p w14:paraId="13E397C1">
      <w:pPr>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6</w:t>
      </w:r>
      <w:r>
        <w:rPr>
          <w:rFonts w:hint="eastAsia"/>
          <w:color w:val="auto"/>
          <w:highlight w:val="none"/>
          <w:lang w:val="en-GB" w:eastAsia="zh-CN"/>
        </w:rPr>
        <w:t>）喷混凝土施工中应经常检查输料管、接头的使用情况，当有破损或松脱时应及时处理。</w:t>
      </w:r>
    </w:p>
    <w:p w14:paraId="66E02EAD">
      <w:pPr>
        <w:pStyle w:val="5"/>
        <w:jc w:val="left"/>
        <w:rPr>
          <w:rFonts w:hAnsi="Times New Roman"/>
          <w:color w:val="auto"/>
          <w:highlight w:val="none"/>
          <w:lang w:eastAsia="zh-CN"/>
        </w:rPr>
      </w:pPr>
      <w:r>
        <w:rPr>
          <w:rFonts w:hAnsi="Times New Roman"/>
          <w:color w:val="auto"/>
          <w:highlight w:val="none"/>
          <w:lang w:eastAsia="zh-CN"/>
        </w:rPr>
        <w:t>3.5.5.5</w:t>
      </w:r>
      <w:r>
        <w:rPr>
          <w:rFonts w:hint="eastAsia" w:hAnsi="Times New Roman"/>
          <w:color w:val="auto"/>
          <w:highlight w:val="none"/>
          <w:lang w:eastAsia="zh-CN"/>
        </w:rPr>
        <w:t>　</w:t>
      </w:r>
      <w:r>
        <w:rPr>
          <w:rFonts w:hint="eastAsia"/>
          <w:color w:val="auto"/>
          <w:highlight w:val="none"/>
          <w:lang w:eastAsia="zh-CN"/>
        </w:rPr>
        <w:t>锚杆</w:t>
      </w:r>
    </w:p>
    <w:p w14:paraId="5D9D5650">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）锚杆作业前，应清除工作面松动的岩石，确认作业区无掉块、坍塌等安全风险。</w:t>
      </w:r>
    </w:p>
    <w:p w14:paraId="79B77160">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）锚孔钻进作业时，应保持钻机及作业平台稳定牢靠，作业人员均应佩戴防尘口罩、安全帽、防护眼罩等防护用品。</w:t>
      </w:r>
    </w:p>
    <w:p w14:paraId="47400173">
      <w:pPr>
        <w:suppressAutoHyphens/>
        <w:ind w:firstLine="420"/>
        <w:jc w:val="left"/>
        <w:rPr>
          <w:color w:val="auto"/>
          <w:highlight w:val="none"/>
          <w:lang w:val="en-GB" w:eastAsia="zh-CN"/>
        </w:rPr>
      </w:pPr>
      <w:r>
        <w:rPr>
          <w:rFonts w:hint="eastAsia"/>
          <w:color w:val="auto"/>
          <w:highlight w:val="none"/>
          <w:lang w:val="en-GB" w:eastAsia="zh-CN"/>
        </w:rPr>
        <w:t>（3）锚杆台车钻孔退出钻杆过程中，在钻杆即将脱离孔口前，应停止钻杆旋转。</w:t>
      </w:r>
    </w:p>
    <w:p w14:paraId="20D21206">
      <w:pPr>
        <w:ind w:firstLine="420"/>
        <w:jc w:val="left"/>
        <w:rPr>
          <w:color w:val="auto"/>
          <w:highlight w:val="none"/>
          <w:lang w:eastAsia="zh-CN"/>
        </w:rPr>
      </w:pPr>
      <w:r>
        <w:rPr>
          <w:rFonts w:hint="eastAsia"/>
          <w:color w:val="auto"/>
          <w:highlight w:val="none"/>
          <w:lang w:val="en-GB" w:eastAsia="zh-CN"/>
        </w:rPr>
        <w:t>（4）清孔作业时，清孔作业人员应位于孔口侧面，不得正对孔口。</w:t>
      </w:r>
    </w:p>
    <w:p w14:paraId="085B9CA1">
      <w:pPr>
        <w:ind w:firstLine="420"/>
        <w:jc w:val="left"/>
        <w:rPr>
          <w:color w:val="auto"/>
          <w:highlight w:val="none"/>
          <w:lang w:eastAsia="zh-CN"/>
        </w:rPr>
      </w:pPr>
      <w:r>
        <w:rPr>
          <w:rFonts w:hint="eastAsia"/>
          <w:color w:val="auto"/>
          <w:highlight w:val="none"/>
          <w:lang w:eastAsia="zh-CN"/>
        </w:rPr>
        <w:t>（</w:t>
      </w:r>
      <w:r>
        <w:rPr>
          <w:color w:val="auto"/>
          <w:highlight w:val="none"/>
          <w:lang w:eastAsia="zh-CN"/>
        </w:rPr>
        <w:t>5</w:t>
      </w:r>
      <w:r>
        <w:rPr>
          <w:rFonts w:hint="eastAsia"/>
          <w:color w:val="auto"/>
          <w:highlight w:val="none"/>
          <w:lang w:eastAsia="zh-CN"/>
        </w:rPr>
        <w:t>）各种锚杆应上垫板、带螺帽并及时紧固，垫板与锚杆间不应采用焊接，垫板应紧贴基面。</w:t>
      </w:r>
    </w:p>
    <w:p w14:paraId="3FD8A7CF">
      <w:pPr>
        <w:pStyle w:val="7"/>
        <w:ind w:firstLine="420"/>
        <w:jc w:val="left"/>
        <w:rPr>
          <w:color w:val="auto"/>
          <w:highlight w:val="none"/>
          <w:lang w:eastAsia="zh-CN"/>
        </w:rPr>
      </w:pPr>
      <w:r>
        <w:rPr>
          <w:rFonts w:hint="eastAsia"/>
          <w:color w:val="auto"/>
          <w:highlight w:val="none"/>
          <w:lang w:val="en-GB" w:eastAsia="zh-CN"/>
        </w:rPr>
        <w:t>（6）高外水压</w:t>
      </w:r>
      <w:r>
        <w:rPr>
          <w:rFonts w:hint="eastAsia"/>
          <w:color w:val="auto"/>
          <w:highlight w:val="none"/>
          <w:lang w:eastAsia="zh-CN"/>
        </w:rPr>
        <w:t>洞</w:t>
      </w:r>
      <w:r>
        <w:rPr>
          <w:rFonts w:hint="eastAsia"/>
          <w:color w:val="auto"/>
          <w:highlight w:val="none"/>
          <w:lang w:val="en-GB" w:eastAsia="zh-CN"/>
        </w:rPr>
        <w:t>段钻孔作业应加强</w:t>
      </w:r>
      <w:r>
        <w:rPr>
          <w:rFonts w:hint="eastAsia"/>
          <w:color w:val="auto"/>
          <w:highlight w:val="none"/>
          <w:lang w:eastAsia="zh-CN"/>
        </w:rPr>
        <w:t>钻孔作业人员的安全防护，应安排专人进行安全巡查</w:t>
      </w:r>
      <w:r>
        <w:rPr>
          <w:rFonts w:hint="eastAsia"/>
          <w:color w:val="auto"/>
          <w:highlight w:val="none"/>
          <w:lang w:val="en-GB" w:eastAsia="zh-CN"/>
        </w:rPr>
        <w:t>，发现突涌水风险时，及时组织现场作业人员撤离</w:t>
      </w:r>
    </w:p>
    <w:p w14:paraId="1DFAC5F9">
      <w:pPr>
        <w:pStyle w:val="5"/>
        <w:jc w:val="left"/>
        <w:rPr>
          <w:color w:val="auto"/>
          <w:highlight w:val="none"/>
          <w:lang w:eastAsia="zh-CN"/>
        </w:rPr>
      </w:pPr>
      <w:r>
        <w:rPr>
          <w:rFonts w:hAnsi="Times New Roman"/>
          <w:color w:val="auto"/>
          <w:highlight w:val="none"/>
          <w:lang w:eastAsia="zh-CN"/>
        </w:rPr>
        <w:t>3.5.5.6</w:t>
      </w:r>
      <w:r>
        <w:rPr>
          <w:rFonts w:hint="eastAsia" w:hAnsi="Times New Roman"/>
          <w:color w:val="auto"/>
          <w:highlight w:val="none"/>
          <w:lang w:eastAsia="zh-CN"/>
        </w:rPr>
        <w:t>　</w:t>
      </w:r>
      <w:r>
        <w:rPr>
          <w:rFonts w:hint="eastAsia"/>
          <w:color w:val="auto"/>
          <w:highlight w:val="none"/>
          <w:lang w:eastAsia="zh-CN"/>
        </w:rPr>
        <w:t>钢架</w:t>
      </w:r>
    </w:p>
    <w:p w14:paraId="409F6E9B">
      <w:pPr>
        <w:suppressAutoHyphens/>
        <w:ind w:firstLine="420"/>
        <w:jc w:val="left"/>
        <w:rPr>
          <w:color w:val="auto"/>
          <w:highlight w:val="none"/>
          <w:lang w:val="en-GB" w:eastAsia="zh-CN"/>
        </w:rPr>
      </w:pPr>
      <w:r>
        <w:rPr>
          <w:rFonts w:hint="eastAsia"/>
          <w:color w:val="auto"/>
          <w:highlight w:val="none"/>
          <w:lang w:val="en-GB" w:eastAsia="zh-CN"/>
        </w:rPr>
        <w:t>（1）隧洞内搬运钢架应装载牢固，固定可靠，防止发生碰撞和掉落。</w:t>
      </w:r>
    </w:p>
    <w:p w14:paraId="2959A27A">
      <w:pPr>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2</w:t>
      </w:r>
      <w:r>
        <w:rPr>
          <w:rFonts w:hint="eastAsia"/>
          <w:color w:val="auto"/>
          <w:highlight w:val="none"/>
          <w:lang w:val="en-GB" w:eastAsia="zh-CN"/>
        </w:rPr>
        <w:t>）钢架节段及钢架之间应及时牢固连接，防止倾倒；钢架背后的空隙应采用喷射混凝土或注浆充填密实，背后不得填充片石等其他材料。</w:t>
      </w:r>
    </w:p>
    <w:p w14:paraId="1334ECC7">
      <w:pPr>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3</w:t>
      </w:r>
      <w:r>
        <w:rPr>
          <w:rFonts w:hint="eastAsia"/>
          <w:color w:val="auto"/>
          <w:highlight w:val="none"/>
          <w:lang w:val="en-GB" w:eastAsia="zh-CN"/>
        </w:rPr>
        <w:t>）安装钢架的提升设备应有足够能力，吊点应牢固可靠，不得利用装载机、挖掘机作为钢架安装作业平台。</w:t>
      </w:r>
    </w:p>
    <w:p w14:paraId="585CDB63">
      <w:pPr>
        <w:ind w:firstLine="420"/>
        <w:jc w:val="left"/>
        <w:rPr>
          <w:rFonts w:hAnsi="Times New Roman"/>
          <w:color w:val="auto"/>
          <w:highlight w:val="none"/>
          <w:lang w:eastAsia="zh-CN"/>
        </w:rPr>
      </w:pPr>
      <w:r>
        <w:rPr>
          <w:rFonts w:hint="eastAsia"/>
          <w:color w:val="auto"/>
          <w:highlight w:val="none"/>
          <w:lang w:eastAsia="zh-CN"/>
        </w:rPr>
        <w:t>（</w:t>
      </w:r>
      <w:r>
        <w:rPr>
          <w:color w:val="auto"/>
          <w:highlight w:val="none"/>
          <w:lang w:eastAsia="zh-CN"/>
        </w:rPr>
        <w:t>4</w:t>
      </w:r>
      <w:r>
        <w:rPr>
          <w:rFonts w:hint="eastAsia"/>
          <w:color w:val="auto"/>
          <w:highlight w:val="none"/>
          <w:lang w:eastAsia="zh-CN"/>
        </w:rPr>
        <w:t>）钢架安装完成后应及时施作锁脚锚杆（管），并与之连接牢固，钢架底脚不得悬空或置于虚渣上。</w:t>
      </w:r>
    </w:p>
    <w:p w14:paraId="257F44AD">
      <w:pPr>
        <w:ind w:firstLine="420"/>
        <w:jc w:val="left"/>
        <w:rPr>
          <w:color w:val="auto"/>
          <w:highlight w:val="none"/>
          <w:lang w:eastAsia="zh-CN"/>
        </w:rPr>
      </w:pPr>
      <w:r>
        <w:rPr>
          <w:rFonts w:hint="eastAsia"/>
          <w:color w:val="auto"/>
          <w:highlight w:val="none"/>
          <w:lang w:eastAsia="zh-CN"/>
        </w:rPr>
        <w:t>（</w:t>
      </w:r>
      <w:r>
        <w:rPr>
          <w:color w:val="auto"/>
          <w:highlight w:val="none"/>
          <w:lang w:eastAsia="zh-CN"/>
        </w:rPr>
        <w:t>5</w:t>
      </w:r>
      <w:r>
        <w:rPr>
          <w:rFonts w:hint="eastAsia"/>
          <w:color w:val="auto"/>
          <w:highlight w:val="none"/>
          <w:lang w:eastAsia="zh-CN"/>
        </w:rPr>
        <w:t>）采用分部开挖的隧洞，各部开挖后钢架应及时安装，钢架底脚不得悬空，并应及时施做锁脚锚杆或注浆锚管。</w:t>
      </w:r>
    </w:p>
    <w:p w14:paraId="2390E3F6">
      <w:pPr>
        <w:pStyle w:val="7"/>
        <w:ind w:firstLine="420"/>
        <w:jc w:val="left"/>
        <w:rPr>
          <w:color w:val="auto"/>
          <w:highlight w:val="none"/>
          <w:lang w:eastAsia="zh-CN"/>
        </w:rPr>
      </w:pPr>
      <w:r>
        <w:rPr>
          <w:rFonts w:hint="eastAsia"/>
          <w:color w:val="auto"/>
          <w:highlight w:val="none"/>
          <w:lang w:val="en-GB" w:eastAsia="zh-CN"/>
        </w:rPr>
        <w:t>（6）当钢架侵入限界需要更换时，应先立后拆，逐榀更换，不得先拆后立</w:t>
      </w:r>
    </w:p>
    <w:p w14:paraId="4E7D2E17">
      <w:pPr>
        <w:pStyle w:val="5"/>
        <w:jc w:val="left"/>
        <w:rPr>
          <w:rFonts w:hAnsi="Times New Roman"/>
          <w:color w:val="auto"/>
          <w:highlight w:val="none"/>
          <w:lang w:eastAsia="zh-CN"/>
        </w:rPr>
      </w:pPr>
      <w:r>
        <w:rPr>
          <w:rFonts w:hAnsi="Times New Roman"/>
          <w:color w:val="auto"/>
          <w:highlight w:val="none"/>
          <w:lang w:eastAsia="zh-CN"/>
        </w:rPr>
        <w:t>3.5.6</w:t>
      </w:r>
      <w:r>
        <w:rPr>
          <w:rFonts w:hint="eastAsia" w:hAnsi="Times New Roman"/>
          <w:color w:val="auto"/>
          <w:highlight w:val="none"/>
          <w:lang w:eastAsia="zh-CN"/>
        </w:rPr>
        <w:t>　</w:t>
      </w:r>
      <w:r>
        <w:rPr>
          <w:rFonts w:hint="eastAsia"/>
          <w:color w:val="auto"/>
          <w:highlight w:val="none"/>
          <w:lang w:eastAsia="zh-CN"/>
        </w:rPr>
        <w:t>衬砌</w:t>
      </w:r>
    </w:p>
    <w:p w14:paraId="08946E9F">
      <w:pPr>
        <w:pStyle w:val="5"/>
        <w:jc w:val="left"/>
        <w:rPr>
          <w:rFonts w:hAnsi="Times New Roman"/>
          <w:color w:val="auto"/>
          <w:highlight w:val="none"/>
          <w:lang w:eastAsia="zh-CN"/>
        </w:rPr>
      </w:pPr>
      <w:r>
        <w:rPr>
          <w:rFonts w:hAnsi="Times New Roman"/>
          <w:color w:val="auto"/>
          <w:highlight w:val="none"/>
          <w:lang w:eastAsia="zh-CN"/>
        </w:rPr>
        <w:t>3.5.6.1</w:t>
      </w:r>
      <w:r>
        <w:rPr>
          <w:rFonts w:hint="eastAsia" w:hAnsi="Times New Roman"/>
          <w:color w:val="auto"/>
          <w:highlight w:val="none"/>
          <w:lang w:eastAsia="zh-CN"/>
        </w:rPr>
        <w:t>　</w:t>
      </w:r>
      <w:r>
        <w:rPr>
          <w:rFonts w:hint="eastAsia"/>
          <w:color w:val="auto"/>
          <w:highlight w:val="none"/>
          <w:lang w:eastAsia="zh-CN"/>
        </w:rPr>
        <w:t>一般规定</w:t>
      </w:r>
    </w:p>
    <w:p w14:paraId="5929551E">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）衬砌作业应重点注意下列主要危险源、危害因素：</w:t>
      </w:r>
    </w:p>
    <w:p w14:paraId="14099464">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）临时用电不符合要求，作业面光照度不足；</w:t>
      </w:r>
    </w:p>
    <w:p w14:paraId="41B7B50C">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）衬砌时机选择不当，与开挖工作面距离过长；</w:t>
      </w:r>
    </w:p>
    <w:p w14:paraId="494CB3A1">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）作业台（支）架失稳，无安全防护或安全防护失效；</w:t>
      </w:r>
    </w:p>
    <w:p w14:paraId="4B93FE33">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）运输车辆安全措施不到位为导致车辆伤害；</w:t>
      </w:r>
    </w:p>
    <w:p w14:paraId="3467B992">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）混凝土泵送作业操作不当导致机械伤害；</w:t>
      </w:r>
    </w:p>
    <w:p w14:paraId="4E640599">
      <w:pPr>
        <w:ind w:firstLine="420"/>
        <w:jc w:val="left"/>
        <w:rPr>
          <w:rFonts w:hAnsi="Times New Roman"/>
          <w:color w:val="auto"/>
          <w:highlight w:val="none"/>
          <w:lang w:eastAsia="zh-CN"/>
        </w:rPr>
      </w:pPr>
      <w:r>
        <w:rPr>
          <w:rFonts w:hAnsi="Times New Roman"/>
          <w:color w:val="auto"/>
          <w:highlight w:val="none"/>
          <w:lang w:eastAsia="zh-CN"/>
        </w:rPr>
        <w:t>6</w:t>
      </w:r>
      <w:r>
        <w:rPr>
          <w:rFonts w:hint="eastAsia"/>
          <w:color w:val="auto"/>
          <w:highlight w:val="none"/>
          <w:lang w:eastAsia="zh-CN"/>
        </w:rPr>
        <w:t>）电线短路、电焊作业违规导致防水板燃烧引发火灾、中毒；</w:t>
      </w:r>
    </w:p>
    <w:p w14:paraId="487A7C67">
      <w:pPr>
        <w:ind w:firstLine="420"/>
        <w:jc w:val="left"/>
        <w:rPr>
          <w:rFonts w:hAnsi="Times New Roman"/>
          <w:color w:val="auto"/>
          <w:highlight w:val="none"/>
          <w:lang w:eastAsia="zh-CN"/>
        </w:rPr>
      </w:pPr>
      <w:r>
        <w:rPr>
          <w:rFonts w:hAnsi="Times New Roman"/>
          <w:color w:val="auto"/>
          <w:highlight w:val="none"/>
          <w:lang w:eastAsia="zh-CN"/>
        </w:rPr>
        <w:t>7</w:t>
      </w:r>
      <w:r>
        <w:rPr>
          <w:rFonts w:hint="eastAsia"/>
          <w:color w:val="auto"/>
          <w:highlight w:val="none"/>
          <w:lang w:eastAsia="zh-CN"/>
        </w:rPr>
        <w:t>）结构钢筋安装失稳坍塌。</w:t>
      </w:r>
    </w:p>
    <w:p w14:paraId="4EA7F20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）浅埋、偏压、围岩松散破碎等特殊地段和隧洞洞口段二次衬砌应尽早施作。</w:t>
      </w:r>
      <w:r>
        <w:rPr>
          <w:rFonts w:hint="eastAsia"/>
          <w:color w:val="auto"/>
          <w:highlight w:val="none"/>
          <w:lang w:val="en-GB" w:eastAsia="zh-CN"/>
        </w:rPr>
        <w:t>高地应力软岩大变形隧洞二次衬砌应在围岩变形速率趋缓，且不大于0.2mm/d方可施作。</w:t>
      </w:r>
    </w:p>
    <w:p w14:paraId="1701336D">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）隧洞仰拱宜先于拱墙二次衬砌施作，并应根据地质条件合理确定与开挖和衬砌作业面的距离。</w:t>
      </w:r>
    </w:p>
    <w:p w14:paraId="5F4E88F7">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4</w:t>
      </w:r>
      <w:r>
        <w:rPr>
          <w:rFonts w:hint="eastAsia"/>
          <w:color w:val="auto"/>
          <w:highlight w:val="none"/>
          <w:lang w:val="en-GB" w:eastAsia="zh-CN"/>
        </w:rPr>
        <w:t>）衬砌施工作业面用电应符合临时用电的要求，其照明应满足安全作业的需要，其照度不得低于30lx。</w:t>
      </w:r>
    </w:p>
    <w:p w14:paraId="7DB20807">
      <w:pPr>
        <w:suppressAutoHyphens/>
        <w:ind w:firstLine="420"/>
        <w:jc w:val="left"/>
        <w:rPr>
          <w:color w:val="auto"/>
          <w:highlight w:val="none"/>
          <w:lang w:val="en-GB" w:eastAsia="zh-CN"/>
        </w:rPr>
      </w:pPr>
      <w:r>
        <w:rPr>
          <w:rFonts w:hint="eastAsia"/>
          <w:color w:val="auto"/>
          <w:highlight w:val="none"/>
          <w:lang w:val="en-GB" w:eastAsia="zh-CN"/>
        </w:rPr>
        <w:t>（5）运输机械应按规定线路及速度行驶，通过台车、栈桥时应加强瞭望，并应有专人指挥，驻停时应设置防溜装置及安全警示标志。</w:t>
      </w:r>
    </w:p>
    <w:p w14:paraId="53858613">
      <w:pPr>
        <w:pStyle w:val="7"/>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6</w:t>
      </w:r>
      <w:r>
        <w:rPr>
          <w:rFonts w:hint="eastAsia"/>
          <w:color w:val="auto"/>
          <w:highlight w:val="none"/>
          <w:lang w:val="en-GB" w:eastAsia="zh-CN"/>
        </w:rPr>
        <w:t>）衬砌作业完毕后应及时清理作业场地、消除安全隐患，保持作业场地清爽、通行无碍。</w:t>
      </w:r>
    </w:p>
    <w:p w14:paraId="79D38AAF">
      <w:pPr>
        <w:pStyle w:val="5"/>
        <w:jc w:val="left"/>
        <w:rPr>
          <w:color w:val="auto"/>
          <w:highlight w:val="none"/>
          <w:lang w:eastAsia="zh-CN"/>
        </w:rPr>
      </w:pPr>
      <w:r>
        <w:rPr>
          <w:rFonts w:hAnsi="Times New Roman"/>
          <w:color w:val="auto"/>
          <w:highlight w:val="none"/>
          <w:lang w:eastAsia="zh-CN"/>
        </w:rPr>
        <w:t>3.5.6.2</w:t>
      </w:r>
      <w:r>
        <w:rPr>
          <w:rFonts w:hint="eastAsia" w:hAnsi="Times New Roman"/>
          <w:color w:val="auto"/>
          <w:highlight w:val="none"/>
          <w:lang w:eastAsia="zh-CN"/>
        </w:rPr>
        <w:t>　</w:t>
      </w:r>
      <w:r>
        <w:rPr>
          <w:rFonts w:hint="eastAsia"/>
          <w:color w:val="auto"/>
          <w:highlight w:val="none"/>
          <w:lang w:eastAsia="zh-CN"/>
        </w:rPr>
        <w:t>钢模台车、自行式仰拱栈桥、钢筋防水板作业台车</w:t>
      </w:r>
    </w:p>
    <w:p w14:paraId="7A0342F0">
      <w:pPr>
        <w:suppressAutoHyphens/>
        <w:ind w:firstLine="420"/>
        <w:jc w:val="left"/>
        <w:rPr>
          <w:color w:val="auto"/>
          <w:highlight w:val="none"/>
          <w:lang w:val="en-GB" w:eastAsia="zh-CN"/>
        </w:rPr>
      </w:pPr>
      <w:r>
        <w:rPr>
          <w:rFonts w:hint="eastAsia"/>
          <w:color w:val="auto"/>
          <w:highlight w:val="none"/>
          <w:lang w:val="en-GB" w:eastAsia="zh-CN"/>
        </w:rPr>
        <w:t>（1）钢模台车、自行式仰拱栈桥、钢筋防水板作业台车等应按临时钢结构进行设计，并应符合现行《钢结构设计规范》（GB 50017）相关规定。</w:t>
      </w:r>
    </w:p>
    <w:p w14:paraId="1AC7AE1C">
      <w:pPr>
        <w:suppressAutoHyphens/>
        <w:ind w:firstLine="420"/>
        <w:jc w:val="left"/>
        <w:rPr>
          <w:color w:val="auto"/>
          <w:highlight w:val="none"/>
          <w:lang w:val="en-GB" w:eastAsia="zh-CN"/>
        </w:rPr>
      </w:pPr>
      <w:r>
        <w:rPr>
          <w:rFonts w:hint="eastAsia"/>
          <w:color w:val="auto"/>
          <w:highlight w:val="none"/>
          <w:lang w:val="en-GB" w:eastAsia="zh-CN"/>
        </w:rPr>
        <w:t>（2）钢模台车、自行式仰拱栈桥、钢筋防水板作业台车应预留供作业人员、施工车辆通行以及安设风、水、电线路或管道的净空，其净空尺寸应满足安全通行相关要求。</w:t>
      </w:r>
    </w:p>
    <w:p w14:paraId="1B2636FA">
      <w:pPr>
        <w:suppressAutoHyphens/>
        <w:ind w:firstLine="420"/>
        <w:jc w:val="left"/>
        <w:rPr>
          <w:color w:val="auto"/>
          <w:highlight w:val="none"/>
          <w:lang w:val="en-GB" w:eastAsia="zh-CN"/>
        </w:rPr>
      </w:pPr>
      <w:r>
        <w:rPr>
          <w:rFonts w:hint="eastAsia"/>
          <w:color w:val="auto"/>
          <w:highlight w:val="none"/>
          <w:lang w:val="en-GB" w:eastAsia="zh-CN"/>
        </w:rPr>
        <w:t>（3）钢模台车、钢筋防水板作业台车应设置安全栏杆、人员工作梯，配足灭火器。</w:t>
      </w:r>
    </w:p>
    <w:p w14:paraId="63883A66">
      <w:pPr>
        <w:suppressAutoHyphens/>
        <w:ind w:firstLine="420"/>
        <w:jc w:val="left"/>
        <w:rPr>
          <w:color w:val="auto"/>
          <w:highlight w:val="none"/>
          <w:lang w:val="en-GB" w:eastAsia="zh-CN"/>
        </w:rPr>
      </w:pPr>
      <w:r>
        <w:rPr>
          <w:rFonts w:hint="eastAsia"/>
          <w:color w:val="auto"/>
          <w:highlight w:val="none"/>
          <w:lang w:val="en-GB" w:eastAsia="zh-CN"/>
        </w:rPr>
        <w:t>（4）钢模台车、作业平台上的电线路敷设及用电设施设置应符合洞内临时用电要求，并应有绝缘保护装置。</w:t>
      </w:r>
    </w:p>
    <w:p w14:paraId="532C600A">
      <w:pPr>
        <w:suppressAutoHyphens/>
        <w:ind w:firstLine="420"/>
        <w:jc w:val="left"/>
        <w:rPr>
          <w:color w:val="auto"/>
          <w:highlight w:val="none"/>
          <w:lang w:val="en-GB" w:eastAsia="zh-CN"/>
        </w:rPr>
      </w:pPr>
      <w:r>
        <w:rPr>
          <w:rFonts w:hint="eastAsia"/>
          <w:color w:val="auto"/>
          <w:highlight w:val="none"/>
          <w:lang w:val="en-GB" w:eastAsia="zh-CN"/>
        </w:rPr>
        <w:t>（5）钢模台车、自行式仰拱栈桥、钢筋防水板作业台车在洞内组装、拆卸时，应选择在成洞地段或围岩条件较好的未衬砌地段进行。</w:t>
      </w:r>
    </w:p>
    <w:p w14:paraId="60D15EF3">
      <w:pPr>
        <w:suppressAutoHyphens/>
        <w:ind w:firstLine="420"/>
        <w:jc w:val="left"/>
        <w:rPr>
          <w:color w:val="auto"/>
          <w:highlight w:val="none"/>
          <w:lang w:val="en-GB" w:eastAsia="zh-CN"/>
        </w:rPr>
      </w:pPr>
      <w:r>
        <w:rPr>
          <w:rFonts w:hint="eastAsia"/>
          <w:color w:val="auto"/>
          <w:highlight w:val="none"/>
          <w:lang w:val="en-GB" w:eastAsia="zh-CN"/>
        </w:rPr>
        <w:t>（6）洞内安拆钢模台车、自行式仰拱栈桥、钢筋防水板作业台车时，埋设各类吊点、吊具应牢固可靠；组装、拆卸进行吊装作业应符合起重作业要求。</w:t>
      </w:r>
    </w:p>
    <w:p w14:paraId="4D52F976">
      <w:pPr>
        <w:suppressAutoHyphens/>
        <w:ind w:firstLine="420"/>
        <w:jc w:val="left"/>
        <w:rPr>
          <w:color w:val="auto"/>
          <w:highlight w:val="none"/>
          <w:lang w:val="en-GB" w:eastAsia="zh-CN"/>
        </w:rPr>
      </w:pPr>
      <w:r>
        <w:rPr>
          <w:rFonts w:hint="eastAsia"/>
          <w:color w:val="auto"/>
          <w:highlight w:val="none"/>
          <w:lang w:val="en-GB" w:eastAsia="zh-CN"/>
        </w:rPr>
        <w:t>（7）钢模台车、自行式仰拱栈桥应具有出厂合格证和产品说明书，现场组装完毕后，应组织验收调试，合格后方可使用。</w:t>
      </w:r>
    </w:p>
    <w:p w14:paraId="322EB7A5">
      <w:pPr>
        <w:suppressAutoHyphens/>
        <w:ind w:firstLine="420"/>
        <w:jc w:val="left"/>
        <w:rPr>
          <w:color w:val="auto"/>
          <w:highlight w:val="none"/>
          <w:lang w:val="en-GB" w:eastAsia="zh-CN"/>
        </w:rPr>
      </w:pPr>
      <w:r>
        <w:rPr>
          <w:rFonts w:hint="eastAsia"/>
          <w:color w:val="auto"/>
          <w:highlight w:val="none"/>
          <w:lang w:val="en-GB" w:eastAsia="zh-CN"/>
        </w:rPr>
        <w:t>（8）钢模台车、自行式仰拱栈桥、钢筋防水板作业台车就位后，应配置防溜车装置，液压支撑应有锁定装置。</w:t>
      </w:r>
    </w:p>
    <w:p w14:paraId="6DDFBCEB">
      <w:pPr>
        <w:ind w:firstLine="420"/>
        <w:jc w:val="left"/>
        <w:rPr>
          <w:color w:val="auto"/>
          <w:highlight w:val="none"/>
          <w:lang w:eastAsia="zh-CN"/>
        </w:rPr>
      </w:pPr>
      <w:r>
        <w:rPr>
          <w:rFonts w:hint="eastAsia"/>
          <w:color w:val="auto"/>
          <w:highlight w:val="none"/>
          <w:lang w:val="en-GB" w:eastAsia="zh-CN"/>
        </w:rPr>
        <w:t>（9）混凝土浇筑过程中应检查钢模台车支撑系统，防止爆模和台车变形。</w:t>
      </w:r>
    </w:p>
    <w:p w14:paraId="7760D622">
      <w:pPr>
        <w:pStyle w:val="5"/>
        <w:jc w:val="left"/>
        <w:rPr>
          <w:color w:val="auto"/>
          <w:highlight w:val="none"/>
          <w:lang w:eastAsia="zh-CN"/>
        </w:rPr>
      </w:pPr>
      <w:r>
        <w:rPr>
          <w:rFonts w:hAnsi="Times New Roman"/>
          <w:color w:val="auto"/>
          <w:highlight w:val="none"/>
          <w:lang w:eastAsia="zh-CN"/>
        </w:rPr>
        <w:t>3.5.7</w:t>
      </w:r>
      <w:r>
        <w:rPr>
          <w:rFonts w:hint="eastAsia" w:hAnsi="Times New Roman"/>
          <w:color w:val="auto"/>
          <w:highlight w:val="none"/>
          <w:lang w:eastAsia="zh-CN"/>
        </w:rPr>
        <w:t>　</w:t>
      </w:r>
      <w:r>
        <w:rPr>
          <w:rFonts w:hint="eastAsia"/>
          <w:color w:val="auto"/>
          <w:highlight w:val="none"/>
          <w:lang w:eastAsia="zh-CN"/>
        </w:rPr>
        <w:t>钢筋</w:t>
      </w:r>
    </w:p>
    <w:p w14:paraId="4DB919C8">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w:t>
      </w:r>
      <w:r>
        <w:rPr>
          <w:rFonts w:hint="eastAsia"/>
          <w:color w:val="auto"/>
          <w:highlight w:val="none"/>
          <w:lang w:val="en-GB" w:eastAsia="zh-CN"/>
        </w:rPr>
        <w:t>）隧洞内运输钢筋应根据各类作业台架腹下净空、洞内设施情况进行装载并捆绑牢固，固定可靠，防止发生碰撞和掉落。</w:t>
      </w:r>
    </w:p>
    <w:p w14:paraId="19C630A1">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2</w:t>
      </w:r>
      <w:r>
        <w:rPr>
          <w:rFonts w:hint="eastAsia"/>
          <w:color w:val="auto"/>
          <w:highlight w:val="none"/>
          <w:lang w:val="en-GB" w:eastAsia="zh-CN"/>
        </w:rPr>
        <w:t>）焊接作业时，应设临时阻燃挡板防止焊渣引燃防水板发生火灾、中毒事故。</w:t>
      </w:r>
    </w:p>
    <w:p w14:paraId="0A4CA2F5">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3</w:t>
      </w:r>
      <w:r>
        <w:rPr>
          <w:rFonts w:hint="eastAsia"/>
          <w:color w:val="auto"/>
          <w:highlight w:val="none"/>
          <w:lang w:val="en-GB" w:eastAsia="zh-CN"/>
        </w:rPr>
        <w:t>）衬砌钢筋安装过程中应设置临时支撑、防倾倒和防碰撞措施，临时支撑应牢固可靠。</w:t>
      </w:r>
    </w:p>
    <w:p w14:paraId="4136CE1D">
      <w:pPr>
        <w:pStyle w:val="7"/>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4</w:t>
      </w:r>
      <w:r>
        <w:rPr>
          <w:rFonts w:hint="eastAsia"/>
          <w:color w:val="auto"/>
          <w:highlight w:val="none"/>
          <w:lang w:val="en-GB" w:eastAsia="zh-CN"/>
        </w:rPr>
        <w:t>）绑扎仰拱钢筋时，如施工栈桥上要通行机械设备，施工栈桥下的作业人员应提前避让至安全环境。</w:t>
      </w:r>
    </w:p>
    <w:p w14:paraId="41118C10">
      <w:pPr>
        <w:pStyle w:val="5"/>
        <w:jc w:val="left"/>
        <w:rPr>
          <w:color w:val="auto"/>
          <w:highlight w:val="none"/>
          <w:lang w:eastAsia="zh-CN"/>
        </w:rPr>
      </w:pPr>
      <w:r>
        <w:rPr>
          <w:rFonts w:hAnsi="Times New Roman"/>
          <w:color w:val="auto"/>
          <w:highlight w:val="none"/>
          <w:lang w:eastAsia="zh-CN"/>
        </w:rPr>
        <w:t>3.5.8</w:t>
      </w:r>
      <w:r>
        <w:rPr>
          <w:rFonts w:hint="eastAsia" w:hAnsi="Times New Roman"/>
          <w:color w:val="auto"/>
          <w:highlight w:val="none"/>
          <w:lang w:eastAsia="zh-CN"/>
        </w:rPr>
        <w:t>　</w:t>
      </w:r>
      <w:r>
        <w:rPr>
          <w:rFonts w:hint="eastAsia"/>
          <w:color w:val="auto"/>
          <w:highlight w:val="none"/>
          <w:lang w:eastAsia="zh-CN"/>
        </w:rPr>
        <w:t>混凝土浇筑</w:t>
      </w:r>
    </w:p>
    <w:p w14:paraId="2D7DCFD3">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w:t>
      </w:r>
      <w:r>
        <w:rPr>
          <w:rFonts w:hint="eastAsia"/>
          <w:color w:val="auto"/>
          <w:highlight w:val="none"/>
          <w:lang w:val="en-GB" w:eastAsia="zh-CN"/>
        </w:rPr>
        <w:t>）泵送混凝土管道安设及连接应符合规定，施工过程中应检查其连接的可靠性、安全性及管道的稳定性。</w:t>
      </w:r>
    </w:p>
    <w:p w14:paraId="2D2EA532">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2</w:t>
      </w:r>
      <w:r>
        <w:rPr>
          <w:rFonts w:hint="eastAsia"/>
          <w:color w:val="auto"/>
          <w:highlight w:val="none"/>
          <w:lang w:val="en-GB" w:eastAsia="zh-CN"/>
        </w:rPr>
        <w:t>）泵送混凝土管道堵塞时，应及时停止泵送并逐节检查确定堵塞部位。堵管处理应按操作程序进行，不得违规作业。</w:t>
      </w:r>
    </w:p>
    <w:p w14:paraId="298899AD">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3</w:t>
      </w:r>
      <w:r>
        <w:rPr>
          <w:rFonts w:hint="eastAsia"/>
          <w:color w:val="auto"/>
          <w:highlight w:val="none"/>
          <w:lang w:val="en-GB" w:eastAsia="zh-CN"/>
        </w:rPr>
        <w:t>）衬砌混凝土浇筑时应控制浇筑速度，并保证两侧基本对称浇筑。</w:t>
      </w:r>
    </w:p>
    <w:p w14:paraId="1C7B1FA3">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4</w:t>
      </w:r>
      <w:r>
        <w:rPr>
          <w:rFonts w:hint="eastAsia"/>
          <w:color w:val="auto"/>
          <w:highlight w:val="none"/>
          <w:lang w:val="en-GB" w:eastAsia="zh-CN"/>
        </w:rPr>
        <w:t>）钢模台车端头挡板与防水板、台车间接触面应紧密，挡板支撑应稳固。混凝土浇筑过程中应检查挡板及支撑的安全状况。</w:t>
      </w:r>
    </w:p>
    <w:p w14:paraId="16173889">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5</w:t>
      </w:r>
      <w:r>
        <w:rPr>
          <w:rFonts w:hint="eastAsia"/>
          <w:color w:val="auto"/>
          <w:highlight w:val="none"/>
          <w:lang w:val="en-GB" w:eastAsia="zh-CN"/>
        </w:rPr>
        <w:t>）混凝土浇筑过程中钢模台车出现变形等异常情况时，作业人员应及时撤离作业平台，隐患消除后方可恢复作业。</w:t>
      </w:r>
    </w:p>
    <w:p w14:paraId="5A32159C">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6</w:t>
      </w:r>
      <w:r>
        <w:rPr>
          <w:rFonts w:hint="eastAsia"/>
          <w:color w:val="auto"/>
          <w:highlight w:val="none"/>
          <w:lang w:val="en-GB" w:eastAsia="zh-CN"/>
        </w:rPr>
        <w:t>）浇筑仰拱、填充混凝土时，如施工栈桥要通行机械设备，仰拱栈桥下的作业人员应提前避让至安全环境。</w:t>
      </w:r>
    </w:p>
    <w:p w14:paraId="51B8CBBE">
      <w:pPr>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7</w:t>
      </w:r>
      <w:r>
        <w:rPr>
          <w:rFonts w:hint="eastAsia"/>
          <w:color w:val="auto"/>
          <w:highlight w:val="none"/>
          <w:lang w:val="en-GB" w:eastAsia="zh-CN"/>
        </w:rPr>
        <w:t>）仰拱施工栈桥基础应稳固，桥面应防滑，栈桥两端应设警示标志，车辆通过速度不得超过5km/h，车辆过栈桥应有专人指挥。</w:t>
      </w:r>
    </w:p>
    <w:p w14:paraId="58442224">
      <w:pPr>
        <w:pStyle w:val="5"/>
        <w:jc w:val="left"/>
        <w:rPr>
          <w:color w:val="auto"/>
          <w:highlight w:val="none"/>
          <w:lang w:eastAsia="zh-CN"/>
        </w:rPr>
      </w:pPr>
      <w:r>
        <w:rPr>
          <w:rFonts w:hAnsi="Times New Roman"/>
          <w:color w:val="auto"/>
          <w:highlight w:val="none"/>
          <w:lang w:eastAsia="zh-CN"/>
        </w:rPr>
        <w:t>3.5.9</w:t>
      </w:r>
      <w:r>
        <w:rPr>
          <w:rFonts w:hint="eastAsia" w:hAnsi="Times New Roman"/>
          <w:color w:val="auto"/>
          <w:highlight w:val="none"/>
          <w:lang w:eastAsia="zh-CN"/>
        </w:rPr>
        <w:t>　</w:t>
      </w:r>
      <w:r>
        <w:rPr>
          <w:rFonts w:hint="eastAsia"/>
          <w:color w:val="auto"/>
          <w:highlight w:val="none"/>
          <w:lang w:eastAsia="zh-CN"/>
        </w:rPr>
        <w:t>监控量测</w:t>
      </w:r>
    </w:p>
    <w:p w14:paraId="0ADB39C8">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w:t>
      </w:r>
      <w:r>
        <w:rPr>
          <w:rFonts w:hint="eastAsia"/>
          <w:color w:val="auto"/>
          <w:highlight w:val="none"/>
          <w:lang w:val="en-GB" w:eastAsia="zh-CN"/>
        </w:rPr>
        <w:t>）监控量测作业应考虑下列主要危险源、危害因素：</w:t>
      </w:r>
    </w:p>
    <w:p w14:paraId="130ACDE6">
      <w:pPr>
        <w:suppressAutoHyphens/>
        <w:ind w:firstLine="420"/>
        <w:jc w:val="left"/>
        <w:rPr>
          <w:color w:val="auto"/>
          <w:highlight w:val="none"/>
          <w:lang w:val="en-GB" w:eastAsia="zh-CN"/>
        </w:rPr>
      </w:pPr>
      <w:r>
        <w:rPr>
          <w:rFonts w:hint="eastAsia"/>
          <w:color w:val="auto"/>
          <w:highlight w:val="none"/>
          <w:lang w:val="en-GB" w:eastAsia="zh-CN"/>
        </w:rPr>
        <w:t>1）监控量测方案不合理，元器件损坏，采集数据失真；</w:t>
      </w:r>
    </w:p>
    <w:p w14:paraId="67CF3DBF">
      <w:pPr>
        <w:suppressAutoHyphens/>
        <w:ind w:firstLine="420"/>
        <w:jc w:val="left"/>
        <w:rPr>
          <w:color w:val="auto"/>
          <w:highlight w:val="none"/>
          <w:lang w:val="en-GB" w:eastAsia="zh-CN"/>
        </w:rPr>
      </w:pPr>
      <w:r>
        <w:rPr>
          <w:rFonts w:hint="eastAsia"/>
          <w:color w:val="auto"/>
          <w:highlight w:val="none"/>
          <w:lang w:val="en-GB" w:eastAsia="zh-CN"/>
        </w:rPr>
        <w:t>2）监控量测工作面未找顶、支护不及时，照明光照度不足；</w:t>
      </w:r>
    </w:p>
    <w:p w14:paraId="347B8ECE">
      <w:pPr>
        <w:suppressAutoHyphens/>
        <w:ind w:firstLine="420"/>
        <w:jc w:val="left"/>
        <w:rPr>
          <w:color w:val="auto"/>
          <w:highlight w:val="none"/>
          <w:lang w:val="en-GB" w:eastAsia="zh-CN"/>
        </w:rPr>
      </w:pPr>
      <w:r>
        <w:rPr>
          <w:rFonts w:hint="eastAsia"/>
          <w:color w:val="auto"/>
          <w:highlight w:val="none"/>
          <w:lang w:val="en-GB" w:eastAsia="zh-CN"/>
        </w:rPr>
        <w:t>3）作业平台防护不到位，个人防护用品未按规定佩戴；</w:t>
      </w:r>
    </w:p>
    <w:p w14:paraId="09D60D56">
      <w:pPr>
        <w:suppressAutoHyphens/>
        <w:ind w:firstLine="420"/>
        <w:jc w:val="left"/>
        <w:rPr>
          <w:color w:val="auto"/>
          <w:highlight w:val="none"/>
          <w:lang w:val="en-GB" w:eastAsia="zh-CN"/>
        </w:rPr>
      </w:pPr>
      <w:r>
        <w:rPr>
          <w:rFonts w:hint="eastAsia"/>
          <w:color w:val="auto"/>
          <w:highlight w:val="none"/>
          <w:lang w:val="en-GB" w:eastAsia="zh-CN"/>
        </w:rPr>
        <w:t>4）富水和断层、蚀变、岩爆隧洞安装量测仪器或钻孔作业时，出现突水、突泥等异常情况；</w:t>
      </w:r>
    </w:p>
    <w:p w14:paraId="4741D8A6">
      <w:pPr>
        <w:suppressAutoHyphens/>
        <w:ind w:firstLine="420"/>
        <w:jc w:val="left"/>
        <w:rPr>
          <w:color w:val="auto"/>
          <w:highlight w:val="none"/>
          <w:lang w:val="en-GB" w:eastAsia="zh-CN"/>
        </w:rPr>
      </w:pPr>
      <w:r>
        <w:rPr>
          <w:rFonts w:hint="eastAsia"/>
          <w:color w:val="auto"/>
          <w:highlight w:val="none"/>
          <w:lang w:val="en-GB" w:eastAsia="zh-CN"/>
        </w:rPr>
        <w:t>5）施工安全性评价等级不准。</w:t>
      </w:r>
    </w:p>
    <w:p w14:paraId="12CC2D2A">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2</w:t>
      </w:r>
      <w:r>
        <w:rPr>
          <w:rFonts w:hint="eastAsia"/>
          <w:color w:val="auto"/>
          <w:highlight w:val="none"/>
          <w:lang w:val="en-GB" w:eastAsia="zh-CN"/>
        </w:rPr>
        <w:t>）应根据隧洞工程特点、施工方法制定监控量测专项方案，方案应包括安全保障措施，施工前应进行安全技术交底。</w:t>
      </w:r>
    </w:p>
    <w:p w14:paraId="45923B87">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3</w:t>
      </w:r>
      <w:r>
        <w:rPr>
          <w:rFonts w:hint="eastAsia"/>
          <w:color w:val="auto"/>
          <w:highlight w:val="none"/>
          <w:lang w:val="en-GB" w:eastAsia="zh-CN"/>
        </w:rPr>
        <w:t>）监控量测应纳入施工工序管理，监控量测应配备专职人员。工程地质和环境条件特别复杂的隧洞，应选择具有资质的专业单位实施。</w:t>
      </w:r>
    </w:p>
    <w:p w14:paraId="4A7C59BF">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4</w:t>
      </w:r>
      <w:r>
        <w:rPr>
          <w:rFonts w:hint="eastAsia"/>
          <w:color w:val="auto"/>
          <w:highlight w:val="none"/>
          <w:lang w:val="en-GB" w:eastAsia="zh-CN"/>
        </w:rPr>
        <w:t>）监控量测成果应实施分级管理，明确不同管理等级的信息报告程序、响应处置流程和相关人员工作职责。</w:t>
      </w:r>
    </w:p>
    <w:p w14:paraId="0859A847">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5</w:t>
      </w:r>
      <w:r>
        <w:rPr>
          <w:rFonts w:hint="eastAsia"/>
          <w:color w:val="auto"/>
          <w:highlight w:val="none"/>
          <w:lang w:val="en-GB" w:eastAsia="zh-CN"/>
        </w:rPr>
        <w:t>）监控量测人员应经过隧洞施工安全教育培训，掌握安全操作技术和安全生产基本知识。</w:t>
      </w:r>
    </w:p>
    <w:p w14:paraId="11660697">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6</w:t>
      </w:r>
      <w:r>
        <w:rPr>
          <w:rFonts w:hint="eastAsia"/>
          <w:color w:val="auto"/>
          <w:highlight w:val="none"/>
          <w:lang w:val="en-GB" w:eastAsia="zh-CN"/>
        </w:rPr>
        <w:t>）监控量测作业区域照明的光照度应满足数据采集和作业人员安全操作的需要。</w:t>
      </w:r>
    </w:p>
    <w:p w14:paraId="11A46A8E">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7</w:t>
      </w:r>
      <w:r>
        <w:rPr>
          <w:rFonts w:hint="eastAsia"/>
          <w:color w:val="auto"/>
          <w:highlight w:val="none"/>
          <w:lang w:val="en-GB" w:eastAsia="zh-CN"/>
        </w:rPr>
        <w:t>）监控量测点应设置醒目标识，施工中应妥善保护。</w:t>
      </w:r>
    </w:p>
    <w:p w14:paraId="26429614">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8</w:t>
      </w:r>
      <w:r>
        <w:rPr>
          <w:rFonts w:hint="eastAsia"/>
          <w:color w:val="auto"/>
          <w:highlight w:val="none"/>
          <w:lang w:val="en-GB" w:eastAsia="zh-CN"/>
        </w:rPr>
        <w:t>）有岩爆危害的隧洞量测点应在岩爆发生低概率时段内设置，应采用非接触式量测手段。</w:t>
      </w:r>
    </w:p>
    <w:p w14:paraId="0B1969A3">
      <w:pPr>
        <w:pStyle w:val="54"/>
        <w:ind w:firstLine="420"/>
        <w:jc w:val="left"/>
        <w:rPr>
          <w:color w:val="auto"/>
          <w:spacing w:val="-3"/>
          <w:highlight w:val="none"/>
          <w:lang w:val="en-GB" w:eastAsia="zh-CN"/>
        </w:rPr>
      </w:pPr>
      <w:r>
        <w:rPr>
          <w:rFonts w:hint="eastAsia"/>
          <w:color w:val="auto"/>
          <w:spacing w:val="0"/>
          <w:highlight w:val="none"/>
          <w:lang w:val="en-GB" w:eastAsia="zh-CN"/>
        </w:rPr>
        <w:t>（</w:t>
      </w:r>
      <w:r>
        <w:rPr>
          <w:color w:val="auto"/>
          <w:spacing w:val="0"/>
          <w:highlight w:val="none"/>
          <w:lang w:eastAsia="zh-CN"/>
        </w:rPr>
        <w:t>9</w:t>
      </w:r>
      <w:r>
        <w:rPr>
          <w:rFonts w:hint="eastAsia"/>
          <w:color w:val="auto"/>
          <w:spacing w:val="0"/>
          <w:highlight w:val="none"/>
          <w:lang w:val="en-GB" w:eastAsia="zh-CN"/>
        </w:rPr>
        <w:t>）</w:t>
      </w:r>
      <w:r>
        <w:rPr>
          <w:rFonts w:hint="eastAsia"/>
          <w:color w:val="auto"/>
          <w:spacing w:val="-3"/>
          <w:highlight w:val="none"/>
          <w:lang w:val="en-GB" w:eastAsia="zh-CN"/>
        </w:rPr>
        <w:t>开展监控量测工作，应对围岩和支护的稳定状况进行观察，确认工作环境安全。</w:t>
      </w:r>
    </w:p>
    <w:p w14:paraId="4E936AB6">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10</w:t>
      </w:r>
      <w:r>
        <w:rPr>
          <w:rFonts w:hint="eastAsia"/>
          <w:color w:val="auto"/>
          <w:highlight w:val="none"/>
          <w:lang w:val="en-GB" w:eastAsia="zh-CN"/>
        </w:rPr>
        <w:t>）监控量测作业台架、高空升降车、升降梯等应安设牢固，高处作业操作人员应系安全带。</w:t>
      </w:r>
    </w:p>
    <w:p w14:paraId="0674B841">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11</w:t>
      </w:r>
      <w:r>
        <w:rPr>
          <w:rFonts w:hint="eastAsia"/>
          <w:color w:val="auto"/>
          <w:highlight w:val="none"/>
          <w:lang w:val="en-GB" w:eastAsia="zh-CN"/>
        </w:rPr>
        <w:t>）安装多点锚杆位移器、锚杆应力计，其钻孔作业应由钻机操作人员施作。</w:t>
      </w:r>
    </w:p>
    <w:p w14:paraId="141EB2EC">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12</w:t>
      </w:r>
      <w:r>
        <w:rPr>
          <w:rFonts w:hint="eastAsia"/>
          <w:color w:val="auto"/>
          <w:highlight w:val="none"/>
          <w:lang w:val="en-GB" w:eastAsia="zh-CN"/>
        </w:rPr>
        <w:t>）施工现场应建立监控量测数据复核、审查制度，保证数据的准确性。</w:t>
      </w:r>
    </w:p>
    <w:p w14:paraId="5013AA10">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13</w:t>
      </w:r>
      <w:r>
        <w:rPr>
          <w:rFonts w:hint="eastAsia"/>
          <w:color w:val="auto"/>
          <w:highlight w:val="none"/>
          <w:lang w:val="en-GB" w:eastAsia="zh-CN"/>
        </w:rPr>
        <w:t>）监控量测数据采集后应及时录入监控量测信息管理系统，确保数据的不可更改和可追溯。</w:t>
      </w:r>
    </w:p>
    <w:p w14:paraId="7363033D">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14</w:t>
      </w:r>
      <w:r>
        <w:rPr>
          <w:rFonts w:hint="eastAsia"/>
          <w:color w:val="auto"/>
          <w:highlight w:val="none"/>
          <w:lang w:val="en-GB" w:eastAsia="zh-CN"/>
        </w:rPr>
        <w:t>）监控量测信息反馈应根据监控量测数据分析结果，对施工安全性进行评价，并提出相应的应对措施与建议。</w:t>
      </w:r>
    </w:p>
    <w:p w14:paraId="7B561E63">
      <w:pPr>
        <w:pStyle w:val="7"/>
        <w:ind w:firstLine="420"/>
        <w:jc w:val="left"/>
        <w:rPr>
          <w:color w:val="auto"/>
          <w:highlight w:val="none"/>
          <w:lang w:eastAsia="zh-CN"/>
        </w:rPr>
      </w:pPr>
      <w:r>
        <w:rPr>
          <w:rFonts w:hint="eastAsia"/>
          <w:color w:val="auto"/>
          <w:highlight w:val="none"/>
          <w:lang w:val="en-GB" w:eastAsia="zh-CN"/>
        </w:rPr>
        <w:t>（</w:t>
      </w:r>
      <w:r>
        <w:rPr>
          <w:color w:val="auto"/>
          <w:highlight w:val="none"/>
          <w:lang w:eastAsia="zh-CN"/>
        </w:rPr>
        <w:t>15</w:t>
      </w:r>
      <w:r>
        <w:rPr>
          <w:rFonts w:hint="eastAsia"/>
          <w:color w:val="auto"/>
          <w:highlight w:val="none"/>
          <w:lang w:val="en-GB" w:eastAsia="zh-CN"/>
        </w:rPr>
        <w:t>）监控量测数据应开展实时分析和阶段分析，异常情况应立即报告，并进行应急处置。</w:t>
      </w:r>
    </w:p>
    <w:p w14:paraId="63478812">
      <w:pPr>
        <w:pStyle w:val="5"/>
        <w:jc w:val="left"/>
        <w:rPr>
          <w:rFonts w:hAnsi="Times New Roman"/>
          <w:color w:val="auto"/>
          <w:highlight w:val="none"/>
          <w:lang w:eastAsia="zh-CN"/>
        </w:rPr>
      </w:pPr>
      <w:r>
        <w:rPr>
          <w:rFonts w:hAnsi="Times New Roman"/>
          <w:color w:val="auto"/>
          <w:highlight w:val="none"/>
          <w:lang w:eastAsia="zh-CN"/>
        </w:rPr>
        <w:t>3.5.10</w:t>
      </w:r>
      <w:r>
        <w:rPr>
          <w:rFonts w:hint="eastAsia" w:hAnsi="Times New Roman"/>
          <w:color w:val="auto"/>
          <w:highlight w:val="none"/>
          <w:lang w:eastAsia="zh-CN"/>
        </w:rPr>
        <w:t>　</w:t>
      </w:r>
      <w:r>
        <w:rPr>
          <w:rFonts w:hint="eastAsia"/>
          <w:color w:val="auto"/>
          <w:highlight w:val="none"/>
          <w:lang w:eastAsia="zh-CN"/>
        </w:rPr>
        <w:t>施工风水电与防尘、照明</w:t>
      </w:r>
    </w:p>
    <w:p w14:paraId="5BC49BC0">
      <w:pPr>
        <w:pStyle w:val="5"/>
        <w:jc w:val="left"/>
        <w:rPr>
          <w:rFonts w:hAnsi="Times New Roman"/>
          <w:color w:val="auto"/>
          <w:highlight w:val="none"/>
          <w:lang w:eastAsia="zh-CN"/>
        </w:rPr>
      </w:pPr>
      <w:r>
        <w:rPr>
          <w:rFonts w:hAnsi="Times New Roman"/>
          <w:color w:val="auto"/>
          <w:highlight w:val="none"/>
          <w:lang w:eastAsia="zh-CN"/>
        </w:rPr>
        <w:t>3.5.10.1</w:t>
      </w:r>
      <w:r>
        <w:rPr>
          <w:rFonts w:hint="eastAsia" w:hAnsi="Times New Roman"/>
          <w:color w:val="auto"/>
          <w:highlight w:val="none"/>
          <w:lang w:eastAsia="zh-CN"/>
        </w:rPr>
        <w:t>　</w:t>
      </w:r>
      <w:r>
        <w:rPr>
          <w:rFonts w:hint="eastAsia"/>
          <w:color w:val="auto"/>
          <w:highlight w:val="none"/>
          <w:lang w:eastAsia="zh-CN"/>
        </w:rPr>
        <w:t>一般规定</w:t>
      </w:r>
    </w:p>
    <w:p w14:paraId="6658605C">
      <w:pPr>
        <w:ind w:firstLine="420"/>
        <w:jc w:val="left"/>
        <w:rPr>
          <w:rFonts w:hAnsi="Times New Roman"/>
          <w:color w:val="auto"/>
          <w:highlight w:val="none"/>
          <w:lang w:eastAsia="zh-CN"/>
        </w:rPr>
      </w:pPr>
      <w:r>
        <w:rPr>
          <w:rFonts w:hint="eastAsia" w:hAnsi="Times New Roman"/>
          <w:color w:val="auto"/>
          <w:highlight w:val="none"/>
          <w:lang w:eastAsia="zh-CN"/>
        </w:rPr>
        <w:t>（1）隧洞供风、供水、供电、排水施工均应编制安全专项方案。</w:t>
      </w:r>
    </w:p>
    <w:p w14:paraId="0DB47EC1">
      <w:pPr>
        <w:ind w:firstLine="420"/>
        <w:jc w:val="left"/>
        <w:rPr>
          <w:rFonts w:hAnsi="Times New Roman"/>
          <w:color w:val="auto"/>
          <w:highlight w:val="none"/>
          <w:lang w:eastAsia="zh-CN"/>
        </w:rPr>
      </w:pPr>
      <w:r>
        <w:rPr>
          <w:rFonts w:hint="eastAsia" w:hAnsi="Times New Roman"/>
          <w:color w:val="auto"/>
          <w:highlight w:val="none"/>
          <w:lang w:eastAsia="zh-CN"/>
        </w:rPr>
        <w:t>（2）隧洞供风、供水、供电、排水施工所使用材料及设备应具有满足使用功能、环境保护、职业健康要求的合格证明材料，并应组织进场验收。</w:t>
      </w:r>
    </w:p>
    <w:p w14:paraId="5CC26509">
      <w:pPr>
        <w:ind w:firstLine="420"/>
        <w:jc w:val="left"/>
        <w:rPr>
          <w:rFonts w:hAnsi="Times New Roman"/>
          <w:color w:val="auto"/>
          <w:highlight w:val="none"/>
          <w:lang w:eastAsia="zh-CN"/>
        </w:rPr>
      </w:pPr>
      <w:r>
        <w:rPr>
          <w:rFonts w:hint="eastAsia" w:hAnsi="Times New Roman"/>
          <w:color w:val="auto"/>
          <w:highlight w:val="none"/>
          <w:lang w:eastAsia="zh-CN"/>
        </w:rPr>
        <w:t>（3）隧洞供风、供水、供电、排水施工管线的设置应做到敷设规整、标识清晰、防护到位。</w:t>
      </w:r>
    </w:p>
    <w:p w14:paraId="2B4C172C">
      <w:pPr>
        <w:ind w:firstLine="420"/>
        <w:jc w:val="left"/>
        <w:rPr>
          <w:rFonts w:hAnsi="Times New Roman"/>
          <w:color w:val="auto"/>
          <w:highlight w:val="none"/>
          <w:lang w:eastAsia="zh-CN"/>
        </w:rPr>
      </w:pPr>
      <w:r>
        <w:rPr>
          <w:rFonts w:hint="eastAsia" w:hAnsi="Times New Roman"/>
          <w:color w:val="auto"/>
          <w:highlight w:val="none"/>
          <w:lang w:eastAsia="zh-CN"/>
        </w:rPr>
        <w:t>（4）隧洞作业应保持照明、通风良好、排水畅通，应采取必要的安全措施。</w:t>
      </w:r>
    </w:p>
    <w:p w14:paraId="2A829C7F">
      <w:pPr>
        <w:ind w:firstLine="420"/>
        <w:jc w:val="left"/>
        <w:rPr>
          <w:rFonts w:hAnsi="Times New Roman"/>
          <w:color w:val="auto"/>
          <w:highlight w:val="none"/>
          <w:lang w:eastAsia="zh-CN"/>
        </w:rPr>
      </w:pPr>
      <w:r>
        <w:rPr>
          <w:rFonts w:hint="eastAsia" w:hAnsi="Times New Roman"/>
          <w:color w:val="auto"/>
          <w:highlight w:val="none"/>
          <w:lang w:eastAsia="zh-CN"/>
        </w:rPr>
        <w:t>（5）常见产生粉尘危害的作业场所应采取相应措施控制粉尘浓度。</w:t>
      </w:r>
    </w:p>
    <w:p w14:paraId="5F20764C">
      <w:pPr>
        <w:ind w:firstLine="420"/>
        <w:jc w:val="left"/>
        <w:rPr>
          <w:rFonts w:hint="eastAsia" w:hAnsi="Times New Roman"/>
          <w:color w:val="auto"/>
          <w:highlight w:val="none"/>
          <w:lang w:eastAsia="zh-CN"/>
        </w:rPr>
      </w:pPr>
      <w:r>
        <w:rPr>
          <w:rFonts w:hint="eastAsia" w:hAnsi="Times New Roman"/>
          <w:color w:val="auto"/>
          <w:highlight w:val="none"/>
          <w:lang w:eastAsia="zh-CN"/>
        </w:rPr>
        <w:t>（6）地下洞室施工应有强制通风设施，确保洞内粉尘、烟尘、废气及时排出。</w:t>
      </w:r>
    </w:p>
    <w:p w14:paraId="74461BD6">
      <w:pPr>
        <w:pStyle w:val="5"/>
        <w:jc w:val="left"/>
        <w:rPr>
          <w:rFonts w:hAnsi="Times New Roman"/>
          <w:color w:val="auto"/>
          <w:highlight w:val="none"/>
          <w:lang w:eastAsia="zh-CN"/>
        </w:rPr>
      </w:pPr>
      <w:r>
        <w:rPr>
          <w:rFonts w:hAnsi="Times New Roman"/>
          <w:color w:val="auto"/>
          <w:highlight w:val="none"/>
          <w:lang w:eastAsia="zh-CN"/>
        </w:rPr>
        <w:t>3.5.10.2</w:t>
      </w:r>
      <w:r>
        <w:rPr>
          <w:rFonts w:hint="eastAsia" w:hAnsi="Times New Roman" w:cs="Times New Roman"/>
          <w:color w:val="auto"/>
          <w:highlight w:val="none"/>
          <w:lang w:eastAsia="zh-CN"/>
        </w:rPr>
        <w:t>　</w:t>
      </w:r>
      <w:r>
        <w:rPr>
          <w:rFonts w:hint="eastAsia" w:hAnsi="Times New Roman"/>
          <w:color w:val="auto"/>
          <w:highlight w:val="none"/>
          <w:lang w:eastAsia="zh-CN"/>
        </w:rPr>
        <w:t>供风</w:t>
      </w:r>
    </w:p>
    <w:p w14:paraId="0BFECE4F">
      <w:pPr>
        <w:ind w:firstLine="420"/>
        <w:jc w:val="left"/>
        <w:rPr>
          <w:rFonts w:hAnsi="Times New Roman"/>
          <w:color w:val="auto"/>
          <w:highlight w:val="none"/>
          <w:lang w:eastAsia="zh-CN"/>
        </w:rPr>
      </w:pPr>
      <w:r>
        <w:rPr>
          <w:rFonts w:hint="eastAsia" w:hAnsi="Times New Roman"/>
          <w:color w:val="auto"/>
          <w:highlight w:val="none"/>
          <w:lang w:eastAsia="zh-CN"/>
        </w:rPr>
        <w:t>（1）供风作业应考虑下列主要危险源、危害因素：</w:t>
      </w:r>
    </w:p>
    <w:p w14:paraId="16D9D365">
      <w:pPr>
        <w:ind w:firstLine="420"/>
        <w:jc w:val="left"/>
        <w:rPr>
          <w:rFonts w:hAnsi="Times New Roman"/>
          <w:color w:val="auto"/>
          <w:highlight w:val="none"/>
          <w:lang w:eastAsia="zh-CN"/>
        </w:rPr>
      </w:pPr>
      <w:r>
        <w:rPr>
          <w:rFonts w:hint="eastAsia" w:hAnsi="Times New Roman"/>
          <w:color w:val="auto"/>
          <w:highlight w:val="none"/>
          <w:lang w:eastAsia="zh-CN"/>
        </w:rPr>
        <w:t>1）空压机失效；</w:t>
      </w:r>
    </w:p>
    <w:p w14:paraId="67AF0F76">
      <w:pPr>
        <w:ind w:firstLine="420"/>
        <w:jc w:val="left"/>
        <w:rPr>
          <w:rFonts w:hAnsi="Times New Roman"/>
          <w:color w:val="auto"/>
          <w:highlight w:val="none"/>
          <w:lang w:eastAsia="zh-CN"/>
        </w:rPr>
      </w:pPr>
      <w:r>
        <w:rPr>
          <w:rFonts w:hint="eastAsia" w:hAnsi="Times New Roman"/>
          <w:color w:val="auto"/>
          <w:highlight w:val="none"/>
          <w:lang w:eastAsia="zh-CN"/>
        </w:rPr>
        <w:t>2）供风管管材不合格，供风管使用中有破损、漏风。</w:t>
      </w:r>
    </w:p>
    <w:p w14:paraId="143C642F">
      <w:pPr>
        <w:ind w:firstLine="420"/>
        <w:jc w:val="left"/>
        <w:rPr>
          <w:rFonts w:hAnsi="Times New Roman"/>
          <w:color w:val="auto"/>
          <w:highlight w:val="none"/>
          <w:lang w:eastAsia="zh-CN"/>
        </w:rPr>
      </w:pPr>
      <w:r>
        <w:rPr>
          <w:rFonts w:hint="eastAsia" w:hAnsi="Times New Roman"/>
          <w:color w:val="auto"/>
          <w:highlight w:val="none"/>
          <w:lang w:eastAsia="zh-CN"/>
        </w:rPr>
        <w:t>（2）供风作业应考虑下列主要危险源、危害因素：</w:t>
      </w:r>
    </w:p>
    <w:p w14:paraId="40A8CC3F">
      <w:pPr>
        <w:ind w:firstLine="420"/>
        <w:jc w:val="left"/>
        <w:rPr>
          <w:rFonts w:hAnsi="Times New Roman"/>
          <w:color w:val="auto"/>
          <w:highlight w:val="none"/>
          <w:lang w:eastAsia="zh-CN"/>
        </w:rPr>
      </w:pPr>
      <w:r>
        <w:rPr>
          <w:rFonts w:hint="eastAsia" w:hAnsi="Times New Roman"/>
          <w:color w:val="auto"/>
          <w:highlight w:val="none"/>
          <w:lang w:eastAsia="zh-CN"/>
        </w:rPr>
        <w:t>1）空压机储气罐、安全阀质量不合格；</w:t>
      </w:r>
    </w:p>
    <w:p w14:paraId="09367F9A">
      <w:pPr>
        <w:ind w:firstLine="420"/>
        <w:jc w:val="left"/>
        <w:rPr>
          <w:rFonts w:hAnsi="Times New Roman"/>
          <w:color w:val="auto"/>
          <w:highlight w:val="none"/>
          <w:lang w:eastAsia="zh-CN"/>
        </w:rPr>
      </w:pPr>
      <w:r>
        <w:rPr>
          <w:rFonts w:hint="eastAsia" w:hAnsi="Times New Roman"/>
          <w:color w:val="auto"/>
          <w:highlight w:val="none"/>
          <w:lang w:eastAsia="zh-CN"/>
        </w:rPr>
        <w:t>2）空压机压力表失效；</w:t>
      </w:r>
    </w:p>
    <w:p w14:paraId="15D42CF9">
      <w:pPr>
        <w:ind w:firstLine="420"/>
        <w:jc w:val="left"/>
        <w:rPr>
          <w:rFonts w:hAnsi="Times New Roman"/>
          <w:color w:val="auto"/>
          <w:highlight w:val="none"/>
          <w:lang w:eastAsia="zh-CN"/>
        </w:rPr>
      </w:pPr>
      <w:r>
        <w:rPr>
          <w:rFonts w:hint="eastAsia" w:hAnsi="Times New Roman"/>
          <w:color w:val="auto"/>
          <w:highlight w:val="none"/>
          <w:lang w:eastAsia="zh-CN"/>
        </w:rPr>
        <w:t>3）供风管管材不合格，供风管使用中破损、漏风；</w:t>
      </w:r>
    </w:p>
    <w:p w14:paraId="71931420">
      <w:pPr>
        <w:ind w:firstLine="420"/>
        <w:jc w:val="left"/>
        <w:rPr>
          <w:rFonts w:hAnsi="Times New Roman"/>
          <w:color w:val="auto"/>
          <w:highlight w:val="none"/>
          <w:lang w:eastAsia="zh-CN"/>
        </w:rPr>
      </w:pPr>
      <w:r>
        <w:rPr>
          <w:rFonts w:hint="eastAsia" w:hAnsi="Times New Roman"/>
          <w:color w:val="auto"/>
          <w:highlight w:val="none"/>
          <w:lang w:eastAsia="zh-CN"/>
        </w:rPr>
        <w:t>4）供风管接头不牢固；</w:t>
      </w:r>
    </w:p>
    <w:p w14:paraId="3BAB6012">
      <w:pPr>
        <w:ind w:firstLine="420"/>
        <w:jc w:val="left"/>
        <w:rPr>
          <w:rFonts w:hAnsi="Times New Roman"/>
          <w:color w:val="auto"/>
          <w:highlight w:val="none"/>
          <w:lang w:eastAsia="zh-CN"/>
        </w:rPr>
      </w:pPr>
      <w:r>
        <w:rPr>
          <w:rFonts w:hint="eastAsia" w:hAnsi="Times New Roman"/>
          <w:color w:val="auto"/>
          <w:highlight w:val="none"/>
          <w:lang w:eastAsia="zh-CN"/>
        </w:rPr>
        <w:t>5）供风管连接施工作业不规范；</w:t>
      </w:r>
    </w:p>
    <w:p w14:paraId="055CCAF8">
      <w:pPr>
        <w:ind w:firstLine="420"/>
        <w:jc w:val="left"/>
        <w:rPr>
          <w:rFonts w:hAnsi="Times New Roman"/>
          <w:color w:val="auto"/>
          <w:highlight w:val="none"/>
          <w:lang w:eastAsia="zh-CN"/>
        </w:rPr>
      </w:pPr>
      <w:r>
        <w:rPr>
          <w:rFonts w:hint="eastAsia" w:hAnsi="Times New Roman"/>
          <w:color w:val="auto"/>
          <w:highlight w:val="none"/>
          <w:lang w:eastAsia="zh-CN"/>
        </w:rPr>
        <w:t>6）高温环境的防范措施不到位。</w:t>
      </w:r>
    </w:p>
    <w:p w14:paraId="3C811F87">
      <w:pPr>
        <w:ind w:firstLine="420"/>
        <w:jc w:val="left"/>
        <w:rPr>
          <w:rFonts w:hAnsi="Times New Roman"/>
          <w:color w:val="auto"/>
          <w:highlight w:val="none"/>
          <w:lang w:eastAsia="zh-CN"/>
        </w:rPr>
      </w:pPr>
      <w:r>
        <w:rPr>
          <w:rFonts w:hint="eastAsia" w:hAnsi="Times New Roman"/>
          <w:color w:val="auto"/>
          <w:highlight w:val="none"/>
          <w:lang w:eastAsia="zh-CN"/>
        </w:rPr>
        <w:t>（3）空压机站应有防水、降温和保温设施，并按规定配备消防器材；距离居民区较近时应有防噪声、防振动的措施。</w:t>
      </w:r>
    </w:p>
    <w:p w14:paraId="6D9A7A98">
      <w:pPr>
        <w:ind w:firstLine="420"/>
        <w:jc w:val="left"/>
        <w:rPr>
          <w:rFonts w:hAnsi="Times New Roman"/>
          <w:color w:val="auto"/>
          <w:highlight w:val="none"/>
          <w:lang w:eastAsia="zh-CN"/>
        </w:rPr>
      </w:pPr>
      <w:r>
        <w:rPr>
          <w:rFonts w:hint="eastAsia" w:hAnsi="Times New Roman"/>
          <w:color w:val="auto"/>
          <w:highlight w:val="none"/>
          <w:lang w:eastAsia="zh-CN"/>
        </w:rPr>
        <w:t>（4）空压机的使用、维修应符合下列规定：</w:t>
      </w:r>
    </w:p>
    <w:p w14:paraId="75AD9A13">
      <w:pPr>
        <w:ind w:firstLine="420"/>
        <w:jc w:val="left"/>
        <w:rPr>
          <w:rFonts w:hAnsi="Times New Roman"/>
          <w:color w:val="auto"/>
          <w:highlight w:val="none"/>
          <w:lang w:eastAsia="zh-CN"/>
        </w:rPr>
      </w:pPr>
      <w:r>
        <w:rPr>
          <w:rFonts w:hint="eastAsia" w:hAnsi="Times New Roman"/>
          <w:color w:val="auto"/>
          <w:highlight w:val="none"/>
          <w:lang w:eastAsia="zh-CN"/>
        </w:rPr>
        <w:t>1）储气罐、安全阀、压力表应按规定进行检验；</w:t>
      </w:r>
    </w:p>
    <w:p w14:paraId="2D1046A3">
      <w:pPr>
        <w:ind w:firstLine="420"/>
        <w:jc w:val="left"/>
        <w:rPr>
          <w:rFonts w:hAnsi="Times New Roman"/>
          <w:color w:val="auto"/>
          <w:highlight w:val="none"/>
          <w:lang w:eastAsia="zh-CN"/>
        </w:rPr>
      </w:pPr>
      <w:r>
        <w:rPr>
          <w:rFonts w:hint="eastAsia" w:hAnsi="Times New Roman"/>
          <w:color w:val="auto"/>
          <w:highlight w:val="none"/>
          <w:lang w:eastAsia="zh-CN"/>
        </w:rPr>
        <w:t>2）使用前应检查空压机的安全状况，确认完好后方可投入使用；使用过程中应经常检查维护，确保安全运转；</w:t>
      </w:r>
    </w:p>
    <w:p w14:paraId="60ABAECB">
      <w:pPr>
        <w:ind w:firstLine="420"/>
        <w:jc w:val="left"/>
        <w:rPr>
          <w:rFonts w:hAnsi="Times New Roman"/>
          <w:color w:val="auto"/>
          <w:highlight w:val="none"/>
          <w:lang w:eastAsia="zh-CN"/>
        </w:rPr>
      </w:pPr>
      <w:r>
        <w:rPr>
          <w:rFonts w:hint="eastAsia" w:hAnsi="Times New Roman"/>
          <w:color w:val="auto"/>
          <w:highlight w:val="none"/>
          <w:lang w:eastAsia="zh-CN"/>
        </w:rPr>
        <w:t>3）操作人员应经专业培训并持证上岗，并遵守安全操作规程；</w:t>
      </w:r>
    </w:p>
    <w:p w14:paraId="0FA9E573">
      <w:pPr>
        <w:ind w:firstLine="420"/>
        <w:jc w:val="left"/>
        <w:rPr>
          <w:rFonts w:hAnsi="Times New Roman"/>
          <w:color w:val="auto"/>
          <w:highlight w:val="none"/>
          <w:lang w:eastAsia="zh-CN"/>
        </w:rPr>
      </w:pPr>
      <w:r>
        <w:rPr>
          <w:rFonts w:hint="eastAsia" w:hAnsi="Times New Roman"/>
          <w:color w:val="auto"/>
          <w:highlight w:val="none"/>
          <w:lang w:eastAsia="zh-CN"/>
        </w:rPr>
        <w:t>4）空压机操作应执行交接班制度，并作好交接班记录，值班人员不得随意离岗；</w:t>
      </w:r>
    </w:p>
    <w:p w14:paraId="19BB6CFB">
      <w:pPr>
        <w:ind w:firstLine="420"/>
        <w:jc w:val="left"/>
        <w:rPr>
          <w:rFonts w:hAnsi="Times New Roman"/>
          <w:color w:val="auto"/>
          <w:highlight w:val="none"/>
          <w:lang w:eastAsia="zh-CN"/>
        </w:rPr>
      </w:pPr>
      <w:r>
        <w:rPr>
          <w:rFonts w:hint="eastAsia" w:hAnsi="Times New Roman"/>
          <w:color w:val="auto"/>
          <w:highlight w:val="none"/>
          <w:lang w:eastAsia="zh-CN"/>
        </w:rPr>
        <w:t>5）运转过程中不得随意松动、拆卸任何管路附件和接头，防止设备内部带压的气液混合体溢出伤人；</w:t>
      </w:r>
    </w:p>
    <w:p w14:paraId="463A6948">
      <w:pPr>
        <w:ind w:firstLine="420"/>
        <w:jc w:val="left"/>
        <w:rPr>
          <w:rFonts w:hAnsi="Times New Roman"/>
          <w:color w:val="auto"/>
          <w:highlight w:val="none"/>
          <w:lang w:eastAsia="zh-CN"/>
        </w:rPr>
      </w:pPr>
      <w:r>
        <w:rPr>
          <w:rFonts w:hint="eastAsia" w:hAnsi="Times New Roman"/>
          <w:color w:val="auto"/>
          <w:highlight w:val="none"/>
          <w:lang w:eastAsia="zh-CN"/>
        </w:rPr>
        <w:t>6）检修或维护时应停机、切断电源并排尽压缩空气，同时将配电箱锁闭并悬挂</w:t>
      </w:r>
      <w:r>
        <w:rPr>
          <w:rFonts w:hAnsi="Times New Roman"/>
          <w:color w:val="auto"/>
          <w:highlight w:val="none"/>
          <w:lang w:eastAsia="zh-CN"/>
        </w:rPr>
        <w:t>“</w:t>
      </w:r>
      <w:r>
        <w:rPr>
          <w:rFonts w:hint="eastAsia" w:hAnsi="Times New Roman"/>
          <w:color w:val="auto"/>
          <w:highlight w:val="none"/>
          <w:lang w:eastAsia="zh-CN"/>
        </w:rPr>
        <w:t>不得合闸</w:t>
      </w:r>
      <w:r>
        <w:rPr>
          <w:rFonts w:hAnsi="Times New Roman"/>
          <w:color w:val="auto"/>
          <w:highlight w:val="none"/>
          <w:lang w:eastAsia="zh-CN"/>
        </w:rPr>
        <w:t>”</w:t>
      </w:r>
      <w:r>
        <w:rPr>
          <w:rFonts w:hint="eastAsia" w:hAnsi="Times New Roman"/>
          <w:color w:val="auto"/>
          <w:highlight w:val="none"/>
          <w:lang w:eastAsia="zh-CN"/>
        </w:rPr>
        <w:t>警示牌，防止意外启动导致人员及设备的损伤。</w:t>
      </w:r>
    </w:p>
    <w:p w14:paraId="5A93B74D">
      <w:pPr>
        <w:ind w:firstLine="420"/>
        <w:jc w:val="left"/>
        <w:rPr>
          <w:rFonts w:hAnsi="Times New Roman"/>
          <w:color w:val="auto"/>
          <w:highlight w:val="none"/>
          <w:lang w:eastAsia="zh-CN"/>
        </w:rPr>
      </w:pPr>
      <w:r>
        <w:rPr>
          <w:rFonts w:hint="eastAsia" w:hAnsi="Times New Roman"/>
          <w:color w:val="auto"/>
          <w:highlight w:val="none"/>
          <w:lang w:eastAsia="zh-CN"/>
        </w:rPr>
        <w:t>（5）供风管安装应符合下列规定：</w:t>
      </w:r>
    </w:p>
    <w:p w14:paraId="3BDFDEEF">
      <w:pPr>
        <w:ind w:firstLine="420"/>
        <w:jc w:val="left"/>
        <w:rPr>
          <w:rFonts w:hAnsi="Times New Roman"/>
          <w:color w:val="auto"/>
          <w:highlight w:val="none"/>
          <w:lang w:eastAsia="zh-CN"/>
        </w:rPr>
      </w:pPr>
      <w:r>
        <w:rPr>
          <w:rFonts w:hint="eastAsia" w:hAnsi="Times New Roman"/>
          <w:color w:val="auto"/>
          <w:highlight w:val="none"/>
          <w:lang w:eastAsia="zh-CN"/>
        </w:rPr>
        <w:t>1）供风管的材质及耐风压等级应满足标准要求；</w:t>
      </w:r>
    </w:p>
    <w:p w14:paraId="7C92213F">
      <w:pPr>
        <w:ind w:firstLine="420"/>
        <w:jc w:val="left"/>
        <w:rPr>
          <w:rFonts w:hAnsi="Times New Roman"/>
          <w:color w:val="auto"/>
          <w:highlight w:val="none"/>
          <w:lang w:eastAsia="zh-CN"/>
        </w:rPr>
      </w:pPr>
      <w:r>
        <w:rPr>
          <w:rFonts w:hint="eastAsia" w:hAnsi="Times New Roman"/>
          <w:color w:val="auto"/>
          <w:highlight w:val="none"/>
          <w:lang w:eastAsia="zh-CN"/>
        </w:rPr>
        <w:t>2）供风管安装前应进行检查，有裂纹、创伤、凹陷等现象时不得使用，管内不得留有残余物；</w:t>
      </w:r>
    </w:p>
    <w:p w14:paraId="1640D8CF">
      <w:pPr>
        <w:ind w:firstLine="420"/>
        <w:jc w:val="left"/>
        <w:rPr>
          <w:rFonts w:hAnsi="Times New Roman"/>
          <w:color w:val="auto"/>
          <w:highlight w:val="none"/>
          <w:lang w:eastAsia="zh-CN"/>
        </w:rPr>
      </w:pPr>
      <w:r>
        <w:rPr>
          <w:rFonts w:hint="eastAsia" w:hAnsi="Times New Roman"/>
          <w:color w:val="auto"/>
          <w:highlight w:val="none"/>
          <w:lang w:eastAsia="zh-CN"/>
        </w:rPr>
        <w:t>3）洞内供风管应敷设在电缆、电线路的相对一侧，不得妨碍运输和影响侧沟施工。风管网路中应分段设控制闸阀，以利于控制和检修；</w:t>
      </w:r>
    </w:p>
    <w:p w14:paraId="5987D48A">
      <w:pPr>
        <w:ind w:firstLine="420"/>
        <w:jc w:val="left"/>
        <w:rPr>
          <w:rFonts w:hAnsi="Times New Roman"/>
          <w:color w:val="auto"/>
          <w:highlight w:val="none"/>
          <w:lang w:eastAsia="zh-CN"/>
        </w:rPr>
      </w:pPr>
      <w:r>
        <w:rPr>
          <w:rFonts w:hint="eastAsia" w:hAnsi="Times New Roman"/>
          <w:color w:val="auto"/>
          <w:highlight w:val="none"/>
          <w:lang w:eastAsia="zh-CN"/>
        </w:rPr>
        <w:t>4）供风管应敷设平顺，接头严密，不漏风。软管与钢风管的连接应牢固可靠，风管拆卸应在空压机停机或关闭闸阀后进行。</w:t>
      </w:r>
    </w:p>
    <w:p w14:paraId="290731DE">
      <w:pPr>
        <w:ind w:firstLine="420"/>
        <w:jc w:val="left"/>
        <w:rPr>
          <w:rFonts w:hAnsi="Times New Roman"/>
          <w:color w:val="auto"/>
          <w:highlight w:val="none"/>
          <w:lang w:eastAsia="zh-CN"/>
        </w:rPr>
      </w:pPr>
      <w:r>
        <w:rPr>
          <w:rFonts w:hint="eastAsia" w:hAnsi="Times New Roman"/>
          <w:bCs/>
          <w:color w:val="auto"/>
          <w:highlight w:val="none"/>
          <w:lang w:eastAsia="zh-CN"/>
        </w:rPr>
        <w:t>（6）</w:t>
      </w:r>
      <w:r>
        <w:rPr>
          <w:rFonts w:hint="eastAsia" w:hAnsi="Times New Roman"/>
          <w:color w:val="auto"/>
          <w:highlight w:val="none"/>
          <w:lang w:eastAsia="zh-CN"/>
        </w:rPr>
        <w:t>供风系统使用过程中应设专人负责检查和维护，对漏风管路及闸阀等应及时进行修复或更换。</w:t>
      </w:r>
    </w:p>
    <w:p w14:paraId="0561A295">
      <w:pPr>
        <w:pStyle w:val="5"/>
        <w:jc w:val="left"/>
        <w:rPr>
          <w:rFonts w:hAnsi="Times New Roman"/>
          <w:color w:val="auto"/>
          <w:highlight w:val="none"/>
          <w:lang w:eastAsia="zh-CN"/>
        </w:rPr>
      </w:pPr>
      <w:r>
        <w:rPr>
          <w:rFonts w:hAnsi="Times New Roman"/>
          <w:color w:val="auto"/>
          <w:highlight w:val="none"/>
          <w:lang w:eastAsia="zh-CN"/>
        </w:rPr>
        <w:t>3.5.10.3</w:t>
      </w:r>
      <w:r>
        <w:rPr>
          <w:rFonts w:hint="eastAsia" w:hAnsi="Times New Roman"/>
          <w:color w:val="auto"/>
          <w:highlight w:val="none"/>
          <w:lang w:eastAsia="zh-CN"/>
        </w:rPr>
        <w:t>　供水</w:t>
      </w:r>
    </w:p>
    <w:p w14:paraId="5617270E">
      <w:pPr>
        <w:ind w:firstLine="420"/>
        <w:jc w:val="left"/>
        <w:rPr>
          <w:rFonts w:hAnsi="Times New Roman"/>
          <w:color w:val="auto"/>
          <w:highlight w:val="none"/>
          <w:lang w:eastAsia="zh-CN"/>
        </w:rPr>
      </w:pPr>
      <w:r>
        <w:rPr>
          <w:rFonts w:hint="eastAsia" w:hAnsi="Times New Roman"/>
          <w:color w:val="auto"/>
          <w:highlight w:val="none"/>
          <w:lang w:eastAsia="zh-CN"/>
        </w:rPr>
        <w:t>（1）供水作业应考虑下列主要危险源、危害因素：</w:t>
      </w:r>
    </w:p>
    <w:p w14:paraId="5857F4ED">
      <w:pPr>
        <w:ind w:firstLine="420"/>
        <w:jc w:val="left"/>
        <w:rPr>
          <w:rFonts w:hAnsi="Times New Roman"/>
          <w:color w:val="auto"/>
          <w:highlight w:val="none"/>
          <w:lang w:eastAsia="zh-CN"/>
        </w:rPr>
      </w:pPr>
      <w:r>
        <w:rPr>
          <w:rFonts w:hint="eastAsia" w:hAnsi="Times New Roman"/>
          <w:color w:val="auto"/>
          <w:highlight w:val="none"/>
          <w:lang w:eastAsia="zh-CN"/>
        </w:rPr>
        <w:t>1）水质不符合标准；</w:t>
      </w:r>
    </w:p>
    <w:p w14:paraId="660AC403">
      <w:pPr>
        <w:ind w:firstLine="420"/>
        <w:jc w:val="left"/>
        <w:rPr>
          <w:rFonts w:hAnsi="Times New Roman"/>
          <w:color w:val="auto"/>
          <w:highlight w:val="none"/>
          <w:lang w:eastAsia="zh-CN"/>
        </w:rPr>
      </w:pPr>
      <w:r>
        <w:rPr>
          <w:rFonts w:hint="eastAsia" w:hAnsi="Times New Roman"/>
          <w:color w:val="auto"/>
          <w:highlight w:val="none"/>
          <w:lang w:eastAsia="zh-CN"/>
        </w:rPr>
        <w:t>2）蓄水池不牢固，无防护棚和防护栏或损坏；</w:t>
      </w:r>
    </w:p>
    <w:p w14:paraId="2EA1277B">
      <w:pPr>
        <w:ind w:firstLine="420"/>
        <w:jc w:val="left"/>
        <w:rPr>
          <w:rFonts w:hAnsi="Times New Roman"/>
          <w:color w:val="auto"/>
          <w:highlight w:val="none"/>
          <w:lang w:eastAsia="zh-CN"/>
        </w:rPr>
      </w:pPr>
      <w:r>
        <w:rPr>
          <w:rFonts w:hint="eastAsia" w:hAnsi="Times New Roman"/>
          <w:color w:val="auto"/>
          <w:highlight w:val="none"/>
          <w:lang w:eastAsia="zh-CN"/>
        </w:rPr>
        <w:t>3）抽水机电机绝缘失效，电缆线漏电；</w:t>
      </w:r>
    </w:p>
    <w:p w14:paraId="4E64202B">
      <w:pPr>
        <w:ind w:firstLine="420"/>
        <w:jc w:val="left"/>
        <w:rPr>
          <w:rFonts w:hAnsi="Times New Roman"/>
          <w:strike/>
          <w:color w:val="auto"/>
          <w:highlight w:val="none"/>
          <w:lang w:eastAsia="zh-CN"/>
        </w:rPr>
      </w:pPr>
      <w:r>
        <w:rPr>
          <w:rFonts w:hint="eastAsia" w:hAnsi="Times New Roman"/>
          <w:color w:val="auto"/>
          <w:highlight w:val="none"/>
          <w:lang w:eastAsia="zh-CN"/>
        </w:rPr>
        <w:t>4）供水管道有裂纹或闸阀失效。</w:t>
      </w:r>
    </w:p>
    <w:p w14:paraId="3802EF7B">
      <w:pPr>
        <w:ind w:firstLine="420"/>
        <w:jc w:val="left"/>
        <w:rPr>
          <w:rFonts w:hAnsi="Times New Roman"/>
          <w:color w:val="auto"/>
          <w:highlight w:val="none"/>
          <w:lang w:eastAsia="zh-CN"/>
        </w:rPr>
      </w:pPr>
      <w:r>
        <w:rPr>
          <w:rFonts w:hint="eastAsia" w:hAnsi="Times New Roman"/>
          <w:color w:val="auto"/>
          <w:highlight w:val="none"/>
          <w:lang w:eastAsia="zh-CN"/>
        </w:rPr>
        <w:t>（2）蓄水池应进行专项设计，不得设于隧洞正上方，水池基础应置于坚实地基上；蓄水池顶部应设防护棚，四周应设防护栏，并有明显的安全警示标志，防止人员坠入。</w:t>
      </w:r>
    </w:p>
    <w:p w14:paraId="1933586E">
      <w:pPr>
        <w:ind w:firstLine="420"/>
        <w:jc w:val="left"/>
        <w:rPr>
          <w:rFonts w:hAnsi="Times New Roman"/>
          <w:strike/>
          <w:color w:val="auto"/>
          <w:highlight w:val="none"/>
          <w:lang w:eastAsia="zh-CN"/>
        </w:rPr>
      </w:pPr>
      <w:r>
        <w:rPr>
          <w:rFonts w:hint="eastAsia" w:hAnsi="Times New Roman"/>
          <w:color w:val="auto"/>
          <w:highlight w:val="none"/>
          <w:lang w:eastAsia="zh-CN"/>
        </w:rPr>
        <w:t>（3）机械抽水应有专人负责，当抽水机房设在河道、冲沟或低洼地段时，应设可靠的防洪措施。</w:t>
      </w:r>
    </w:p>
    <w:p w14:paraId="07E57476">
      <w:pPr>
        <w:ind w:firstLine="420"/>
        <w:jc w:val="left"/>
        <w:rPr>
          <w:rFonts w:hAnsi="Times New Roman"/>
          <w:color w:val="auto"/>
          <w:highlight w:val="none"/>
          <w:lang w:eastAsia="zh-CN"/>
        </w:rPr>
      </w:pPr>
      <w:r>
        <w:rPr>
          <w:rFonts w:hint="eastAsia" w:hAnsi="Times New Roman"/>
          <w:color w:val="auto"/>
          <w:highlight w:val="none"/>
          <w:lang w:eastAsia="zh-CN"/>
        </w:rPr>
        <w:t>（4）供水管道在安装前应进行检查，有裂纹、创伤等现象时不得使用，管内不得留有残余物。</w:t>
      </w:r>
    </w:p>
    <w:p w14:paraId="72E7099A">
      <w:pPr>
        <w:ind w:firstLine="420"/>
        <w:jc w:val="left"/>
        <w:rPr>
          <w:rFonts w:hAnsi="Times New Roman"/>
          <w:color w:val="auto"/>
          <w:highlight w:val="none"/>
          <w:lang w:eastAsia="zh-CN"/>
        </w:rPr>
      </w:pPr>
      <w:r>
        <w:rPr>
          <w:rFonts w:hint="eastAsia" w:hAnsi="Times New Roman"/>
          <w:color w:val="auto"/>
          <w:highlight w:val="none"/>
          <w:lang w:eastAsia="zh-CN"/>
        </w:rPr>
        <w:t>（5）供水管路应敷设平顺，接头严密牢固。洞内管道不应与电缆、电线路同侧布置，不得妨碍运输和通行。</w:t>
      </w:r>
    </w:p>
    <w:p w14:paraId="3123DEBE">
      <w:pPr>
        <w:ind w:firstLine="420"/>
        <w:jc w:val="left"/>
        <w:rPr>
          <w:rFonts w:hAnsi="Times New Roman"/>
          <w:color w:val="auto"/>
          <w:highlight w:val="none"/>
          <w:lang w:eastAsia="zh-CN"/>
        </w:rPr>
      </w:pPr>
      <w:r>
        <w:rPr>
          <w:rFonts w:hint="eastAsia" w:hAnsi="Times New Roman"/>
          <w:bCs/>
          <w:color w:val="auto"/>
          <w:highlight w:val="none"/>
          <w:lang w:eastAsia="zh-CN"/>
        </w:rPr>
        <w:t>（6）供水</w:t>
      </w:r>
      <w:r>
        <w:rPr>
          <w:rFonts w:hint="eastAsia" w:hAnsi="Times New Roman"/>
          <w:color w:val="auto"/>
          <w:highlight w:val="none"/>
          <w:lang w:eastAsia="zh-CN"/>
        </w:rPr>
        <w:t>系统应设专人负责检查维护，对漏水管路及闸阀应及时修复或更换，水源含泥沙的高压水池应有过滤措施，并定期清洗。</w:t>
      </w:r>
    </w:p>
    <w:p w14:paraId="16B774DF">
      <w:pPr>
        <w:pStyle w:val="5"/>
        <w:jc w:val="left"/>
        <w:rPr>
          <w:rFonts w:hAnsi="Times New Roman"/>
          <w:color w:val="auto"/>
          <w:highlight w:val="none"/>
          <w:lang w:eastAsia="zh-CN"/>
        </w:rPr>
      </w:pPr>
      <w:r>
        <w:rPr>
          <w:rFonts w:hAnsi="Times New Roman"/>
          <w:color w:val="auto"/>
          <w:highlight w:val="none"/>
          <w:lang w:eastAsia="zh-CN"/>
        </w:rPr>
        <w:t>3.5.10.4</w:t>
      </w:r>
      <w:r>
        <w:rPr>
          <w:rFonts w:hint="eastAsia" w:hAnsi="Times New Roman"/>
          <w:color w:val="auto"/>
          <w:highlight w:val="none"/>
          <w:lang w:eastAsia="zh-CN"/>
        </w:rPr>
        <w:t>　供电</w:t>
      </w:r>
    </w:p>
    <w:p w14:paraId="2EC02DE6">
      <w:pPr>
        <w:ind w:firstLine="420"/>
        <w:jc w:val="left"/>
        <w:rPr>
          <w:rFonts w:hAnsi="Times New Roman"/>
          <w:color w:val="auto"/>
          <w:highlight w:val="none"/>
          <w:lang w:eastAsia="zh-CN"/>
        </w:rPr>
      </w:pPr>
      <w:r>
        <w:rPr>
          <w:rFonts w:hint="eastAsia" w:hAnsi="Times New Roman"/>
          <w:color w:val="auto"/>
          <w:highlight w:val="none"/>
          <w:lang w:eastAsia="zh-CN"/>
        </w:rPr>
        <w:t>（1）隧洞施工应按规定编制临时用电施工组织设计，并采用三级配电二级保护。</w:t>
      </w:r>
    </w:p>
    <w:p w14:paraId="5A88EA31">
      <w:pPr>
        <w:ind w:firstLine="420"/>
        <w:jc w:val="left"/>
        <w:rPr>
          <w:rFonts w:hAnsi="Times New Roman"/>
          <w:color w:val="auto"/>
          <w:highlight w:val="none"/>
          <w:lang w:eastAsia="zh-CN"/>
        </w:rPr>
      </w:pPr>
      <w:r>
        <w:rPr>
          <w:rFonts w:hint="eastAsia" w:hAnsi="Times New Roman"/>
          <w:color w:val="auto"/>
          <w:highlight w:val="none"/>
          <w:lang w:eastAsia="zh-CN"/>
        </w:rPr>
        <w:t>（2）供电作业应考虑下列主要危险源、危害因素：</w:t>
      </w:r>
    </w:p>
    <w:p w14:paraId="51EDD2F9">
      <w:pPr>
        <w:ind w:firstLine="420"/>
        <w:jc w:val="left"/>
        <w:rPr>
          <w:rFonts w:hAnsi="Times New Roman"/>
          <w:color w:val="auto"/>
          <w:highlight w:val="none"/>
          <w:lang w:eastAsia="zh-CN"/>
        </w:rPr>
      </w:pPr>
      <w:r>
        <w:rPr>
          <w:rFonts w:hint="eastAsia" w:hAnsi="Times New Roman"/>
          <w:color w:val="auto"/>
          <w:highlight w:val="none"/>
          <w:lang w:eastAsia="zh-CN"/>
        </w:rPr>
        <w:t>1）作业地段照明未使用安全电压，隧洞施工照明不足；</w:t>
      </w:r>
    </w:p>
    <w:p w14:paraId="36769A8C">
      <w:pPr>
        <w:ind w:firstLine="420"/>
        <w:jc w:val="left"/>
        <w:rPr>
          <w:rFonts w:hAnsi="Times New Roman"/>
          <w:color w:val="auto"/>
          <w:highlight w:val="none"/>
          <w:lang w:eastAsia="zh-CN"/>
        </w:rPr>
      </w:pPr>
      <w:r>
        <w:rPr>
          <w:rFonts w:hint="eastAsia" w:hAnsi="Times New Roman"/>
          <w:color w:val="auto"/>
          <w:highlight w:val="none"/>
          <w:lang w:eastAsia="zh-CN"/>
        </w:rPr>
        <w:t>2）高压输电线路距人行道安全距离不够；</w:t>
      </w:r>
    </w:p>
    <w:p w14:paraId="6B7D07C7">
      <w:pPr>
        <w:ind w:firstLine="420"/>
        <w:jc w:val="left"/>
        <w:rPr>
          <w:rFonts w:hAnsi="Times New Roman"/>
          <w:color w:val="auto"/>
          <w:highlight w:val="none"/>
          <w:lang w:eastAsia="zh-CN"/>
        </w:rPr>
      </w:pPr>
      <w:r>
        <w:rPr>
          <w:rFonts w:hint="eastAsia" w:hAnsi="Times New Roman"/>
          <w:color w:val="auto"/>
          <w:highlight w:val="none"/>
          <w:lang w:eastAsia="zh-CN"/>
        </w:rPr>
        <w:t>3）变压器防护不到位；</w:t>
      </w:r>
    </w:p>
    <w:p w14:paraId="4B1B4D0F">
      <w:pPr>
        <w:ind w:firstLine="420"/>
        <w:jc w:val="left"/>
        <w:rPr>
          <w:rFonts w:hAnsi="Times New Roman"/>
          <w:color w:val="auto"/>
          <w:highlight w:val="none"/>
          <w:lang w:eastAsia="zh-CN"/>
        </w:rPr>
      </w:pPr>
      <w:r>
        <w:rPr>
          <w:rFonts w:hint="eastAsia" w:hAnsi="Times New Roman"/>
          <w:color w:val="auto"/>
          <w:highlight w:val="none"/>
          <w:lang w:eastAsia="zh-CN"/>
        </w:rPr>
        <w:t>4）电缆线质量不合格、破损或线头裸露；</w:t>
      </w:r>
    </w:p>
    <w:p w14:paraId="1026BE86">
      <w:pPr>
        <w:ind w:firstLine="420"/>
        <w:jc w:val="left"/>
        <w:rPr>
          <w:rFonts w:hAnsi="Times New Roman"/>
          <w:color w:val="auto"/>
          <w:highlight w:val="none"/>
          <w:lang w:eastAsia="zh-CN"/>
        </w:rPr>
      </w:pPr>
      <w:r>
        <w:rPr>
          <w:rFonts w:hint="eastAsia" w:hAnsi="Times New Roman"/>
          <w:color w:val="auto"/>
          <w:highlight w:val="none"/>
          <w:lang w:eastAsia="zh-CN"/>
        </w:rPr>
        <w:t>5）电工作业人员防护不当；</w:t>
      </w:r>
    </w:p>
    <w:p w14:paraId="3F4F9CCE">
      <w:pPr>
        <w:ind w:firstLine="420"/>
        <w:jc w:val="left"/>
        <w:rPr>
          <w:rFonts w:hAnsi="Times New Roman"/>
          <w:color w:val="auto"/>
          <w:highlight w:val="none"/>
          <w:lang w:eastAsia="zh-CN"/>
        </w:rPr>
      </w:pPr>
      <w:r>
        <w:rPr>
          <w:rFonts w:hint="eastAsia" w:hAnsi="Times New Roman"/>
          <w:color w:val="auto"/>
          <w:highlight w:val="none"/>
          <w:lang w:eastAsia="zh-CN"/>
        </w:rPr>
        <w:t>6）作业人员未经培训取证或违规作业。</w:t>
      </w:r>
    </w:p>
    <w:p w14:paraId="2304D081">
      <w:pPr>
        <w:ind w:firstLine="420"/>
        <w:jc w:val="left"/>
        <w:rPr>
          <w:rFonts w:hAnsi="Times New Roman"/>
          <w:color w:val="auto"/>
          <w:highlight w:val="none"/>
          <w:lang w:eastAsia="zh-CN"/>
        </w:rPr>
      </w:pPr>
      <w:r>
        <w:rPr>
          <w:rFonts w:hint="eastAsia" w:hAnsi="Times New Roman"/>
          <w:color w:val="auto"/>
          <w:highlight w:val="none"/>
          <w:lang w:eastAsia="zh-CN"/>
        </w:rPr>
        <w:t>（3）隧洞供电电压应符合下列要求：</w:t>
      </w:r>
    </w:p>
    <w:p w14:paraId="25CE8D9E">
      <w:pPr>
        <w:ind w:firstLine="420"/>
        <w:jc w:val="left"/>
        <w:rPr>
          <w:rFonts w:hAnsi="Times New Roman"/>
          <w:color w:val="auto"/>
          <w:highlight w:val="none"/>
          <w:lang w:eastAsia="zh-CN"/>
        </w:rPr>
      </w:pPr>
      <w:r>
        <w:rPr>
          <w:rFonts w:hint="eastAsia" w:hAnsi="Times New Roman"/>
          <w:color w:val="auto"/>
          <w:highlight w:val="none"/>
          <w:lang w:eastAsia="zh-CN"/>
        </w:rPr>
        <w:t>1）动力设备应采用380V；</w:t>
      </w:r>
    </w:p>
    <w:p w14:paraId="6D23D38B">
      <w:pPr>
        <w:ind w:firstLine="420"/>
        <w:jc w:val="left"/>
        <w:rPr>
          <w:rFonts w:hAnsi="Times New Roman"/>
          <w:color w:val="auto"/>
          <w:highlight w:val="none"/>
          <w:lang w:eastAsia="zh-CN"/>
        </w:rPr>
      </w:pPr>
      <w:r>
        <w:rPr>
          <w:rFonts w:hint="eastAsia" w:hAnsi="Times New Roman"/>
          <w:color w:val="auto"/>
          <w:highlight w:val="none"/>
          <w:lang w:eastAsia="zh-CN"/>
        </w:rPr>
        <w:t>2）照明电压：作业地段不得大于36V，成洞地段可采用220V；</w:t>
      </w:r>
    </w:p>
    <w:p w14:paraId="25992C2D">
      <w:pPr>
        <w:ind w:firstLine="420"/>
        <w:jc w:val="left"/>
        <w:rPr>
          <w:rFonts w:hAnsi="Times New Roman"/>
          <w:color w:val="auto"/>
          <w:highlight w:val="none"/>
          <w:lang w:eastAsia="zh-CN"/>
        </w:rPr>
      </w:pPr>
      <w:r>
        <w:rPr>
          <w:rFonts w:hint="eastAsia" w:hAnsi="Times New Roman"/>
          <w:color w:val="auto"/>
          <w:highlight w:val="none"/>
          <w:lang w:eastAsia="zh-CN"/>
        </w:rPr>
        <w:t>3）低压线路末端的电压降不得大于10%。</w:t>
      </w:r>
    </w:p>
    <w:p w14:paraId="773DA49D">
      <w:pPr>
        <w:ind w:firstLine="420"/>
        <w:jc w:val="left"/>
        <w:rPr>
          <w:rFonts w:hAnsi="Times New Roman"/>
          <w:color w:val="auto"/>
          <w:highlight w:val="none"/>
          <w:lang w:eastAsia="zh-CN"/>
        </w:rPr>
      </w:pPr>
      <w:r>
        <w:rPr>
          <w:rFonts w:hint="eastAsia" w:hAnsi="Times New Roman"/>
          <w:color w:val="auto"/>
          <w:highlight w:val="none"/>
          <w:lang w:eastAsia="zh-CN"/>
        </w:rPr>
        <w:t>（4）隧洞洞外设置变电站时，应有防雷击和防飓风措施。变电站高低压架空。</w:t>
      </w:r>
    </w:p>
    <w:p w14:paraId="1D698BB4">
      <w:pPr>
        <w:suppressAutoHyphens/>
        <w:ind w:firstLine="420"/>
        <w:jc w:val="left"/>
        <w:rPr>
          <w:color w:val="auto"/>
          <w:highlight w:val="none"/>
          <w:lang w:val="en-GB" w:eastAsia="zh-CN"/>
        </w:rPr>
      </w:pPr>
      <w:r>
        <w:rPr>
          <w:rFonts w:hint="eastAsia"/>
          <w:color w:val="auto"/>
          <w:highlight w:val="none"/>
          <w:lang w:val="en-GB" w:eastAsia="zh-CN"/>
        </w:rPr>
        <w:t>输电线路应避免跨越施工区域，当必需跨越时，其最低点距人行道和运输道路的距离应满足以下规定：</w:t>
      </w:r>
    </w:p>
    <w:p w14:paraId="3C4114BB">
      <w:pPr>
        <w:suppressAutoHyphens/>
        <w:ind w:firstLine="420"/>
        <w:jc w:val="left"/>
        <w:rPr>
          <w:color w:val="auto"/>
          <w:highlight w:val="none"/>
          <w:lang w:val="en-GB" w:eastAsia="zh-CN"/>
        </w:rPr>
      </w:pPr>
      <w:r>
        <w:rPr>
          <w:rFonts w:hint="eastAsia"/>
          <w:color w:val="auto"/>
          <w:highlight w:val="none"/>
          <w:lang w:val="en-GB" w:eastAsia="zh-CN"/>
        </w:rPr>
        <w:t>1）电压小于1KV时不小于6.0m；</w:t>
      </w:r>
    </w:p>
    <w:p w14:paraId="04E909A8">
      <w:pPr>
        <w:pStyle w:val="7"/>
        <w:ind w:firstLine="420"/>
        <w:jc w:val="left"/>
        <w:rPr>
          <w:color w:val="auto"/>
          <w:highlight w:val="none"/>
          <w:lang w:eastAsia="zh-CN"/>
        </w:rPr>
      </w:pPr>
      <w:r>
        <w:rPr>
          <w:rFonts w:hint="eastAsia"/>
          <w:color w:val="auto"/>
          <w:highlight w:val="none"/>
          <w:lang w:val="en-GB" w:eastAsia="zh-CN"/>
        </w:rPr>
        <w:t>2）电压大于或等于1KV时不小于7.0m。</w:t>
      </w:r>
    </w:p>
    <w:p w14:paraId="7262AB50">
      <w:pPr>
        <w:ind w:firstLine="420"/>
        <w:jc w:val="left"/>
        <w:rPr>
          <w:rFonts w:hAnsi="Times New Roman"/>
          <w:color w:val="auto"/>
          <w:highlight w:val="none"/>
          <w:lang w:eastAsia="zh-CN"/>
        </w:rPr>
      </w:pPr>
      <w:r>
        <w:rPr>
          <w:rFonts w:hint="eastAsia" w:hAnsi="Times New Roman"/>
          <w:color w:val="auto"/>
          <w:highlight w:val="none"/>
          <w:lang w:eastAsia="zh-CN"/>
        </w:rPr>
        <w:t>（5）隧洞内供电线路布置和安装应符合下列规定：</w:t>
      </w:r>
    </w:p>
    <w:p w14:paraId="62C2D507">
      <w:pPr>
        <w:ind w:firstLine="420"/>
        <w:jc w:val="left"/>
        <w:rPr>
          <w:rFonts w:hAnsi="Times New Roman"/>
          <w:color w:val="auto"/>
          <w:highlight w:val="none"/>
          <w:lang w:eastAsia="zh-CN"/>
        </w:rPr>
      </w:pPr>
      <w:r>
        <w:rPr>
          <w:rFonts w:hint="eastAsia" w:hAnsi="Times New Roman"/>
          <w:color w:val="auto"/>
          <w:highlight w:val="none"/>
          <w:lang w:eastAsia="zh-CN"/>
        </w:rPr>
        <w:t>1）隧洞内配线应采用绝缘导线或电缆。其中，成洞地段固定的电线路应用绝缘良好的塑料绝缘导线架设，施工地段的临时电线路应采用橡套电缆，并应挂设在临时支架上；</w:t>
      </w:r>
    </w:p>
    <w:p w14:paraId="34DF6EC1">
      <w:pPr>
        <w:ind w:firstLine="420"/>
        <w:jc w:val="left"/>
        <w:rPr>
          <w:rFonts w:hAnsi="Times New Roman"/>
          <w:color w:val="auto"/>
          <w:highlight w:val="none"/>
          <w:lang w:eastAsia="zh-CN"/>
        </w:rPr>
      </w:pPr>
      <w:r>
        <w:rPr>
          <w:rFonts w:hint="eastAsia" w:hAnsi="Times New Roman"/>
          <w:color w:val="auto"/>
          <w:highlight w:val="none"/>
          <w:lang w:eastAsia="zh-CN"/>
        </w:rPr>
        <w:t>2）照明和动力电线路安装在同一侧时，应从低到高分层架设，</w:t>
      </w:r>
      <w:r>
        <w:rPr>
          <w:rFonts w:hint="eastAsia"/>
          <w:color w:val="auto"/>
          <w:highlight w:val="none"/>
          <w:lang w:val="en-GB" w:eastAsia="zh-CN"/>
        </w:rPr>
        <w:t>且最下侧导线距地面高度不得小于2.5m</w:t>
      </w:r>
      <w:r>
        <w:rPr>
          <w:rFonts w:hint="eastAsia" w:hAnsi="Times New Roman"/>
          <w:color w:val="auto"/>
          <w:highlight w:val="none"/>
          <w:lang w:eastAsia="zh-CN"/>
        </w:rPr>
        <w:t>；</w:t>
      </w:r>
    </w:p>
    <w:p w14:paraId="27E3F66A">
      <w:pPr>
        <w:pStyle w:val="7"/>
        <w:ind w:firstLine="420"/>
        <w:jc w:val="left"/>
        <w:rPr>
          <w:color w:val="auto"/>
          <w:highlight w:val="none"/>
          <w:lang w:eastAsia="zh-CN"/>
        </w:rPr>
      </w:pPr>
      <w:r>
        <w:rPr>
          <w:rFonts w:hint="eastAsia"/>
          <w:color w:val="auto"/>
          <w:highlight w:val="none"/>
          <w:lang w:val="en-GB" w:eastAsia="zh-CN"/>
        </w:rPr>
        <w:t>3）涌水隧洞的电动排水设备，瓦斯隧洞的通风设备应采用双回路输电，并有可靠的切换装置；瓦斯隧洞</w:t>
      </w:r>
      <w:r>
        <w:rPr>
          <w:rFonts w:hint="eastAsia"/>
          <w:color w:val="auto"/>
          <w:highlight w:val="none"/>
          <w:lang w:eastAsia="zh-CN"/>
        </w:rPr>
        <w:t>应采用防爆电气</w:t>
      </w:r>
    </w:p>
    <w:p w14:paraId="6BB707DC">
      <w:pPr>
        <w:ind w:firstLine="420"/>
        <w:jc w:val="left"/>
        <w:rPr>
          <w:rFonts w:hAnsi="Times New Roman"/>
          <w:color w:val="auto"/>
          <w:highlight w:val="none"/>
          <w:lang w:eastAsia="zh-CN"/>
        </w:rPr>
      </w:pPr>
      <w:r>
        <w:rPr>
          <w:rFonts w:hAnsi="Times New Roman"/>
          <w:color w:val="auto"/>
          <w:highlight w:val="none"/>
          <w:lang w:eastAsia="zh-CN"/>
        </w:rPr>
        <w:t>4</w:t>
      </w:r>
      <w:r>
        <w:rPr>
          <w:rFonts w:hint="eastAsia" w:hAnsi="Times New Roman"/>
          <w:color w:val="auto"/>
          <w:highlight w:val="none"/>
          <w:lang w:eastAsia="zh-CN"/>
        </w:rPr>
        <w:t>）动力干线上的每一分支线，应装设开关及保险装置。不得在动力线路上加挂照明设施；</w:t>
      </w:r>
    </w:p>
    <w:p w14:paraId="0F82A9D6">
      <w:pPr>
        <w:ind w:firstLine="420"/>
        <w:jc w:val="left"/>
        <w:rPr>
          <w:rFonts w:hAnsi="Times New Roman"/>
          <w:color w:val="auto"/>
          <w:highlight w:val="none"/>
          <w:lang w:eastAsia="zh-CN"/>
        </w:rPr>
      </w:pPr>
      <w:r>
        <w:rPr>
          <w:rFonts w:hAnsi="Times New Roman"/>
          <w:color w:val="auto"/>
          <w:highlight w:val="none"/>
          <w:lang w:eastAsia="zh-CN"/>
        </w:rPr>
        <w:t>5</w:t>
      </w:r>
      <w:r>
        <w:rPr>
          <w:rFonts w:hint="eastAsia" w:hAnsi="Times New Roman"/>
          <w:color w:val="auto"/>
          <w:highlight w:val="none"/>
          <w:lang w:eastAsia="zh-CN"/>
        </w:rPr>
        <w:t>）施工现场内所有防雷装置的冲击接地电阻值不得大于30</w:t>
      </w:r>
      <w:r>
        <w:rPr>
          <w:rFonts w:hAnsi="Times New Roman"/>
          <w:color w:val="auto"/>
          <w:highlight w:val="none"/>
        </w:rPr>
        <w:t>Ω</w:t>
      </w:r>
      <w:r>
        <w:rPr>
          <w:rFonts w:hint="eastAsia" w:hAnsi="Times New Roman"/>
          <w:color w:val="auto"/>
          <w:highlight w:val="none"/>
          <w:lang w:eastAsia="zh-CN"/>
        </w:rPr>
        <w:t>；</w:t>
      </w:r>
    </w:p>
    <w:p w14:paraId="0014A6A6">
      <w:pPr>
        <w:ind w:firstLine="420"/>
        <w:jc w:val="left"/>
        <w:rPr>
          <w:rFonts w:hAnsi="Times New Roman"/>
          <w:color w:val="auto"/>
          <w:highlight w:val="none"/>
          <w:lang w:eastAsia="zh-CN"/>
        </w:rPr>
      </w:pPr>
      <w:r>
        <w:rPr>
          <w:rFonts w:hAnsi="Times New Roman"/>
          <w:color w:val="auto"/>
          <w:highlight w:val="none"/>
          <w:lang w:eastAsia="zh-CN"/>
        </w:rPr>
        <w:t>6</w:t>
      </w:r>
      <w:r>
        <w:rPr>
          <w:rFonts w:hint="eastAsia" w:hAnsi="Times New Roman"/>
          <w:color w:val="auto"/>
          <w:highlight w:val="none"/>
          <w:lang w:eastAsia="zh-CN"/>
        </w:rPr>
        <w:t>）36V低压变压器应设在安全、干燥处，机壳接地，输电线路长度不得大于100m。</w:t>
      </w:r>
    </w:p>
    <w:p w14:paraId="31B7C7D7">
      <w:pPr>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6</w:t>
      </w:r>
      <w:r>
        <w:rPr>
          <w:rFonts w:hint="eastAsia"/>
          <w:color w:val="auto"/>
          <w:highlight w:val="none"/>
          <w:lang w:val="en-GB" w:eastAsia="zh-CN"/>
        </w:rPr>
        <w:t>）隧洞内220V/380V供电距离不宜大于500m，供电距离大于500m时应采取升压措施或高压进洞。</w:t>
      </w:r>
    </w:p>
    <w:p w14:paraId="580E56ED">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7</w:t>
      </w:r>
      <w:r>
        <w:rPr>
          <w:rFonts w:hint="eastAsia" w:hAnsi="Times New Roman"/>
          <w:color w:val="auto"/>
          <w:highlight w:val="none"/>
          <w:lang w:eastAsia="zh-CN"/>
        </w:rPr>
        <w:t>）各种电气设备和输变电线应有专人检查维修、调整等，其作业要求应参照国家现行行业标准《施工现场临时用电安全技术规范》（JGJ46）。</w:t>
      </w:r>
    </w:p>
    <w:p w14:paraId="4E522D7D">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8</w:t>
      </w:r>
      <w:r>
        <w:rPr>
          <w:rFonts w:hint="eastAsia" w:hAnsi="Times New Roman"/>
          <w:color w:val="auto"/>
          <w:highlight w:val="none"/>
          <w:lang w:eastAsia="zh-CN"/>
        </w:rPr>
        <w:t>）排水系统设备供电应有独立的动力电源（尤其是洞内排水），必要时应有备用电源。</w:t>
      </w:r>
    </w:p>
    <w:p w14:paraId="333F2C4C">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9</w:t>
      </w:r>
      <w:r>
        <w:rPr>
          <w:rFonts w:hint="eastAsia" w:hAnsi="Times New Roman"/>
          <w:color w:val="auto"/>
          <w:highlight w:val="none"/>
          <w:lang w:eastAsia="zh-CN"/>
        </w:rPr>
        <w:t>）隧洞施工用电应符合下列规定：</w:t>
      </w:r>
    </w:p>
    <w:p w14:paraId="3F1D904E">
      <w:pPr>
        <w:ind w:firstLine="420"/>
        <w:jc w:val="left"/>
        <w:rPr>
          <w:rFonts w:hAnsi="Times New Roman"/>
          <w:color w:val="auto"/>
          <w:highlight w:val="none"/>
          <w:lang w:eastAsia="zh-CN"/>
        </w:rPr>
      </w:pPr>
      <w:r>
        <w:rPr>
          <w:rFonts w:hint="eastAsia" w:hAnsi="Times New Roman"/>
          <w:color w:val="auto"/>
          <w:highlight w:val="none"/>
          <w:lang w:eastAsia="zh-CN"/>
        </w:rPr>
        <w:t>1）安装、巡检、维修或拆除临时用电设备和线路，应由电工完成，并应有专人监护。电工应持证上岗，电工等级应与工程的难易程度和技术复杂性相适应；</w:t>
      </w:r>
    </w:p>
    <w:p w14:paraId="4F7787BB">
      <w:pPr>
        <w:ind w:firstLine="420"/>
        <w:jc w:val="left"/>
        <w:rPr>
          <w:rFonts w:hAnsi="Times New Roman"/>
          <w:color w:val="auto"/>
          <w:highlight w:val="none"/>
          <w:lang w:eastAsia="zh-CN"/>
        </w:rPr>
      </w:pPr>
      <w:r>
        <w:rPr>
          <w:rFonts w:hint="eastAsia" w:hAnsi="Times New Roman"/>
          <w:color w:val="auto"/>
          <w:highlight w:val="none"/>
          <w:lang w:eastAsia="zh-CN"/>
        </w:rPr>
        <w:t>2）电工作业时应穿绝缘鞋、戴绝缘手套，使用电工检测及绝缘工具。电气设备或线路检修作业前，应将上一级电源隔离开关分闸断电，并悬挂</w:t>
      </w:r>
      <w:r>
        <w:rPr>
          <w:rFonts w:hAnsi="Times New Roman"/>
          <w:color w:val="auto"/>
          <w:highlight w:val="none"/>
          <w:lang w:eastAsia="zh-CN"/>
        </w:rPr>
        <w:t>“</w:t>
      </w:r>
      <w:r>
        <w:rPr>
          <w:rFonts w:hint="eastAsia" w:hAnsi="Times New Roman"/>
          <w:color w:val="auto"/>
          <w:highlight w:val="none"/>
          <w:lang w:eastAsia="zh-CN"/>
        </w:rPr>
        <w:t>不得合闸、有人工作</w:t>
      </w:r>
      <w:r>
        <w:rPr>
          <w:rFonts w:hAnsi="Times New Roman"/>
          <w:color w:val="auto"/>
          <w:highlight w:val="none"/>
          <w:lang w:eastAsia="zh-CN"/>
        </w:rPr>
        <w:t>”</w:t>
      </w:r>
      <w:r>
        <w:rPr>
          <w:rFonts w:hint="eastAsia" w:hAnsi="Times New Roman"/>
          <w:color w:val="auto"/>
          <w:highlight w:val="none"/>
          <w:lang w:eastAsia="zh-CN"/>
        </w:rPr>
        <w:t>的停电标示牌，不得带电作业；</w:t>
      </w:r>
    </w:p>
    <w:p w14:paraId="2BBF5EBF">
      <w:pPr>
        <w:ind w:firstLine="420"/>
        <w:jc w:val="left"/>
        <w:rPr>
          <w:rFonts w:hAnsi="Times New Roman"/>
          <w:color w:val="auto"/>
          <w:highlight w:val="none"/>
          <w:lang w:eastAsia="zh-CN"/>
        </w:rPr>
      </w:pPr>
      <w:r>
        <w:rPr>
          <w:rFonts w:hint="eastAsia" w:hAnsi="Times New Roman"/>
          <w:color w:val="auto"/>
          <w:highlight w:val="none"/>
          <w:lang w:eastAsia="zh-CN"/>
        </w:rPr>
        <w:t>3）高压停送电作业应执行工作票制度，严格遵守倒闸操作程序，按规范要求验电、装设接地线、挂警示牌，并执行工作许可制度和监护制度，确保安全用电；</w:t>
      </w:r>
    </w:p>
    <w:p w14:paraId="051FE402">
      <w:pPr>
        <w:ind w:firstLine="420"/>
        <w:jc w:val="left"/>
        <w:rPr>
          <w:rFonts w:hAnsi="Times New Roman"/>
          <w:color w:val="auto"/>
          <w:highlight w:val="none"/>
          <w:lang w:eastAsia="zh-CN"/>
        </w:rPr>
      </w:pPr>
      <w:r>
        <w:rPr>
          <w:rFonts w:hint="eastAsia" w:hAnsi="Times New Roman"/>
          <w:color w:val="auto"/>
          <w:highlight w:val="none"/>
          <w:lang w:eastAsia="zh-CN"/>
        </w:rPr>
        <w:t>4）隧洞施工用电应按设计要求设置双电源或自备电源。自备发电机组与外电线路应电源联锁，不得并列运行。</w:t>
      </w:r>
    </w:p>
    <w:p w14:paraId="1380C750">
      <w:pPr>
        <w:pStyle w:val="5"/>
        <w:jc w:val="left"/>
        <w:rPr>
          <w:rFonts w:hAnsi="Times New Roman"/>
          <w:color w:val="auto"/>
          <w:highlight w:val="none"/>
          <w:lang w:eastAsia="zh-CN"/>
        </w:rPr>
      </w:pPr>
      <w:r>
        <w:rPr>
          <w:rFonts w:hAnsi="Times New Roman"/>
          <w:color w:val="auto"/>
          <w:highlight w:val="none"/>
          <w:lang w:eastAsia="zh-CN"/>
        </w:rPr>
        <w:t>3.5.10.5</w:t>
      </w:r>
      <w:r>
        <w:rPr>
          <w:rFonts w:hint="eastAsia" w:hAnsi="Times New Roman"/>
          <w:color w:val="auto"/>
          <w:highlight w:val="none"/>
          <w:lang w:eastAsia="zh-CN"/>
        </w:rPr>
        <w:t>　施工排水</w:t>
      </w:r>
    </w:p>
    <w:p w14:paraId="41120B0A">
      <w:pPr>
        <w:ind w:firstLine="420"/>
        <w:jc w:val="left"/>
        <w:rPr>
          <w:rFonts w:hAnsi="Times New Roman"/>
          <w:color w:val="auto"/>
          <w:highlight w:val="none"/>
          <w:lang w:eastAsia="zh-CN"/>
        </w:rPr>
      </w:pPr>
      <w:r>
        <w:rPr>
          <w:rFonts w:hint="eastAsia" w:hAnsi="Times New Roman"/>
          <w:color w:val="auto"/>
          <w:highlight w:val="none"/>
          <w:lang w:eastAsia="zh-CN"/>
        </w:rPr>
        <w:t>（1）施工排水作业应考虑下列主要危险源、危害因素：</w:t>
      </w:r>
    </w:p>
    <w:p w14:paraId="677C46ED">
      <w:pPr>
        <w:ind w:firstLine="420"/>
        <w:jc w:val="left"/>
        <w:rPr>
          <w:rFonts w:hAnsi="Times New Roman"/>
          <w:color w:val="auto"/>
          <w:highlight w:val="none"/>
          <w:lang w:eastAsia="zh-CN"/>
        </w:rPr>
      </w:pPr>
      <w:r>
        <w:rPr>
          <w:rFonts w:hint="eastAsia" w:hAnsi="Times New Roman"/>
          <w:color w:val="auto"/>
          <w:highlight w:val="none"/>
          <w:lang w:eastAsia="zh-CN"/>
        </w:rPr>
        <w:t>1）排水设备能力不足、损坏；</w:t>
      </w:r>
    </w:p>
    <w:p w14:paraId="289515E3">
      <w:pPr>
        <w:ind w:firstLine="420"/>
        <w:jc w:val="left"/>
        <w:rPr>
          <w:rFonts w:hAnsi="Times New Roman"/>
          <w:color w:val="auto"/>
          <w:highlight w:val="none"/>
          <w:lang w:eastAsia="zh-CN"/>
        </w:rPr>
      </w:pPr>
      <w:r>
        <w:rPr>
          <w:rFonts w:hint="eastAsia" w:hAnsi="Times New Roman"/>
          <w:color w:val="auto"/>
          <w:highlight w:val="none"/>
          <w:lang w:eastAsia="zh-CN"/>
        </w:rPr>
        <w:t>2）有突、涌水风险的反坡排水隧洞，未按方案设置备用电源；</w:t>
      </w:r>
    </w:p>
    <w:p w14:paraId="012737F3">
      <w:pPr>
        <w:ind w:firstLine="420"/>
        <w:jc w:val="left"/>
        <w:rPr>
          <w:rFonts w:hAnsi="Times New Roman"/>
          <w:color w:val="auto"/>
          <w:highlight w:val="none"/>
          <w:lang w:eastAsia="zh-CN"/>
        </w:rPr>
      </w:pPr>
      <w:r>
        <w:rPr>
          <w:rFonts w:hint="eastAsia" w:hAnsi="Times New Roman"/>
          <w:color w:val="auto"/>
          <w:highlight w:val="none"/>
          <w:lang w:eastAsia="zh-CN"/>
        </w:rPr>
        <w:t>3）集水池防护措施不到位；</w:t>
      </w:r>
    </w:p>
    <w:p w14:paraId="0627D935">
      <w:pPr>
        <w:ind w:firstLine="420"/>
        <w:jc w:val="left"/>
        <w:rPr>
          <w:rFonts w:hAnsi="Times New Roman"/>
          <w:color w:val="auto"/>
          <w:highlight w:val="none"/>
          <w:lang w:eastAsia="zh-CN"/>
        </w:rPr>
      </w:pPr>
      <w:r>
        <w:rPr>
          <w:rFonts w:hint="eastAsia" w:hAnsi="Times New Roman"/>
          <w:color w:val="auto"/>
          <w:highlight w:val="none"/>
          <w:lang w:eastAsia="zh-CN"/>
        </w:rPr>
        <w:t>4）有水地段电缆线破损漏电；</w:t>
      </w:r>
    </w:p>
    <w:p w14:paraId="1911935D">
      <w:pPr>
        <w:ind w:firstLine="420"/>
        <w:jc w:val="left"/>
        <w:rPr>
          <w:rFonts w:hAnsi="Times New Roman"/>
          <w:color w:val="auto"/>
          <w:highlight w:val="none"/>
          <w:lang w:eastAsia="zh-CN"/>
        </w:rPr>
      </w:pPr>
      <w:r>
        <w:rPr>
          <w:rFonts w:hint="eastAsia" w:hAnsi="Times New Roman"/>
          <w:color w:val="auto"/>
          <w:highlight w:val="none"/>
          <w:lang w:eastAsia="zh-CN"/>
        </w:rPr>
        <w:t>5）施工排放水质不符合排放标准，污染环境；</w:t>
      </w:r>
    </w:p>
    <w:p w14:paraId="1FCAAB0F">
      <w:pPr>
        <w:ind w:firstLine="420"/>
        <w:jc w:val="left"/>
        <w:rPr>
          <w:rFonts w:hAnsi="Times New Roman"/>
          <w:color w:val="auto"/>
          <w:highlight w:val="none"/>
          <w:lang w:eastAsia="zh-CN"/>
        </w:rPr>
      </w:pPr>
      <w:r>
        <w:rPr>
          <w:rFonts w:hint="eastAsia" w:hAnsi="Times New Roman"/>
          <w:color w:val="auto"/>
          <w:highlight w:val="none"/>
          <w:lang w:eastAsia="zh-CN"/>
        </w:rPr>
        <w:t>6）洞口排水冲刷边、仰坡或路基。</w:t>
      </w:r>
    </w:p>
    <w:p w14:paraId="5BB26FEB">
      <w:pPr>
        <w:ind w:firstLine="420"/>
        <w:jc w:val="left"/>
        <w:rPr>
          <w:rFonts w:hAnsi="Times New Roman"/>
          <w:color w:val="auto"/>
          <w:highlight w:val="none"/>
          <w:lang w:eastAsia="zh-CN"/>
        </w:rPr>
      </w:pPr>
      <w:r>
        <w:rPr>
          <w:rFonts w:hint="eastAsia" w:hAnsi="Times New Roman"/>
          <w:color w:val="auto"/>
          <w:highlight w:val="none"/>
          <w:lang w:eastAsia="zh-CN"/>
        </w:rPr>
        <w:t>（2）有突、涌水风险的反坡隧洞施工，应编制施工排水安全专项方案，排水能力应满足最大涌水量需要。</w:t>
      </w:r>
    </w:p>
    <w:p w14:paraId="148745EF">
      <w:pPr>
        <w:ind w:firstLine="420"/>
        <w:jc w:val="left"/>
        <w:rPr>
          <w:rFonts w:hAnsi="Times New Roman"/>
          <w:color w:val="auto"/>
          <w:highlight w:val="none"/>
          <w:lang w:eastAsia="zh-CN"/>
        </w:rPr>
      </w:pPr>
      <w:r>
        <w:rPr>
          <w:rFonts w:hint="eastAsia" w:hAnsi="Times New Roman"/>
          <w:color w:val="auto"/>
          <w:highlight w:val="none"/>
          <w:lang w:eastAsia="zh-CN"/>
        </w:rPr>
        <w:t>（3）施工前应对地表水进行处理，及早修建洞口防排水设施，防止地表水渗漏及冲刷边仰坡，危及结构及施工安全。</w:t>
      </w:r>
    </w:p>
    <w:p w14:paraId="1B659DCD">
      <w:pPr>
        <w:ind w:firstLine="420"/>
        <w:jc w:val="left"/>
        <w:rPr>
          <w:rFonts w:hAnsi="Times New Roman"/>
          <w:color w:val="auto"/>
          <w:highlight w:val="none"/>
          <w:lang w:eastAsia="zh-CN"/>
        </w:rPr>
      </w:pPr>
      <w:r>
        <w:rPr>
          <w:rFonts w:hint="eastAsia" w:hAnsi="Times New Roman"/>
          <w:color w:val="auto"/>
          <w:highlight w:val="none"/>
          <w:lang w:eastAsia="zh-CN"/>
        </w:rPr>
        <w:t>（4）隧洞内未衬砌地段应设临时排水沟，排水沟应经常清理，保持畅通。</w:t>
      </w:r>
    </w:p>
    <w:p w14:paraId="1660FD54">
      <w:pPr>
        <w:ind w:firstLine="420"/>
        <w:jc w:val="left"/>
        <w:rPr>
          <w:rFonts w:hAnsi="Times New Roman"/>
          <w:color w:val="auto"/>
          <w:highlight w:val="none"/>
          <w:lang w:eastAsia="zh-CN"/>
        </w:rPr>
      </w:pPr>
      <w:r>
        <w:rPr>
          <w:rFonts w:hint="eastAsia" w:hAnsi="Times New Roman"/>
          <w:color w:val="auto"/>
          <w:highlight w:val="none"/>
          <w:lang w:eastAsia="zh-CN"/>
        </w:rPr>
        <w:t>（5）隧洞施工废水不得直接排放，应经过处理，符合当地环境保护相关规定后方可排放。</w:t>
      </w:r>
    </w:p>
    <w:p w14:paraId="7C81F06A">
      <w:pPr>
        <w:ind w:firstLine="420"/>
        <w:jc w:val="left"/>
        <w:rPr>
          <w:rFonts w:hAnsi="Times New Roman"/>
          <w:color w:val="auto"/>
          <w:highlight w:val="none"/>
          <w:lang w:eastAsia="zh-CN"/>
        </w:rPr>
      </w:pPr>
      <w:r>
        <w:rPr>
          <w:rFonts w:hint="eastAsia" w:hAnsi="Times New Roman"/>
          <w:color w:val="auto"/>
          <w:highlight w:val="none"/>
          <w:lang w:eastAsia="zh-CN"/>
        </w:rPr>
        <w:t>（6）隧洞开挖过程中，应采取有效的截水、排水措施，防止地表水和地下水影响开挖作业和施工安全。</w:t>
      </w:r>
    </w:p>
    <w:p w14:paraId="55EC4CEE">
      <w:pPr>
        <w:ind w:firstLine="420"/>
        <w:jc w:val="left"/>
        <w:rPr>
          <w:rFonts w:hAnsi="Times New Roman"/>
          <w:color w:val="auto"/>
          <w:highlight w:val="none"/>
          <w:lang w:eastAsia="zh-CN"/>
        </w:rPr>
      </w:pPr>
      <w:r>
        <w:rPr>
          <w:rFonts w:hint="eastAsia" w:hAnsi="Times New Roman"/>
          <w:color w:val="auto"/>
          <w:highlight w:val="none"/>
          <w:lang w:eastAsia="zh-CN"/>
        </w:rPr>
        <w:t>（7）洞内排水应符合下列要求：</w:t>
      </w:r>
    </w:p>
    <w:p w14:paraId="27301C4B">
      <w:pPr>
        <w:ind w:firstLine="420"/>
        <w:jc w:val="left"/>
        <w:rPr>
          <w:rFonts w:hAnsi="Times New Roman"/>
          <w:color w:val="auto"/>
          <w:highlight w:val="none"/>
          <w:lang w:eastAsia="zh-CN"/>
        </w:rPr>
      </w:pPr>
      <w:r>
        <w:rPr>
          <w:rFonts w:hint="eastAsia" w:hAnsi="Times New Roman"/>
          <w:color w:val="auto"/>
          <w:highlight w:val="none"/>
          <w:lang w:eastAsia="zh-CN"/>
        </w:rPr>
        <w:t>1）工作面及运输道路的路面不应有积水。</w:t>
      </w:r>
    </w:p>
    <w:p w14:paraId="149902C7">
      <w:pPr>
        <w:ind w:firstLine="420"/>
        <w:jc w:val="left"/>
        <w:rPr>
          <w:rFonts w:hAnsi="Times New Roman"/>
          <w:color w:val="auto"/>
          <w:highlight w:val="none"/>
          <w:lang w:eastAsia="zh-CN"/>
        </w:rPr>
      </w:pPr>
      <w:r>
        <w:rPr>
          <w:rFonts w:hint="eastAsia" w:hAnsi="Times New Roman"/>
          <w:color w:val="auto"/>
          <w:highlight w:val="none"/>
          <w:lang w:eastAsia="zh-CN"/>
        </w:rPr>
        <w:t>2）逆坡施工时，应设置排水沟自流排水，并经常清理，必要时可设置盖板。顺坡或平坡施工时，应在适当地点设置集水坑并用水泵排水。</w:t>
      </w:r>
    </w:p>
    <w:p w14:paraId="0A0535C4">
      <w:pPr>
        <w:ind w:firstLine="420"/>
        <w:jc w:val="left"/>
        <w:rPr>
          <w:rFonts w:hAnsi="Times New Roman"/>
          <w:color w:val="auto"/>
          <w:highlight w:val="none"/>
          <w:lang w:eastAsia="zh-CN"/>
        </w:rPr>
      </w:pPr>
      <w:r>
        <w:rPr>
          <w:rFonts w:hint="eastAsia" w:hAnsi="Times New Roman"/>
          <w:color w:val="auto"/>
          <w:highlight w:val="none"/>
          <w:lang w:eastAsia="zh-CN"/>
        </w:rPr>
        <w:t>3）排水泵的容量应比最大涌水量大30%～50%。使用一台水泵排水时，应有与排水泵相同容量的备用水泵；使用两台水泵排水时，应有50%的备用量。重要部位应设有备用电源。</w:t>
      </w:r>
    </w:p>
    <w:p w14:paraId="211CB61D">
      <w:pPr>
        <w:ind w:firstLine="420"/>
        <w:jc w:val="left"/>
        <w:rPr>
          <w:rFonts w:hAnsi="Times New Roman"/>
          <w:color w:val="auto"/>
          <w:highlight w:val="none"/>
          <w:lang w:eastAsia="zh-CN"/>
        </w:rPr>
      </w:pPr>
      <w:r>
        <w:rPr>
          <w:rFonts w:hint="eastAsia" w:hAnsi="Times New Roman"/>
          <w:color w:val="auto"/>
          <w:highlight w:val="none"/>
          <w:lang w:eastAsia="zh-CN"/>
        </w:rPr>
        <w:t>4）寒冷地区的冬季，应防止洞口段排水沟或排水管受冻堵塞。</w:t>
      </w:r>
    </w:p>
    <w:p w14:paraId="12232DA5">
      <w:pPr>
        <w:pStyle w:val="5"/>
        <w:jc w:val="left"/>
        <w:rPr>
          <w:rFonts w:hAnsi="Times New Roman"/>
          <w:color w:val="auto"/>
          <w:highlight w:val="none"/>
          <w:lang w:eastAsia="zh-CN"/>
        </w:rPr>
      </w:pPr>
      <w:r>
        <w:rPr>
          <w:rFonts w:hAnsi="Times New Roman"/>
          <w:color w:val="auto"/>
          <w:highlight w:val="none"/>
          <w:lang w:eastAsia="zh-CN"/>
        </w:rPr>
        <w:t>3.5.10.6</w:t>
      </w:r>
      <w:r>
        <w:rPr>
          <w:rFonts w:hint="eastAsia" w:hAnsi="Times New Roman"/>
          <w:color w:val="auto"/>
          <w:highlight w:val="none"/>
          <w:lang w:eastAsia="zh-CN"/>
        </w:rPr>
        <w:t>　通风与防尘</w:t>
      </w:r>
    </w:p>
    <w:p w14:paraId="2461CF25">
      <w:pPr>
        <w:suppressAutoHyphens/>
        <w:ind w:firstLine="420"/>
        <w:jc w:val="left"/>
        <w:rPr>
          <w:color w:val="auto"/>
          <w:highlight w:val="none"/>
          <w:lang w:val="en-GB" w:eastAsia="zh-CN"/>
        </w:rPr>
      </w:pPr>
      <w:r>
        <w:rPr>
          <w:rFonts w:hint="eastAsia"/>
          <w:color w:val="auto"/>
          <w:highlight w:val="none"/>
          <w:lang w:val="en-GB" w:eastAsia="zh-CN"/>
        </w:rPr>
        <w:t>（1）隧洞施工独头掘进长度超过150m时，应采用机械通风。</w:t>
      </w:r>
    </w:p>
    <w:p w14:paraId="7B2A3BAF">
      <w:pPr>
        <w:pStyle w:val="7"/>
        <w:ind w:firstLine="420"/>
        <w:jc w:val="left"/>
        <w:rPr>
          <w:color w:val="auto"/>
          <w:highlight w:val="none"/>
          <w:lang w:eastAsia="zh-CN"/>
        </w:rPr>
      </w:pPr>
      <w:r>
        <w:rPr>
          <w:rFonts w:hint="eastAsia"/>
          <w:color w:val="auto"/>
          <w:highlight w:val="none"/>
          <w:lang w:val="en-GB" w:eastAsia="zh-CN"/>
        </w:rPr>
        <w:t>（2）长及特长隧洞施工应制定专项通风方案，并经过专项审查后实施。应配置保证应急通风需要的备用通风机和备用电源。</w:t>
      </w:r>
    </w:p>
    <w:p w14:paraId="5EEE23C4">
      <w:pPr>
        <w:ind w:firstLine="420"/>
        <w:jc w:val="left"/>
        <w:rPr>
          <w:rFonts w:hAnsi="Times New Roman"/>
          <w:strike/>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3</w:t>
      </w:r>
      <w:r>
        <w:rPr>
          <w:rFonts w:hint="eastAsia" w:hAnsi="Times New Roman"/>
          <w:color w:val="auto"/>
          <w:highlight w:val="none"/>
          <w:lang w:eastAsia="zh-CN"/>
        </w:rPr>
        <w:t>）隧洞施工通风应纳入工序管理，成立专门的通风班组，由专人负责管理。</w:t>
      </w:r>
    </w:p>
    <w:p w14:paraId="4225AB91">
      <w:pPr>
        <w:suppressAutoHyphens/>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4</w:t>
      </w:r>
      <w:r>
        <w:rPr>
          <w:rFonts w:hint="eastAsia" w:hAnsi="Times New Roman"/>
          <w:color w:val="auto"/>
          <w:highlight w:val="none"/>
          <w:lang w:eastAsia="zh-CN"/>
        </w:rPr>
        <w:t>）隧洞施工过程中，应保障持续通风，保证每一作业人员供应新鲜空气不小于3m</w:t>
      </w:r>
      <w:r>
        <w:rPr>
          <w:rFonts w:hAnsi="Times New Roman"/>
          <w:color w:val="auto"/>
          <w:highlight w:val="none"/>
          <w:lang w:eastAsia="zh-CN"/>
        </w:rPr>
        <w:t>³</w:t>
      </w:r>
      <w:r>
        <w:rPr>
          <w:rFonts w:hint="eastAsia" w:hAnsi="Times New Roman"/>
          <w:color w:val="auto"/>
          <w:highlight w:val="none"/>
          <w:lang w:eastAsia="zh-CN"/>
        </w:rPr>
        <w:t>/min，采用内燃机械作业时，供风量不应小于3m</w:t>
      </w:r>
      <w:r>
        <w:rPr>
          <w:rFonts w:hAnsi="Times New Roman"/>
          <w:color w:val="auto"/>
          <w:highlight w:val="none"/>
          <w:lang w:eastAsia="zh-CN"/>
        </w:rPr>
        <w:t>³</w:t>
      </w:r>
      <w:r>
        <w:rPr>
          <w:rFonts w:hint="eastAsia" w:hAnsi="Times New Roman"/>
          <w:color w:val="auto"/>
          <w:highlight w:val="none"/>
          <w:lang w:eastAsia="zh-CN"/>
        </w:rPr>
        <w:t>/（min.kw）；通风采用压风时，风管端头应距开挖工作面在10～15m；若采取吸风时，风管端宜为20m；严禁在通风管上放置或悬挂任何物体。</w:t>
      </w:r>
    </w:p>
    <w:p w14:paraId="161CB1AD">
      <w:pPr>
        <w:suppressAutoHyphens/>
        <w:ind w:firstLine="420"/>
        <w:jc w:val="left"/>
        <w:rPr>
          <w:color w:val="auto"/>
          <w:highlight w:val="none"/>
          <w:lang w:val="en-GB" w:eastAsia="zh-CN"/>
        </w:rPr>
      </w:pPr>
      <w:r>
        <w:rPr>
          <w:rFonts w:hint="eastAsia"/>
          <w:color w:val="auto"/>
          <w:highlight w:val="none"/>
          <w:lang w:val="en-GB" w:eastAsia="zh-CN"/>
        </w:rPr>
        <w:t>（5）隧洞开挖时的通风风速不应小于0.</w:t>
      </w:r>
      <w:r>
        <w:rPr>
          <w:color w:val="auto"/>
          <w:highlight w:val="none"/>
          <w:lang w:val="en-GB" w:eastAsia="zh-CN"/>
        </w:rPr>
        <w:t>5m/s</w:t>
      </w:r>
      <w:r>
        <w:rPr>
          <w:rFonts w:hint="eastAsia"/>
          <w:color w:val="auto"/>
          <w:highlight w:val="none"/>
          <w:lang w:val="en-GB" w:eastAsia="zh-CN"/>
        </w:rPr>
        <w:t>。</w:t>
      </w:r>
    </w:p>
    <w:p w14:paraId="38B1089C">
      <w:pPr>
        <w:suppressAutoHyphens/>
        <w:ind w:firstLine="420"/>
        <w:jc w:val="left"/>
        <w:rPr>
          <w:color w:val="auto"/>
          <w:highlight w:val="none"/>
          <w:lang w:val="en-GB" w:eastAsia="zh-CN"/>
        </w:rPr>
      </w:pPr>
      <w:r>
        <w:rPr>
          <w:rFonts w:hint="eastAsia"/>
          <w:color w:val="auto"/>
          <w:highlight w:val="none"/>
          <w:lang w:val="en-GB" w:eastAsia="zh-CN"/>
        </w:rPr>
        <w:t>（6）通风机、通风管安装与使用应符合下列规定：</w:t>
      </w:r>
    </w:p>
    <w:p w14:paraId="3D0F96F7">
      <w:pPr>
        <w:suppressAutoHyphens/>
        <w:ind w:firstLine="420"/>
        <w:jc w:val="left"/>
        <w:rPr>
          <w:color w:val="auto"/>
          <w:highlight w:val="none"/>
          <w:lang w:val="en-GB" w:eastAsia="zh-CN"/>
        </w:rPr>
      </w:pPr>
      <w:r>
        <w:rPr>
          <w:rFonts w:hint="eastAsia"/>
          <w:color w:val="auto"/>
          <w:highlight w:val="none"/>
          <w:lang w:val="en-GB" w:eastAsia="zh-CN"/>
        </w:rPr>
        <w:t>1）通风机控制系统应装有保险装置，当发生故障时应自动停机；</w:t>
      </w:r>
    </w:p>
    <w:p w14:paraId="6C0801DB">
      <w:pPr>
        <w:pStyle w:val="54"/>
        <w:ind w:firstLine="420"/>
        <w:jc w:val="left"/>
        <w:rPr>
          <w:color w:val="auto"/>
          <w:spacing w:val="0"/>
          <w:highlight w:val="none"/>
          <w:lang w:val="en-GB" w:eastAsia="zh-CN"/>
        </w:rPr>
      </w:pPr>
      <w:r>
        <w:rPr>
          <w:color w:val="auto"/>
          <w:spacing w:val="0"/>
          <w:highlight w:val="none"/>
          <w:lang w:val="en-GB" w:eastAsia="zh-CN"/>
        </w:rPr>
        <w:t>2）通风管沿线应每隔50～100m设立警示标志或色灯；人员不得在风管的进出口停留；</w:t>
      </w:r>
    </w:p>
    <w:p w14:paraId="5FD9DF1C">
      <w:pPr>
        <w:suppressAutoHyphens/>
        <w:ind w:firstLine="420"/>
        <w:jc w:val="left"/>
        <w:rPr>
          <w:color w:val="auto"/>
          <w:highlight w:val="none"/>
          <w:lang w:val="en-GB" w:eastAsia="zh-CN"/>
        </w:rPr>
      </w:pPr>
      <w:r>
        <w:rPr>
          <w:rFonts w:hint="eastAsia"/>
          <w:color w:val="auto"/>
          <w:highlight w:val="none"/>
          <w:lang w:val="en-GB" w:eastAsia="zh-CN"/>
        </w:rPr>
        <w:t>3）通风管安装作业台架应稳定牢固，经验收合格后方可使用；</w:t>
      </w:r>
    </w:p>
    <w:p w14:paraId="7738C68A">
      <w:pPr>
        <w:suppressAutoHyphens/>
        <w:ind w:firstLine="420"/>
        <w:jc w:val="left"/>
        <w:rPr>
          <w:color w:val="auto"/>
          <w:highlight w:val="none"/>
          <w:lang w:val="en-GB" w:eastAsia="zh-CN"/>
        </w:rPr>
      </w:pPr>
      <w:r>
        <w:rPr>
          <w:rFonts w:hint="eastAsia"/>
          <w:color w:val="auto"/>
          <w:highlight w:val="none"/>
          <w:lang w:val="en-GB" w:eastAsia="zh-CN"/>
        </w:rPr>
        <w:t>4）通风管安装应顺直，通风时不得弯折和挤压，不得破损。</w:t>
      </w:r>
    </w:p>
    <w:p w14:paraId="59AE5DAC">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7</w:t>
      </w:r>
      <w:r>
        <w:rPr>
          <w:rFonts w:hint="eastAsia" w:hAnsi="Times New Roman"/>
          <w:color w:val="auto"/>
          <w:highlight w:val="none"/>
          <w:lang w:eastAsia="zh-CN"/>
        </w:rPr>
        <w:t>）隧洞施工中应采取综合除尘降噪措施，配备专用检测设备及仪器，按规定检测粉尘、噪声和有害气体浓度及放射性元素剂量。</w:t>
      </w:r>
    </w:p>
    <w:p w14:paraId="68AC3F23">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8</w:t>
      </w:r>
      <w:r>
        <w:rPr>
          <w:rFonts w:hint="eastAsia" w:hAnsi="Times New Roman"/>
          <w:color w:val="auto"/>
          <w:highlight w:val="none"/>
          <w:lang w:eastAsia="zh-CN"/>
        </w:rPr>
        <w:t>）爆破作业后和出渣前应经喷淋除尘后，作业人员方可进入下道工序作业；装渣作业和喷射混凝土过程中，应采取除尘措施。</w:t>
      </w:r>
    </w:p>
    <w:p w14:paraId="089842CA">
      <w:pPr>
        <w:suppressAutoHyphens/>
        <w:ind w:firstLine="420"/>
        <w:jc w:val="left"/>
        <w:rPr>
          <w:color w:val="auto"/>
          <w:highlight w:val="none"/>
          <w:lang w:val="en-GB" w:eastAsia="zh-CN"/>
        </w:rPr>
      </w:pPr>
      <w:r>
        <w:rPr>
          <w:rFonts w:hint="eastAsia" w:hAnsi="Times New Roman"/>
          <w:color w:val="auto"/>
          <w:highlight w:val="none"/>
          <w:lang w:eastAsia="zh-CN"/>
        </w:rPr>
        <w:t>（</w:t>
      </w:r>
      <w:r>
        <w:rPr>
          <w:rFonts w:hAnsi="Times New Roman"/>
          <w:color w:val="auto"/>
          <w:highlight w:val="none"/>
          <w:lang w:eastAsia="zh-CN"/>
        </w:rPr>
        <w:t>9</w:t>
      </w:r>
      <w:r>
        <w:rPr>
          <w:rFonts w:hint="eastAsia" w:hAnsi="Times New Roman"/>
          <w:color w:val="auto"/>
          <w:highlight w:val="none"/>
          <w:lang w:eastAsia="zh-CN"/>
        </w:rPr>
        <w:t>）隧洞施工作业环境应符合国家有关规定</w:t>
      </w:r>
      <w:r>
        <w:rPr>
          <w:rFonts w:hint="eastAsia"/>
          <w:color w:val="auto"/>
          <w:highlight w:val="none"/>
          <w:lang w:val="en-GB" w:eastAsia="zh-CN"/>
        </w:rPr>
        <w:t>，并满足下列卫生及安全标准的要求：</w:t>
      </w:r>
    </w:p>
    <w:p w14:paraId="05F8E4E2">
      <w:pPr>
        <w:suppressAutoHyphens/>
        <w:ind w:firstLine="420"/>
        <w:jc w:val="left"/>
        <w:rPr>
          <w:color w:val="auto"/>
          <w:highlight w:val="none"/>
          <w:lang w:val="en-GB" w:eastAsia="zh-CN"/>
        </w:rPr>
      </w:pPr>
      <w:r>
        <w:rPr>
          <w:rFonts w:hint="eastAsia"/>
          <w:color w:val="auto"/>
          <w:highlight w:val="none"/>
          <w:lang w:val="en-GB" w:eastAsia="zh-CN"/>
        </w:rPr>
        <w:t>1）坑道开挖面空气中，按体积计，氧气含量不得低于20％，二氧化碳不得大于0.5%；</w:t>
      </w:r>
    </w:p>
    <w:p w14:paraId="16FC4F9A">
      <w:pPr>
        <w:suppressAutoHyphens/>
        <w:ind w:firstLine="420"/>
        <w:jc w:val="left"/>
        <w:rPr>
          <w:color w:val="auto"/>
          <w:highlight w:val="none"/>
          <w:lang w:val="en-GB" w:eastAsia="zh-CN"/>
        </w:rPr>
      </w:pPr>
      <w:r>
        <w:rPr>
          <w:rFonts w:hint="eastAsia"/>
          <w:color w:val="auto"/>
          <w:highlight w:val="none"/>
          <w:lang w:val="en-GB" w:eastAsia="zh-CN"/>
        </w:rPr>
        <w:t>2）隧洞内气温不得高于28℃；</w:t>
      </w:r>
    </w:p>
    <w:p w14:paraId="00455ADD">
      <w:pPr>
        <w:suppressAutoHyphens/>
        <w:ind w:firstLine="420"/>
        <w:jc w:val="left"/>
        <w:rPr>
          <w:color w:val="auto"/>
          <w:highlight w:val="none"/>
          <w:lang w:val="en-GB" w:eastAsia="zh-CN"/>
        </w:rPr>
      </w:pPr>
      <w:r>
        <w:rPr>
          <w:rFonts w:hint="eastAsia"/>
          <w:color w:val="auto"/>
          <w:highlight w:val="none"/>
          <w:lang w:val="en-GB" w:eastAsia="zh-CN"/>
        </w:rPr>
        <w:t>3）隧洞内噪声不得大于90dB；</w:t>
      </w:r>
    </w:p>
    <w:p w14:paraId="251C0940">
      <w:pPr>
        <w:ind w:firstLine="420"/>
        <w:jc w:val="left"/>
        <w:rPr>
          <w:rFonts w:hAnsi="Times New Roman"/>
          <w:color w:val="auto"/>
          <w:highlight w:val="none"/>
          <w:lang w:eastAsia="zh-CN"/>
        </w:rPr>
      </w:pPr>
      <w:r>
        <w:rPr>
          <w:rFonts w:hint="eastAsia"/>
          <w:color w:val="auto"/>
          <w:highlight w:val="none"/>
          <w:lang w:val="en-GB" w:eastAsia="zh-CN"/>
        </w:rPr>
        <w:t>4）隧洞内粉尘容许浓度，每立方米空气中含有10％以上的游离二氧化硅的粉尘不得大于2mg。每立方米空气中含有10%以下的游离二氧化硅的矿物性粉尘不得大于4mg；</w:t>
      </w:r>
    </w:p>
    <w:p w14:paraId="3B7561C0">
      <w:pPr>
        <w:suppressAutoHyphens/>
        <w:ind w:firstLine="420"/>
        <w:jc w:val="left"/>
        <w:rPr>
          <w:color w:val="auto"/>
          <w:highlight w:val="none"/>
          <w:lang w:val="en-GB" w:eastAsia="zh-CN"/>
        </w:rPr>
      </w:pPr>
      <w:r>
        <w:rPr>
          <w:rFonts w:hint="eastAsia"/>
          <w:color w:val="auto"/>
          <w:highlight w:val="none"/>
          <w:lang w:val="en-GB" w:eastAsia="zh-CN"/>
        </w:rPr>
        <w:t>5）隧洞内常见有害气体容许浓度：</w:t>
      </w:r>
    </w:p>
    <w:p w14:paraId="5A80A553">
      <w:pPr>
        <w:suppressAutoHyphens/>
        <w:ind w:firstLine="420"/>
        <w:jc w:val="left"/>
        <w:rPr>
          <w:color w:val="auto"/>
          <w:highlight w:val="none"/>
          <w:lang w:val="en-GB" w:eastAsia="zh-CN"/>
        </w:rPr>
      </w:pPr>
      <w:r>
        <w:rPr>
          <w:rFonts w:hint="eastAsia"/>
          <w:color w:val="auto"/>
          <w:highlight w:val="none"/>
          <w:lang w:val="en-GB" w:eastAsia="zh-CN"/>
        </w:rPr>
        <w:t>①一氧化碳容许浓度不得大于30mg／m</w:t>
      </w:r>
      <w:r>
        <w:rPr>
          <w:color w:val="auto"/>
          <w:highlight w:val="none"/>
          <w:vertAlign w:val="superscript"/>
          <w:lang w:val="en-GB" w:eastAsia="zh-CN"/>
        </w:rPr>
        <w:t>3</w:t>
      </w:r>
      <w:r>
        <w:rPr>
          <w:rFonts w:hint="eastAsia"/>
          <w:color w:val="auto"/>
          <w:highlight w:val="none"/>
          <w:lang w:val="en-GB" w:eastAsia="zh-CN"/>
        </w:rPr>
        <w:t>。在特殊情况下，施工人员必须进入开挖工作面时，浓度可为100mg/m</w:t>
      </w:r>
      <w:r>
        <w:rPr>
          <w:color w:val="auto"/>
          <w:highlight w:val="none"/>
          <w:vertAlign w:val="superscript"/>
          <w:lang w:val="en-GB" w:eastAsia="zh-CN"/>
        </w:rPr>
        <w:t>3</w:t>
      </w:r>
      <w:r>
        <w:rPr>
          <w:rFonts w:hint="eastAsia"/>
          <w:color w:val="auto"/>
          <w:highlight w:val="none"/>
          <w:lang w:val="en-GB" w:eastAsia="zh-CN"/>
        </w:rPr>
        <w:t>，但工作时间不得大于30min；</w:t>
      </w:r>
    </w:p>
    <w:p w14:paraId="4FEBDA26">
      <w:pPr>
        <w:ind w:firstLine="420"/>
        <w:jc w:val="left"/>
        <w:rPr>
          <w:color w:val="auto"/>
          <w:highlight w:val="none"/>
          <w:lang w:eastAsia="zh-CN"/>
        </w:rPr>
      </w:pPr>
      <w:r>
        <w:rPr>
          <w:rFonts w:hint="eastAsia"/>
          <w:color w:val="auto"/>
          <w:highlight w:val="none"/>
          <w:lang w:val="en-GB" w:eastAsia="zh-CN"/>
        </w:rPr>
        <w:t>②氮氧化物（换算成NO</w:t>
      </w:r>
      <w:r>
        <w:rPr>
          <w:color w:val="auto"/>
          <w:highlight w:val="none"/>
          <w:vertAlign w:val="subscript"/>
          <w:lang w:val="en-GB" w:eastAsia="zh-CN"/>
        </w:rPr>
        <w:t>2</w:t>
      </w:r>
      <w:r>
        <w:rPr>
          <w:rFonts w:hint="eastAsia"/>
          <w:color w:val="auto"/>
          <w:highlight w:val="none"/>
          <w:lang w:val="en-GB" w:eastAsia="zh-CN"/>
        </w:rPr>
        <w:t>）浓度应在5mg／m</w:t>
      </w:r>
      <w:r>
        <w:rPr>
          <w:color w:val="auto"/>
          <w:highlight w:val="none"/>
          <w:vertAlign w:val="superscript"/>
          <w:lang w:val="en-GB" w:eastAsia="zh-CN"/>
        </w:rPr>
        <w:t>3</w:t>
      </w:r>
      <w:r>
        <w:rPr>
          <w:rFonts w:hint="eastAsia"/>
          <w:color w:val="auto"/>
          <w:highlight w:val="none"/>
          <w:lang w:val="en-GB" w:eastAsia="zh-CN"/>
        </w:rPr>
        <w:t>以下。</w:t>
      </w:r>
    </w:p>
    <w:p w14:paraId="73014C73">
      <w:pPr>
        <w:ind w:firstLine="420"/>
        <w:jc w:val="left"/>
        <w:rPr>
          <w:rFonts w:hAnsi="Times New Roman"/>
          <w:color w:val="auto"/>
          <w:highlight w:val="none"/>
          <w:lang w:eastAsia="zh-CN"/>
        </w:rPr>
      </w:pPr>
      <w:r>
        <w:rPr>
          <w:rFonts w:hint="eastAsia" w:hAnsi="Times New Roman"/>
          <w:bCs/>
          <w:color w:val="auto"/>
          <w:highlight w:val="none"/>
          <w:lang w:eastAsia="zh-CN"/>
        </w:rPr>
        <w:t>（</w:t>
      </w:r>
      <w:r>
        <w:rPr>
          <w:rFonts w:hAnsi="Times New Roman"/>
          <w:bCs/>
          <w:color w:val="auto"/>
          <w:highlight w:val="none"/>
          <w:lang w:eastAsia="zh-CN"/>
        </w:rPr>
        <w:t>10</w:t>
      </w:r>
      <w:r>
        <w:rPr>
          <w:rFonts w:hint="eastAsia" w:hAnsi="Times New Roman"/>
          <w:bCs/>
          <w:color w:val="auto"/>
          <w:highlight w:val="none"/>
          <w:lang w:eastAsia="zh-CN"/>
        </w:rPr>
        <w:t>）</w:t>
      </w:r>
      <w:r>
        <w:rPr>
          <w:rFonts w:hint="eastAsia" w:hAnsi="Times New Roman"/>
          <w:color w:val="auto"/>
          <w:highlight w:val="none"/>
          <w:lang w:eastAsia="zh-CN"/>
        </w:rPr>
        <w:t>隧洞施工中，应为施工人员配备满足作业需要的防尘口罩、耳塞等个人劳动保护用品。</w:t>
      </w:r>
    </w:p>
    <w:p w14:paraId="4FBF4B3A">
      <w:pPr>
        <w:pStyle w:val="7"/>
        <w:ind w:firstLine="420"/>
        <w:jc w:val="left"/>
        <w:rPr>
          <w:color w:val="auto"/>
          <w:highlight w:val="none"/>
          <w:lang w:eastAsia="zh-CN"/>
        </w:rPr>
      </w:pPr>
      <w:r>
        <w:rPr>
          <w:rFonts w:hint="eastAsia"/>
          <w:color w:val="auto"/>
          <w:highlight w:val="none"/>
          <w:lang w:val="en-GB" w:eastAsia="zh-CN"/>
        </w:rPr>
        <w:t>（1</w:t>
      </w:r>
      <w:r>
        <w:rPr>
          <w:color w:val="auto"/>
          <w:highlight w:val="none"/>
          <w:lang w:eastAsia="zh-CN"/>
        </w:rPr>
        <w:t>1</w:t>
      </w:r>
      <w:r>
        <w:rPr>
          <w:rFonts w:hint="eastAsia"/>
          <w:color w:val="auto"/>
          <w:highlight w:val="none"/>
          <w:lang w:val="en-GB" w:eastAsia="zh-CN"/>
        </w:rPr>
        <w:t>）从事隧洞施工人员在进场后、施工中和离场前应进行健康体检，并建立个人健康档案。</w:t>
      </w:r>
    </w:p>
    <w:p w14:paraId="20A2B74C">
      <w:pPr>
        <w:pStyle w:val="5"/>
        <w:jc w:val="left"/>
        <w:rPr>
          <w:rFonts w:hAnsi="Times New Roman"/>
          <w:color w:val="auto"/>
          <w:highlight w:val="none"/>
          <w:lang w:eastAsia="zh-CN"/>
        </w:rPr>
      </w:pPr>
      <w:r>
        <w:rPr>
          <w:rFonts w:hAnsi="Times New Roman"/>
          <w:color w:val="auto"/>
          <w:highlight w:val="none"/>
          <w:lang w:eastAsia="zh-CN"/>
        </w:rPr>
        <w:t>3.5.10.7</w:t>
      </w:r>
      <w:r>
        <w:rPr>
          <w:rFonts w:hint="eastAsia" w:hAnsi="Times New Roman"/>
          <w:color w:val="auto"/>
          <w:highlight w:val="none"/>
          <w:lang w:eastAsia="zh-CN"/>
        </w:rPr>
        <w:t>　照明</w:t>
      </w:r>
    </w:p>
    <w:p w14:paraId="25004852">
      <w:pPr>
        <w:ind w:firstLine="420"/>
        <w:jc w:val="left"/>
        <w:rPr>
          <w:rFonts w:hAnsi="Times New Roman"/>
          <w:color w:val="auto"/>
          <w:highlight w:val="none"/>
          <w:lang w:eastAsia="zh-CN"/>
        </w:rPr>
      </w:pPr>
      <w:r>
        <w:rPr>
          <w:rFonts w:hint="eastAsia" w:hAnsi="Times New Roman"/>
          <w:color w:val="auto"/>
          <w:highlight w:val="none"/>
          <w:lang w:eastAsia="zh-CN"/>
        </w:rPr>
        <w:t>（1）隧洞施工作业地段应有足够亮度的照明，采用普通光源照明时，其亮度应满足表3.5.10.7-1的要求。不安全因素较大的地段应加大光照度。</w:t>
      </w:r>
    </w:p>
    <w:p w14:paraId="3549D968">
      <w:pPr>
        <w:ind w:firstLine="420"/>
        <w:jc w:val="left"/>
        <w:rPr>
          <w:rFonts w:hAnsi="Times New Roman"/>
          <w:b/>
          <w:bCs/>
          <w:color w:val="auto"/>
          <w:highlight w:val="none"/>
          <w:lang w:eastAsia="zh-CN"/>
        </w:rPr>
      </w:pPr>
      <w:r>
        <w:rPr>
          <w:rFonts w:hint="eastAsia" w:hAnsi="Times New Roman"/>
          <w:b/>
          <w:bCs/>
          <w:color w:val="auto"/>
          <w:highlight w:val="none"/>
          <w:lang w:eastAsia="zh-CN"/>
        </w:rPr>
        <w:t>表3.5.10.7-1</w:t>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eastAsia="zh-CN"/>
        </w:rPr>
        <w:t>隧洞作业地段施工照明要求</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074"/>
        <w:gridCol w:w="3769"/>
      </w:tblGrid>
      <w:tr w14:paraId="643B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4895" w:type="dxa"/>
            <w:tcBorders>
              <w:tl2br w:val="nil"/>
              <w:tr2bl w:val="nil"/>
            </w:tcBorders>
            <w:vAlign w:val="center"/>
          </w:tcPr>
          <w:p w14:paraId="5FA9B6D6">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施工作业地段</w:t>
            </w:r>
          </w:p>
        </w:tc>
        <w:tc>
          <w:tcPr>
            <w:tcW w:w="3635" w:type="dxa"/>
            <w:tcBorders>
              <w:tl2br w:val="nil"/>
              <w:tr2bl w:val="nil"/>
            </w:tcBorders>
            <w:vAlign w:val="center"/>
          </w:tcPr>
          <w:p w14:paraId="557954D1">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最小光照度（lx）</w:t>
            </w:r>
          </w:p>
        </w:tc>
      </w:tr>
      <w:tr w14:paraId="1417A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95" w:type="dxa"/>
            <w:tcBorders>
              <w:tl2br w:val="nil"/>
              <w:tr2bl w:val="nil"/>
            </w:tcBorders>
            <w:vAlign w:val="center"/>
          </w:tcPr>
          <w:p w14:paraId="079BC754">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开挖工作面</w:t>
            </w:r>
          </w:p>
        </w:tc>
        <w:tc>
          <w:tcPr>
            <w:tcW w:w="3635" w:type="dxa"/>
            <w:tcBorders>
              <w:tl2br w:val="nil"/>
              <w:tr2bl w:val="nil"/>
            </w:tcBorders>
            <w:vAlign w:val="center"/>
          </w:tcPr>
          <w:p w14:paraId="546972C6">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50</w:t>
            </w:r>
          </w:p>
        </w:tc>
      </w:tr>
      <w:tr w14:paraId="71E6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95" w:type="dxa"/>
            <w:tcBorders>
              <w:tl2br w:val="nil"/>
              <w:tr2bl w:val="nil"/>
            </w:tcBorders>
            <w:vAlign w:val="center"/>
          </w:tcPr>
          <w:p w14:paraId="055E0DC4">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其他作业地段</w:t>
            </w:r>
          </w:p>
        </w:tc>
        <w:tc>
          <w:tcPr>
            <w:tcW w:w="3635" w:type="dxa"/>
            <w:tcBorders>
              <w:tl2br w:val="nil"/>
              <w:tr2bl w:val="nil"/>
            </w:tcBorders>
            <w:vAlign w:val="center"/>
          </w:tcPr>
          <w:p w14:paraId="3E558982">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30</w:t>
            </w:r>
          </w:p>
        </w:tc>
      </w:tr>
      <w:tr w14:paraId="55BD1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95" w:type="dxa"/>
            <w:tcBorders>
              <w:tl2br w:val="nil"/>
              <w:tr2bl w:val="nil"/>
            </w:tcBorders>
            <w:vAlign w:val="center"/>
          </w:tcPr>
          <w:p w14:paraId="666204D7">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运输通道</w:t>
            </w:r>
          </w:p>
        </w:tc>
        <w:tc>
          <w:tcPr>
            <w:tcW w:w="3635" w:type="dxa"/>
            <w:tcBorders>
              <w:tl2br w:val="nil"/>
              <w:tr2bl w:val="nil"/>
            </w:tcBorders>
            <w:vAlign w:val="center"/>
          </w:tcPr>
          <w:p w14:paraId="395C6D24">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15</w:t>
            </w:r>
          </w:p>
        </w:tc>
      </w:tr>
      <w:tr w14:paraId="25AB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95" w:type="dxa"/>
            <w:tcBorders>
              <w:tl2br w:val="nil"/>
              <w:tr2bl w:val="nil"/>
            </w:tcBorders>
            <w:vAlign w:val="center"/>
          </w:tcPr>
          <w:p w14:paraId="0D5FC073">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成洞地段</w:t>
            </w:r>
          </w:p>
        </w:tc>
        <w:tc>
          <w:tcPr>
            <w:tcW w:w="3635" w:type="dxa"/>
            <w:tcBorders>
              <w:tl2br w:val="nil"/>
              <w:tr2bl w:val="nil"/>
            </w:tcBorders>
            <w:vAlign w:val="center"/>
          </w:tcPr>
          <w:p w14:paraId="2E9C7619">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10</w:t>
            </w:r>
          </w:p>
        </w:tc>
      </w:tr>
    </w:tbl>
    <w:p w14:paraId="02EA1DB4">
      <w:pPr>
        <w:ind w:firstLine="420"/>
        <w:jc w:val="left"/>
        <w:rPr>
          <w:rFonts w:hint="eastAsia" w:hAnsi="Times New Roman"/>
          <w:color w:val="auto"/>
          <w:highlight w:val="none"/>
          <w:lang w:eastAsia="zh-CN"/>
        </w:rPr>
      </w:pPr>
    </w:p>
    <w:p w14:paraId="1FC5AEF4">
      <w:pPr>
        <w:ind w:firstLine="420"/>
        <w:jc w:val="left"/>
        <w:rPr>
          <w:rFonts w:hAnsi="Times New Roman"/>
          <w:color w:val="auto"/>
          <w:highlight w:val="none"/>
          <w:lang w:eastAsia="zh-CN"/>
        </w:rPr>
      </w:pPr>
      <w:r>
        <w:rPr>
          <w:rFonts w:hint="eastAsia" w:hAnsi="Times New Roman"/>
          <w:color w:val="auto"/>
          <w:highlight w:val="none"/>
          <w:lang w:eastAsia="zh-CN"/>
        </w:rPr>
        <w:t>（2）作业地段采用普通光源施工照明时应符合下列规定：</w:t>
      </w:r>
    </w:p>
    <w:p w14:paraId="241E51BE">
      <w:pPr>
        <w:ind w:firstLine="420"/>
        <w:jc w:val="left"/>
        <w:rPr>
          <w:rFonts w:hAnsi="Times New Roman"/>
          <w:color w:val="auto"/>
          <w:highlight w:val="none"/>
          <w:lang w:eastAsia="zh-CN"/>
        </w:rPr>
      </w:pPr>
      <w:r>
        <w:rPr>
          <w:rFonts w:hint="eastAsia" w:hAnsi="Times New Roman"/>
          <w:color w:val="auto"/>
          <w:highlight w:val="none"/>
          <w:lang w:eastAsia="zh-CN"/>
        </w:rPr>
        <w:t>1）应使用安全变压器，其容量不宜过大，输入电压220V，输出电压有四个等级，36V、32V、24V、12V，输出端不应高出额定电压的105%；</w:t>
      </w:r>
    </w:p>
    <w:p w14:paraId="7609987C">
      <w:pPr>
        <w:ind w:firstLine="420"/>
        <w:jc w:val="left"/>
        <w:rPr>
          <w:rFonts w:hAnsi="Times New Roman"/>
          <w:color w:val="auto"/>
          <w:highlight w:val="none"/>
          <w:lang w:eastAsia="zh-CN"/>
        </w:rPr>
      </w:pPr>
      <w:r>
        <w:rPr>
          <w:rFonts w:hint="eastAsia" w:hAnsi="Times New Roman"/>
          <w:color w:val="auto"/>
          <w:highlight w:val="none"/>
          <w:lang w:eastAsia="zh-CN"/>
        </w:rPr>
        <w:t>2）隧洞内照明的光照度应充足、均匀，不得有闪烁；</w:t>
      </w:r>
    </w:p>
    <w:p w14:paraId="28408B7F">
      <w:pPr>
        <w:ind w:firstLine="420"/>
        <w:jc w:val="left"/>
        <w:rPr>
          <w:rFonts w:hAnsi="Times New Roman"/>
          <w:color w:val="auto"/>
          <w:highlight w:val="none"/>
          <w:lang w:eastAsia="zh-CN"/>
        </w:rPr>
      </w:pPr>
      <w:r>
        <w:rPr>
          <w:rFonts w:hint="eastAsia" w:hAnsi="Times New Roman"/>
          <w:color w:val="auto"/>
          <w:highlight w:val="none"/>
          <w:lang w:eastAsia="zh-CN"/>
        </w:rPr>
        <w:t>3）洞内主要交通道路、抽水机站等重要场所，应有安全照明。曲线地段和洞室拐弯处，应增加照明灯头；</w:t>
      </w:r>
    </w:p>
    <w:p w14:paraId="35AC464B">
      <w:pPr>
        <w:ind w:firstLine="420"/>
        <w:jc w:val="left"/>
        <w:rPr>
          <w:rFonts w:hAnsi="Times New Roman"/>
          <w:color w:val="auto"/>
          <w:highlight w:val="none"/>
          <w:lang w:eastAsia="zh-CN"/>
        </w:rPr>
      </w:pPr>
      <w:r>
        <w:rPr>
          <w:rFonts w:hint="eastAsia" w:hAnsi="Times New Roman"/>
          <w:color w:val="auto"/>
          <w:highlight w:val="none"/>
          <w:lang w:eastAsia="zh-CN"/>
        </w:rPr>
        <w:t>4）成洞地段应尽量采用节能新光源。</w:t>
      </w:r>
    </w:p>
    <w:p w14:paraId="2E050183">
      <w:pPr>
        <w:ind w:firstLine="420"/>
        <w:jc w:val="left"/>
        <w:rPr>
          <w:rFonts w:hAnsi="Times New Roman"/>
          <w:color w:val="auto"/>
          <w:highlight w:val="none"/>
          <w:lang w:eastAsia="zh-CN"/>
        </w:rPr>
      </w:pPr>
      <w:r>
        <w:rPr>
          <w:rFonts w:hint="eastAsia" w:hAnsi="Times New Roman"/>
          <w:color w:val="auto"/>
          <w:highlight w:val="none"/>
          <w:lang w:eastAsia="zh-CN"/>
        </w:rPr>
        <w:t>（3）隧洞内有水地段照明应采用安全电压及防水灯头和灯罩。施工现场电线、电缆及电器设备、设施使用过程中应经常检查，确保绝缘良好。</w:t>
      </w:r>
    </w:p>
    <w:p w14:paraId="12DA569F">
      <w:pPr>
        <w:ind w:firstLine="420"/>
        <w:jc w:val="left"/>
        <w:rPr>
          <w:rFonts w:hAnsi="Times New Roman"/>
          <w:color w:val="auto"/>
          <w:highlight w:val="none"/>
          <w:lang w:eastAsia="zh-CN"/>
        </w:rPr>
      </w:pPr>
      <w:r>
        <w:rPr>
          <w:rFonts w:hint="eastAsia" w:hAnsi="Times New Roman"/>
          <w:color w:val="auto"/>
          <w:highlight w:val="none"/>
          <w:lang w:eastAsia="zh-CN"/>
        </w:rPr>
        <w:t>（4）隧洞内应按每50m～100m间距设应急照明灯。</w:t>
      </w:r>
    </w:p>
    <w:p w14:paraId="20D43889">
      <w:pPr>
        <w:ind w:firstLine="420"/>
        <w:jc w:val="left"/>
        <w:rPr>
          <w:rFonts w:hAnsi="Times New Roman"/>
          <w:color w:val="auto"/>
          <w:highlight w:val="none"/>
          <w:lang w:eastAsia="zh-CN"/>
        </w:rPr>
      </w:pPr>
      <w:r>
        <w:rPr>
          <w:rFonts w:hint="eastAsia" w:hAnsi="Times New Roman"/>
          <w:color w:val="auto"/>
          <w:highlight w:val="none"/>
          <w:lang w:eastAsia="zh-CN"/>
        </w:rPr>
        <w:t>（5）地下工程作业、夜间施工或自然采光差等场所，应设一般照明、局部照明或混合照明，并应装设自备电源的应急照明。</w:t>
      </w:r>
    </w:p>
    <w:p w14:paraId="1B5B65CF">
      <w:pPr>
        <w:ind w:firstLine="420"/>
        <w:jc w:val="left"/>
        <w:rPr>
          <w:rFonts w:hAnsi="Times New Roman"/>
          <w:color w:val="auto"/>
          <w:highlight w:val="none"/>
          <w:lang w:eastAsia="zh-CN"/>
        </w:rPr>
      </w:pPr>
      <w:r>
        <w:rPr>
          <w:rFonts w:hint="eastAsia" w:hAnsi="Times New Roman"/>
          <w:color w:val="auto"/>
          <w:highlight w:val="none"/>
          <w:lang w:eastAsia="zh-CN"/>
        </w:rPr>
        <w:t>（6）施工照明应符合下列要求：地下工程，有高温、导电灰尘，且灯具离地面高度低于2.50m等场所的照明，电源电压不应大于36V，并选用密闭型防水防尘照明器或配有防水灯头的开启式照明器。在特别潮湿的场所、导电良好的地面、锅炉或金属容器内工作的照明电源电压不宜大于12V。</w:t>
      </w:r>
    </w:p>
    <w:p w14:paraId="42FADE30">
      <w:pPr>
        <w:suppressAutoHyphens/>
        <w:ind w:firstLine="420"/>
        <w:jc w:val="left"/>
        <w:rPr>
          <w:color w:val="auto"/>
          <w:highlight w:val="none"/>
          <w:lang w:val="en-GB" w:eastAsia="zh-CN"/>
        </w:rPr>
      </w:pPr>
      <w:r>
        <w:rPr>
          <w:rFonts w:hint="eastAsia"/>
          <w:color w:val="auto"/>
          <w:highlight w:val="none"/>
          <w:lang w:val="en-GB" w:eastAsia="zh-CN"/>
        </w:rPr>
        <w:t>（</w:t>
      </w:r>
      <w:r>
        <w:rPr>
          <w:color w:val="auto"/>
          <w:highlight w:val="none"/>
          <w:lang w:eastAsia="zh-CN"/>
        </w:rPr>
        <w:t>7</w:t>
      </w:r>
      <w:r>
        <w:rPr>
          <w:rFonts w:hint="eastAsia"/>
          <w:color w:val="auto"/>
          <w:highlight w:val="none"/>
          <w:lang w:val="en-GB" w:eastAsia="zh-CN"/>
        </w:rPr>
        <w:t>）隧洞施工用电应符合下列规定：</w:t>
      </w:r>
    </w:p>
    <w:p w14:paraId="003808FA">
      <w:pPr>
        <w:suppressAutoHyphens/>
        <w:ind w:firstLine="420"/>
        <w:jc w:val="left"/>
        <w:rPr>
          <w:color w:val="auto"/>
          <w:highlight w:val="none"/>
          <w:lang w:val="en-GB" w:eastAsia="zh-CN"/>
        </w:rPr>
      </w:pPr>
      <w:r>
        <w:rPr>
          <w:rFonts w:hint="eastAsia"/>
          <w:color w:val="auto"/>
          <w:highlight w:val="none"/>
          <w:lang w:val="en-GB" w:eastAsia="zh-CN"/>
        </w:rPr>
        <w:t>1）安装、巡检、维修或拆除临时用电设备和线路，应由电工完成，并应有专人监护。电工应持证上岗，电工等级应与工程的难易程度和技术复杂性相适应；</w:t>
      </w:r>
    </w:p>
    <w:p w14:paraId="3063DBFC">
      <w:pPr>
        <w:suppressAutoHyphens/>
        <w:ind w:firstLine="420"/>
        <w:jc w:val="left"/>
        <w:rPr>
          <w:color w:val="auto"/>
          <w:highlight w:val="none"/>
          <w:lang w:val="en-GB" w:eastAsia="zh-CN"/>
        </w:rPr>
      </w:pPr>
      <w:r>
        <w:rPr>
          <w:rFonts w:hint="eastAsia"/>
          <w:color w:val="auto"/>
          <w:highlight w:val="none"/>
          <w:lang w:val="en-GB" w:eastAsia="zh-CN"/>
        </w:rPr>
        <w:t>2）电工作业时应穿绝缘鞋、戴绝缘手套，使用电工检测及绝缘工具。电气设备或线路检修作业前，应将上一级电源隔离开关分闸断电，并悬挂“不得合闸、有人工作”的停电标示牌，不得带电作业；</w:t>
      </w:r>
    </w:p>
    <w:p w14:paraId="5291E91B">
      <w:pPr>
        <w:suppressAutoHyphens/>
        <w:ind w:firstLine="420"/>
        <w:jc w:val="left"/>
        <w:rPr>
          <w:color w:val="auto"/>
          <w:highlight w:val="none"/>
          <w:lang w:val="en-GB" w:eastAsia="zh-CN"/>
        </w:rPr>
      </w:pPr>
      <w:r>
        <w:rPr>
          <w:rFonts w:hint="eastAsia"/>
          <w:color w:val="auto"/>
          <w:highlight w:val="none"/>
          <w:lang w:val="en-GB" w:eastAsia="zh-CN"/>
        </w:rPr>
        <w:t>3）高压停送电作业应执行工作票制度，严格遵守倒闸操作程序，按规范要求验电、装设接地线、挂警示牌，并执行工作许可制度和监护制度，确保安全用电；</w:t>
      </w:r>
    </w:p>
    <w:p w14:paraId="47C8DCA9">
      <w:pPr>
        <w:ind w:firstLine="420"/>
        <w:jc w:val="left"/>
        <w:rPr>
          <w:color w:val="auto"/>
          <w:highlight w:val="none"/>
          <w:lang w:eastAsia="zh-CN"/>
        </w:rPr>
      </w:pPr>
      <w:r>
        <w:rPr>
          <w:rFonts w:hint="eastAsia"/>
          <w:color w:val="auto"/>
          <w:highlight w:val="none"/>
          <w:lang w:val="en-GB" w:eastAsia="zh-CN"/>
        </w:rPr>
        <w:t>4）隧洞施工用电应按设计要求设置双电源或自备电源。自备发电机组与外电线路应电源联锁，不得并列运行。</w:t>
      </w:r>
    </w:p>
    <w:p w14:paraId="4B2A9AA4">
      <w:pPr>
        <w:pStyle w:val="5"/>
        <w:jc w:val="left"/>
        <w:rPr>
          <w:rFonts w:hAnsi="Times New Roman"/>
          <w:color w:val="auto"/>
          <w:highlight w:val="none"/>
          <w:lang w:eastAsia="zh-CN"/>
        </w:rPr>
      </w:pPr>
      <w:r>
        <w:rPr>
          <w:rFonts w:hAnsi="Times New Roman"/>
          <w:color w:val="auto"/>
          <w:highlight w:val="none"/>
          <w:lang w:eastAsia="zh-CN"/>
        </w:rPr>
        <w:t>3.5.11</w:t>
      </w:r>
      <w:r>
        <w:rPr>
          <w:rFonts w:hint="eastAsia" w:hAnsi="Times New Roman"/>
          <w:color w:val="auto"/>
          <w:highlight w:val="none"/>
          <w:lang w:eastAsia="zh-CN"/>
        </w:rPr>
        <w:t>　隧洞内交通及避险</w:t>
      </w:r>
    </w:p>
    <w:p w14:paraId="0C0407BC">
      <w:pPr>
        <w:ind w:firstLine="420"/>
        <w:jc w:val="left"/>
        <w:rPr>
          <w:rFonts w:hAnsi="Times New Roman"/>
          <w:color w:val="auto"/>
          <w:highlight w:val="none"/>
          <w:lang w:eastAsia="zh-CN"/>
        </w:rPr>
      </w:pPr>
      <w:r>
        <w:rPr>
          <w:rFonts w:hint="eastAsia" w:hAnsi="Times New Roman"/>
          <w:color w:val="auto"/>
          <w:highlight w:val="none"/>
          <w:lang w:eastAsia="zh-CN"/>
        </w:rPr>
        <w:t>（1）承包人须在每个避险洞内设置应急避险物资储备箱，储备应急避险物资包括但不限于：瓶装饮用水、方便面、压缩饼干、应急医用物资、氧气瓶、救生毯、手电筒、口罩、防毒面罩、灭火器、程控电话、对讲机。并每周对应急避险物资进行检查，替换损坏或过期物资。设计有要求时，还要符合设计要求。</w:t>
      </w:r>
    </w:p>
    <w:p w14:paraId="4216DDFF">
      <w:pPr>
        <w:ind w:firstLine="420"/>
        <w:jc w:val="left"/>
        <w:rPr>
          <w:rFonts w:hAnsi="Times New Roman"/>
          <w:color w:val="auto"/>
          <w:highlight w:val="none"/>
          <w:lang w:eastAsia="zh-CN"/>
        </w:rPr>
      </w:pPr>
      <w:r>
        <w:rPr>
          <w:rFonts w:hint="eastAsia" w:hAnsi="Times New Roman"/>
          <w:color w:val="auto"/>
          <w:highlight w:val="none"/>
          <w:lang w:eastAsia="zh-CN"/>
        </w:rPr>
        <w:t>（2）承包人应制定隧洞驻车防溜车措施，在车上配备铁楔阻车器及止轮器。当工程车辆驻车时，由司机或其他安全人员安装铁楔阻车器或止轮器防止溜车。</w:t>
      </w:r>
    </w:p>
    <w:p w14:paraId="009C0E54">
      <w:pPr>
        <w:ind w:firstLine="420"/>
        <w:jc w:val="left"/>
        <w:rPr>
          <w:rFonts w:hAnsi="Times New Roman"/>
          <w:color w:val="auto"/>
          <w:highlight w:val="none"/>
          <w:lang w:eastAsia="zh-CN"/>
        </w:rPr>
      </w:pPr>
      <w:r>
        <w:rPr>
          <w:rFonts w:hint="eastAsia" w:hAnsi="Times New Roman"/>
          <w:color w:val="auto"/>
          <w:highlight w:val="none"/>
          <w:lang w:eastAsia="zh-CN"/>
        </w:rPr>
        <w:t>（3）承包人应制定工程机械车辆刹车失灵应急措施，应包括日常机械刹车系统检查维护、行车限速、刹车失灵时隧洞内人员紧急避让、引导刹车失灵车辆前往避险洞、利用洞内条件进行减速等相关措施。</w:t>
      </w:r>
    </w:p>
    <w:p w14:paraId="20BE80BE">
      <w:pPr>
        <w:pStyle w:val="7"/>
        <w:ind w:firstLine="420"/>
        <w:jc w:val="left"/>
        <w:rPr>
          <w:color w:val="auto"/>
          <w:highlight w:val="none"/>
          <w:lang w:eastAsia="zh-CN"/>
        </w:rPr>
      </w:pPr>
      <w:r>
        <w:rPr>
          <w:rFonts w:hint="eastAsia"/>
          <w:color w:val="auto"/>
          <w:highlight w:val="none"/>
          <w:lang w:val="en-GB" w:eastAsia="zh-CN"/>
        </w:rPr>
        <w:t>（4）根据施工运输出渣需要设置倒车洞，根据施工需要设置错车道。</w:t>
      </w:r>
    </w:p>
    <w:p w14:paraId="4BBB2A0E">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5</w:t>
      </w:r>
      <w:r>
        <w:rPr>
          <w:rFonts w:hint="eastAsia" w:hAnsi="Times New Roman"/>
          <w:color w:val="auto"/>
          <w:highlight w:val="none"/>
          <w:lang w:eastAsia="zh-CN"/>
        </w:rPr>
        <w:t>）承包人须在车辆调头洞/倒车洞/避险洞内沿洞壁下坡面方向设置应急防撞缓冲墩（墙），防撞缓冲墩（墙）可由水马、砂筒、废弃轮胎等构成。设计有要求时，还要符合设计要求。</w:t>
      </w:r>
    </w:p>
    <w:p w14:paraId="3166F951">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6</w:t>
      </w:r>
      <w:r>
        <w:rPr>
          <w:rFonts w:hint="eastAsia" w:hAnsi="Times New Roman"/>
          <w:color w:val="auto"/>
          <w:highlight w:val="none"/>
          <w:lang w:eastAsia="zh-CN"/>
        </w:rPr>
        <w:t>）所有车辆均应安装</w:t>
      </w:r>
      <w:r>
        <w:rPr>
          <w:rFonts w:hint="eastAsia"/>
          <w:color w:val="auto"/>
          <w:highlight w:val="none"/>
          <w:lang w:eastAsia="zh-CN"/>
        </w:rPr>
        <w:t>缓速器、</w:t>
      </w:r>
      <w:r>
        <w:rPr>
          <w:rFonts w:hint="eastAsia" w:hAnsi="Times New Roman"/>
          <w:color w:val="auto"/>
          <w:highlight w:val="none"/>
          <w:lang w:eastAsia="zh-CN"/>
        </w:rPr>
        <w:t>倒车语音提示、倒车雷达和倒车影像。</w:t>
      </w:r>
    </w:p>
    <w:p w14:paraId="29E0277C">
      <w:pPr>
        <w:pStyle w:val="4"/>
        <w:spacing w:beforeLines="0" w:afterLines="0"/>
        <w:jc w:val="both"/>
        <w:rPr>
          <w:rFonts w:hint="eastAsia" w:cs="宋体"/>
          <w:bCs/>
          <w:color w:val="auto"/>
          <w:szCs w:val="24"/>
          <w:highlight w:val="none"/>
          <w:lang w:eastAsia="zh-CN"/>
        </w:rPr>
      </w:pPr>
      <w:bookmarkStart w:id="1675" w:name="_Toc10137"/>
      <w:bookmarkStart w:id="1676" w:name="_Toc14067"/>
      <w:bookmarkStart w:id="1677" w:name="_Toc23953"/>
      <w:r>
        <w:rPr>
          <w:rFonts w:hint="eastAsia" w:cs="宋体"/>
          <w:bCs/>
          <w:color w:val="auto"/>
          <w:szCs w:val="24"/>
          <w:highlight w:val="none"/>
          <w:lang w:eastAsia="zh-CN"/>
        </w:rPr>
        <w:t>3.6　盾构隧洞施工安全措施</w:t>
      </w:r>
      <w:bookmarkEnd w:id="1675"/>
      <w:bookmarkEnd w:id="1676"/>
      <w:bookmarkEnd w:id="1677"/>
    </w:p>
    <w:p w14:paraId="24D3F534">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本标段不涉及。</w:t>
      </w:r>
    </w:p>
    <w:p w14:paraId="64F75C17">
      <w:pPr>
        <w:pStyle w:val="4"/>
        <w:spacing w:beforeLines="0" w:afterLines="0"/>
        <w:jc w:val="both"/>
        <w:rPr>
          <w:rFonts w:hint="eastAsia" w:hAnsi="宋体" w:cs="宋体"/>
          <w:bCs/>
          <w:color w:val="auto"/>
          <w:szCs w:val="24"/>
          <w:highlight w:val="none"/>
          <w:lang w:eastAsia="zh-CN"/>
        </w:rPr>
      </w:pPr>
      <w:bookmarkStart w:id="1678" w:name="_Toc24767"/>
      <w:bookmarkStart w:id="1679" w:name="_Toc6100"/>
      <w:bookmarkStart w:id="1680" w:name="_Toc4363"/>
      <w:r>
        <w:rPr>
          <w:rFonts w:hint="eastAsia" w:cs="宋体"/>
          <w:bCs/>
          <w:color w:val="auto"/>
          <w:szCs w:val="24"/>
          <w:highlight w:val="none"/>
          <w:lang w:eastAsia="zh-CN"/>
        </w:rPr>
        <w:t>3.7　计量和支付</w:t>
      </w:r>
      <w:bookmarkEnd w:id="1678"/>
      <w:bookmarkEnd w:id="1679"/>
      <w:bookmarkEnd w:id="1680"/>
    </w:p>
    <w:p w14:paraId="4005EB1D">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）安全</w:t>
      </w:r>
      <w:r>
        <w:rPr>
          <w:rFonts w:hint="eastAsia" w:cs="宋体"/>
          <w:color w:val="auto"/>
          <w:highlight w:val="none"/>
          <w:lang w:eastAsia="zh-CN"/>
        </w:rPr>
        <w:t>生产措施</w:t>
      </w:r>
      <w:r>
        <w:rPr>
          <w:rFonts w:cs="宋体"/>
          <w:color w:val="auto"/>
          <w:highlight w:val="none"/>
          <w:lang w:eastAsia="zh-CN"/>
        </w:rPr>
        <w:t>费的使用按国家和</w:t>
      </w:r>
      <w:r>
        <w:rPr>
          <w:rFonts w:hint="eastAsia" w:cs="宋体"/>
          <w:color w:val="auto"/>
          <w:highlight w:val="none"/>
          <w:lang w:eastAsia="zh-CN"/>
        </w:rPr>
        <w:t>浙江</w:t>
      </w:r>
      <w:r>
        <w:rPr>
          <w:rFonts w:cs="宋体"/>
          <w:color w:val="auto"/>
          <w:highlight w:val="none"/>
          <w:lang w:eastAsia="zh-CN"/>
        </w:rPr>
        <w:t>省</w:t>
      </w:r>
      <w:r>
        <w:rPr>
          <w:rFonts w:hint="eastAsia" w:cs="宋体"/>
          <w:color w:val="auto"/>
          <w:highlight w:val="none"/>
          <w:lang w:val="en-US" w:eastAsia="zh-CN"/>
        </w:rPr>
        <w:t>及合同</w:t>
      </w:r>
      <w:r>
        <w:rPr>
          <w:rFonts w:cs="宋体"/>
          <w:color w:val="auto"/>
          <w:highlight w:val="none"/>
          <w:lang w:eastAsia="zh-CN"/>
        </w:rPr>
        <w:t>有关规定执行，包含在《工程量清单》</w:t>
      </w:r>
      <w:r>
        <w:rPr>
          <w:rFonts w:hAnsi="Times New Roman" w:cs="宋体"/>
          <w:color w:val="auto"/>
          <w:highlight w:val="none"/>
          <w:lang w:eastAsia="zh-CN"/>
        </w:rPr>
        <w:t>“</w:t>
      </w:r>
      <w:r>
        <w:rPr>
          <w:rFonts w:hint="eastAsia" w:cs="宋体"/>
          <w:color w:val="auto"/>
          <w:highlight w:val="none"/>
          <w:lang w:val="en-US" w:eastAsia="zh-CN"/>
        </w:rPr>
        <w:t>安全生产措施</w:t>
      </w:r>
      <w:r>
        <w:rPr>
          <w:rFonts w:cs="宋体"/>
          <w:color w:val="auto"/>
          <w:highlight w:val="none"/>
          <w:lang w:eastAsia="zh-CN"/>
        </w:rPr>
        <w:t>费</w:t>
      </w:r>
      <w:r>
        <w:rPr>
          <w:rFonts w:hAnsi="Times New Roman" w:cs="宋体"/>
          <w:color w:val="auto"/>
          <w:highlight w:val="none"/>
          <w:lang w:eastAsia="zh-CN"/>
        </w:rPr>
        <w:t>”</w:t>
      </w:r>
      <w:r>
        <w:rPr>
          <w:rFonts w:cs="宋体"/>
          <w:color w:val="auto"/>
          <w:highlight w:val="none"/>
          <w:lang w:eastAsia="zh-CN"/>
        </w:rPr>
        <w:t>中，承包人应提出具体实施方案和预算，经监理审核，发包人批准后按方案实施进度进行支付。</w:t>
      </w:r>
    </w:p>
    <w:p w14:paraId="014D28D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）承包人根据合同要求完成文明施工、标准化工地建设等工作所需的费用，包含在《工程量清单》</w:t>
      </w:r>
      <w:r>
        <w:rPr>
          <w:rFonts w:hAnsi="Times New Roman" w:cs="宋体"/>
          <w:color w:val="auto"/>
          <w:highlight w:val="none"/>
          <w:lang w:eastAsia="zh-CN"/>
        </w:rPr>
        <w:t>“</w:t>
      </w:r>
      <w:r>
        <w:rPr>
          <w:rFonts w:cs="宋体"/>
          <w:color w:val="auto"/>
          <w:highlight w:val="none"/>
          <w:lang w:eastAsia="zh-CN"/>
        </w:rPr>
        <w:t>文明标化工地建设费</w:t>
      </w:r>
      <w:r>
        <w:rPr>
          <w:rFonts w:hAnsi="Times New Roman" w:cs="宋体"/>
          <w:color w:val="auto"/>
          <w:highlight w:val="none"/>
          <w:lang w:eastAsia="zh-CN"/>
        </w:rPr>
        <w:t>”</w:t>
      </w:r>
      <w:r>
        <w:rPr>
          <w:rFonts w:cs="宋体"/>
          <w:color w:val="auto"/>
          <w:highlight w:val="none"/>
          <w:lang w:eastAsia="zh-CN"/>
        </w:rPr>
        <w:t>中，</w:t>
      </w:r>
      <w:r>
        <w:rPr>
          <w:rFonts w:hint="eastAsia" w:cs="宋体"/>
          <w:color w:val="auto"/>
          <w:highlight w:val="none"/>
          <w:lang w:eastAsia="zh-CN"/>
        </w:rPr>
        <w:t>由</w:t>
      </w:r>
      <w:r>
        <w:rPr>
          <w:rFonts w:cs="宋体"/>
          <w:color w:val="auto"/>
          <w:highlight w:val="none"/>
          <w:lang w:eastAsia="zh-CN"/>
        </w:rPr>
        <w:t>发包人</w:t>
      </w:r>
      <w:r>
        <w:rPr>
          <w:rFonts w:hint="eastAsia" w:cs="宋体"/>
          <w:color w:val="auto"/>
          <w:highlight w:val="none"/>
          <w:lang w:eastAsia="zh-CN"/>
        </w:rPr>
        <w:t>按总价</w:t>
      </w:r>
      <w:r>
        <w:rPr>
          <w:rFonts w:cs="宋体"/>
          <w:color w:val="auto"/>
          <w:highlight w:val="none"/>
          <w:lang w:eastAsia="zh-CN"/>
        </w:rPr>
        <w:t>支付。</w:t>
      </w:r>
    </w:p>
    <w:p w14:paraId="772D0BE5">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）在确保工程安全措施的前提下，安全</w:t>
      </w:r>
      <w:r>
        <w:rPr>
          <w:rFonts w:hint="eastAsia" w:cs="宋体"/>
          <w:color w:val="auto"/>
          <w:highlight w:val="none"/>
          <w:lang w:eastAsia="zh-CN"/>
        </w:rPr>
        <w:t>生产措施费</w:t>
      </w:r>
      <w:r>
        <w:rPr>
          <w:rFonts w:cs="宋体"/>
          <w:color w:val="auto"/>
          <w:highlight w:val="none"/>
          <w:lang w:eastAsia="zh-CN"/>
        </w:rPr>
        <w:t>和文明标化工地建设费可统筹使用。</w:t>
      </w:r>
    </w:p>
    <w:p w14:paraId="42703E7F">
      <w:pPr>
        <w:ind w:firstLine="420"/>
        <w:jc w:val="left"/>
        <w:rPr>
          <w:rFonts w:cs="宋体"/>
          <w:color w:val="auto"/>
          <w:highlight w:val="none"/>
          <w:lang w:eastAsia="zh-CN"/>
        </w:rPr>
      </w:pPr>
      <w:r>
        <w:rPr>
          <w:rFonts w:ascii="Arial" w:hAnsi="Arial" w:eastAsia="宋体" w:cs="Arial"/>
          <w:strike w:val="0"/>
          <w:snapToGrid w:val="0"/>
          <w:color w:val="auto"/>
          <w:sz w:val="24"/>
          <w:szCs w:val="24"/>
          <w:highlight w:val="none"/>
          <w:lang w:val="en-US" w:eastAsia="en-US" w:bidi="ar-SA"/>
        </w:rPr>
        <w:t>承包</w:t>
      </w:r>
      <w:r>
        <w:rPr>
          <w:rFonts w:hint="eastAsia" w:ascii="Arial" w:hAnsi="Arial" w:eastAsia="宋体" w:cs="Arial"/>
          <w:snapToGrid w:val="0"/>
          <w:color w:val="auto"/>
          <w:sz w:val="24"/>
          <w:szCs w:val="24"/>
          <w:highlight w:val="none"/>
          <w:lang w:val="en-US" w:eastAsia="en-US" w:bidi="ar-SA"/>
        </w:rPr>
        <w:t>标人应</w:t>
      </w:r>
      <w:r>
        <w:rPr>
          <w:rFonts w:hint="eastAsia" w:ascii="Arial" w:hAnsi="Arial" w:cs="Arial"/>
          <w:snapToGrid w:val="0"/>
          <w:color w:val="auto"/>
          <w:sz w:val="24"/>
          <w:szCs w:val="24"/>
          <w:highlight w:val="none"/>
          <w:lang w:val="en-US" w:eastAsia="zh-CN" w:bidi="ar-SA"/>
        </w:rPr>
        <w:t>按</w:t>
      </w:r>
      <w:r>
        <w:rPr>
          <w:rFonts w:cs="宋体"/>
          <w:color w:val="auto"/>
          <w:szCs w:val="24"/>
          <w:highlight w:val="none"/>
          <w:lang w:eastAsia="zh-CN"/>
        </w:rPr>
        <w:t>国家和</w:t>
      </w:r>
      <w:r>
        <w:rPr>
          <w:rFonts w:hint="eastAsia" w:cs="宋体"/>
          <w:color w:val="auto"/>
          <w:szCs w:val="24"/>
          <w:highlight w:val="none"/>
          <w:lang w:eastAsia="zh-CN"/>
        </w:rPr>
        <w:t>浙</w:t>
      </w:r>
      <w:r>
        <w:rPr>
          <w:rFonts w:hint="eastAsia" w:cs="宋体"/>
          <w:color w:val="auto"/>
          <w:highlight w:val="none"/>
          <w:lang w:eastAsia="zh-CN"/>
        </w:rPr>
        <w:t>江</w:t>
      </w:r>
      <w:r>
        <w:rPr>
          <w:rFonts w:cs="宋体"/>
          <w:color w:val="auto"/>
          <w:highlight w:val="none"/>
          <w:lang w:eastAsia="zh-CN"/>
        </w:rPr>
        <w:t>省</w:t>
      </w:r>
      <w:r>
        <w:rPr>
          <w:rFonts w:hint="eastAsia" w:cs="宋体"/>
          <w:color w:val="auto"/>
          <w:highlight w:val="none"/>
          <w:lang w:val="en-US" w:eastAsia="zh-CN"/>
        </w:rPr>
        <w:t>及合同</w:t>
      </w:r>
      <w:r>
        <w:rPr>
          <w:rFonts w:cs="宋体"/>
          <w:color w:val="auto"/>
          <w:highlight w:val="none"/>
          <w:lang w:eastAsia="zh-CN"/>
        </w:rPr>
        <w:t>有关规定根据现场施工需要</w:t>
      </w:r>
      <w:r>
        <w:rPr>
          <w:rFonts w:hint="eastAsia" w:cs="宋体"/>
          <w:color w:val="auto"/>
          <w:highlight w:val="none"/>
          <w:lang w:eastAsia="zh-CN"/>
        </w:rPr>
        <w:t>，</w:t>
      </w:r>
      <w:r>
        <w:rPr>
          <w:rFonts w:cs="宋体"/>
          <w:color w:val="auto"/>
          <w:highlight w:val="none"/>
          <w:lang w:eastAsia="zh-CN"/>
        </w:rPr>
        <w:t>全力保障现场安全生产投入。</w:t>
      </w:r>
      <w:r>
        <w:rPr>
          <w:rFonts w:hint="eastAsia" w:cs="宋体"/>
          <w:color w:val="auto"/>
          <w:highlight w:val="none"/>
          <w:lang w:eastAsia="zh-CN"/>
        </w:rPr>
        <w:t>发包人支付安全文明施工费（含安全生产措施费及文明标化工地建设费）的限额为投标报价，不足部分由投标人在投标报价中综合考虑，发包人不再另行支付。</w:t>
      </w:r>
    </w:p>
    <w:p w14:paraId="378998A7">
      <w:pPr>
        <w:pStyle w:val="3"/>
        <w:spacing w:beforeLines="0" w:afterLines="0" w:line="360" w:lineRule="auto"/>
        <w:jc w:val="both"/>
        <w:outlineLvl w:val="1"/>
        <w:rPr>
          <w:rFonts w:hint="eastAsia" w:cs="宋体"/>
          <w:color w:val="auto"/>
          <w:sz w:val="30"/>
          <w:szCs w:val="30"/>
          <w:highlight w:val="none"/>
        </w:rPr>
      </w:pPr>
      <w:bookmarkStart w:id="1681" w:name="_Toc27810"/>
      <w:bookmarkStart w:id="1682" w:name="_Toc23008"/>
      <w:bookmarkStart w:id="1683" w:name="_Toc6266"/>
      <w:bookmarkStart w:id="1684" w:name="_Toc10834"/>
      <w:bookmarkStart w:id="1685" w:name="_Toc17312"/>
      <w:bookmarkStart w:id="1686" w:name="_Toc28267"/>
      <w:bookmarkStart w:id="1687" w:name="_Toc27879"/>
      <w:bookmarkStart w:id="1688" w:name="_Toc23322"/>
      <w:bookmarkStart w:id="1689" w:name="_Toc20052"/>
      <w:bookmarkStart w:id="1690" w:name="_Toc31846"/>
      <w:bookmarkStart w:id="1691" w:name="_Toc2509"/>
      <w:bookmarkStart w:id="1692" w:name="_Toc2868"/>
      <w:bookmarkStart w:id="1693" w:name="_Toc14579"/>
      <w:bookmarkStart w:id="1694" w:name="_Toc2036"/>
      <w:bookmarkStart w:id="1695" w:name="_Toc8711"/>
      <w:r>
        <w:rPr>
          <w:rFonts w:hint="eastAsia" w:cs="宋体"/>
          <w:color w:val="auto"/>
          <w:sz w:val="30"/>
          <w:szCs w:val="30"/>
          <w:highlight w:val="none"/>
        </w:rPr>
        <w:t>4</w:t>
      </w:r>
      <w:r>
        <w:rPr>
          <w:rFonts w:hint="eastAsia" w:cs="宋体"/>
          <w:color w:val="auto"/>
          <w:sz w:val="30"/>
          <w:szCs w:val="30"/>
          <w:highlight w:val="none"/>
          <w:lang w:eastAsia="zh-CN"/>
        </w:rPr>
        <w:t>　</w:t>
      </w:r>
      <w:r>
        <w:rPr>
          <w:rFonts w:hint="eastAsia" w:cs="宋体"/>
          <w:color w:val="auto"/>
          <w:sz w:val="30"/>
          <w:szCs w:val="30"/>
          <w:highlight w:val="none"/>
        </w:rPr>
        <w:t>环境保护和水土保持</w:t>
      </w:r>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p>
    <w:p w14:paraId="548F7E16">
      <w:pPr>
        <w:keepNext/>
        <w:keepLines/>
        <w:widowControl w:val="0"/>
        <w:spacing w:before="120" w:after="120" w:line="460" w:lineRule="exact"/>
        <w:ind w:firstLine="0" w:firstLineChars="0"/>
        <w:jc w:val="both"/>
        <w:outlineLvl w:val="2"/>
        <w:rPr>
          <w:rFonts w:ascii="Arial" w:hAnsi="Arial" w:eastAsia="黑体" w:cs="Times New Roman"/>
          <w:bCs/>
          <w:color w:val="auto"/>
          <w:kern w:val="2"/>
          <w:sz w:val="30"/>
          <w:szCs w:val="32"/>
          <w:highlight w:val="none"/>
          <w:lang w:val="en-US" w:eastAsia="zh-CN" w:bidi="ar-SA"/>
        </w:rPr>
      </w:pPr>
      <w:bookmarkStart w:id="1696" w:name="_Toc20547"/>
      <w:bookmarkStart w:id="1697" w:name="_Toc1151"/>
      <w:bookmarkStart w:id="1698" w:name="_Toc25133"/>
      <w:bookmarkStart w:id="1699" w:name="_Toc141799380"/>
      <w:bookmarkStart w:id="1700" w:name="_Toc31088"/>
      <w:bookmarkStart w:id="1701" w:name="_Toc19860"/>
      <w:bookmarkStart w:id="1702" w:name="_Toc26554"/>
      <w:bookmarkStart w:id="1703" w:name="_Toc20073"/>
      <w:bookmarkStart w:id="1704" w:name="_Toc10170"/>
      <w:bookmarkStart w:id="1705" w:name="_Toc28021"/>
      <w:bookmarkStart w:id="1706" w:name="_Toc14588"/>
      <w:bookmarkStart w:id="1707" w:name="_Toc19369"/>
      <w:bookmarkStart w:id="1708" w:name="_Toc5376"/>
      <w:bookmarkStart w:id="1709" w:name="_Toc16778"/>
      <w:bookmarkStart w:id="1710" w:name="_Toc21229"/>
      <w:bookmarkStart w:id="1711" w:name="_Toc25413"/>
      <w:bookmarkStart w:id="1712" w:name="_Toc23562"/>
      <w:r>
        <w:rPr>
          <w:rFonts w:hint="eastAsia" w:ascii="Arial" w:hAnsi="Arial" w:eastAsia="黑体" w:cs="Times New Roman"/>
          <w:bCs/>
          <w:color w:val="auto"/>
          <w:kern w:val="2"/>
          <w:sz w:val="30"/>
          <w:szCs w:val="32"/>
          <w:highlight w:val="none"/>
          <w:lang w:val="en-US" w:eastAsia="zh-CN" w:bidi="ar-SA"/>
        </w:rPr>
        <w:t>4.1</w:t>
      </w:r>
      <w:r>
        <w:rPr>
          <w:rFonts w:ascii="Arial" w:hAnsi="Arial" w:eastAsia="黑体" w:cs="Times New Roman"/>
          <w:bCs/>
          <w:color w:val="auto"/>
          <w:kern w:val="2"/>
          <w:sz w:val="30"/>
          <w:szCs w:val="32"/>
          <w:highlight w:val="none"/>
          <w:lang w:val="en-US" w:eastAsia="zh-CN" w:bidi="ar-SA"/>
        </w:rPr>
        <w:t xml:space="preserve">  </w:t>
      </w:r>
      <w:r>
        <w:rPr>
          <w:rFonts w:hint="eastAsia" w:ascii="Arial" w:hAnsi="Arial" w:eastAsia="黑体" w:cs="Times New Roman"/>
          <w:bCs/>
          <w:color w:val="auto"/>
          <w:kern w:val="2"/>
          <w:sz w:val="30"/>
          <w:szCs w:val="32"/>
          <w:highlight w:val="none"/>
          <w:lang w:val="en-US" w:eastAsia="zh-CN" w:bidi="ar-SA"/>
        </w:rPr>
        <w:t>一般规定</w:t>
      </w:r>
      <w:bookmarkEnd w:id="1696"/>
      <w:bookmarkEnd w:id="1697"/>
      <w:bookmarkEnd w:id="1698"/>
      <w:bookmarkEnd w:id="1699"/>
      <w:bookmarkEnd w:id="1700"/>
      <w:bookmarkEnd w:id="1701"/>
      <w:bookmarkEnd w:id="1702"/>
      <w:bookmarkEnd w:id="1703"/>
    </w:p>
    <w:p w14:paraId="49AD4145">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4.1.1</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应用范围</w:t>
      </w:r>
    </w:p>
    <w:p w14:paraId="4A86308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章规定适用于本标段范围内施工期生产和生活区的环境保护和水土保持工作，内容涉及水环境保护、大气环境保护、声环境保护、固体废物处理、危险废物处理、土壤环境保护、地下水环境保护、生态保护、人群健康保护及其他环境保护等环境保护工作要求，以及弃渣处置及临时渣场防护、料场防护、施工区水土保持措施、场地清理与整治、植物措施等水土保持工作要求。</w:t>
      </w:r>
    </w:p>
    <w:p w14:paraId="7D7DC12F">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4.1.2</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承包人责任</w:t>
      </w:r>
    </w:p>
    <w:p w14:paraId="2641240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必须遵守国家和地方有关环保水保的法律、法规和规章，并按照本合同技术条款的要求，做好施工区、生活区的环保水保工作，配合发包人委托的其他承包人承担的环保水保工作（如环境监测、竣工环境保护验收、水土保持监测及渣场安全监测、水土保持设施自主验收等）。</w:t>
      </w:r>
    </w:p>
    <w:p w14:paraId="41785AE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照本合同要求落实生活污水、生产废水处理，施工废弃物及粉尘控制，施工噪声控制及防护，施工表土剥离与存放，弃渣堆置与防护，施工生产生活区截排水系统设置，生活垃圾处理，施工场地环保厕所设置与管理，人群健康防护，土壤环境保护，水土保持临时防护措施，生态保护，施工迹地整治和绿化及其他环保水保措施，保证环保水保设施与主体工程同时设计、同时施工、同时投产使用。</w:t>
      </w:r>
    </w:p>
    <w:p w14:paraId="0C16EF8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照发包人制定的占地规划布置生活营地、施工场地，施工占地应严格限制在指定用地范围内，严禁红线外占地，严格保护施工区重点保护野生动植物，尽量减少对原生地表植被的破坏，对本合同划定的施工场地界线以外的树木和植被必须尽力加以保护，不得因施工活动遭到破坏。</w:t>
      </w:r>
    </w:p>
    <w:p w14:paraId="21345A8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承包人不得让有毒有害等污染物质（如生活污水、生产废水、燃料、油料、化学品、酸等，以及有毒有害气体和尘埃、生活垃圾或施工弃渣等）污染项目区及周边土地和河湖库渠。</w:t>
      </w:r>
    </w:p>
    <w:p w14:paraId="2B8A6E2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合同约定和监理人指示，接受配合国家和地方生态环境与水行政主管部门的监督、监测和检查。承包人应编制突发环境事件应急预案，并报发包人及监理人。若发生突发环境事件，应立即采取有效的应急措施，同时向发包人和监理人汇报，相关费用按照合同约定执行。</w:t>
      </w:r>
    </w:p>
    <w:p w14:paraId="1837FC6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承包人应对其违反国家及地方环保水保法律、法规、规章以及本合同规定所造成的环境污染、水土流失、人员伤害和财产损失等承担全部责任。</w:t>
      </w:r>
    </w:p>
    <w:p w14:paraId="206BB52F">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4.1.3</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主要提交件</w:t>
      </w:r>
    </w:p>
    <w:p w14:paraId="7839D1E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根据合同条款和招标文件中环保水保要求，制定具体环保水保措施实施方案，在收到开工通知后7天内，提交监理人批准，监理人在签收后7天内批复承包人。承包人制定的环保水保措施必须遵循相关的法律法规、规程规范及批复的环境影响评价报告书和水土保持方案的要求，其内容包括：</w:t>
      </w:r>
    </w:p>
    <w:p w14:paraId="31D9BB0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环境保护措施</w:t>
      </w:r>
    </w:p>
    <w:p w14:paraId="5D0F797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环境保护措施。主要包括承包人生活区生活污水处理措施，混凝土生产系统废水、砂石料加工系统废水、机械车辆冲洗废水、基坑废水、隧洞开挖废水等生产废水处理措施，地下水保护措施，以及施工对周边饮用或灌溉影响处置。</w:t>
      </w:r>
    </w:p>
    <w:p w14:paraId="2878C13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大气环境保护措施。主要包括施工区及生产生活区粉尘、废气的处理措施。</w:t>
      </w:r>
    </w:p>
    <w:p w14:paraId="4CBC042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声环境保护措施。主要为施工区噪声控制措施以及施工机械或爆破振动环境影响保护、处置措施等。</w:t>
      </w:r>
    </w:p>
    <w:p w14:paraId="69704BF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④</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固体废物处理措施。主要为生活垃圾、建筑垃圾处理措施，施工中使用或产生的燃料、油料、化学品、酸等危废物存储、转运、处置等措施。</w:t>
      </w:r>
    </w:p>
    <w:p w14:paraId="6A16546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⑤</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土壤环境保护措施。主要包括项目区土壤环境质量现状保障措施、源头控制措施和过程防控措施等。</w:t>
      </w:r>
    </w:p>
    <w:p w14:paraId="35E17C1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⑥</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生态保护措施。主要包括项目区植被和重点保护野生植物的避让、减缓、替代保护措施，以及两栖类、爬行类、鸟类、哺乳类动物避让减缓等保护措施。</w:t>
      </w:r>
    </w:p>
    <w:p w14:paraId="5DA8713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⑦</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人群健康保护措施。包括施工人员的卫生检疫、定期健康检查、预防免疫计划、疫情监控、环境卫生及食品卫生管理与监督等。</w:t>
      </w:r>
    </w:p>
    <w:p w14:paraId="50AF589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⑧</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其他环境保护措施。</w:t>
      </w:r>
    </w:p>
    <w:p w14:paraId="0776619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水土保持措施</w:t>
      </w:r>
    </w:p>
    <w:p w14:paraId="7F8C97E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包括本合同工程料场、弃渣场的挡护工程、坡面保护工程和排水工程；施工区、施工辅助生产区（如混凝土系统、砂石加工系统的生产区及加工厂等）、施工生活营地等所有场地周边的截、排水措施，开挖边坡支护措施、挡护建筑物的排水措施等；施工区边坡防护的水土保持措施；施工区表土剥离和保护措施；施工道路水土保持措施；完工后场地清理、整治及其植被恢复措施。</w:t>
      </w:r>
    </w:p>
    <w:p w14:paraId="287A03B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环境管理措施。主要包括承包人的环保水保管理体系与机构，环保水保分管领导，管理职能部门，配备的环保水保管理人员，环保水保管理制度、程序文件、突发环境事件应急预案等。</w:t>
      </w:r>
    </w:p>
    <w:p w14:paraId="7D8BCDF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承包人应按监理人的指示，在工程开工后7天内，将生活污水、生产废水处理系统、施工作业防尘、降噪的设计方案、施工计划、设备类型以及维护系统的运行措施等的施工环保措施专项报告提交监理人批准。</w:t>
      </w:r>
    </w:p>
    <w:p w14:paraId="7BD9D7F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工作月报</w:t>
      </w:r>
    </w:p>
    <w:p w14:paraId="670413F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承包人应编制环保水保工作月报、季报，工作季报需在每季度下个月15日之前提供，供监理人及发包人对承包人的环保水保工作进行监督检查。</w:t>
      </w:r>
    </w:p>
    <w:p w14:paraId="072F107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承包人编制的月度、季度、年度环保水保文件、年度环保水保工作总结以及监理人的审批文件，应按规定报送发包人。</w:t>
      </w:r>
    </w:p>
    <w:p w14:paraId="7136D14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环境保护工作月报的内容应包括但不限于以下内容：</w:t>
      </w:r>
    </w:p>
    <w:p w14:paraId="4458F8B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工程进度及形象面貌简介。</w:t>
      </w:r>
    </w:p>
    <w:p w14:paraId="5EB0944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上月环境保护问题整改情况。</w:t>
      </w:r>
    </w:p>
    <w:p w14:paraId="2A3BC5C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本月的主要环境保护措施实施情况。</w:t>
      </w:r>
    </w:p>
    <w:p w14:paraId="7BF611B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环境保护统计。</w:t>
      </w:r>
    </w:p>
    <w:p w14:paraId="34DFB16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本月环境保护工作总结。</w:t>
      </w:r>
    </w:p>
    <w:p w14:paraId="7558625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下月环境保护工作计划。</w:t>
      </w:r>
    </w:p>
    <w:p w14:paraId="4DC7CCF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问题和建议。</w:t>
      </w:r>
    </w:p>
    <w:p w14:paraId="4D91FFB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水土保持工作月报的内容应包括但不限于以下内容：</w:t>
      </w:r>
    </w:p>
    <w:p w14:paraId="1738FD9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工程进度及形象面貌简介。</w:t>
      </w:r>
    </w:p>
    <w:p w14:paraId="6A834A9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上月水土保持问题整改情况。</w:t>
      </w:r>
    </w:p>
    <w:p w14:paraId="292F127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本月的主要水土保持措施实施情况。</w:t>
      </w:r>
    </w:p>
    <w:p w14:paraId="6454E39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水土保持工程量统计。</w:t>
      </w:r>
    </w:p>
    <w:p w14:paraId="45C3D2B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本月水土保持工作总结。</w:t>
      </w:r>
    </w:p>
    <w:p w14:paraId="1E10437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下月水土保持工作计划。</w:t>
      </w:r>
    </w:p>
    <w:p w14:paraId="25E95A4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环保水保验收资料</w:t>
      </w:r>
    </w:p>
    <w:p w14:paraId="668D5B1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环保水保专项设施验收，在满足技术条款相关要求的前提下，按发包人制定的合同项目验收管理办法的要求准备施工文件。</w:t>
      </w:r>
    </w:p>
    <w:p w14:paraId="7B50D96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提交环境保护完工资料</w:t>
      </w:r>
    </w:p>
    <w:p w14:paraId="18D3353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本标工程全部完工后,承包人应提交环境保护完工资料,完工资料应包括但不限于以下内容：</w:t>
      </w:r>
    </w:p>
    <w:p w14:paraId="030CF19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技术条款要求的环境保护措施方案。</w:t>
      </w:r>
    </w:p>
    <w:p w14:paraId="195AA97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环境保护措施实施进度记录。</w:t>
      </w:r>
    </w:p>
    <w:p w14:paraId="5CD9140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质量检查记录。</w:t>
      </w:r>
    </w:p>
    <w:p w14:paraId="4394E8C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④</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专项环境保护设施的运行</w:t>
      </w:r>
      <w:r>
        <w:rPr>
          <w:rFonts w:hint="eastAsia" w:hAnsi="Calibri" w:cs="Times New Roman"/>
          <w:snapToGrid/>
          <w:color w:val="auto"/>
          <w:kern w:val="2"/>
          <w:szCs w:val="22"/>
          <w:highlight w:val="none"/>
          <w:lang w:eastAsia="zh-CN"/>
        </w:rPr>
        <w:t>台账</w:t>
      </w:r>
      <w:r>
        <w:rPr>
          <w:rFonts w:hint="eastAsia" w:ascii="宋体" w:hAnsi="Calibri" w:eastAsia="宋体" w:cs="Times New Roman"/>
          <w:snapToGrid/>
          <w:color w:val="auto"/>
          <w:kern w:val="2"/>
          <w:szCs w:val="22"/>
          <w:highlight w:val="none"/>
          <w:lang w:eastAsia="zh-CN"/>
        </w:rPr>
        <w:t>。</w:t>
      </w:r>
    </w:p>
    <w:p w14:paraId="0525034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⑤</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环境事件处理记录。</w:t>
      </w:r>
    </w:p>
    <w:p w14:paraId="09CE65A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⑥</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环境保护工作总结。</w:t>
      </w:r>
    </w:p>
    <w:p w14:paraId="74E6F46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⑦</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环境保护设施质量检查及验收报告。</w:t>
      </w:r>
    </w:p>
    <w:p w14:paraId="189AEC6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⑧</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其他必要的环境保护完工资料。</w:t>
      </w:r>
    </w:p>
    <w:p w14:paraId="173352B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提交水土保持完工资料</w:t>
      </w:r>
    </w:p>
    <w:p w14:paraId="0CF9D5B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本标工程全部完工后，承包人应提交水土保持完工资料,完工资料应包括但不限于以下内容：</w:t>
      </w:r>
    </w:p>
    <w:p w14:paraId="377F491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技术条款要求的水土保持措施方案。</w:t>
      </w:r>
    </w:p>
    <w:p w14:paraId="511CE41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水土保持措施实施进度记录。</w:t>
      </w:r>
    </w:p>
    <w:p w14:paraId="131F3F0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质量检查记录。</w:t>
      </w:r>
    </w:p>
    <w:p w14:paraId="2A17818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④</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专项水土保持设施的运行</w:t>
      </w:r>
      <w:r>
        <w:rPr>
          <w:rFonts w:hint="eastAsia" w:hAnsi="Calibri" w:cs="Times New Roman"/>
          <w:snapToGrid/>
          <w:color w:val="auto"/>
          <w:kern w:val="2"/>
          <w:szCs w:val="22"/>
          <w:highlight w:val="none"/>
          <w:lang w:eastAsia="zh-CN"/>
        </w:rPr>
        <w:t>台账</w:t>
      </w:r>
      <w:r>
        <w:rPr>
          <w:rFonts w:hint="eastAsia" w:ascii="宋体" w:hAnsi="Calibri" w:eastAsia="宋体" w:cs="Times New Roman"/>
          <w:snapToGrid/>
          <w:color w:val="auto"/>
          <w:kern w:val="2"/>
          <w:szCs w:val="22"/>
          <w:highlight w:val="none"/>
          <w:lang w:eastAsia="zh-CN"/>
        </w:rPr>
        <w:t>。</w:t>
      </w:r>
    </w:p>
    <w:p w14:paraId="74C6208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⑤</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水土流失事件处理记录。</w:t>
      </w:r>
    </w:p>
    <w:p w14:paraId="3055269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⑥</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水土保持工作总结。</w:t>
      </w:r>
    </w:p>
    <w:p w14:paraId="6147B7F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⑦</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水土保持设施的质量评定及验收报告。</w:t>
      </w:r>
    </w:p>
    <w:p w14:paraId="7173CE3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⑧</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其他必要的水土保持完工资料。</w:t>
      </w:r>
    </w:p>
    <w:p w14:paraId="4021207E">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4.1.4</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引用法律法规及标准规范</w:t>
      </w:r>
    </w:p>
    <w:p w14:paraId="47E2556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法律法规</w:t>
      </w:r>
    </w:p>
    <w:p w14:paraId="0410B30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《中华人民共和国环境保护法》；</w:t>
      </w:r>
    </w:p>
    <w:p w14:paraId="53197B9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《中华人民共和国环境影响评价法》；</w:t>
      </w:r>
    </w:p>
    <w:p w14:paraId="4D34443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《中华人民共和国水法》；</w:t>
      </w:r>
    </w:p>
    <w:p w14:paraId="2AFD780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《中华人民共和国防洪法》；</w:t>
      </w:r>
    </w:p>
    <w:p w14:paraId="69660C8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《中华人民共和国水土保持法》；</w:t>
      </w:r>
    </w:p>
    <w:p w14:paraId="0670E0A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《中华人民共和国土地管理法》；</w:t>
      </w:r>
    </w:p>
    <w:p w14:paraId="16126BA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《中华人民共和国野生动物保护法》；</w:t>
      </w:r>
    </w:p>
    <w:p w14:paraId="66572F2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《中华人民共和国大气污染防治法》；</w:t>
      </w:r>
    </w:p>
    <w:p w14:paraId="7CDFE8A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《中华人民共和国水污染防治法》；</w:t>
      </w:r>
    </w:p>
    <w:p w14:paraId="6C61A6D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10）</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《中华人民共和国环境噪声污染防治法》；</w:t>
      </w:r>
    </w:p>
    <w:p w14:paraId="0DE655A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《中华人民共和国固体废物污染环境防治法》；</w:t>
      </w:r>
    </w:p>
    <w:p w14:paraId="09D9480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《中华人民共和国文物保护法》；</w:t>
      </w:r>
    </w:p>
    <w:p w14:paraId="4CEB57A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《中华人民共和国传染病防治法》；</w:t>
      </w:r>
    </w:p>
    <w:p w14:paraId="3ADA9A3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《环境保护公众参与办法》；</w:t>
      </w:r>
    </w:p>
    <w:p w14:paraId="324C7C2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《建设项目竣工环境保护验收暂行办法》；</w:t>
      </w:r>
    </w:p>
    <w:p w14:paraId="5C9F7FC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《基本农田保护条例》；</w:t>
      </w:r>
    </w:p>
    <w:p w14:paraId="495BDC8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《中华人民共和国自然保护区条例》；</w:t>
      </w:r>
    </w:p>
    <w:p w14:paraId="4C719CD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《中华人民共和国河道管理条例》；</w:t>
      </w:r>
    </w:p>
    <w:p w14:paraId="7B132B9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《建设项目环境保护管理条例》；</w:t>
      </w:r>
    </w:p>
    <w:p w14:paraId="145818A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20）</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《中华人民共和国野生植物保护条例》；</w:t>
      </w:r>
    </w:p>
    <w:p w14:paraId="15ED369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《中华人民共和国陆生野生动物保护实施条例》；</w:t>
      </w:r>
    </w:p>
    <w:p w14:paraId="4688492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《生产建设项目水土保持设施自主验收规程（试行）》；</w:t>
      </w:r>
    </w:p>
    <w:p w14:paraId="776A89B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《中华人民共和国湿地保护法》；</w:t>
      </w:r>
    </w:p>
    <w:p w14:paraId="5E7ACD1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《饮用水水源保护区污染防治管理规定》。</w:t>
      </w:r>
    </w:p>
    <w:p w14:paraId="51C41AB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引用标准</w:t>
      </w:r>
    </w:p>
    <w:p w14:paraId="56A266D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《地表水环境质量标准》（GB 3838）；</w:t>
      </w:r>
    </w:p>
    <w:p w14:paraId="4AEFED3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《生活饮用水卫生标准》（GB 5749）；</w:t>
      </w:r>
    </w:p>
    <w:p w14:paraId="009A0F2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《环境空气质量标准》（GB 3095）；</w:t>
      </w:r>
    </w:p>
    <w:p w14:paraId="05B825A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《声环境质量标准》（GB 3096）；</w:t>
      </w:r>
    </w:p>
    <w:p w14:paraId="705D8E5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《污水综合排放标准》（GB 8978）；</w:t>
      </w:r>
    </w:p>
    <w:p w14:paraId="6FF4D3D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《大气污染物综合排放标准》（GB16297）；</w:t>
      </w:r>
    </w:p>
    <w:p w14:paraId="0D4E9CF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《恶臭污染物排放标准》（GB 14554）；</w:t>
      </w:r>
    </w:p>
    <w:p w14:paraId="47CA2B8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《挥发性有机物无组织排放控制标准》（GB37822）；</w:t>
      </w:r>
    </w:p>
    <w:p w14:paraId="1948643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《建筑施工场界环境噪声排放标准》（GB12523）；</w:t>
      </w:r>
    </w:p>
    <w:p w14:paraId="150387B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10）</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《危险废物贮存污染控制标准》（GB 18597）；</w:t>
      </w:r>
    </w:p>
    <w:p w14:paraId="07F5139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《一般工业固体废物贮存和填埋污染控制标准》（GB 18599）；</w:t>
      </w:r>
    </w:p>
    <w:p w14:paraId="59BE24E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《生活垃圾填埋</w:t>
      </w:r>
      <w:r>
        <w:rPr>
          <w:rFonts w:hint="eastAsia" w:ascii="宋体" w:hAnsi="Calibri" w:eastAsia="宋体" w:cs="Times New Roman"/>
          <w:snapToGrid/>
          <w:color w:val="auto"/>
          <w:kern w:val="2"/>
          <w:szCs w:val="22"/>
          <w:highlight w:val="none"/>
          <w:lang w:val="en-US" w:eastAsia="zh-CN"/>
        </w:rPr>
        <w:t>场</w:t>
      </w:r>
      <w:r>
        <w:rPr>
          <w:rFonts w:hint="eastAsia" w:ascii="宋体" w:hAnsi="Calibri" w:eastAsia="宋体" w:cs="Times New Roman"/>
          <w:snapToGrid/>
          <w:color w:val="auto"/>
          <w:kern w:val="2"/>
          <w:szCs w:val="22"/>
          <w:highlight w:val="none"/>
          <w:lang w:eastAsia="zh-CN"/>
        </w:rPr>
        <w:t>污染控制标准》（GB16889）；</w:t>
      </w:r>
    </w:p>
    <w:p w14:paraId="072F221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《土壤环境质量建设用地土壤污染风险管控标准（试行）》（GB 36600）；</w:t>
      </w:r>
    </w:p>
    <w:p w14:paraId="7391645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《土壤环境质量农用地土壤污染风险管控标准（试行）》（GB 15618）；</w:t>
      </w:r>
    </w:p>
    <w:p w14:paraId="61B713A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《生产建设项目水土保持技术标准》（GB50433）；</w:t>
      </w:r>
    </w:p>
    <w:p w14:paraId="786044D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《地下水质量标准》（GB/T14848）；</w:t>
      </w:r>
    </w:p>
    <w:p w14:paraId="15CD4BC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《生产建设项目水土流失防治标准》（GB/T50434）；</w:t>
      </w:r>
    </w:p>
    <w:p w14:paraId="1A02AC9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《水土保持综合治理验收规范》（GB/T15773）；；</w:t>
      </w:r>
    </w:p>
    <w:p w14:paraId="1D97473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《水土保持监测技术规程》（SL277）</w:t>
      </w:r>
    </w:p>
    <w:p w14:paraId="55D6BF3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20）</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《水土保持工程施工监理规范》（SL523）；</w:t>
      </w:r>
    </w:p>
    <w:p w14:paraId="430B3B6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《水环境监测规范》（SL219）；</w:t>
      </w:r>
    </w:p>
    <w:p w14:paraId="70EF2F2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《水利水电工程水土保持技术规范》（SL575）；</w:t>
      </w:r>
    </w:p>
    <w:p w14:paraId="57747D6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《水利水电工程环境保护设计规范》（</w:t>
      </w:r>
      <w:r>
        <w:rPr>
          <w:rFonts w:hint="eastAsia" w:ascii="宋体" w:hAnsi="Calibri" w:eastAsia="宋体" w:cs="Times New Roman"/>
          <w:snapToGrid/>
          <w:color w:val="auto"/>
          <w:kern w:val="2"/>
          <w:szCs w:val="22"/>
          <w:highlight w:val="none"/>
          <w:lang w:val="en-US" w:eastAsia="zh-CN"/>
        </w:rPr>
        <w:t>SL492</w:t>
      </w:r>
      <w:r>
        <w:rPr>
          <w:rFonts w:hint="eastAsia" w:ascii="宋体" w:hAnsi="Calibri" w:eastAsia="宋体" w:cs="Times New Roman"/>
          <w:snapToGrid/>
          <w:color w:val="auto"/>
          <w:kern w:val="2"/>
          <w:szCs w:val="22"/>
          <w:highlight w:val="none"/>
          <w:lang w:eastAsia="zh-CN"/>
        </w:rPr>
        <w:t>）；</w:t>
      </w:r>
    </w:p>
    <w:p w14:paraId="53C38AB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《环境影响评价技术导则水利水电工程》（HJ/T88）。</w:t>
      </w:r>
    </w:p>
    <w:p w14:paraId="06AF1D85">
      <w:pPr>
        <w:keepNext/>
        <w:keepLines/>
        <w:widowControl w:val="0"/>
        <w:spacing w:before="120" w:after="120" w:line="460" w:lineRule="exact"/>
        <w:ind w:firstLine="0" w:firstLineChars="0"/>
        <w:jc w:val="both"/>
        <w:outlineLvl w:val="2"/>
        <w:rPr>
          <w:rFonts w:hint="eastAsia" w:ascii="Arial" w:hAnsi="Arial" w:eastAsia="黑体" w:cs="Times New Roman"/>
          <w:bCs/>
          <w:color w:val="auto"/>
          <w:kern w:val="2"/>
          <w:sz w:val="30"/>
          <w:szCs w:val="32"/>
          <w:highlight w:val="none"/>
          <w:lang w:val="en-US" w:eastAsia="zh-CN" w:bidi="ar-SA"/>
        </w:rPr>
      </w:pPr>
      <w:bookmarkStart w:id="1713" w:name="_Toc22360"/>
      <w:bookmarkStart w:id="1714" w:name="_Toc6193"/>
      <w:bookmarkStart w:id="1715" w:name="_Toc19107"/>
      <w:bookmarkStart w:id="1716" w:name="_Toc141799381"/>
      <w:bookmarkStart w:id="1717" w:name="_Toc1560"/>
      <w:bookmarkStart w:id="1718" w:name="_Toc3689"/>
      <w:bookmarkStart w:id="1719" w:name="_Toc19980"/>
      <w:bookmarkStart w:id="1720" w:name="_Toc25506"/>
      <w:bookmarkStart w:id="1721" w:name="_Toc23883"/>
      <w:bookmarkStart w:id="1722" w:name="_Toc9655"/>
      <w:r>
        <w:rPr>
          <w:rFonts w:hint="eastAsia" w:ascii="Arial" w:hAnsi="Arial" w:eastAsia="黑体" w:cs="Times New Roman"/>
          <w:bCs/>
          <w:color w:val="auto"/>
          <w:kern w:val="2"/>
          <w:sz w:val="30"/>
          <w:szCs w:val="32"/>
          <w:highlight w:val="none"/>
          <w:lang w:val="en-US" w:eastAsia="zh-CN" w:bidi="ar-SA"/>
        </w:rPr>
        <w:t>4.2</w:t>
      </w:r>
      <w:r>
        <w:rPr>
          <w:rFonts w:ascii="Arial" w:hAnsi="Arial" w:eastAsia="黑体" w:cs="Times New Roman"/>
          <w:bCs/>
          <w:color w:val="auto"/>
          <w:kern w:val="2"/>
          <w:sz w:val="30"/>
          <w:szCs w:val="32"/>
          <w:highlight w:val="none"/>
          <w:lang w:val="en-US" w:eastAsia="zh-CN" w:bidi="ar-SA"/>
        </w:rPr>
        <w:t xml:space="preserve">  </w:t>
      </w:r>
      <w:r>
        <w:rPr>
          <w:rFonts w:hint="eastAsia" w:ascii="Arial" w:hAnsi="Arial" w:eastAsia="黑体" w:cs="Times New Roman"/>
          <w:bCs/>
          <w:color w:val="auto"/>
          <w:kern w:val="2"/>
          <w:sz w:val="30"/>
          <w:szCs w:val="32"/>
          <w:highlight w:val="none"/>
          <w:lang w:val="en-US" w:eastAsia="zh-CN" w:bidi="ar-SA"/>
        </w:rPr>
        <w:t>环境保护</w:t>
      </w:r>
      <w:bookmarkEnd w:id="1713"/>
      <w:bookmarkEnd w:id="1714"/>
      <w:bookmarkEnd w:id="1715"/>
      <w:bookmarkEnd w:id="1716"/>
      <w:bookmarkEnd w:id="1717"/>
      <w:bookmarkEnd w:id="1718"/>
      <w:bookmarkEnd w:id="1719"/>
      <w:bookmarkEnd w:id="1720"/>
      <w:bookmarkEnd w:id="1721"/>
      <w:bookmarkEnd w:id="1722"/>
    </w:p>
    <w:p w14:paraId="5859E2F1">
      <w:pPr>
        <w:keepNext/>
        <w:keepLines/>
        <w:widowControl w:val="0"/>
        <w:spacing w:before="120" w:after="120" w:line="460" w:lineRule="exact"/>
        <w:ind w:firstLine="480" w:firstLineChars="200"/>
        <w:jc w:val="both"/>
        <w:outlineLvl w:val="9"/>
        <w:rPr>
          <w:rFonts w:hint="eastAsia" w:ascii="Arial" w:hAnsi="Arial" w:eastAsia="黑体" w:cs="Times New Roman"/>
          <w:bCs/>
          <w:color w:val="auto"/>
          <w:kern w:val="2"/>
          <w:sz w:val="30"/>
          <w:szCs w:val="32"/>
          <w:highlight w:val="none"/>
          <w:lang w:val="en-US" w:eastAsia="zh-CN" w:bidi="ar-SA"/>
        </w:rPr>
      </w:pPr>
      <w:r>
        <w:rPr>
          <w:rFonts w:ascii="宋体" w:hAnsi="Calibri" w:eastAsia="宋体" w:cs="Arial"/>
          <w:bCs w:val="0"/>
          <w:snapToGrid/>
          <w:color w:val="auto"/>
          <w:sz w:val="24"/>
          <w:szCs w:val="22"/>
          <w:highlight w:val="none"/>
          <w:lang w:val="en-US" w:eastAsia="en-US" w:bidi="ar-SA"/>
        </w:rPr>
        <w:t>本标段工程施工期环境境保护包括：输水管线陆生植物保护、砂石料废水处理系统（沉淀池、集油槽、过滤池、化学净化池）、砼拌和废水处理（沉淀池、集油槽、过滤池、化学净化池）、隧洞废水处理系统、临时隔声屏墙、临时垃圾站、垃圾清运、施工期危废处置、工区食堂油烟处理等，具体要求如下：</w:t>
      </w:r>
    </w:p>
    <w:p w14:paraId="0D8F77F8">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4.2.1</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水环境保护</w:t>
      </w:r>
    </w:p>
    <w:p w14:paraId="705FA24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一般要求</w:t>
      </w:r>
    </w:p>
    <w:p w14:paraId="786A7F7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承包人对水环境保护、水资源的有效利用和污水处理负责。</w:t>
      </w:r>
    </w:p>
    <w:p w14:paraId="70C0133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生活污水、生产废水经处理后达到相关回用或排放标准。施工废水和生活污水排入Ⅲ类水体的执行《污水综合排放标准》（GB8978-1996）一级标准限值。</w:t>
      </w:r>
    </w:p>
    <w:p w14:paraId="56557A8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为了防止地表水受到污染，禁止向水体排放油类、酸液及其他有毒的或不允许排放的废液或污染物，禁止在水体中清洗装储过油类或其他有毒污染物的容器。禁止向水体倾倒废渣或废弃物。</w:t>
      </w:r>
    </w:p>
    <w:p w14:paraId="5687305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为了防止地下水受到污染，禁止利用渗坑、渗井和裂隙排放或倾倒废水；防渗工程施工中加入的化学物质不得污染地下水。</w:t>
      </w:r>
    </w:p>
    <w:p w14:paraId="783808C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承包人在施工过程中应采取有效措施，保护饮用水源水质，生活水井周围150m范围内不得设置污染水质的堆料场或存放可能危害水质的物品、材料及设备。</w:t>
      </w:r>
    </w:p>
    <w:p w14:paraId="59E973B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承包人应按施工图纸要求或监理人指示，在本合同工程施工区域内建造和维护生产废水处理系统。</w:t>
      </w:r>
    </w:p>
    <w:p w14:paraId="59C12196">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 承包人应会同监理人对生产废水的处理设备、防污措施等进行检查和检测。检测记录应定期提交监理人。</w:t>
      </w:r>
    </w:p>
    <w:p w14:paraId="118FD12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 承包人的污水处理、废水处理设计方案、施工方案均需报监理人审批，待批复后组织实施。</w:t>
      </w:r>
    </w:p>
    <w:p w14:paraId="26EEFC7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8）承包人须对输水施工区附近的中华猕猴桃、野荞麦等采取挂牌、围栏等保护措施。</w:t>
      </w:r>
    </w:p>
    <w:p w14:paraId="6A28C00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 承包人应考虑事故应急备用方案，在发生紧急情况时，确保不发生生产废水或含有悬浮质的水流污染施工现场和附近水体现象。</w:t>
      </w:r>
    </w:p>
    <w:p w14:paraId="518FED56">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10） 未按环境影响报告书及批复文件要求落实生活污水、生产废水处理措施的，承包人须承担由此产生的一切经济、法律后果。</w:t>
      </w:r>
    </w:p>
    <w:p w14:paraId="71A7660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生活污水处理</w:t>
      </w:r>
    </w:p>
    <w:p w14:paraId="36825C7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除合同另外有约定外，本合同承包人应负责建设、运行和维护其营地生活污水收集系统、污水处理系统（包括回用设施）。生活污水处理目标须满足本工程环境影响报告书及批复文件的要求。</w:t>
      </w:r>
    </w:p>
    <w:p w14:paraId="578B9D3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承包人应按发包人和监理人要求，在施工现场设置满足需要的移动生态环保厕所，负责移动生态环保厕所的购置、安装、运行维护、废弃物处置。移动生态环保厕所废弃物处置方案必须报监理人审批。</w:t>
      </w:r>
    </w:p>
    <w:p w14:paraId="7ED09D4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未经发包人和监理人批准，承包人不得在施工区任何区域搭建临时办公和生活用房。经批准搭建的临时办公和生活用房，必须配套设置污水处理设施，承包人负责建设、运行维护、拆除和卫生清理等工作。</w:t>
      </w:r>
    </w:p>
    <w:p w14:paraId="5EA23C6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承包人采用的污水处理工艺，须满足本工程环境影响报告书及批复文件的相关要求，需对污水处理工艺进行调整或优化的，需经监理复核同意并经发包人批准后方可实施。</w:t>
      </w:r>
    </w:p>
    <w:p w14:paraId="23C2663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承包人应按环保设施“三同时”的要求，保证废水处理设施与承包人驻地同时设计、同时建设、同时投产使用。</w:t>
      </w:r>
    </w:p>
    <w:p w14:paraId="5484344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6)采用隔油池、化粪池、地埋式生活污水处理设备处理，出水满足农田灌溉标准及环卫清运要求。</w:t>
      </w:r>
    </w:p>
    <w:p w14:paraId="198DEAE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砂石骨料生产系统废水处理</w:t>
      </w:r>
    </w:p>
    <w:p w14:paraId="78EBA90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处理目标：满足环境影响报告书及批复文件的要求。</w:t>
      </w:r>
    </w:p>
    <w:p w14:paraId="1D21EAB0">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承包人应负责砂石料骨料生产系统废水处理系统的设计、施工、运行和维护，确保废水处理系统正常运行，并做好运行、维护记录。</w:t>
      </w:r>
    </w:p>
    <w:p w14:paraId="11A0B5B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承包人采用的废水处理工艺，应满足环境影响报告书及批复文件的相关要求，需对处理工艺进行调整或优化的，需经监理复核同意并经发包人批准后方可实施。</w:t>
      </w:r>
    </w:p>
    <w:p w14:paraId="31A716C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承包人应按环保设施“三同时”的要求，保证废水处理设施与砂石骨料生产系统同时设计、同时建设、同时投产使用。</w:t>
      </w:r>
    </w:p>
    <w:p w14:paraId="05284D9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废水处理系统排出的污泥不得随意堆存，应进行脱水处理后，运至监理人指定的弃渣场堆存。一旦发现污泥处理不当，承包人必须采取措施，将已外排的污泥清除。</w:t>
      </w:r>
    </w:p>
    <w:p w14:paraId="35AD6C9F">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6）采用石粉回收装置、调节池、DH 高效污水净化器、清水池，SS出水浓度需控制在≤100mg/L，污泥采用真空带滤机脱水处理。</w:t>
      </w:r>
    </w:p>
    <w:p w14:paraId="4F99932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混凝土生产系统废水处理</w:t>
      </w:r>
    </w:p>
    <w:p w14:paraId="676146F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处理目标:满足环境影响报告书及批复文件的要求。</w:t>
      </w:r>
    </w:p>
    <w:p w14:paraId="76007BA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承包人应负责混凝土生产废水处理系统的设计、施工、运行和维护，确保废水处理系统正常运行，并做好运行、维护记录。</w:t>
      </w:r>
    </w:p>
    <w:p w14:paraId="363FF17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承包人应按环保设施“三同时”的要求，保证废水处理设施与混凝土生产系统同时设计、同时建设、同时投产使用。</w:t>
      </w:r>
    </w:p>
    <w:p w14:paraId="013CDD7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承包人应考虑事故应急备用方案，在发生紧急情况时，确保不发生生产废水或含有悬浮质的水流污染施工现场和附近水体现象。</w:t>
      </w:r>
    </w:p>
    <w:p w14:paraId="7FBE418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废水处理系统排出的污泥不得随意堆存，应进行脱水处理后，运至监理人指定的弃渣场堆存。一旦发现污泥处理不当，承包人必须采取措施，将已外排的污泥清除。</w:t>
      </w:r>
    </w:p>
    <w:p w14:paraId="4058EA2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6）采用调节预沉池、混凝沉淀池、清水池，SS出水浓度需控制在≤100mg/L，污泥采用真空带滤机脱水处理。</w:t>
      </w:r>
    </w:p>
    <w:p w14:paraId="16DCF93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含油废水处理</w:t>
      </w:r>
    </w:p>
    <w:p w14:paraId="30F7559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承包人需按照要求设置机修及汽修系统的废水收集处理系统，进行油水分离处理，处理目标须满足环境影响报告书及批复文件的要求。</w:t>
      </w:r>
    </w:p>
    <w:p w14:paraId="21647A6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承包人应确保废水处理设备、机修系统和汽车保养同时投用，该设备的管理和维护工作纳入机修和汽车保养系统内，并做好运行、维护记录。</w:t>
      </w:r>
    </w:p>
    <w:p w14:paraId="18EF00B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3)采用隔油调节池、混凝沉淀池、清水池及污泥干化池，出水需达石油类≤3mg/L，SS≤20mg/L</w:t>
      </w:r>
    </w:p>
    <w:p w14:paraId="6466E9C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 施工废水处理</w:t>
      </w:r>
    </w:p>
    <w:p w14:paraId="4FFA9B7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处理目标:满足环境影响报告书及批复文件的要求。</w:t>
      </w:r>
    </w:p>
    <w:p w14:paraId="1DFC66B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承包人应负责施工废水处理设施的设计、施工、运行和维护，确保废水处理设施正常运行，并做好运行、维护记录。</w:t>
      </w:r>
    </w:p>
    <w:p w14:paraId="509DDBF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承包人应按环保设施“三同时”要求，保证废水处理设施同时设计、同时建设、同时投产使用。</w:t>
      </w:r>
    </w:p>
    <w:p w14:paraId="3E59882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承包人应及时清理沉淀池内的污泥，清理的污泥不得随意堆存，应进行脱水处理后，运至监理人指定的弃渣场堆存。一旦发现污泥处理不当，承包人必须采取措施，将已外排的污泥清除。</w:t>
      </w:r>
    </w:p>
    <w:p w14:paraId="0A87D98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 隧洞施工废水处理</w:t>
      </w:r>
    </w:p>
    <w:p w14:paraId="4320FBEB">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处理目标:需对隧洞施工过程中产生的废水进行处理，处理标准应满足环境影响报告书及批复文件的要求，隧洞施工废水应优先在隧洞内采用清污剥离、絮凝沉淀等方式处理后用于施工生产。</w:t>
      </w:r>
    </w:p>
    <w:p w14:paraId="2ADA35DB">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承包人应负责洞室排水处理系统的设计、施工、运行和维护，确保处理系统正常运行，并做好运行、维护记录。</w:t>
      </w:r>
    </w:p>
    <w:p w14:paraId="19EBCB3E">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承包人按照环境影响报告书及批复文件的相关要求，选取洞室排水处理工艺，满足当地生态环境部门要求。</w:t>
      </w:r>
    </w:p>
    <w:p w14:paraId="056B8CEF">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承包人应按环保设施“三同时”的要求，保证洞室排水处理设施与隧洞、支洞施工作业同时设计、同时建设、同时投产使用。</w:t>
      </w:r>
    </w:p>
    <w:p w14:paraId="174BA09E">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承包人应考虑事故应急备用方案，在发生紧急情况时，确保不发生洞室排水或沉淀泥浆污染施工现场、周边农田和附近水体现象。</w:t>
      </w:r>
    </w:p>
    <w:p w14:paraId="3DD0978F">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 隧洞、洞室排水处理系统排出的污泥不得随意堆存，应进行脱水干化处理后，运至监理人指定的弃渣场堆存。一旦发现污泥处理不当，承包人必须采取措施，将已外排的污泥清除。</w:t>
      </w:r>
    </w:p>
    <w:p w14:paraId="13AB50D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7）采用石粉回收装置、调节池、DH 高效污水净化器、清水池，SS出水浓度需控制在≤100mg/L，污泥采用真空带滤机脱水处理。</w:t>
      </w:r>
    </w:p>
    <w:p w14:paraId="4CE2226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 地下水环境保护</w:t>
      </w:r>
    </w:p>
    <w:p w14:paraId="5A6DC7FB">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承包人应在施工过程中加强超前地质预报工作，根据超前预报的情况及时采取相应的止水或注浆加固措施，及时防止突涌水灾害的发生。</w:t>
      </w:r>
    </w:p>
    <w:p w14:paraId="7C83BC5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承包人应根据可能受影响的地下水水源地情况，制定施工期临时应急供水、应急用水补偿等应急保护措施。</w:t>
      </w:r>
    </w:p>
    <w:p w14:paraId="01E82A5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承包人在隧洞施工过程中，一旦监测发现地下水集中水源地出现地下水水位和流量显著减少情况时，应采取临时短期异地送水或施工期异地抽水等应急保障措施保障当地居民的日常用水需求。</w:t>
      </w:r>
    </w:p>
    <w:p w14:paraId="10200D2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4.2.2  大气环境保护</w:t>
      </w:r>
    </w:p>
    <w:p w14:paraId="0730B28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一般要求</w:t>
      </w:r>
    </w:p>
    <w:p w14:paraId="08838FC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工程开工前，承包人应根据施工设备类型和施工方法制定除尘实施细则，提交监理人批准。</w:t>
      </w:r>
    </w:p>
    <w:p w14:paraId="19403DD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在施工过程中，监理人可根据批准的除尘实施细则，要求承包人随时进行除尘措施的检查和检测。</w:t>
      </w:r>
    </w:p>
    <w:p w14:paraId="63A4759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应按合同技术规范的规定加强对施工粉尘的控制和处理，采用先进设备和技术，控制施工粉尘浓度，采取相应的大气环境保护措施，削减污染物排放量，阻碍污染物扩散，改善施工现场工作条件，保护施工生活区及以外环境敏感区环境空气质量。</w:t>
      </w:r>
    </w:p>
    <w:p w14:paraId="1E5E583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承包人应在施工期间加强环保宣传、保持工地清洁、控制扬尘、杜绝漏洒材料。</w:t>
      </w:r>
    </w:p>
    <w:p w14:paraId="7B3606A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未按要求落实大气环境保护措施的，其造成的影响或损失由承包人承担。</w:t>
      </w:r>
    </w:p>
    <w:p w14:paraId="52C6333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 为达到大气环境保护目标，承包人在制定施工方法、除尘措施以及进行施工时，应确保包括但不限于以下的措施的实施。</w:t>
      </w:r>
    </w:p>
    <w:p w14:paraId="561BDEF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开挖、爆破粉尘的消减与控制</w:t>
      </w:r>
    </w:p>
    <w:p w14:paraId="1214D260">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工程爆破方式应优先选择凿裂爆破、预裂爆破、光面爆破和缓冲爆破技术等低尘工艺，以减少粉尘产生量。</w:t>
      </w:r>
    </w:p>
    <w:p w14:paraId="16E1920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承包人应选用配备收尘系统的钻机，并采用湿法作业，并针对钻孔、爆破、出渣等主要产生粉尘的施工过程采取降尘措施，降低粉尘。</w:t>
      </w:r>
    </w:p>
    <w:p w14:paraId="1B590F0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在开挖、爆破区采取洒水降尘措施，非雨日每日洒水降尘，加速粉尘沉降，缩小粉尘影响时间与范围。</w:t>
      </w:r>
    </w:p>
    <w:p w14:paraId="768A05A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地下工程增设通风设施，加强通风，降低废气浓度；也可在各工作面喷水或装捕尘器等，降低作业点的粉尘。</w:t>
      </w:r>
    </w:p>
    <w:p w14:paraId="0824E5A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承包人应采取加强个人防护的方式对施工人员加以保护，高尘区作业人员需配备施工粉尘防护用品（具），如佩带防尘口罩等。</w:t>
      </w:r>
    </w:p>
    <w:p w14:paraId="6A3AC6C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（6）非雨日采取洒水措施（优先采用废水处理出水），拌和楼粉料仓配置袋式收尘器，营地食堂配置油烟收集处理装置，油烟排放满足GB 18483-2001要求。</w:t>
      </w:r>
    </w:p>
    <w:p w14:paraId="385FABC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燃油废气的消减与控制</w:t>
      </w:r>
    </w:p>
    <w:p w14:paraId="17A8681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对尾气排污量大，不能满足环保要求的车辆及燃油设备，需安装尾气净化装置，保证尾气达标排放。</w:t>
      </w:r>
    </w:p>
    <w:p w14:paraId="3B41B73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执行汽车报废标准，推行强制更新报废制度，对于发动机油耗高、效率低、尾气排放严重超标的老、旧车辆，及时更新。</w:t>
      </w:r>
    </w:p>
    <w:p w14:paraId="516B82E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扬尘消减与控制</w:t>
      </w:r>
    </w:p>
    <w:p w14:paraId="473F3CF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承包人根据责任范围，及时清扫施工场地和道路路面，定时进行洒水降尘，保持场地和道路清洁，尽可能避免施工场地及机动车在运行过程中产生扬尘。</w:t>
      </w:r>
    </w:p>
    <w:p w14:paraId="42BF2960">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做好运输车辆的密封和车辆保洁，减少因弃渣、砂、土的外泄造成扬尘污染。对运送可能产生粉尘物料的运输车，车厢两侧及尾部均应配备挡板，物料的堆放高度不得高于挡板，并用干净的篷布或塑料布覆盖，或用编织袋分装堆码，避免扬尘污染。</w:t>
      </w:r>
    </w:p>
    <w:p w14:paraId="264EC95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在施工区设置限速标志，降低车速以减少交通扬尘。</w:t>
      </w:r>
    </w:p>
    <w:p w14:paraId="192215D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对于砂石料堆场、临时弃土场、土料暂存场等应及时采取苫盖等防尘措施，同时按照水土保持设计的要求实施场地整治及临时植草措施。</w:t>
      </w:r>
    </w:p>
    <w:p w14:paraId="6BB6137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辅助生产系统粉尘消减与控制</w:t>
      </w:r>
    </w:p>
    <w:p w14:paraId="5033CAB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砂石骨料加工系统应尽量采取湿法作业，采用全封闭生产方式，配置除尘装置。</w:t>
      </w:r>
    </w:p>
    <w:p w14:paraId="7C9543B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混凝土生产系统采用全封闭生产方式，配置除尘裝置，定期检查除尘装置的运行情况，及时修理或更换无法运行的除尘设备。</w:t>
      </w:r>
    </w:p>
    <w:p w14:paraId="6CD3307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承包人应尽量避免将易产生粉尘的物料储存或堆放在敏感受体附近。</w:t>
      </w:r>
    </w:p>
    <w:p w14:paraId="01438AA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承包人不得任意安装和使用对空气产生污染的锅炉、炉具等，以及使用易产生烟尘或其他空气污染物的燃料。</w:t>
      </w:r>
    </w:p>
    <w:p w14:paraId="3EB9B23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散装水泥、粉煤灰、磷矿渣粉应用封闭系统，从罐车卸载到存储罐，所有出口应配有袋式过滤器。</w:t>
      </w:r>
    </w:p>
    <w:p w14:paraId="753D996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4.2.3  声环境保护</w:t>
      </w:r>
    </w:p>
    <w:p w14:paraId="1B366F3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一般要求</w:t>
      </w:r>
    </w:p>
    <w:p w14:paraId="664C87A0">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工程开工前，承包人应针对其用于工程的施工和运输机械设备，以及施工工艺和方法，编制降低噪声措施，提交监理人批准。</w:t>
      </w:r>
    </w:p>
    <w:p w14:paraId="4CBB0E6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在施工过程中，监理人可随时对承包人的施工场地进行噪声检查和检测，承包人应予以协助和配合。</w:t>
      </w:r>
    </w:p>
    <w:p w14:paraId="015F11F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在施工过程中，发包人将委托有资质的第三方对承包人的施工场地进行噪声监测，承包人应予以协助和配合。噪声监测结果超标或影响周边声环境敏感目标（人居群体或保护动物）的，承包人应配合实施强化的降噪措施。</w:t>
      </w:r>
    </w:p>
    <w:p w14:paraId="5CF95707">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施工期间，承包人应按合同技术规范的规定加强噪声控制和处理，采用先进设备和技术降低噪声排放。</w:t>
      </w:r>
    </w:p>
    <w:p w14:paraId="30DDC63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施工机械及爆破等施工噪声控制</w:t>
      </w:r>
    </w:p>
    <w:p w14:paraId="28DB6A2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承包人选用低噪声设备和工艺，降低噪声源强度。</w:t>
      </w:r>
    </w:p>
    <w:p w14:paraId="21AADD74">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承包人应加强设备的维护和保养，减少运行噪声。</w:t>
      </w:r>
    </w:p>
    <w:p w14:paraId="02E4318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施工工地各种空气压缩机应设置消声器，振动大的机械设备使用减震机座降低噪声。</w:t>
      </w:r>
    </w:p>
    <w:p w14:paraId="6497E2D2">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承包人应合理安排施工作业，统一安排爆破时间，禁止夜间露天爆破，昼间爆破应避开午休时间、学生上课时间。</w:t>
      </w:r>
    </w:p>
    <w:p w14:paraId="21F352B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 承包人应尽量优化开挖爆破设计，减少单孔最大药量，采用毫秒微差爆破，预裂爆破或光面爆破，增加临空面，因施工爆破造成地方工业和民用构（建）筑物损伤和破坏的，由承包人承担所有费用。</w:t>
      </w:r>
    </w:p>
    <w:p w14:paraId="37B53A4C">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 施工期间，承包人应在施工场地与敏感受体之间合理安装隔声屏障，以有效阻隔噪声传播。</w:t>
      </w:r>
    </w:p>
    <w:p w14:paraId="2DBF9DFE">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 破碎机、制砂机、筛分楼、拌和楼、空压机、制冷压缩机等车间，应合理布局，尽可能远离敏感点，尽可能建立隔声屏障、隔声罩和隔声间，采用封闭式砂石生产线和混凝土拌和楼，施工区围墙加装临时隔声屏墙。</w:t>
      </w:r>
    </w:p>
    <w:p w14:paraId="7226BC7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交通噪声控制</w:t>
      </w:r>
    </w:p>
    <w:p w14:paraId="24E4BF86">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加强交通管制，在敏感路段设置交通限速标志牌、禁鸣标志牌。</w:t>
      </w:r>
    </w:p>
    <w:p w14:paraId="5794629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加强道路养护和车辆的维护保养，降低噪声源。</w:t>
      </w:r>
    </w:p>
    <w:p w14:paraId="2FCFA430">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个人防护措施</w:t>
      </w:r>
    </w:p>
    <w:p w14:paraId="5C8C06A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承包人应加强施工人员的操作培训，减少突发噪声的发生。</w:t>
      </w:r>
    </w:p>
    <w:p w14:paraId="668D5EAB">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承包人应按监理人指令定期进行声环境监测，并配合发包人委托的环境监测机构做好声环境监测工作。</w:t>
      </w:r>
    </w:p>
    <w:p w14:paraId="5228399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4.2.4  固体废物处理</w:t>
      </w:r>
    </w:p>
    <w:p w14:paraId="3E9CDAF0">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承包人应按监理人批准的施工组织设计，在施工现场和生活区设置必要的生活卫生设施（包括垃圾桶、垃圾箱等），对其生产和生活垃圾进行清扫、清理，统一运至发包人或监理人指定的垃圾收集点。</w:t>
      </w:r>
    </w:p>
    <w:p w14:paraId="3731790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机械修理及汽修等生产垃圾中的金属类废品，由承包人负责回收利用，其他生产垃圾按监理人指示统一处理。</w:t>
      </w:r>
    </w:p>
    <w:p w14:paraId="779007C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承包人应按批准的施工组织设计和监理人指示，处理好施工弃渣，清运至指定渣场堆存，严禁乱倒乱弃。</w:t>
      </w:r>
    </w:p>
    <w:p w14:paraId="73B2CB8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承包人应遵照国家法律法规的规定，严格管理有毒、有害的危险品，防止污染事故的发生，由于承包人的原因引发的污染事故和安全事故，造成的损失由承包人承担。</w:t>
      </w:r>
    </w:p>
    <w:p w14:paraId="682A39D8">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4.2.5  危险废物处理措施</w:t>
      </w:r>
    </w:p>
    <w:p w14:paraId="07BB561D">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 处理目标：废油、油水分离后产生的废油渣、机修危废外运处置。</w:t>
      </w:r>
    </w:p>
    <w:p w14:paraId="2F825661">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 承包人需按照危险废弃物管理条例，要求设置专门的危险废弃物暂存间，并张贴相应的标识标牌。</w:t>
      </w:r>
    </w:p>
    <w:p w14:paraId="4F3CEAF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 废油、废油渣、机修危废统一收集后委托有资质的单位定期外运处理，做好安全防护，并标识“危险废物”等标志牌。</w:t>
      </w:r>
    </w:p>
    <w:p w14:paraId="273663AA">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 承包人应加强对机械维修车间及临时油库的管理，避免因机械施工产生的漏油、弃油及清洗机械和车辆对水环境造成污染，严禁乱倒弃油，由于承包人的原因引发的污染事故和安全事故，造成的损失由承包人承担。</w:t>
      </w:r>
    </w:p>
    <w:p w14:paraId="274DCB55">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（5）承包人须设置分类垃圾箱、临时垃圾站，委托当地村镇环卫部门定期清运。</w:t>
      </w:r>
    </w:p>
    <w:p w14:paraId="0144A2A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 承包人应建立危险废弃物管理台账，对于危险废弃物的产生、暂存、输运、处置等按规范进行记录，并定期上报国家危险废弃物管理平台，同时建设危险废物暂存设施，废油污定期交由有资质单位安全处置。</w:t>
      </w:r>
    </w:p>
    <w:p w14:paraId="5DE2317D">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4.2.6</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施工人员健康保护</w:t>
      </w:r>
    </w:p>
    <w:p w14:paraId="25FA7B9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控制目标</w:t>
      </w:r>
    </w:p>
    <w:p w14:paraId="7B05206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保护施工人群健康，保证各类传染病发病种类和水平不因工程建设发生异常变化，保障施工人员按照国家要求接种防疫疫苗。</w:t>
      </w:r>
    </w:p>
    <w:p w14:paraId="17EEBC8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保护施工人员健康，防止因施工人员交叉感染或生活卫生条件引发传染病流行，保证工程顺利建设。</w:t>
      </w:r>
    </w:p>
    <w:p w14:paraId="2A67671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保护方案</w:t>
      </w:r>
    </w:p>
    <w:p w14:paraId="484797D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为保护施工人群健康，承包人至少应采取以下保护方案:</w:t>
      </w:r>
    </w:p>
    <w:p w14:paraId="4D5264F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施工人员进场前的卫生检疫</w:t>
      </w:r>
    </w:p>
    <w:p w14:paraId="6BC0E32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承包人对准备进入施工区的施工人员进行1次全面卫生检疫，以了解将要进入施工区的施工人员的健康和带菌情况，及时发现和控制带菌者及其进入施工区的新病种，防止在施工人群中造成相互传染和流行。</w:t>
      </w:r>
    </w:p>
    <w:p w14:paraId="2F04E81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检查项目为疟疾、传染性肝炎；外来施工人员还应视其来源地的疾病构成确定相应的检疫项目。</w:t>
      </w:r>
    </w:p>
    <w:p w14:paraId="7BD538F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施工人员定期健康检查</w:t>
      </w:r>
    </w:p>
    <w:p w14:paraId="69FB054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承包人对施工人群进行每年1次观察和体格检查，有利于掌握不同施工期劳动力的健康状况，及时预防和控制疾病的发生和蔓延，保证工程正常进行。</w:t>
      </w:r>
    </w:p>
    <w:p w14:paraId="47FC0BC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施工人员预防免疫计划</w:t>
      </w:r>
    </w:p>
    <w:p w14:paraId="5BB9E61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提高施工人群对疾病的抵抗能力，防止危害较大且易感染的疾病在施工区</w:t>
      </w:r>
      <w:r>
        <w:rPr>
          <w:rFonts w:hint="eastAsia" w:hAnsi="Calibri" w:cs="Times New Roman"/>
          <w:snapToGrid/>
          <w:color w:val="auto"/>
          <w:kern w:val="2"/>
          <w:szCs w:val="22"/>
          <w:highlight w:val="none"/>
          <w:lang w:val="en-US" w:eastAsia="zh-CN"/>
        </w:rPr>
        <w:t>暴发</w:t>
      </w:r>
      <w:r>
        <w:rPr>
          <w:rFonts w:hint="eastAsia" w:ascii="宋体" w:hAnsi="Calibri" w:eastAsia="宋体" w:cs="Times New Roman"/>
          <w:snapToGrid/>
          <w:color w:val="auto"/>
          <w:kern w:val="2"/>
          <w:szCs w:val="22"/>
          <w:highlight w:val="none"/>
          <w:lang w:eastAsia="zh-CN"/>
        </w:rPr>
        <w:t>流行，危害施工人群健康。</w:t>
      </w:r>
    </w:p>
    <w:p w14:paraId="6737503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根据水利水电工程施工现场疾病流行的相关调查统计，承包人应对施工人群采取疟疾预防性服药、甲型肝炎、乙型肝炎疫苗和流行性出血热疫苗接种的预防免疫措施。</w:t>
      </w:r>
    </w:p>
    <w:p w14:paraId="2CCC333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预防免疫针对全体人员。</w:t>
      </w:r>
    </w:p>
    <w:p w14:paraId="3C8EBF1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疫情监控</w:t>
      </w:r>
    </w:p>
    <w:p w14:paraId="73CB9E3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承包人应设疫情监控点，落实责任人，按当地政府疫情管理及报送制度进行管理。一旦发现疫情，及时采取治疗、隔离、观察等措施，对易感人群采取预防措施。</w:t>
      </w:r>
    </w:p>
    <w:p w14:paraId="715BAA4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工区及影响区一旦发生传染病流行，应按疫情上报制度及时上报并采取治疗、抢救、隔离措施，对易感人群采取预防措施。</w:t>
      </w:r>
    </w:p>
    <w:p w14:paraId="7CE0BD2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环境卫生及食品卫生管理与监督</w:t>
      </w:r>
    </w:p>
    <w:p w14:paraId="7E4A21D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食品卫生是影响人群健康的重要方面，应按相关规定加强管理。管理内容包括：</w:t>
      </w:r>
    </w:p>
    <w:p w14:paraId="25070C0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承包人定期对工区食堂进行卫生清理和卫生检查，除日常清理外每月集中清理不得少于2次，生活废弃物要妥善处理。根据气候变化及时安排灭蚊、灭蝇、灭蟑、灭鼠。</w:t>
      </w:r>
    </w:p>
    <w:p w14:paraId="26C475D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食堂服务人员和供水工作人员实行“健康证制度”，每年定期进行健康检查，传染病带菌者撤离岗位。</w:t>
      </w:r>
    </w:p>
    <w:p w14:paraId="0CC5BB6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设置垃圾桶，配置清运设备，定期清运垃圾。合理布置施工现场公共卫生设施，公共卫生设施应符合国家规定的卫生标准和要求。</w:t>
      </w:r>
    </w:p>
    <w:p w14:paraId="079E5C6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有害气体防护</w:t>
      </w:r>
    </w:p>
    <w:p w14:paraId="38533FB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地下工程施工过程中，切实加强通风设施，确保洞内空气质量达标；配备对有害气体检测和报警裝置；施工人员地下施工时必须使用防护面具，避免遭受有害气体的危害。</w:t>
      </w:r>
    </w:p>
    <w:p w14:paraId="5DC99B3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承包人需向施工人员提供清洁的、足量的饮用水，饮用水各项水质指标需符合《生活饮用水卫生标准》要求。</w:t>
      </w:r>
    </w:p>
    <w:p w14:paraId="21449EA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承包人应按国家和地方有关环境保护法规和规章的规定保障工人的劳动卫生条件。</w:t>
      </w:r>
    </w:p>
    <w:p w14:paraId="6483923C">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4.2.7</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文物古迹保护</w:t>
      </w:r>
    </w:p>
    <w:p w14:paraId="039963A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承包人应加强对施工人员文物保护宣传教育工作，提高保护文物的意识。</w:t>
      </w:r>
    </w:p>
    <w:p w14:paraId="0EA5093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在工程施工过程中，若发现地下埋藏重要文物古迹，须立即停止施工保护现场，防止移动和破坏，同时报告监理人、发包人及当地文物主管部门，配合相关部门进行处置。</w:t>
      </w:r>
    </w:p>
    <w:p w14:paraId="607578C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工程现场发掘的所有化石、钱币、有价值的物品或文物、建筑结构以及有地质或考古价值的其他遗物等均为国家财产。承包人应采取预防措施，防止其雇员或其他人员移动或损坏上述物品。一旦发现上述物品，应在移动之前立即把发现的情况通知监理人和发包人，并按监理人的指令处理，倘若由于监理人的指令使承包人遭受工期延误或发生额外费用，监理人在审查复核后，确定：</w:t>
      </w:r>
    </w:p>
    <w:p w14:paraId="340FFD4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承包人延长相应工期。</w:t>
      </w:r>
    </w:p>
    <w:p w14:paraId="6E61DD7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另行支付发生的额外费用。</w:t>
      </w:r>
    </w:p>
    <w:p w14:paraId="3BF2A5F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由于承包人的原因引发的文物古迹损坏、破坏的，其造成的损失由承包人承担。</w:t>
      </w:r>
    </w:p>
    <w:p w14:paraId="104EF39C">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4.2.8</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土壤环境保护</w:t>
      </w:r>
    </w:p>
    <w:p w14:paraId="635D934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承包人必须严格遵守施工区的管理规定，把施工对土壤环境的影响控制到最小范围内。</w:t>
      </w:r>
    </w:p>
    <w:p w14:paraId="78F6BD6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施工期间，承包人应加强施工废水、危险废物的管理和处置，避免施工对施工区及周边土壤造成盐化、酸化、碱化或污染。</w:t>
      </w:r>
    </w:p>
    <w:p w14:paraId="67C6B9D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由于承包人施工的原因引发的土壤污染，其造成的修复费用由承包人承担。</w:t>
      </w:r>
    </w:p>
    <w:p w14:paraId="126E859A">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4.2.9</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生态保护措施</w:t>
      </w:r>
    </w:p>
    <w:p w14:paraId="0FF7815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承包人必须严格遵守施工区的管理规定，把施工影响范围限制于规划占地区域。除了不可避免的工程占地、砍伐以外，对原始地貌不应再发生其它任何形式的人为破坏。</w:t>
      </w:r>
    </w:p>
    <w:p w14:paraId="3939E06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承包人开始在施工场地内砍树和清除表土的工作以前，应得到发包人和监理人的认可。</w:t>
      </w:r>
    </w:p>
    <w:p w14:paraId="034E426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施工期间，承包人应加强对施工人员的管理，加强火源管理，杜绝森林火灾。</w:t>
      </w:r>
    </w:p>
    <w:p w14:paraId="0599FC1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承包人应制定相应制度，禁止施工人员非法猎捕、购买珍稀保护动物和鱼类及其制品，在禁渔河段严禁施工人员捕鱼行为，由施工造成的重点野生动物损失或死亡的由承包人承担。</w:t>
      </w:r>
    </w:p>
    <w:p w14:paraId="33C845E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承包人应教育施工人员，禁止捕食蛙类、蛇类、鸟类、兽类，以减轻施工对陆生动物的影响。</w:t>
      </w:r>
    </w:p>
    <w:p w14:paraId="65F849E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承包人集中供应生活能源，施工和运行人员及家属禁止砍伐当地植被。</w:t>
      </w:r>
    </w:p>
    <w:p w14:paraId="3F7D9AB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除合同另有规定外，承包人应在规定时间内，拆除施工临时设施，消除施工区和生活区及其附近废弃建筑，并按监理人批准的设计进行植被恢复或绿化。</w:t>
      </w:r>
    </w:p>
    <w:p w14:paraId="61DF4F7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（7）承包人应严格控制施工边界，设立警示宣传牌，禁止越界施工。</w:t>
      </w:r>
    </w:p>
    <w:p w14:paraId="5C96AF02">
      <w:pPr>
        <w:suppressAutoHyphens/>
        <w:kinsoku/>
        <w:adjustRightInd/>
        <w:snapToGrid/>
        <w:spacing w:line="460" w:lineRule="exact"/>
        <w:ind w:firstLine="480"/>
        <w:textAlignment w:val="auto"/>
        <w:outlineLvl w:val="9"/>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承包人应严格施工管理，不得在环境敏感区范围内排污、设弃土（渣）场，工程完工后，应及时进行植被修复和养护，维护生态环境和景观质量。</w:t>
      </w:r>
    </w:p>
    <w:p w14:paraId="01DADA3E">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4.2.10</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社会环境保护</w:t>
      </w:r>
    </w:p>
    <w:p w14:paraId="6FD90DF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承包人应遵守国家的法律法规，尊重当地的民风民俗，执行发包人制定的施工区管理规定，维护社会稳定。</w:t>
      </w:r>
    </w:p>
    <w:p w14:paraId="4106AE1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接受和配合各级生态环境主管部门对水土保持与环境保护工作的监督加检查、监测工作。</w:t>
      </w:r>
    </w:p>
    <w:p w14:paraId="62519CC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配合参与突发环境影响事件应急处置或事故的调查处理。</w:t>
      </w:r>
    </w:p>
    <w:p w14:paraId="07BE30E9">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4.2.11</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环境监测</w:t>
      </w:r>
    </w:p>
    <w:p w14:paraId="3BEF54C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本标工程的环境监测，包括发包人委托专业环境监测机构实施的监测、监理单位日常的监督性监测、承包人为掌握环境质量状况和污染治理效果而实施的生产性监测。</w:t>
      </w:r>
    </w:p>
    <w:p w14:paraId="099638B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环境监测由发包人委托具有相应监测资质的监测机构统一实施。</w:t>
      </w:r>
    </w:p>
    <w:p w14:paraId="375D21B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承包人按批准的施工组织设计，积极开展生产性环境监测工作，并在环境保护工作报告中反映相应的监测成果。</w:t>
      </w:r>
    </w:p>
    <w:p w14:paraId="6A71CA93">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此外，承包人应配合专业环境监测机构和监理人的监测工作。</w:t>
      </w:r>
    </w:p>
    <w:p w14:paraId="70F2B72D">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ascii="Arial" w:hAnsi="Arial" w:eastAsia="方正小标宋_GBK" w:cs="Times New Roman"/>
          <w:color w:val="auto"/>
          <w:kern w:val="2"/>
          <w:sz w:val="24"/>
          <w:szCs w:val="22"/>
          <w:highlight w:val="none"/>
          <w:lang w:val="en-US" w:eastAsia="zh-CN" w:bidi="ar-SA"/>
        </w:rPr>
        <w:t xml:space="preserve">4.2.12 </w:t>
      </w:r>
      <w:r>
        <w:rPr>
          <w:rFonts w:hint="eastAsia" w:ascii="Arial" w:hAnsi="Arial" w:eastAsia="方正小标宋_GBK" w:cs="Times New Roman"/>
          <w:color w:val="auto"/>
          <w:kern w:val="2"/>
          <w:sz w:val="24"/>
          <w:szCs w:val="22"/>
          <w:highlight w:val="none"/>
          <w:lang w:val="en-US" w:eastAsia="zh-CN" w:bidi="ar-SA"/>
        </w:rPr>
        <w:t xml:space="preserve"> 地下水监测</w:t>
      </w:r>
    </w:p>
    <w:p w14:paraId="5467AD2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ascii="宋体" w:hAnsi="Calibri" w:eastAsia="宋体" w:cs="Times New Roman"/>
          <w:snapToGrid/>
          <w:color w:val="auto"/>
          <w:kern w:val="2"/>
          <w:szCs w:val="22"/>
          <w:highlight w:val="none"/>
          <w:lang w:eastAsia="zh-CN"/>
        </w:rPr>
        <w:t>地下水监测主要包括（但不限于）地下水位监测、水量监测及隧洞涌水量监测。</w:t>
      </w:r>
    </w:p>
    <w:p w14:paraId="0C51F30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（1）地下水监测工作应按水文地质单元布置，监测工作(点)应布置在预计对地表水、地下水有影响的范围内。地下水监测工作应充分考虑到地下水的流向(垂直与平行流向)布置监测。</w:t>
      </w:r>
    </w:p>
    <w:p w14:paraId="5C7F016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（2）监测点应结合地表水体及地下水出露点布置，每个水文地质单元应布置监测点,地下水出露点不能满足监测要求的，应采用钻探水文井进行监测。</w:t>
      </w:r>
    </w:p>
    <w:p w14:paraId="5783A65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（3）监测频率应根据保护区重要程度和距开挖面距离综合确定，地下水监测周期宜根据施工中和竣工后的监测稳定情况而定。</w:t>
      </w:r>
    </w:p>
    <w:p w14:paraId="2BDDCDF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（4）监测数据有明显变化时,应增大监测频率。监测数据在一定时间内趋于稳定时,可根据实际情况适当减小监测频率。</w:t>
      </w:r>
    </w:p>
    <w:p w14:paraId="02483F90">
      <w:pPr>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ascii="宋体" w:hAnsi="Calibri" w:eastAsia="宋体" w:cs="Times New Roman"/>
          <w:snapToGrid/>
          <w:color w:val="auto"/>
          <w:kern w:val="2"/>
          <w:szCs w:val="22"/>
          <w:highlight w:val="none"/>
          <w:lang w:eastAsia="zh-CN"/>
        </w:rPr>
        <w:t>（5）</w:t>
      </w:r>
      <w:r>
        <w:rPr>
          <w:rFonts w:hint="eastAsia" w:ascii="宋体" w:hAnsi="Calibri" w:eastAsia="宋体" w:cs="Times New Roman"/>
          <w:snapToGrid/>
          <w:color w:val="auto"/>
          <w:kern w:val="2"/>
          <w:szCs w:val="22"/>
          <w:highlight w:val="none"/>
          <w:lang w:eastAsia="zh-CN"/>
        </w:rPr>
        <w:t>监测的各项原始记录应及时整理，检查并填写报表、绘制时态曲线图，定期提交阶段监测的各种图表和变形趋势分析报告，</w:t>
      </w:r>
      <w:r>
        <w:rPr>
          <w:rFonts w:hint="eastAsia" w:ascii="宋体" w:hAnsi="Calibri" w:eastAsia="宋体" w:cs="Times New Roman"/>
          <w:snapToGrid/>
          <w:color w:val="auto"/>
          <w:kern w:val="2"/>
          <w:szCs w:val="22"/>
          <w:highlight w:val="none"/>
          <w:lang w:val="en-US" w:eastAsia="zh-CN"/>
        </w:rPr>
        <w:t>报发包人和监理人审核。</w:t>
      </w:r>
    </w:p>
    <w:p w14:paraId="5FECE1ED">
      <w:pPr>
        <w:keepNext/>
        <w:keepLines/>
        <w:widowControl w:val="0"/>
        <w:spacing w:before="120" w:after="120" w:line="460" w:lineRule="exact"/>
        <w:ind w:firstLine="0" w:firstLineChars="0"/>
        <w:jc w:val="both"/>
        <w:outlineLvl w:val="2"/>
        <w:rPr>
          <w:rFonts w:ascii="Arial" w:hAnsi="Arial" w:eastAsia="黑体" w:cs="Times New Roman"/>
          <w:bCs/>
          <w:color w:val="auto"/>
          <w:kern w:val="2"/>
          <w:sz w:val="30"/>
          <w:szCs w:val="32"/>
          <w:highlight w:val="none"/>
          <w:lang w:val="en-US" w:eastAsia="zh-CN" w:bidi="ar-SA"/>
        </w:rPr>
      </w:pPr>
      <w:bookmarkStart w:id="1723" w:name="_Toc141799382"/>
      <w:bookmarkStart w:id="1724" w:name="_Toc2517"/>
      <w:bookmarkStart w:id="1725" w:name="_Toc17806"/>
      <w:bookmarkStart w:id="1726" w:name="_Toc15245"/>
      <w:bookmarkStart w:id="1727" w:name="_Toc29089"/>
      <w:bookmarkStart w:id="1728" w:name="_Toc25659"/>
      <w:bookmarkStart w:id="1729" w:name="_Toc20437"/>
      <w:bookmarkStart w:id="1730" w:name="_Toc78"/>
      <w:bookmarkStart w:id="1731" w:name="_Toc10022"/>
      <w:r>
        <w:rPr>
          <w:rFonts w:hint="eastAsia" w:ascii="Arial" w:hAnsi="Arial" w:eastAsia="黑体" w:cs="Times New Roman"/>
          <w:bCs/>
          <w:color w:val="auto"/>
          <w:kern w:val="2"/>
          <w:sz w:val="30"/>
          <w:szCs w:val="32"/>
          <w:highlight w:val="none"/>
          <w:lang w:val="en-US" w:eastAsia="zh-CN" w:bidi="ar-SA"/>
        </w:rPr>
        <w:t>4.3</w:t>
      </w:r>
      <w:r>
        <w:rPr>
          <w:rFonts w:ascii="Arial" w:hAnsi="Arial" w:eastAsia="黑体" w:cs="Times New Roman"/>
          <w:bCs/>
          <w:color w:val="auto"/>
          <w:kern w:val="2"/>
          <w:sz w:val="30"/>
          <w:szCs w:val="32"/>
          <w:highlight w:val="none"/>
          <w:lang w:val="en-US" w:eastAsia="zh-CN" w:bidi="ar-SA"/>
        </w:rPr>
        <w:t xml:space="preserve">  </w:t>
      </w:r>
      <w:r>
        <w:rPr>
          <w:rFonts w:hint="eastAsia" w:ascii="Arial" w:hAnsi="Arial" w:eastAsia="黑体" w:cs="Times New Roman"/>
          <w:bCs/>
          <w:color w:val="auto"/>
          <w:kern w:val="2"/>
          <w:sz w:val="30"/>
          <w:szCs w:val="32"/>
          <w:highlight w:val="none"/>
          <w:lang w:val="en-US" w:eastAsia="zh-CN" w:bidi="ar-SA"/>
        </w:rPr>
        <w:t>水土保持</w:t>
      </w:r>
      <w:bookmarkEnd w:id="1723"/>
      <w:bookmarkEnd w:id="1724"/>
      <w:bookmarkEnd w:id="1725"/>
      <w:bookmarkEnd w:id="1726"/>
      <w:bookmarkEnd w:id="1727"/>
      <w:bookmarkEnd w:id="1728"/>
      <w:bookmarkEnd w:id="1729"/>
      <w:bookmarkEnd w:id="1730"/>
      <w:bookmarkEnd w:id="1731"/>
    </w:p>
    <w:p w14:paraId="4A706FE6">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4.3.1</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一般要求</w:t>
      </w:r>
    </w:p>
    <w:p w14:paraId="5EBA3DA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承包人应按合同文件的规定利用土地。</w:t>
      </w:r>
    </w:p>
    <w:p w14:paraId="60D870F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承包人应按照水土保持方案报告书批复文件和后续设计，编制本工程的水土保持措施计划。</w:t>
      </w:r>
    </w:p>
    <w:p w14:paraId="7DE664A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监理人批准的水土保持措施计划，负责实施本合同责任范围内（包括施工开挖的场地、生活区、施工道路、料场和渣场等）的水土保持工程措施、植物措施和临时措施，并在工程结束后按合同要求进行场地清理、整治及迹地恢复工作。</w:t>
      </w:r>
    </w:p>
    <w:p w14:paraId="323ADAC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承包人应控制施工场地占地、避开植被相对良好的区域和基本农田区，施工中保护好施工场地周边的林草和水土保持设施（包括水库、渠、塘坝、梯田和拦渣坝等），避免或减少由于施工造成的水土流失。</w:t>
      </w:r>
    </w:p>
    <w:p w14:paraId="4BED725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加强开挖工作面管理，按照“先挡后挖”要求，设置集渣平台、拦渣墙等挡护措施，防止土石渣下江、下沟和边坡挂渣。做好防治责任范围内各项开挖支护、截排水、挡护等水土保持措施，使工程各开挖面得到及时有效的处理，防治水土流失、防止破坏植被和其它生态环境资源。</w:t>
      </w:r>
    </w:p>
    <w:p w14:paraId="19103E7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承包人应对其负责维护的场内道路（包括路面、路基和路堑边坡等）采取有效的水土流失防治措施。</w:t>
      </w:r>
    </w:p>
    <w:p w14:paraId="104077F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承包人实施开挖施工前，应对表层土按要求结合实际情况做到“应剥尽剥、能剥多剥”，及时剥离、收集，集中堆放到指定的表土堆放场，并做好有效防护，保证工程后期迹地恢复的表土供应。</w:t>
      </w:r>
    </w:p>
    <w:p w14:paraId="34FA336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渣料应优先考虑综合利用，不能利用的应运至指定渣场集中堆放，严禁乱弃渣。乱堆乱弃施工造成的影响及后续处置由承包人承担。</w:t>
      </w:r>
    </w:p>
    <w:p w14:paraId="3FF1E4D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承包人在合同文件规定或监理人批准的料场进行土、石和砂料的采集和加工作业时，必须设置植被保护缓冲区，使任何冲蚀局限在料场以内。</w:t>
      </w:r>
    </w:p>
    <w:p w14:paraId="5F0BFC7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（10）</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承包人的任何活动，如砍伐树木、清理和掘除，不得超出规定的范围，禁止滋伐和破坏灌草植被。</w:t>
      </w:r>
    </w:p>
    <w:p w14:paraId="087BFF0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承包人进行修路、采石等工程施工时，应根据现场的地形和地质条件采取工程防护措施，防治边坡失稳、滑坡、坍塌。</w:t>
      </w:r>
    </w:p>
    <w:p w14:paraId="79CBABA9">
      <w:pPr>
        <w:suppressAutoHyphens/>
        <w:kinsoku/>
        <w:adjustRightInd/>
        <w:snapToGrid/>
        <w:spacing w:line="460" w:lineRule="exact"/>
        <w:ind w:firstLine="480"/>
        <w:textAlignment w:val="auto"/>
        <w:rPr>
          <w:rFonts w:hint="eastAsia"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（12）承包人进行土石方挖填等土建施工过程中应采取临时拦挡、苫盖、排水、沉沙、铺垫、植草等临时防护措施，控制和减轻施工过程中产生的水土流失；其中预计放置时间超过</w:t>
      </w:r>
      <w:r>
        <w:rPr>
          <w:rFonts w:ascii="宋体" w:hAnsi="Calibri" w:eastAsia="宋体" w:cs="Times New Roman"/>
          <w:snapToGrid/>
          <w:color w:val="auto"/>
          <w:kern w:val="2"/>
          <w:szCs w:val="22"/>
          <w:highlight w:val="none"/>
          <w:lang w:eastAsia="zh-CN"/>
        </w:rPr>
        <w:t>6</w:t>
      </w:r>
      <w:r>
        <w:rPr>
          <w:rFonts w:hint="eastAsia" w:ascii="宋体" w:hAnsi="Calibri" w:eastAsia="宋体" w:cs="Times New Roman"/>
          <w:snapToGrid/>
          <w:color w:val="auto"/>
          <w:kern w:val="2"/>
          <w:szCs w:val="22"/>
          <w:highlight w:val="none"/>
          <w:lang w:eastAsia="zh-CN"/>
        </w:rPr>
        <w:t>个月的临时边坡，必须采取植草、植树措施。</w:t>
      </w:r>
    </w:p>
    <w:p w14:paraId="7367841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承包人对施工区临时用地采取植树、种植灌草等绿化措施，改善区内生态环境。</w:t>
      </w:r>
    </w:p>
    <w:p w14:paraId="4356598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承包人在施工设施拆除并撤离现场前，应对现场进行彻底清理，平整场地，施工迹地须</w:t>
      </w:r>
      <w:r>
        <w:rPr>
          <w:rFonts w:hint="eastAsia" w:hAnsi="Calibri" w:cs="Times New Roman"/>
          <w:snapToGrid/>
          <w:color w:val="auto"/>
          <w:kern w:val="2"/>
          <w:szCs w:val="22"/>
          <w:highlight w:val="none"/>
          <w:lang w:val="en-US" w:eastAsia="zh-CN"/>
        </w:rPr>
        <w:t>具备</w:t>
      </w:r>
      <w:r>
        <w:rPr>
          <w:rFonts w:hint="eastAsia" w:ascii="宋体" w:hAnsi="Calibri" w:eastAsia="宋体" w:cs="Times New Roman"/>
          <w:snapToGrid/>
          <w:color w:val="auto"/>
          <w:kern w:val="2"/>
          <w:szCs w:val="22"/>
          <w:highlight w:val="none"/>
          <w:lang w:eastAsia="zh-CN"/>
        </w:rPr>
        <w:t>植被恢复措施实施的条件。</w:t>
      </w:r>
    </w:p>
    <w:p w14:paraId="38CEFAFC">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4.3.2</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弃渣处置及临时渣场防护</w:t>
      </w:r>
    </w:p>
    <w:p w14:paraId="562EF40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防治目标：规范弃渣堆放，按照“先挡后弃”的原则，及时对弃渣采用工程措施防护，并做好截排水措施弃渣过程中按规定实施分层</w:t>
      </w:r>
      <w:r>
        <w:rPr>
          <w:rFonts w:hint="eastAsia" w:ascii="宋体" w:hAnsi="Calibri" w:eastAsia="宋体" w:cs="Times New Roman"/>
          <w:snapToGrid/>
          <w:color w:val="auto"/>
          <w:kern w:val="2"/>
          <w:szCs w:val="24"/>
          <w:highlight w:val="none"/>
          <w:lang w:eastAsia="zh-CN"/>
        </w:rPr>
        <w:t>堆放，</w:t>
      </w:r>
      <w:r>
        <w:rPr>
          <w:rFonts w:ascii="宋体" w:hAnsi="Calibri" w:eastAsia="宋体" w:cs="Times New Roman"/>
          <w:snapToGrid/>
          <w:color w:val="auto"/>
          <w:kern w:val="2"/>
          <w:szCs w:val="24"/>
          <w:highlight w:val="none"/>
          <w:lang w:eastAsia="zh-CN"/>
        </w:rPr>
        <w:t>每</w:t>
      </w:r>
      <w:r>
        <w:rPr>
          <w:rFonts w:hint="eastAsia" w:ascii="宋体" w:hAnsi="Calibri" w:eastAsia="宋体" w:cs="Times New Roman"/>
          <w:snapToGrid/>
          <w:color w:val="auto"/>
          <w:kern w:val="2"/>
          <w:szCs w:val="24"/>
          <w:highlight w:val="none"/>
          <w:lang w:eastAsia="zh-CN"/>
        </w:rPr>
        <w:t>堆高</w:t>
      </w:r>
      <w:r>
        <w:rPr>
          <w:rFonts w:ascii="宋体" w:hAnsi="Calibri" w:eastAsia="宋体" w:cs="Times New Roman"/>
          <w:snapToGrid/>
          <w:color w:val="auto"/>
          <w:kern w:val="2"/>
          <w:szCs w:val="24"/>
          <w:highlight w:val="none"/>
          <w:lang w:eastAsia="zh-CN"/>
        </w:rPr>
        <w:t>1.0m</w:t>
      </w:r>
      <w:r>
        <w:rPr>
          <w:rFonts w:hint="eastAsia" w:ascii="宋体" w:hAnsi="Calibri" w:eastAsia="宋体" w:cs="Times New Roman"/>
          <w:snapToGrid/>
          <w:color w:val="auto"/>
          <w:kern w:val="2"/>
          <w:szCs w:val="24"/>
          <w:highlight w:val="none"/>
          <w:lang w:eastAsia="zh-CN"/>
        </w:rPr>
        <w:t>需推运、整平一次</w:t>
      </w:r>
      <w:r>
        <w:rPr>
          <w:rFonts w:hint="eastAsia" w:ascii="宋体" w:hAnsi="Calibri" w:eastAsia="宋体" w:cs="Times New Roman"/>
          <w:snapToGrid/>
          <w:color w:val="auto"/>
          <w:kern w:val="2"/>
          <w:szCs w:val="22"/>
          <w:highlight w:val="none"/>
          <w:lang w:eastAsia="zh-CN"/>
        </w:rPr>
        <w:t>，根据进度要求进行工程和植物措施的双重防护，有效防治水土流失。</w:t>
      </w:r>
    </w:p>
    <w:p w14:paraId="116224A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承包人应按监理人批复的水土保持措施计划，做好弃渣场挡护、截排水、边坡防护等工程措施，并按照合同要求负责弃渣场施工期的使用管理工作。</w:t>
      </w:r>
    </w:p>
    <w:p w14:paraId="5AC7AEC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在编报的施工组织设计中做好施工弃渣的处理措施方案，严格按监理人批准的弃渣规划，做好有用料和无用料的分区堆放；弃渣堆放不得侵占河道、湖泊和建成水库管理范围，不得影响其他承包人的正常施工、不得危及下游居民和设施的安全。</w:t>
      </w:r>
    </w:p>
    <w:p w14:paraId="44BFE4C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承包人进行盾构、爆破、开挖等施工时，应采取必要的临时（或专项）施工措施，避免对周边环境产生不必要的影响。</w:t>
      </w:r>
    </w:p>
    <w:p w14:paraId="700BFBC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确需设置临时渣场，由承包人提出规划、须经监理人批准。承包人应按“先挡后弃”的原则，在渣场使用前依照设计图纸和监理人要求实施工程防护措施。</w:t>
      </w:r>
    </w:p>
    <w:p w14:paraId="3AE56CB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承包人应将施工弃渣运至监理人指定的渣场堆存，弃渣时应服从渣场管理人员指挥有序堆渣，并做好台账记录。</w:t>
      </w:r>
    </w:p>
    <w:p w14:paraId="0DEF0D3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弃渣占地严格控制在渣场挡墙防护以内，不得沿途、沿河及沿沟随意倾倒。渣场使用过程中，应按稳定边坡堆放，加强维护和管理，避免弃渣处置不当对渣场防护设施造成破坏。弃渣场内部临时施工道路由承包人自行在弃渣场坡面布置，临时道路的布置应满足施工需要。</w:t>
      </w:r>
    </w:p>
    <w:p w14:paraId="317E0F7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弃渣过程中，严格按照监理人批准的运渣道路、堆渣方案和图纸要求分层分级堆渣，保证渣场按设计体型堆弃，防止因堆渣不当造成堆渣体形成高陡边坡。同时派专人和设备进行渣场的日常维护和管理。</w:t>
      </w:r>
    </w:p>
    <w:p w14:paraId="28AA4D2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应按监理批准的水土保持措施计划，负责实施弃渣场的水土保持工程措施、植物措施和临时措施，并在工程结束后按合同要求进行场地清理、整治及迹地恢复工作。</w:t>
      </w:r>
    </w:p>
    <w:p w14:paraId="53DCE3C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（10）</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弃渣完成后，应当及时实施边坡的削坡处理、弃渣顶部的平整、弃渣边坡的护坡、植物绿化以及排水等防治措施，尽量缩短地表的裸露时间，减少水土流失。</w:t>
      </w:r>
    </w:p>
    <w:p w14:paraId="5D4ABC1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监理人或发包人现场代表发现承包人故意向河床、沟道及沿途或其他非监理人指定的渣场堆存倾倒弃渣的，发包人将对承包人处以违约罚款，该罚款将直接在发包人支付给承包人的进度款中扣除。</w:t>
      </w:r>
    </w:p>
    <w:p w14:paraId="6DFF87A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如承包人未按监理人指定的弃渣地点弃渣，且拒绝改正时，监理人或发包人现场代表将委托其它承包人处理上述违章弃渣，所发生的一切相关费用均直接在发包人支付给承包人的工程款中扣除。造成生态环境损坏事故的，相应</w:t>
      </w:r>
      <w:r>
        <w:rPr>
          <w:rFonts w:hint="eastAsia" w:hAnsi="Calibri" w:cs="Times New Roman"/>
          <w:snapToGrid/>
          <w:color w:val="auto"/>
          <w:kern w:val="2"/>
          <w:szCs w:val="22"/>
          <w:highlight w:val="none"/>
          <w:lang w:val="en-US" w:eastAsia="zh-CN"/>
        </w:rPr>
        <w:t>责任</w:t>
      </w:r>
      <w:r>
        <w:rPr>
          <w:rFonts w:hint="eastAsia" w:ascii="宋体" w:hAnsi="Calibri" w:eastAsia="宋体" w:cs="Times New Roman"/>
          <w:snapToGrid/>
          <w:color w:val="auto"/>
          <w:kern w:val="2"/>
          <w:szCs w:val="22"/>
          <w:highlight w:val="none"/>
          <w:lang w:eastAsia="zh-CN"/>
        </w:rPr>
        <w:t>由承包人承担。</w:t>
      </w:r>
    </w:p>
    <w:p w14:paraId="4EAFA32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建立弃渣场场长负责制，并指定专人负责弃渣场的日常安全管理工作，加强弃渣场汛期等重点时段的巡查检查；如发现弃渣场异常情况，必须及时做出安全判断、应急处置，并在第一时间将问题反馈至建管、监理以及当地政府有关部门（单位）。</w:t>
      </w:r>
    </w:p>
    <w:p w14:paraId="2B2F6A34">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4.3.3</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料场水土保持措施</w:t>
      </w:r>
    </w:p>
    <w:p w14:paraId="0329D27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承包人在料场的开采过程中，应满足以下水土保持要求：</w:t>
      </w:r>
    </w:p>
    <w:p w14:paraId="7FC6553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防治目标：料场开采需严格执行自上而下的分级开采，开采边坡坡比及马道应满足布置水土保持植被措施，做到边开采边支护，有效防治水土流失。</w:t>
      </w:r>
    </w:p>
    <w:p w14:paraId="2D4682D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无用料运至监理人指定的渣场堆放；表层土料单独堆放并采取临时拦挡、苫盖、植草、排水、洒水等防护措施，减少水土流失、扬尘污染。以供后期料场迹地恢复使用。</w:t>
      </w:r>
    </w:p>
    <w:p w14:paraId="134BB6F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料场开挖坡度控制在稳定坡度范围内，严禁超征地范围开挖，由此造成后果由承包人承担。</w:t>
      </w:r>
    </w:p>
    <w:p w14:paraId="60D0F2D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对开挖软弱面及时进行工程防护。</w:t>
      </w:r>
    </w:p>
    <w:p w14:paraId="121917A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在开挖边坡上部和两侧设置排水沟，将施工期间的降水排至料场以外，保证料场正常开采，控制水土流失。</w:t>
      </w:r>
    </w:p>
    <w:p w14:paraId="0A3F568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开采完毕后及时清除岩石边坡危岩，保证岩体稳定。对开采迹地采取植树、种植灌草及其他绿化措施，并与周边景观相协调。</w:t>
      </w:r>
    </w:p>
    <w:p w14:paraId="5F10535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存料场堆存应按设计要求或监理的指示，进行场地清理和必要的平整处理，渣料以分层堆筑的方式进行，并控制分层高度，以避免料物分离。</w:t>
      </w:r>
    </w:p>
    <w:p w14:paraId="0CE7BF3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表土堆放过程中应按合同或规范要求分层静碾、稳定边坡堆放，并随着堆土进度及时采取坡面护坡措施（如表面撒播灌草），防止坡面被冲刷，同时加强维护和管理，避免表土处置不当对堆存场防护设施造成破坏。</w:t>
      </w:r>
    </w:p>
    <w:p w14:paraId="1E021E4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对料场平台扰动迹地采取乔灌草结合恢复植被；对于料场开采形成的边坡，在马道布设载土槽，栽植藤本植物，上攀下垂坡面绿化。</w:t>
      </w:r>
    </w:p>
    <w:p w14:paraId="0A1A8B14">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4.3.4</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施工占地区水土保持措施</w:t>
      </w:r>
    </w:p>
    <w:p w14:paraId="07F6AF9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施工占地区主要包括主体工程施工占地区、临时交通占地区、施工生活区、生产企业占地区。</w:t>
      </w:r>
    </w:p>
    <w:p w14:paraId="74A013F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防治目标：对工程建设过程中开挖、填筑、占压等活动影响而降低或丧失水土保持功能的土地，及时采取防护措施，保护生态环境，控制和减少新增水土流失。</w:t>
      </w:r>
    </w:p>
    <w:p w14:paraId="015C00B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承包人应按合同规定采取有效措施对施工开挖的边坡及时进行支护，采取防护措施，做好施工区引、排水措施，避免由于施工造成的水土流失。</w:t>
      </w:r>
    </w:p>
    <w:p w14:paraId="44F7277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过程中，对容易产生水土流失的临时堆土、裸露区域及时采取临时拦挡、苫盖、排水、沉沙、植草等措施；对高陡开挖边坡实行喷混凝土、锚杆、锚索的施工安排与开挖平行作业，同时对边坡及时进行支护并设置排水孔，控制施工期的新增水土流失。</w:t>
      </w:r>
    </w:p>
    <w:p w14:paraId="731F4A1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临时道路均按照稳定边坡进行开挖，及时设置拦挡、护坡等对开挖、回填形成的土质边坡进行防护，并修建路基边沟、排水沟、截水沟和进行道旁绿化。道路开挖土石尽量回填，或就近用于施工场地平整，剩余土石必须运往指定渣场堆放。</w:t>
      </w:r>
    </w:p>
    <w:p w14:paraId="3BAA89C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在生产企业占地区，场平施工时，开挖料运至监理人指定渣场堆放，占地区形成的开挖边坡和填方边坡要及时采取拦挡措施。场地周边应完善截排水设施建设，生产场地应尽可能进行混凝土硬化处理。</w:t>
      </w:r>
    </w:p>
    <w:p w14:paraId="5798C85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施工结束后，及时拆除地表建筑物及硬化地面，建筑垃圾运至监理人指定的渣场集中堆放。对施工造地及时采取复耕和植被恢复措施。</w:t>
      </w:r>
    </w:p>
    <w:p w14:paraId="1280CCBB">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4.3.5</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场地清理与整治</w:t>
      </w:r>
    </w:p>
    <w:p w14:paraId="22941AE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承包人应按照发包人对场地清理与整治地要求和监理人指示，在工程基本完工后，制订场地清理与整治地施工措施计划，提交监理人批准、其内容包括：</w:t>
      </w:r>
    </w:p>
    <w:p w14:paraId="37B77E3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场地清理与整治范围（本工程范围内的施工场地，包括施工场地以外遭受施工损坏的区域）。</w:t>
      </w:r>
    </w:p>
    <w:p w14:paraId="6A7A6F0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场地清理与整治地进度计划、清理整治措施。</w:t>
      </w:r>
    </w:p>
    <w:p w14:paraId="00C6F78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清理与整治内容：</w:t>
      </w:r>
    </w:p>
    <w:p w14:paraId="2B1A0F1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每一施工作业区施工结束后，承包人应及时拆除地面以上部分的各种临时建筑结构，以及各种辅助设施（如已废弃的沉淀池和临时拦洪设施等），并及时清理出场。</w:t>
      </w:r>
    </w:p>
    <w:p w14:paraId="40D81EB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承包人的所有材料和设备应按计划</w:t>
      </w:r>
      <w:r>
        <w:rPr>
          <w:rFonts w:hint="eastAsia" w:hAnsi="Calibri" w:cs="Times New Roman"/>
          <w:snapToGrid/>
          <w:color w:val="auto"/>
          <w:kern w:val="2"/>
          <w:szCs w:val="22"/>
          <w:highlight w:val="none"/>
          <w:lang w:val="en-US" w:eastAsia="zh-CN"/>
        </w:rPr>
        <w:t>撤离</w:t>
      </w:r>
      <w:r>
        <w:rPr>
          <w:rFonts w:hint="eastAsia" w:ascii="宋体" w:hAnsi="Calibri" w:eastAsia="宋体" w:cs="Times New Roman"/>
          <w:snapToGrid/>
          <w:color w:val="auto"/>
          <w:kern w:val="2"/>
          <w:szCs w:val="22"/>
          <w:highlight w:val="none"/>
          <w:lang w:eastAsia="zh-CN"/>
        </w:rPr>
        <w:t>现场，工地范围内废弃的材料、设备及其他生产垃圾应统一按要求处理。</w:t>
      </w:r>
    </w:p>
    <w:p w14:paraId="046C4EE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对防治范围内的排水沟道，挡护措施等永久性水土保持设施，应在撤离前按要求进行疏通和修整。</w:t>
      </w:r>
    </w:p>
    <w:p w14:paraId="57CEF26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施工占用耕地的料场，应在开采前将剥离的耕植土妥善堆存保管，完工后按本合同约定，将其返还摊铺和复耕。</w:t>
      </w:r>
    </w:p>
    <w:p w14:paraId="25E9FB1A">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4.3.6</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植物措施</w:t>
      </w:r>
    </w:p>
    <w:p w14:paraId="2195902B">
      <w:pPr>
        <w:widowControl w:val="0"/>
        <w:spacing w:line="460" w:lineRule="exact"/>
        <w:ind w:firstLine="0" w:firstLineChars="0"/>
        <w:jc w:val="both"/>
        <w:outlineLvl w:val="9"/>
        <w:rPr>
          <w:rFonts w:ascii="Arial" w:hAnsi="Arial" w:eastAsia="宋体" w:cs="Times New Roman"/>
          <w:color w:val="auto"/>
          <w:kern w:val="2"/>
          <w:sz w:val="24"/>
          <w:szCs w:val="22"/>
          <w:highlight w:val="none"/>
          <w:lang w:val="en-US" w:eastAsia="zh-CN" w:bidi="ar-SA"/>
        </w:rPr>
      </w:pPr>
      <w:r>
        <w:rPr>
          <w:rFonts w:hint="eastAsia" w:ascii="Arial" w:hAnsi="Arial" w:eastAsia="宋体" w:cs="Times New Roman"/>
          <w:color w:val="auto"/>
          <w:kern w:val="2"/>
          <w:sz w:val="24"/>
          <w:szCs w:val="22"/>
          <w:highlight w:val="none"/>
          <w:lang w:val="en-US" w:eastAsia="zh-CN" w:bidi="ar-SA"/>
        </w:rPr>
        <w:t>4.3.6.1</w:t>
      </w:r>
      <w:r>
        <w:rPr>
          <w:rFonts w:ascii="Arial" w:hAnsi="Arial" w:eastAsia="宋体" w:cs="Times New Roman"/>
          <w:color w:val="auto"/>
          <w:kern w:val="2"/>
          <w:sz w:val="24"/>
          <w:szCs w:val="22"/>
          <w:highlight w:val="none"/>
          <w:lang w:val="en-US" w:eastAsia="zh-CN" w:bidi="ar-SA"/>
        </w:rPr>
        <w:t xml:space="preserve">  </w:t>
      </w:r>
      <w:r>
        <w:rPr>
          <w:rFonts w:hint="eastAsia" w:ascii="Arial" w:hAnsi="Arial" w:eastAsia="宋体" w:cs="Times New Roman"/>
          <w:color w:val="auto"/>
          <w:kern w:val="2"/>
          <w:sz w:val="24"/>
          <w:szCs w:val="22"/>
          <w:highlight w:val="none"/>
          <w:lang w:val="en-US" w:eastAsia="zh-CN" w:bidi="ar-SA"/>
        </w:rPr>
        <w:t>撒播草籽</w:t>
      </w:r>
    </w:p>
    <w:p w14:paraId="100055E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材料</w:t>
      </w:r>
    </w:p>
    <w:p w14:paraId="4E68E58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草籽</w:t>
      </w:r>
    </w:p>
    <w:p w14:paraId="1FE5519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本工程推荐草籽为狗牙根、鸡眼草和白三叶，混合草种应试验其萌芽情况，其纯度和萌发率均应达到90%以上。其种子质量应达到GB7908规定的合格种植标准，并按照GB</w:t>
      </w:r>
      <w:r>
        <w:rPr>
          <w:rFonts w:hint="eastAsia" w:ascii="宋体" w:hAnsi="Calibri" w:eastAsia="宋体" w:cs="Times New Roman"/>
          <w:snapToGrid/>
          <w:color w:val="auto"/>
          <w:kern w:val="2"/>
          <w:szCs w:val="22"/>
          <w:highlight w:val="none"/>
          <w:lang w:val="en-US" w:eastAsia="zh-CN"/>
        </w:rPr>
        <w:t>/T</w:t>
      </w:r>
      <w:r>
        <w:rPr>
          <w:rFonts w:hint="eastAsia" w:ascii="宋体" w:hAnsi="Calibri" w:eastAsia="宋体" w:cs="Times New Roman"/>
          <w:snapToGrid/>
          <w:color w:val="auto"/>
          <w:kern w:val="2"/>
          <w:szCs w:val="22"/>
          <w:highlight w:val="none"/>
          <w:lang w:eastAsia="zh-CN"/>
        </w:rPr>
        <w:t>2772规定的方法检验种植标准。只有经监理人同意后，才允许种植代替品种。</w:t>
      </w:r>
    </w:p>
    <w:p w14:paraId="3B6428E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肥料</w:t>
      </w:r>
    </w:p>
    <w:p w14:paraId="656E132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应优先使用经过沤制的农家肥。</w:t>
      </w:r>
    </w:p>
    <w:p w14:paraId="1BC07F9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如使用化肥时，应为标准农用化肥并按袋装提供。化学肥料中氮、磷、钾的含量应根据施工季节和土壤肥力状况选定。</w:t>
      </w:r>
    </w:p>
    <w:p w14:paraId="6DC22E8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混合肥料由10％的有机肥、20％的化肥、70％的表土，均匀拌和而成。有效营养成分符合要求的液体化肥也可使用。</w:t>
      </w:r>
    </w:p>
    <w:p w14:paraId="299DF4D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w:t>
      </w:r>
    </w:p>
    <w:p w14:paraId="33BE3AC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种植或养护植物用水应无油、酸、碱、盐或其他对植物生长有害的物质，并应符合GB5084的要求。</w:t>
      </w:r>
    </w:p>
    <w:p w14:paraId="778E890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施工要求</w:t>
      </w:r>
    </w:p>
    <w:p w14:paraId="383CC6F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准备好地表面</w:t>
      </w:r>
    </w:p>
    <w:p w14:paraId="71C5F34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覆盖表土范围的地表面，应进行深翻，将土块打碎，使其成为均匀的种植土。不能打碎的土块，大于25mm的砾石、树根、树桩和其他垃圾应清除并运到监理人同意的地点废弃。</w:t>
      </w:r>
    </w:p>
    <w:p w14:paraId="0827310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地面无天然表土或天然表土厚度小于图纸规定的厚度时，承包人应通过翻松、加填或挖除以保持地表面的平整，加铺表土，以形成厚度符合要求的表土层。</w:t>
      </w:r>
    </w:p>
    <w:p w14:paraId="2D73E84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播种方法及用量</w:t>
      </w:r>
    </w:p>
    <w:p w14:paraId="0013613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承包人应事先将采用机具和播种方法通知监理人。必要时承包人应在工程开始前做工艺的野外试验。</w:t>
      </w:r>
    </w:p>
    <w:p w14:paraId="78F05A2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播种时应先浇水浸地，保持土壤湿润，稍干后将表层土耙细耙平，进行撒播，均匀覆3-5mm后轻压，然后喷水。</w:t>
      </w:r>
    </w:p>
    <w:p w14:paraId="4C57850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播种后应及时喷水，水点宜细密均匀，浸透土层80～100mm，除降雨天气，喷水不得间断。亦可用草帘覆盖保持湿度，至发芽时撤除。</w:t>
      </w:r>
    </w:p>
    <w:p w14:paraId="3AF626B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④ 植生带铺设后覆土、轻压、喷水，方法同播种。</w:t>
      </w:r>
    </w:p>
    <w:p w14:paraId="32B31D5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⑤ 坡地和大面积草坪铺设可采用喷播法。</w:t>
      </w:r>
    </w:p>
    <w:p w14:paraId="6179219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⑥ 除图纸另有规定或监理人指示外，草籽播种量一般情况下每10000m</w:t>
      </w:r>
      <w:r>
        <w:rPr>
          <w:rFonts w:hint="eastAsia" w:ascii="宋体" w:hAnsi="Calibri" w:eastAsia="宋体" w:cs="Times New Roman"/>
          <w:snapToGrid/>
          <w:color w:val="auto"/>
          <w:kern w:val="2"/>
          <w:szCs w:val="22"/>
          <w:highlight w:val="none"/>
          <w:vertAlign w:val="superscript"/>
          <w:lang w:eastAsia="zh-CN"/>
        </w:rPr>
        <w:t>2</w:t>
      </w:r>
      <w:r>
        <w:rPr>
          <w:rFonts w:hint="eastAsia" w:ascii="宋体" w:hAnsi="Calibri" w:eastAsia="宋体" w:cs="Times New Roman"/>
          <w:snapToGrid/>
          <w:color w:val="auto"/>
          <w:kern w:val="2"/>
          <w:szCs w:val="22"/>
          <w:highlight w:val="none"/>
          <w:lang w:eastAsia="zh-CN"/>
        </w:rPr>
        <w:t>平地面不少于80kg，坡地面不少于90kg。</w:t>
      </w:r>
    </w:p>
    <w:p w14:paraId="75FE3C0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⑦ 将采用的草籽和混合肥料拌和，混合比例为1:1:1，均匀地撒播到已准备好的表土区内。也可在播种前不多于48h施肥，使肥料深入到表土层内，化肥的施肥量应根据土壤理化性质确定。</w:t>
      </w:r>
    </w:p>
    <w:p w14:paraId="2F20397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播种季节</w:t>
      </w:r>
    </w:p>
    <w:p w14:paraId="1FEA112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应在图纸规定的季节正常播种、施肥和覆盖。如图纸未规定具体日期时，应在当地生长季节进行播种、施肥和覆盖。</w:t>
      </w:r>
    </w:p>
    <w:p w14:paraId="5C75626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在刮风天不应播种，也不应在过湿或未经耕作的土地播种。</w:t>
      </w:r>
    </w:p>
    <w:p w14:paraId="18504AC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干播</w:t>
      </w:r>
    </w:p>
    <w:p w14:paraId="2125008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干播法应采用经监理人同意的机动播种机、条播机或其他机械设备。对于机械设备能进入的地区可以用人工播种。播种后的地面应用监理人认可的机具在24h内轻轻压实，随即浇水。</w:t>
      </w:r>
    </w:p>
    <w:p w14:paraId="064A695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喷播</w:t>
      </w:r>
    </w:p>
    <w:p w14:paraId="246CC4F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喷播一般用于坡度较大的地段，喷播应采用经监理人同意的技术方案和机具。喷播前必须按喷播技术要求进行坡面处理，打桩挂网，并保证喷播种子的均匀程度和萌发质量。</w:t>
      </w:r>
    </w:p>
    <w:p w14:paraId="6BE5F98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验收要求</w:t>
      </w:r>
    </w:p>
    <w:p w14:paraId="20FF954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外观鉴定</w:t>
      </w:r>
    </w:p>
    <w:p w14:paraId="75B4450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应无杂草、无枯黄、无明显病虫害；无连续0.5m</w:t>
      </w:r>
      <w:r>
        <w:rPr>
          <w:rFonts w:hint="eastAsia" w:ascii="宋体" w:hAnsi="Calibri" w:eastAsia="宋体" w:cs="Times New Roman"/>
          <w:snapToGrid/>
          <w:color w:val="auto"/>
          <w:kern w:val="2"/>
          <w:szCs w:val="22"/>
          <w:highlight w:val="none"/>
          <w:vertAlign w:val="superscript"/>
          <w:lang w:eastAsia="zh-CN"/>
        </w:rPr>
        <w:t>2</w:t>
      </w:r>
      <w:r>
        <w:rPr>
          <w:rFonts w:hint="eastAsia" w:ascii="宋体" w:hAnsi="Calibri" w:eastAsia="宋体" w:cs="Times New Roman"/>
          <w:snapToGrid/>
          <w:color w:val="auto"/>
          <w:kern w:val="2"/>
          <w:szCs w:val="22"/>
          <w:highlight w:val="none"/>
          <w:lang w:eastAsia="zh-CN"/>
        </w:rPr>
        <w:t>以上空白面积。</w:t>
      </w:r>
    </w:p>
    <w:p w14:paraId="43C9F9D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边坡绿化施工不得破坏主体工程。</w:t>
      </w:r>
    </w:p>
    <w:p w14:paraId="616D3C9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取、弃土场绿化应充分覆盖裸露、松散地表，满足水土保持的要求。</w:t>
      </w:r>
    </w:p>
    <w:p w14:paraId="183CBF2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检查项目</w:t>
      </w:r>
    </w:p>
    <w:p w14:paraId="0583205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路侧绿化等草坪覆盖率应≥95%，取、弃土场草坪覆盖率应≥90%。</w:t>
      </w:r>
    </w:p>
    <w:p w14:paraId="7649645C">
      <w:pPr>
        <w:widowControl w:val="0"/>
        <w:spacing w:line="460" w:lineRule="exact"/>
        <w:ind w:firstLine="0" w:firstLineChars="0"/>
        <w:jc w:val="both"/>
        <w:outlineLvl w:val="9"/>
        <w:rPr>
          <w:rFonts w:ascii="Arial" w:hAnsi="Arial" w:eastAsia="宋体" w:cs="Times New Roman"/>
          <w:color w:val="auto"/>
          <w:kern w:val="2"/>
          <w:sz w:val="24"/>
          <w:szCs w:val="22"/>
          <w:highlight w:val="none"/>
          <w:lang w:val="en-US" w:eastAsia="zh-CN" w:bidi="ar-SA"/>
        </w:rPr>
      </w:pPr>
      <w:r>
        <w:rPr>
          <w:rFonts w:hint="eastAsia" w:ascii="Arial" w:hAnsi="Arial" w:eastAsia="宋体" w:cs="Times New Roman"/>
          <w:color w:val="auto"/>
          <w:kern w:val="2"/>
          <w:sz w:val="24"/>
          <w:szCs w:val="22"/>
          <w:highlight w:val="none"/>
          <w:lang w:val="en-US" w:eastAsia="zh-CN" w:bidi="ar-SA"/>
        </w:rPr>
        <w:t>4.3.6.2</w:t>
      </w:r>
      <w:r>
        <w:rPr>
          <w:rFonts w:ascii="Arial" w:hAnsi="Arial" w:eastAsia="宋体" w:cs="Times New Roman"/>
          <w:color w:val="auto"/>
          <w:kern w:val="2"/>
          <w:sz w:val="24"/>
          <w:szCs w:val="22"/>
          <w:highlight w:val="none"/>
          <w:lang w:val="en-US" w:eastAsia="zh-CN" w:bidi="ar-SA"/>
        </w:rPr>
        <w:t xml:space="preserve">  </w:t>
      </w:r>
      <w:r>
        <w:rPr>
          <w:rFonts w:hint="eastAsia" w:ascii="Arial" w:hAnsi="Arial" w:eastAsia="宋体" w:cs="Times New Roman"/>
          <w:color w:val="auto"/>
          <w:kern w:val="2"/>
          <w:sz w:val="24"/>
          <w:szCs w:val="22"/>
          <w:highlight w:val="none"/>
          <w:lang w:val="en-US" w:eastAsia="zh-CN" w:bidi="ar-SA"/>
        </w:rPr>
        <w:t>种植乔木、灌木和攀缘植物</w:t>
      </w:r>
    </w:p>
    <w:p w14:paraId="02DF7AF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植物品种</w:t>
      </w:r>
    </w:p>
    <w:p w14:paraId="583651D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本工程行道树推荐香樟；其他施工区域、渣场、料场植被恢复乔木推荐青冈栎、刺槐；灌木树种推荐胡枝子、马桑；攀缘植物推荐采用爬山虎、洋常春藤。</w:t>
      </w:r>
    </w:p>
    <w:p w14:paraId="77B40F1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苗木应使用GB6000规定的Ⅰ级苗木及优良无性苗木。在同一地块内栽植的树苗，苗龄和苗木生长状况应基本一致。攀缘植物为一～三年生壮苗，藤长不小于0.50m。</w:t>
      </w:r>
    </w:p>
    <w:p w14:paraId="47C7A75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植物应无缺损树节、擦破树皮、受风冻伤害或其他损伤，植物外观应显示出正常健康状态，能承受上部及根部适当的修剪。无特殊规定或图纸标明，所有植物应在苗圃采集。</w:t>
      </w:r>
    </w:p>
    <w:p w14:paraId="6CA0902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乔木应具有挺直的树干，良好发育的枝杈，根据其自然习性对称生长。</w:t>
      </w:r>
    </w:p>
    <w:p w14:paraId="4555DD6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运到现场的乔木高度，其胸径（树高出地面1.3m处）应不小于30mm。按图纸所示，种在坡脚或沿边沟的灌木高度不小于1.0m。</w:t>
      </w:r>
    </w:p>
    <w:p w14:paraId="029D484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正常情况下不允许采用代替品种，除非证实在承包期内的正常种植季节采集不到规定的植物。只有经监理人同意后，才允许种植代替品种。</w:t>
      </w:r>
    </w:p>
    <w:p w14:paraId="2EAF443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施工要求</w:t>
      </w:r>
    </w:p>
    <w:p w14:paraId="427FB3C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种植季节</w:t>
      </w:r>
    </w:p>
    <w:p w14:paraId="5996A59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各类植物应在当地适宜的季节进行种植，除非图纸上另有标明或监理人指示；土壤条件不适合种植时不应种植。</w:t>
      </w:r>
    </w:p>
    <w:p w14:paraId="4234C9E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提供植物、检查及运送</w:t>
      </w:r>
    </w:p>
    <w:p w14:paraId="6B9EA8E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承包人应在种植工作前14d，向监理人提供有关种植物供应来源的全部资料，监理人可随时前来检查。所有种植物应符合现行关于植物病害及昆虫传染检疫的法规，承包人应送交监理人必要的全部检疫证明。</w:t>
      </w:r>
    </w:p>
    <w:p w14:paraId="73F1ACC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从苗圃运出前不少于7d，承包人应以书面通知监理人，在苗圃挖移以前检查所有种植物。监理人同意挖移的植物，并不意味着最后验收。</w:t>
      </w:r>
    </w:p>
    <w:p w14:paraId="2E3C75B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在运出植物前，应由园艺人员按起苗、调运等技术要求负责将植物挖出、包扎、打捆，以备运输；任何时候，植物根系应保持潮湿、防冻、防止过热。落叶树在裸根情况下运输时，必须将根部包涂黏土浆，使根的全部带有泥土，然后包装在稻草袋内。所有常青树及灌木的根部，均应连同掘出的土球用草袋包装。运到工地及种植前，这些土球应结实，草包应完好，树冠应仔细捆扎以防止枝杈折断。</w:t>
      </w:r>
    </w:p>
    <w:p w14:paraId="6F12C93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④ 植物以单株、成捆、大包或容器内装有一株或多株植物运到工地时，均应分别系有清楚的标签，标明植物名称、尺寸、树龄或其他详细资料，这对鉴别植物是否符合规定是必要的。当不能对各单株植物分别标明时，标签内应说明成捆、成包以及容器内的各种规格植物的数量。</w:t>
      </w:r>
    </w:p>
    <w:p w14:paraId="7668863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储存和保护</w:t>
      </w:r>
    </w:p>
    <w:p w14:paraId="2E6EB59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运到工地后一天内种不完的植物，应存放在阴凉潮湿处，以防日晒风吹，或暂进行假植。</w:t>
      </w:r>
    </w:p>
    <w:p w14:paraId="52A4328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裸根树种应将包打开，放在沟内，根部暂盖壅土，并保持湿润。</w:t>
      </w:r>
    </w:p>
    <w:p w14:paraId="30E2420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带有土球及草袋包装的植物，应用土、稻草或其他适当材料加以保护，并保持土、稻草等潮湿，以防根系干燥。</w:t>
      </w:r>
    </w:p>
    <w:p w14:paraId="44E2BCD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种植准备</w:t>
      </w:r>
    </w:p>
    <w:p w14:paraId="170DE15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承包人应按绿化工程布置的图纸标出种植地段、种植位置及苗木品种和规格，并进行放样，在种植之前这些布置应得到监理人的检查认可。尚应做到：</w:t>
      </w:r>
    </w:p>
    <w:p w14:paraId="7F6D903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a.种植穴、槽定点放线应符合设计图纸要求，位置必须准确，标记明显。</w:t>
      </w:r>
    </w:p>
    <w:p w14:paraId="032FD4F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b.种植穴定点时应标明中心点位置。种植槽应标明边线。</w:t>
      </w:r>
    </w:p>
    <w:p w14:paraId="3D0B2FE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c.定点标志应标明树种名称（或代号）、规格。</w:t>
      </w:r>
    </w:p>
    <w:p w14:paraId="763A99C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d.行道树株距为3m，定点遇有障碍物影响株距时，应与设计单位取得联系，进行适当调整。</w:t>
      </w:r>
    </w:p>
    <w:p w14:paraId="5A08201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种植地段应修整到符合监理人指示的线形和坡度，并具有舒顺的外形。在种植中所有大土块、石块、硬土及其他杂物和不适于种植的材料，均应由承包人自工地移走。处理好的表土和底土应分开，并得到监理人认可。</w:t>
      </w:r>
    </w:p>
    <w:p w14:paraId="7B8211A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在种植时，先在坑底松填约150mm厚的表土。</w:t>
      </w:r>
    </w:p>
    <w:p w14:paraId="5FE3BFD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刨坑</w:t>
      </w:r>
    </w:p>
    <w:p w14:paraId="7F65CDA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bookmarkStart w:id="1732" w:name="_Toc141799383"/>
      <w:r>
        <w:rPr>
          <w:rFonts w:hint="eastAsia" w:ascii="宋体" w:hAnsi="Calibri" w:eastAsia="宋体" w:cs="Times New Roman"/>
          <w:snapToGrid/>
          <w:color w:val="auto"/>
          <w:kern w:val="2"/>
          <w:szCs w:val="22"/>
          <w:highlight w:val="none"/>
          <w:lang w:eastAsia="zh-CN"/>
        </w:rPr>
        <w:t>① 刨坑刨槽的规格要求</w:t>
      </w:r>
      <w:bookmarkEnd w:id="1732"/>
    </w:p>
    <w:p w14:paraId="33A851F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a.刨坑刨槽位置要准确，坑径应根据根系、土球大小及土质情况而定，刨坑刨槽要直上直下成桶形，不得上大下小或上小下大，以免造成窝根或填土不实。</w:t>
      </w:r>
    </w:p>
    <w:p w14:paraId="7E724C0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b.坑径一般可比植物的根系或土球直径大0.2～0.3m。</w:t>
      </w:r>
    </w:p>
    <w:p w14:paraId="35E3D86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c.如遇土质过黏、过硬或含有有害物质如石灰、沥青等，则应适当加大坑径。</w:t>
      </w:r>
    </w:p>
    <w:p w14:paraId="69DA779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刨坑的操作</w:t>
      </w:r>
    </w:p>
    <w:p w14:paraId="17491B2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a.刨坑时应以所定位置为中心，按规定坑径划一圆圈作为刨坑的范围。</w:t>
      </w:r>
    </w:p>
    <w:p w14:paraId="790A5BE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b.挖坑时应把表土与底土分别置放，不同的土质亦应分开堆放。堆放位置以不影响栽植为宜。刨坑到规定深度后在坑底垫底土。</w:t>
      </w:r>
    </w:p>
    <w:p w14:paraId="0D8E324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c.挖坑的坑壁要随挖随修使其成直上直下形状，不要成锅底形。</w:t>
      </w:r>
    </w:p>
    <w:p w14:paraId="4A44DE5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d.刨坑时如发现地下管道、电缆等地下设施应停止操作，并及时向监理人报告，请示处理办法。</w:t>
      </w:r>
    </w:p>
    <w:p w14:paraId="197A740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e.在斜坡处挖坑应先做成一平台，平台大小应以坑径最低规格为依据，作成后在平台上再挖坑。</w:t>
      </w:r>
    </w:p>
    <w:p w14:paraId="2E969C6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f.在土层干燥地区应于种植前浸穴。</w:t>
      </w:r>
    </w:p>
    <w:p w14:paraId="1AAE0E3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g.挖穴、槽后，应施人腐熟的有机肥作为基肥。</w:t>
      </w:r>
    </w:p>
    <w:p w14:paraId="38580BC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栽植</w:t>
      </w:r>
    </w:p>
    <w:p w14:paraId="7C5B3D8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 修剪工作对高大乔木应在散苗前后进行，即在栽植前进行，高度3m以下无明显主尖的乔木和灌木为了保证栽后高矮一致、整齐美观，可在栽植后修剪，疏剪的剪口应与树干平齐不留枯橛以免影响愈合；短截时注意留外芽，剪口距芽位置要合适，一般离芽10mm左右，剪口应稍斜成马蹄形；修剪20mm以上的大枝剪口应涂防腐剂，可促进愈合和防止病虫雨水侵害。</w:t>
      </w:r>
    </w:p>
    <w:p w14:paraId="2EDF263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 散苗、散露根苗应掌握随掘随运随散苗、随栽植，尽量缩短根部暴露时间以利成活。散苗时要轻拿轻放，行道树散苗要顺路的方向放树苗，不得横放路上影响交通；散带土球树木，要注意保护土球完整，搬运土球时不得只搬树干，尽量少滚动土球。</w:t>
      </w:r>
    </w:p>
    <w:p w14:paraId="4E75D8C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 栽植前对露根苗的根系要进行修剪，将断根、劈裂根，感染病虫害根，过长的根剪去，剪口要平滑，带土球苗和灌木应将围拢树冠的草绳剪断。</w:t>
      </w:r>
    </w:p>
    <w:p w14:paraId="1C79DE0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④ 栽植前应检查坑的大小，深度是否与根系、土球规格标准要求的坑径一致，不符时应修整。</w:t>
      </w:r>
    </w:p>
    <w:p w14:paraId="6D3F666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⑤ 栽树时不得歪斜，要保持树木上下垂直，有树弯时应掌握树尖与根部在一垂直线上，行道树的树弯应在顺路的方向，与路平行。</w:t>
      </w:r>
    </w:p>
    <w:p w14:paraId="723E7F1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⑥ 应由有经验工人，按照正常做法，进行种植和回填土，植物应垂直地栽好，比在苗圃的种植深度加深20～30mm。种植前的乔木和灌木应经监理人检查认可。</w:t>
      </w:r>
    </w:p>
    <w:p w14:paraId="1299762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⑦ 对裸根植物，先将表土放在坑底，其松散厚度约1.50mm，随即撒布适量（视表土性质而定）有机肥，在肥料上覆盖50至100mm回填土层，使根系不接触肥料。随后将裸根植物放在树坑中央，以自然形态散开根系，所有折断或损坏的根系，应予截去，促使根部生长良好。</w:t>
      </w:r>
    </w:p>
    <w:p w14:paraId="4388506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在树坑四周及其上回填土后捣固并适当压紧，当回填到根系一半深度时，将植物稍提起，随即再按每层厚150mm回填土并压实。植物四周应由土围成与树坑大小相同的浅盆形凹穴（浅土盆）的蓄水池，深约1.50mm。</w:t>
      </w:r>
    </w:p>
    <w:p w14:paraId="5CEF11F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⑧ 栽行道、行列树必须横平竖直，栽植时可每隔10或20株按规定位置准确的栽上一株作为前后植树对齐的依据，然后再分别栽植。</w:t>
      </w:r>
    </w:p>
    <w:p w14:paraId="18CFBE7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⑨ 根部带有土球的植物，应和上述⑦一样进行处理，并将表土及肥料放在穴内。随即将乔木或灌木垂直栽在坑底放稳，栽种深度应比苗圃时深25mm。</w:t>
      </w:r>
    </w:p>
    <w:p w14:paraId="094DD7F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回填土随即填在植物土球周围并捣实。土球上部的麻（草）袋应割开并移去，将土球上部的土松开并摊平，然后将其余回填土填下，还应做好浅土盆的蓄水池。</w:t>
      </w:r>
    </w:p>
    <w:p w14:paraId="241B62A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⑩ 栽植较大规格的常绿树和高大乔木时应在栽植同时埋上支柱，支柱应埋深在0.3m以下，支柱要捆牢，并注意不要使支柱与树干直接接触以免磨伤树皮。立支柱方向应在下风口。</w:t>
      </w:r>
    </w:p>
    <w:p w14:paraId="434E2DA2">
      <w:pPr>
        <w:suppressAutoHyphens/>
        <w:kinsoku/>
        <w:adjustRightInd/>
        <w:snapToGrid/>
        <w:spacing w:line="460" w:lineRule="exact"/>
        <w:ind w:firstLine="480"/>
        <w:textAlignment w:val="auto"/>
        <w:rPr>
          <w:rFonts w:ascii="宋体" w:hAnsi="宋体" w:eastAsia="宋体" w:cs="Times New Roman"/>
          <w:snapToGrid/>
          <w:color w:val="auto"/>
          <w:kern w:val="2"/>
          <w:szCs w:val="22"/>
          <w:highlight w:val="none"/>
          <w:lang w:eastAsia="zh-CN"/>
        </w:rPr>
      </w:pPr>
      <w:r>
        <w:rPr>
          <w:rFonts w:ascii="宋体" w:hAnsi="宋体" w:eastAsia="宋体" w:cs="Cambria Math"/>
          <w:snapToGrid/>
          <w:color w:val="auto"/>
          <w:kern w:val="2"/>
          <w:szCs w:val="22"/>
          <w:highlight w:val="none"/>
          <w:lang w:eastAsia="zh-CN"/>
        </w:rPr>
        <w:t>⑪</w:t>
      </w:r>
      <w:r>
        <w:rPr>
          <w:rFonts w:hint="eastAsia" w:ascii="宋体" w:hAnsi="宋体" w:eastAsia="宋体" w:cs="Times New Roman"/>
          <w:snapToGrid/>
          <w:color w:val="auto"/>
          <w:kern w:val="2"/>
          <w:szCs w:val="22"/>
          <w:highlight w:val="none"/>
          <w:lang w:eastAsia="zh-CN"/>
        </w:rPr>
        <w:t xml:space="preserve"> 在种植后应按图纸要求，对乔木或灌木浇水，并要浇透，半月之内，再浇透水2～3次。其后每周一般浇水一次，视气候情况而定，直到植物成活为止。</w:t>
      </w:r>
    </w:p>
    <w:p w14:paraId="245E20E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验收要求</w:t>
      </w:r>
    </w:p>
    <w:p w14:paraId="6E79BBB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外观检查</w:t>
      </w:r>
    </w:p>
    <w:p w14:paraId="6D8FEE2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①</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苗木应栽植整齐、竖直；</w:t>
      </w:r>
    </w:p>
    <w:p w14:paraId="30B0026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②</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不应有连续缺株4株以上（含4株）现象</w:t>
      </w:r>
    </w:p>
    <w:p w14:paraId="7BA8427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③</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苗木、草坪不应有明显病虫害。</w:t>
      </w:r>
    </w:p>
    <w:p w14:paraId="671C17C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检查项目</w:t>
      </w:r>
    </w:p>
    <w:p w14:paraId="0C04C975">
      <w:pPr>
        <w:keepNext/>
        <w:keepLines/>
        <w:widowControl w:val="0"/>
        <w:wordWrap w:val="0"/>
        <w:autoSpaceDE w:val="0"/>
        <w:autoSpaceDN w:val="0"/>
        <w:spacing w:after="60" w:line="240" w:lineRule="auto"/>
        <w:ind w:firstLine="280" w:firstLineChars="100"/>
        <w:jc w:val="both"/>
        <w:outlineLvl w:val="9"/>
        <w:rPr>
          <w:rFonts w:ascii="楷体_GB2312" w:hAnsi="楷体_GB2312" w:eastAsia="黑体" w:cs="Times New Roman"/>
          <w:color w:val="auto"/>
          <w:kern w:val="2"/>
          <w:sz w:val="28"/>
          <w:szCs w:val="28"/>
          <w:highlight w:val="none"/>
          <w:lang w:val="en-US" w:eastAsia="zh-CN" w:bidi="ar-SA"/>
        </w:rPr>
      </w:pPr>
      <w:r>
        <w:rPr>
          <w:rFonts w:hint="eastAsia" w:ascii="楷体_GB2312" w:hAnsi="楷体_GB2312" w:eastAsia="黑体" w:cs="Times New Roman"/>
          <w:color w:val="auto"/>
          <w:kern w:val="2"/>
          <w:sz w:val="28"/>
          <w:szCs w:val="28"/>
          <w:highlight w:val="none"/>
          <w:lang w:val="en-US" w:eastAsia="zh-CN" w:bidi="ar-SA"/>
        </w:rPr>
        <w:t>表4.3-1              乔木、灌木及攀缘植物检查项目</w:t>
      </w:r>
    </w:p>
    <w:tbl>
      <w:tblPr>
        <w:tblStyle w:val="18"/>
        <w:tblW w:w="5000" w:type="pct"/>
        <w:jc w:val="center"/>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699"/>
        <w:gridCol w:w="2838"/>
        <w:gridCol w:w="2814"/>
        <w:gridCol w:w="2652"/>
      </w:tblGrid>
      <w:tr w14:paraId="4F8B912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blHeader/>
          <w:jc w:val="center"/>
        </w:trPr>
        <w:tc>
          <w:tcPr>
            <w:tcW w:w="388" w:type="pct"/>
            <w:shd w:val="clear" w:color="auto" w:fill="auto"/>
            <w:vAlign w:val="center"/>
          </w:tcPr>
          <w:p w14:paraId="56977B5D">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项次</w:t>
            </w:r>
          </w:p>
        </w:tc>
        <w:tc>
          <w:tcPr>
            <w:tcW w:w="1576" w:type="pct"/>
            <w:shd w:val="clear" w:color="auto" w:fill="auto"/>
            <w:vAlign w:val="center"/>
          </w:tcPr>
          <w:p w14:paraId="53B7322B">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检查项目</w:t>
            </w:r>
          </w:p>
        </w:tc>
        <w:tc>
          <w:tcPr>
            <w:tcW w:w="1563" w:type="pct"/>
            <w:shd w:val="clear" w:color="auto" w:fill="auto"/>
            <w:vAlign w:val="center"/>
          </w:tcPr>
          <w:p w14:paraId="54473D08">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规定值或允许偏差</w:t>
            </w:r>
          </w:p>
        </w:tc>
        <w:tc>
          <w:tcPr>
            <w:tcW w:w="1473" w:type="pct"/>
            <w:shd w:val="clear" w:color="auto" w:fill="auto"/>
            <w:vAlign w:val="center"/>
          </w:tcPr>
          <w:p w14:paraId="13895884">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检查方法和频率</w:t>
            </w:r>
          </w:p>
        </w:tc>
      </w:tr>
      <w:tr w14:paraId="73C683A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8" w:type="pct"/>
            <w:shd w:val="clear" w:color="auto" w:fill="auto"/>
            <w:vAlign w:val="center"/>
          </w:tcPr>
          <w:p w14:paraId="266625F9">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ascii="宋体" w:hAnsi="楷体_GB2312" w:eastAsia="宋体" w:cs="Times New Roman"/>
                <w:color w:val="auto"/>
                <w:kern w:val="2"/>
                <w:sz w:val="19"/>
                <w:szCs w:val="19"/>
                <w:highlight w:val="none"/>
                <w:lang w:val="en-US" w:eastAsia="zh-CN" w:bidi="ar-SA"/>
              </w:rPr>
              <w:t>1</w:t>
            </w:r>
          </w:p>
        </w:tc>
        <w:tc>
          <w:tcPr>
            <w:tcW w:w="1576" w:type="pct"/>
            <w:shd w:val="clear" w:color="auto" w:fill="auto"/>
            <w:vAlign w:val="center"/>
          </w:tcPr>
          <w:p w14:paraId="65230D7A">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苗木规格与数量</w:t>
            </w:r>
          </w:p>
        </w:tc>
        <w:tc>
          <w:tcPr>
            <w:tcW w:w="1563" w:type="pct"/>
            <w:shd w:val="clear" w:color="auto" w:fill="auto"/>
            <w:vAlign w:val="center"/>
          </w:tcPr>
          <w:p w14:paraId="0EC94A65">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符合设计</w:t>
            </w:r>
          </w:p>
        </w:tc>
        <w:tc>
          <w:tcPr>
            <w:tcW w:w="1473" w:type="pct"/>
            <w:shd w:val="clear" w:color="auto" w:fill="auto"/>
            <w:vAlign w:val="center"/>
          </w:tcPr>
          <w:p w14:paraId="0D39DF74">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尺量：抽测</w:t>
            </w:r>
            <w:r>
              <w:rPr>
                <w:rFonts w:ascii="宋体" w:hAnsi="楷体_GB2312" w:eastAsia="宋体" w:cs="Times New Roman"/>
                <w:color w:val="auto"/>
                <w:kern w:val="2"/>
                <w:sz w:val="19"/>
                <w:szCs w:val="19"/>
                <w:highlight w:val="none"/>
                <w:lang w:val="en-US" w:eastAsia="zh-CN" w:bidi="ar-SA"/>
              </w:rPr>
              <w:t>10</w:t>
            </w:r>
            <w:r>
              <w:rPr>
                <w:rFonts w:hint="eastAsia" w:ascii="宋体" w:hAnsi="楷体_GB2312" w:eastAsia="宋体" w:cs="Times New Roman"/>
                <w:color w:val="auto"/>
                <w:kern w:val="2"/>
                <w:sz w:val="19"/>
                <w:szCs w:val="19"/>
                <w:highlight w:val="none"/>
                <w:lang w:val="en-US" w:eastAsia="zh-CN" w:bidi="ar-SA"/>
              </w:rPr>
              <w:t>％</w:t>
            </w:r>
          </w:p>
        </w:tc>
      </w:tr>
      <w:tr w14:paraId="0A38A4A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8" w:type="pct"/>
            <w:shd w:val="clear" w:color="auto" w:fill="auto"/>
            <w:vAlign w:val="center"/>
          </w:tcPr>
          <w:p w14:paraId="0436AC95">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ascii="宋体" w:hAnsi="楷体_GB2312" w:eastAsia="宋体" w:cs="Times New Roman"/>
                <w:color w:val="auto"/>
                <w:kern w:val="2"/>
                <w:sz w:val="19"/>
                <w:szCs w:val="19"/>
                <w:highlight w:val="none"/>
                <w:lang w:val="en-US" w:eastAsia="zh-CN" w:bidi="ar-SA"/>
              </w:rPr>
              <w:t>2</w:t>
            </w:r>
          </w:p>
        </w:tc>
        <w:tc>
          <w:tcPr>
            <w:tcW w:w="1576" w:type="pct"/>
            <w:shd w:val="clear" w:color="auto" w:fill="auto"/>
            <w:vAlign w:val="center"/>
          </w:tcPr>
          <w:p w14:paraId="19CE11B9">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苗木成活率</w:t>
            </w:r>
          </w:p>
        </w:tc>
        <w:tc>
          <w:tcPr>
            <w:tcW w:w="1563" w:type="pct"/>
            <w:shd w:val="clear" w:color="auto" w:fill="auto"/>
            <w:vAlign w:val="center"/>
          </w:tcPr>
          <w:p w14:paraId="51753EB8">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w:t>
            </w:r>
            <w:r>
              <w:rPr>
                <w:rFonts w:ascii="宋体" w:hAnsi="楷体_GB2312" w:eastAsia="宋体" w:cs="Times New Roman"/>
                <w:color w:val="auto"/>
                <w:kern w:val="2"/>
                <w:sz w:val="19"/>
                <w:szCs w:val="19"/>
                <w:highlight w:val="none"/>
                <w:lang w:val="en-US" w:eastAsia="zh-CN" w:bidi="ar-SA"/>
              </w:rPr>
              <w:t>85</w:t>
            </w:r>
            <w:r>
              <w:rPr>
                <w:rFonts w:hint="eastAsia" w:ascii="宋体" w:hAnsi="楷体_GB2312" w:eastAsia="宋体" w:cs="Times New Roman"/>
                <w:color w:val="auto"/>
                <w:kern w:val="2"/>
                <w:sz w:val="19"/>
                <w:szCs w:val="19"/>
                <w:highlight w:val="none"/>
                <w:lang w:val="en-US" w:eastAsia="zh-CN" w:bidi="ar-SA"/>
              </w:rPr>
              <w:t>％</w:t>
            </w:r>
          </w:p>
        </w:tc>
        <w:tc>
          <w:tcPr>
            <w:tcW w:w="1473" w:type="pct"/>
            <w:shd w:val="clear" w:color="auto" w:fill="auto"/>
            <w:vAlign w:val="center"/>
          </w:tcPr>
          <w:p w14:paraId="41F61EDF">
            <w:pPr>
              <w:keepNext/>
              <w:keepLines/>
              <w:widowControl w:val="0"/>
              <w:wordWrap w:val="0"/>
              <w:autoSpaceDE w:val="0"/>
              <w:autoSpaceDN w:val="0"/>
              <w:spacing w:after="0" w:line="0" w:lineRule="atLeast"/>
              <w:ind w:firstLine="0" w:firstLineChars="0"/>
              <w:jc w:val="center"/>
              <w:outlineLvl w:val="9"/>
              <w:rPr>
                <w:rFonts w:ascii="宋体" w:hAnsi="楷体_GB2312" w:eastAsia="宋体" w:cs="Times New Roman"/>
                <w:color w:val="auto"/>
                <w:kern w:val="2"/>
                <w:sz w:val="19"/>
                <w:szCs w:val="19"/>
                <w:highlight w:val="none"/>
                <w:lang w:val="en-US" w:eastAsia="zh-CN" w:bidi="ar-SA"/>
              </w:rPr>
            </w:pPr>
            <w:r>
              <w:rPr>
                <w:rFonts w:hint="eastAsia" w:ascii="宋体" w:hAnsi="楷体_GB2312" w:eastAsia="宋体" w:cs="Times New Roman"/>
                <w:color w:val="auto"/>
                <w:kern w:val="2"/>
                <w:sz w:val="19"/>
                <w:szCs w:val="19"/>
                <w:highlight w:val="none"/>
                <w:lang w:val="en-US" w:eastAsia="zh-CN" w:bidi="ar-SA"/>
              </w:rPr>
              <w:t>目测：检查全部</w:t>
            </w:r>
          </w:p>
        </w:tc>
      </w:tr>
    </w:tbl>
    <w:p w14:paraId="2B9B0094">
      <w:pPr>
        <w:widowControl w:val="0"/>
        <w:spacing w:line="460" w:lineRule="exact"/>
        <w:ind w:firstLine="0" w:firstLineChars="0"/>
        <w:jc w:val="both"/>
        <w:outlineLvl w:val="9"/>
        <w:rPr>
          <w:rFonts w:ascii="Arial" w:hAnsi="Arial" w:eastAsia="宋体" w:cs="Times New Roman"/>
          <w:color w:val="auto"/>
          <w:kern w:val="2"/>
          <w:sz w:val="24"/>
          <w:szCs w:val="22"/>
          <w:highlight w:val="none"/>
          <w:lang w:val="en-US" w:eastAsia="zh-CN" w:bidi="ar-SA"/>
        </w:rPr>
      </w:pPr>
      <w:r>
        <w:rPr>
          <w:rFonts w:hint="eastAsia" w:ascii="Arial" w:hAnsi="Arial" w:eastAsia="宋体" w:cs="Times New Roman"/>
          <w:color w:val="auto"/>
          <w:kern w:val="2"/>
          <w:sz w:val="24"/>
          <w:szCs w:val="22"/>
          <w:highlight w:val="none"/>
          <w:lang w:val="en-US" w:eastAsia="zh-CN" w:bidi="ar-SA"/>
        </w:rPr>
        <w:t>4.3.6.3</w:t>
      </w:r>
      <w:r>
        <w:rPr>
          <w:rFonts w:ascii="Arial" w:hAnsi="Arial" w:eastAsia="宋体" w:cs="Times New Roman"/>
          <w:color w:val="auto"/>
          <w:kern w:val="2"/>
          <w:sz w:val="24"/>
          <w:szCs w:val="22"/>
          <w:highlight w:val="none"/>
          <w:lang w:val="en-US" w:eastAsia="zh-CN" w:bidi="ar-SA"/>
        </w:rPr>
        <w:t xml:space="preserve">  </w:t>
      </w:r>
      <w:r>
        <w:rPr>
          <w:rFonts w:hint="eastAsia" w:ascii="Arial" w:hAnsi="Arial" w:eastAsia="宋体" w:cs="Times New Roman"/>
          <w:color w:val="auto"/>
          <w:kern w:val="2"/>
          <w:sz w:val="24"/>
          <w:szCs w:val="22"/>
          <w:highlight w:val="none"/>
          <w:lang w:val="en-US" w:eastAsia="zh-CN" w:bidi="ar-SA"/>
        </w:rPr>
        <w:t>植物养护及管理</w:t>
      </w:r>
    </w:p>
    <w:p w14:paraId="2F06633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种植完工后3d内，承包人应向监理人提供管理和养护种植物的详细计划及日程，这个计划是种植计划的延续，将种植物养护到工程缺陷责任期结束为止。对于更换枯树或草的再种植，应从再种植时起至少养护一年的生长期，随时进行检查及时补植。</w:t>
      </w:r>
    </w:p>
    <w:p w14:paraId="3CF79C9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植物栽植的成活率在规定的时间内应达85％以上。</w:t>
      </w:r>
    </w:p>
    <w:p w14:paraId="23FD334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植物管理及养护计划应包括以下内容：</w:t>
      </w:r>
    </w:p>
    <w:p w14:paraId="67767C0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清除除草、施加除草剂</w:t>
      </w:r>
    </w:p>
    <w:p w14:paraId="630A7E1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按园艺方法进行修剪、栽培</w:t>
      </w:r>
    </w:p>
    <w:p w14:paraId="2C79D4C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需要时经常浇水灌溉</w:t>
      </w:r>
    </w:p>
    <w:p w14:paraId="21B2E4C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每年施肥应不少2次</w:t>
      </w:r>
    </w:p>
    <w:p w14:paraId="7873662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经常施加农药及防治病虫害</w:t>
      </w:r>
    </w:p>
    <w:p w14:paraId="3F58F88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采取措施防范人为的破坏和牲畜的践踏、啃咬</w:t>
      </w:r>
    </w:p>
    <w:p w14:paraId="087E40B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枯死、损坏或丢失的树木花草应适时补植</w:t>
      </w:r>
    </w:p>
    <w:p w14:paraId="4E2618C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保持种植区的清洁，经常清扫及清除垃圾、保护表土</w:t>
      </w:r>
    </w:p>
    <w:p w14:paraId="5A52FD7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施肥</w:t>
      </w:r>
    </w:p>
    <w:p w14:paraId="0CECCB6B">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根据植物的生长需要，定期施肥，但对树木施肥每年不得少于2次，草坪、地被等应采用薄肥勤施的方法，经常性施肥。</w:t>
      </w:r>
    </w:p>
    <w:p w14:paraId="004EF30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施肥量应根据树种、树龄、生长期和肥源以及土壤理化性状等条件而定。树木青壮年期欲扩大树冠及观花、观果植物，应适当增加施肥量。</w:t>
      </w:r>
    </w:p>
    <w:p w14:paraId="04D8E8C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bookmarkStart w:id="1733" w:name="_Toc141799384"/>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整形修剪</w:t>
      </w:r>
      <w:bookmarkEnd w:id="1733"/>
    </w:p>
    <w:p w14:paraId="4189FE9F">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乔木类：主要修除徒长枝、病虫枝、交叉枝、并生枝、下垂枝、扭伤枝以及枯枝和烂头。</w:t>
      </w:r>
    </w:p>
    <w:p w14:paraId="29FA657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灌木类：灌木修剪应使枝叶茂繁，分布匀称；花灌木修剪，要有利于促进短枝和花芽形成，修剪应遵循“先上后下，先内后外，去弱留强，去老留新”的原则进行。对于中央隔离带的树木修剪，应保证树木防眩所需的高度和形状。</w:t>
      </w:r>
    </w:p>
    <w:p w14:paraId="3543A1D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绿篱类：绿篱修剪，应促其分枝，保持全株枝叶丰满；也可作整形修剪，特殊造型绿篱应逐步修剪成形。</w:t>
      </w:r>
    </w:p>
    <w:p w14:paraId="11B8700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地被、攀缘类：地被、攀援植物修剪应促进枝分，加速覆盖和攀缠的功能；对多年生的攀缘植物要定期翻蔓，清除枯枝，疏删老弱的藤蔓。</w:t>
      </w:r>
    </w:p>
    <w:p w14:paraId="515BF5C1">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修剪时，切口都必须靠节，剪口应在剪口芽的反侧呈45°倾斜；剪口要平整，应涂抹园林用的防腐剂。对过于粗壮的大枝应采取分段截枝法，防扯裂，操作时必须保证安全。</w:t>
      </w:r>
    </w:p>
    <w:p w14:paraId="23B3F87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休眠期修剪以整形为主，可稍重剪；生长期修剪以调整树势为主，宜轻剪。有伤流的树种应在夏、秋两季修剪。</w:t>
      </w:r>
    </w:p>
    <w:p w14:paraId="6DC3C95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bookmarkStart w:id="1734" w:name="_Toc141799385"/>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病虫害防治</w:t>
      </w:r>
      <w:bookmarkEnd w:id="1734"/>
    </w:p>
    <w:p w14:paraId="6C52F80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贯彻“预防为主，综合治理”的防治方针。充分利用植物的多样化来保护和增殖天敌，抑制病虫害。</w:t>
      </w:r>
    </w:p>
    <w:p w14:paraId="748ED26E">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采用的种苗，必须严格遵守国家和本市有关植物检疫法规和有关规章制度。</w:t>
      </w:r>
    </w:p>
    <w:p w14:paraId="627579B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严禁使用剧毒化学药剂和有机氯、有机汞化学农药。化学农药应按有关安全操作规定执行。</w:t>
      </w:r>
    </w:p>
    <w:p w14:paraId="0D26AB0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在适宜的季节，对枯树、坏灌木以及其他不发芽或死去的植物和草均应予以更换，并在监理人指示的期限内完成。</w:t>
      </w:r>
    </w:p>
    <w:p w14:paraId="35DF849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（8）</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承包人应提供并设置临时栅栏，以保护种植物不受损害，不需要时可拆除。</w:t>
      </w:r>
    </w:p>
    <w:p w14:paraId="244ABC5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（9）</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承包人应提供、修建并维护植物必要的拉牵或桩木。</w:t>
      </w:r>
    </w:p>
    <w:p w14:paraId="1EE9FCFB">
      <w:pPr>
        <w:widowControl w:val="0"/>
        <w:spacing w:line="460" w:lineRule="exact"/>
        <w:ind w:firstLine="0" w:firstLineChars="0"/>
        <w:jc w:val="both"/>
        <w:outlineLvl w:val="3"/>
        <w:rPr>
          <w:rFonts w:ascii="Arial" w:hAnsi="Arial" w:eastAsia="方正小标宋_GBK" w:cs="Times New Roman"/>
          <w:color w:val="auto"/>
          <w:kern w:val="2"/>
          <w:sz w:val="24"/>
          <w:szCs w:val="22"/>
          <w:highlight w:val="none"/>
          <w:lang w:val="en-US" w:eastAsia="zh-CN" w:bidi="ar-SA"/>
        </w:rPr>
      </w:pPr>
      <w:r>
        <w:rPr>
          <w:rFonts w:hint="eastAsia" w:ascii="Arial" w:hAnsi="Arial" w:eastAsia="方正小标宋_GBK" w:cs="Times New Roman"/>
          <w:color w:val="auto"/>
          <w:kern w:val="2"/>
          <w:sz w:val="24"/>
          <w:szCs w:val="22"/>
          <w:highlight w:val="none"/>
          <w:lang w:val="en-US" w:eastAsia="zh-CN" w:bidi="ar-SA"/>
        </w:rPr>
        <w:t>4.3.7</w:t>
      </w:r>
      <w:r>
        <w:rPr>
          <w:rFonts w:ascii="Arial" w:hAnsi="Arial" w:eastAsia="方正小标宋_GBK" w:cs="Times New Roman"/>
          <w:color w:val="auto"/>
          <w:kern w:val="2"/>
          <w:sz w:val="24"/>
          <w:szCs w:val="22"/>
          <w:highlight w:val="none"/>
          <w:lang w:val="en-US" w:eastAsia="zh-CN" w:bidi="ar-SA"/>
        </w:rPr>
        <w:t xml:space="preserve">  </w:t>
      </w:r>
      <w:r>
        <w:rPr>
          <w:rFonts w:hint="eastAsia" w:ascii="Arial" w:hAnsi="Arial" w:eastAsia="方正小标宋_GBK" w:cs="Times New Roman"/>
          <w:color w:val="auto"/>
          <w:kern w:val="2"/>
          <w:sz w:val="24"/>
          <w:szCs w:val="22"/>
          <w:highlight w:val="none"/>
          <w:lang w:val="en-US" w:eastAsia="zh-CN" w:bidi="ar-SA"/>
        </w:rPr>
        <w:t>水土保持监测</w:t>
      </w:r>
    </w:p>
    <w:p w14:paraId="028BC36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水土保持监测由发包人委托具有相应监测资质的监测机构统一实施。承包人应配合专业水土保持监测机构和水土保持监理人的监测工作。</w:t>
      </w:r>
    </w:p>
    <w:p w14:paraId="1DACAAD8">
      <w:pPr>
        <w:keepNext/>
        <w:keepLines/>
        <w:widowControl w:val="0"/>
        <w:spacing w:before="120" w:after="120" w:line="460" w:lineRule="exact"/>
        <w:ind w:firstLine="0" w:firstLineChars="0"/>
        <w:jc w:val="both"/>
        <w:outlineLvl w:val="2"/>
        <w:rPr>
          <w:rFonts w:ascii="Arial" w:hAnsi="Arial" w:eastAsia="黑体" w:cs="Times New Roman"/>
          <w:bCs/>
          <w:color w:val="auto"/>
          <w:kern w:val="2"/>
          <w:sz w:val="30"/>
          <w:szCs w:val="32"/>
          <w:highlight w:val="none"/>
          <w:lang w:val="en-US" w:eastAsia="zh-CN" w:bidi="ar-SA"/>
        </w:rPr>
      </w:pPr>
      <w:bookmarkStart w:id="1735" w:name="_Toc141799386"/>
      <w:bookmarkStart w:id="1736" w:name="_Toc24399"/>
      <w:bookmarkStart w:id="1737" w:name="_Toc14430"/>
      <w:bookmarkStart w:id="1738" w:name="_Toc4387"/>
      <w:bookmarkStart w:id="1739" w:name="_Toc26237"/>
      <w:bookmarkStart w:id="1740" w:name="_Toc30033"/>
      <w:bookmarkStart w:id="1741" w:name="_Toc12301"/>
      <w:bookmarkStart w:id="1742" w:name="_Toc11574"/>
      <w:bookmarkStart w:id="1743" w:name="_Toc20569"/>
      <w:r>
        <w:rPr>
          <w:rFonts w:hint="eastAsia" w:ascii="Arial" w:hAnsi="Arial" w:eastAsia="黑体" w:cs="Times New Roman"/>
          <w:bCs/>
          <w:color w:val="auto"/>
          <w:kern w:val="2"/>
          <w:sz w:val="30"/>
          <w:szCs w:val="32"/>
          <w:highlight w:val="none"/>
          <w:lang w:val="en-US" w:eastAsia="zh-CN" w:bidi="ar-SA"/>
        </w:rPr>
        <w:t>4.4</w:t>
      </w:r>
      <w:r>
        <w:rPr>
          <w:rFonts w:ascii="Arial" w:hAnsi="Arial" w:eastAsia="黑体" w:cs="Times New Roman"/>
          <w:bCs/>
          <w:color w:val="auto"/>
          <w:kern w:val="2"/>
          <w:sz w:val="30"/>
          <w:szCs w:val="32"/>
          <w:highlight w:val="none"/>
          <w:lang w:val="en-US" w:eastAsia="zh-CN" w:bidi="ar-SA"/>
        </w:rPr>
        <w:t xml:space="preserve">  </w:t>
      </w:r>
      <w:r>
        <w:rPr>
          <w:rFonts w:hint="eastAsia" w:ascii="Arial" w:hAnsi="Arial" w:eastAsia="黑体" w:cs="Times New Roman"/>
          <w:bCs/>
          <w:color w:val="auto"/>
          <w:kern w:val="2"/>
          <w:sz w:val="30"/>
          <w:szCs w:val="32"/>
          <w:highlight w:val="none"/>
          <w:lang w:val="en-US" w:eastAsia="zh-CN" w:bidi="ar-SA"/>
        </w:rPr>
        <w:t>质量检查和验收</w:t>
      </w:r>
      <w:bookmarkEnd w:id="1735"/>
      <w:bookmarkEnd w:id="1736"/>
      <w:bookmarkEnd w:id="1737"/>
      <w:bookmarkEnd w:id="1738"/>
      <w:bookmarkEnd w:id="1739"/>
      <w:bookmarkEnd w:id="1740"/>
      <w:bookmarkEnd w:id="1741"/>
      <w:bookmarkEnd w:id="1742"/>
      <w:bookmarkEnd w:id="1743"/>
    </w:p>
    <w:p w14:paraId="4F677E4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环保水保项目的质量检查和验收，按现行环境保护、水土保持验收规程、标准、规范和专项技术条款，并执行发包人制定的工程验收管理相关规定。</w:t>
      </w:r>
    </w:p>
    <w:p w14:paraId="27680127">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监理单位结合水土保持与环境保护监测成果对环保水保分部工程和单位工程等进行专项检查和验收，未经监理单位确认签字的不得申报验收。</w:t>
      </w:r>
    </w:p>
    <w:p w14:paraId="44C538CD">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承包人提交的环保水保项目验收资料应包括：</w:t>
      </w:r>
    </w:p>
    <w:p w14:paraId="68570E14">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环境保护项目验收清单。</w:t>
      </w:r>
    </w:p>
    <w:p w14:paraId="4FF7B483">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环境保护专项设施竣工图。</w:t>
      </w:r>
    </w:p>
    <w:p w14:paraId="3109151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外购设备和材料的质量证明书、使用说明书或检验报告。</w:t>
      </w:r>
    </w:p>
    <w:p w14:paraId="51392FD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环境保护施工工艺评审报告。</w:t>
      </w:r>
    </w:p>
    <w:p w14:paraId="4CD3E0B6">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环境保护检查记录。</w:t>
      </w:r>
    </w:p>
    <w:p w14:paraId="0207300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必要的环境监测报告。</w:t>
      </w:r>
    </w:p>
    <w:p w14:paraId="7CB9557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环境保护专项工程运行</w:t>
      </w:r>
      <w:r>
        <w:rPr>
          <w:rFonts w:hint="eastAsia" w:hAnsi="Calibri" w:cs="Times New Roman"/>
          <w:snapToGrid/>
          <w:color w:val="auto"/>
          <w:kern w:val="2"/>
          <w:szCs w:val="22"/>
          <w:highlight w:val="none"/>
          <w:lang w:eastAsia="zh-CN"/>
        </w:rPr>
        <w:t>台账</w:t>
      </w:r>
      <w:r>
        <w:rPr>
          <w:rFonts w:hint="eastAsia" w:ascii="宋体" w:hAnsi="Calibri" w:eastAsia="宋体" w:cs="Times New Roman"/>
          <w:snapToGrid/>
          <w:color w:val="auto"/>
          <w:kern w:val="2"/>
          <w:szCs w:val="22"/>
          <w:highlight w:val="none"/>
          <w:lang w:eastAsia="zh-CN"/>
        </w:rPr>
        <w:t>。</w:t>
      </w:r>
    </w:p>
    <w:p w14:paraId="267A2479">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承包人提交的水土保持项目验收资料应包括：</w:t>
      </w:r>
    </w:p>
    <w:p w14:paraId="05E37078">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1）</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水土保持项目验收清单。</w:t>
      </w:r>
    </w:p>
    <w:p w14:paraId="29C3DDD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2）</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水土保持专项设施竣工图。</w:t>
      </w:r>
    </w:p>
    <w:p w14:paraId="1AC6871A">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3）</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外购设备和材料的质量证明书、使用说明书或检验报告。</w:t>
      </w:r>
    </w:p>
    <w:p w14:paraId="7195D990">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4）</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水土保持施工工艺评审报告。</w:t>
      </w:r>
    </w:p>
    <w:p w14:paraId="60DA336C">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水土保持检查记录。</w:t>
      </w:r>
    </w:p>
    <w:p w14:paraId="15EFE6E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6）</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必要的水保监测记录报告。</w:t>
      </w:r>
    </w:p>
    <w:p w14:paraId="0EB731D2">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7）</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水土保持专项工程运行</w:t>
      </w:r>
      <w:r>
        <w:rPr>
          <w:rFonts w:hint="eastAsia" w:hAnsi="Calibri" w:cs="Times New Roman"/>
          <w:snapToGrid/>
          <w:color w:val="auto"/>
          <w:kern w:val="2"/>
          <w:szCs w:val="22"/>
          <w:highlight w:val="none"/>
          <w:lang w:eastAsia="zh-CN"/>
        </w:rPr>
        <w:t>台账</w:t>
      </w:r>
      <w:r>
        <w:rPr>
          <w:rFonts w:hint="eastAsia" w:ascii="宋体" w:hAnsi="Calibri" w:eastAsia="宋体" w:cs="Times New Roman"/>
          <w:snapToGrid/>
          <w:color w:val="auto"/>
          <w:kern w:val="2"/>
          <w:szCs w:val="22"/>
          <w:highlight w:val="none"/>
          <w:lang w:eastAsia="zh-CN"/>
        </w:rPr>
        <w:t>。</w:t>
      </w:r>
    </w:p>
    <w:p w14:paraId="1EBBAE25">
      <w:pPr>
        <w:suppressAutoHyphens/>
        <w:kinsoku/>
        <w:adjustRightInd/>
        <w:snapToGrid/>
        <w:spacing w:line="460" w:lineRule="exact"/>
        <w:ind w:firstLine="480"/>
        <w:textAlignment w:val="auto"/>
        <w:rPr>
          <w:rFonts w:ascii="宋体" w:hAnsi="Calibri" w:eastAsia="宋体" w:cs="Times New Roman"/>
          <w:snapToGrid/>
          <w:color w:val="auto"/>
          <w:kern w:val="2"/>
          <w:szCs w:val="22"/>
          <w:highlight w:val="none"/>
          <w:lang w:eastAsia="zh-CN"/>
        </w:rPr>
      </w:pPr>
      <w:r>
        <w:rPr>
          <w:rFonts w:hint="eastAsia" w:ascii="宋体" w:hAnsi="Calibri" w:eastAsia="宋体" w:cs="Times New Roman"/>
          <w:snapToGrid/>
          <w:color w:val="auto"/>
          <w:kern w:val="2"/>
          <w:szCs w:val="22"/>
          <w:highlight w:val="none"/>
          <w:lang w:eastAsia="zh-CN"/>
        </w:rPr>
        <w:t>（5）</w:t>
      </w:r>
      <w:r>
        <w:rPr>
          <w:rFonts w:ascii="宋体" w:hAnsi="Calibri" w:eastAsia="宋体" w:cs="Times New Roman"/>
          <w:snapToGrid/>
          <w:color w:val="auto"/>
          <w:kern w:val="2"/>
          <w:szCs w:val="22"/>
          <w:highlight w:val="none"/>
          <w:lang w:eastAsia="zh-CN"/>
        </w:rPr>
        <w:t xml:space="preserve"> </w:t>
      </w:r>
      <w:r>
        <w:rPr>
          <w:rFonts w:hint="eastAsia" w:ascii="宋体" w:hAnsi="Calibri" w:eastAsia="宋体" w:cs="Times New Roman"/>
          <w:snapToGrid/>
          <w:color w:val="auto"/>
          <w:kern w:val="2"/>
          <w:szCs w:val="22"/>
          <w:highlight w:val="none"/>
          <w:lang w:eastAsia="zh-CN"/>
        </w:rPr>
        <w:t>本标工程全部完成后，承包人应按本技术条款第4.1.3条的规定，提交包括环保水保的完工验收资料，经监理人报请发包人批准后进行本标工程的完工验收。</w:t>
      </w:r>
    </w:p>
    <w:p w14:paraId="788EA5FA">
      <w:pPr>
        <w:keepNext/>
        <w:keepLines/>
        <w:widowControl w:val="0"/>
        <w:spacing w:before="120" w:after="120" w:line="460" w:lineRule="exact"/>
        <w:ind w:firstLine="0" w:firstLineChars="0"/>
        <w:jc w:val="both"/>
        <w:outlineLvl w:val="2"/>
        <w:rPr>
          <w:rFonts w:ascii="Arial" w:hAnsi="Arial" w:eastAsia="黑体" w:cs="Times New Roman"/>
          <w:bCs/>
          <w:color w:val="auto"/>
          <w:kern w:val="2"/>
          <w:sz w:val="30"/>
          <w:szCs w:val="32"/>
          <w:highlight w:val="none"/>
          <w:lang w:val="en-US" w:eastAsia="zh-CN" w:bidi="ar-SA"/>
        </w:rPr>
      </w:pPr>
      <w:bookmarkStart w:id="1744" w:name="_Toc10206"/>
      <w:bookmarkStart w:id="1745" w:name="_Toc14186"/>
      <w:bookmarkStart w:id="1746" w:name="_Toc141799387"/>
      <w:bookmarkStart w:id="1747" w:name="_Toc24019"/>
      <w:bookmarkStart w:id="1748" w:name="_Toc28143"/>
      <w:bookmarkStart w:id="1749" w:name="_Toc4229"/>
      <w:bookmarkStart w:id="1750" w:name="_Toc27845"/>
      <w:bookmarkStart w:id="1751" w:name="_Toc26161"/>
      <w:r>
        <w:rPr>
          <w:rFonts w:hint="eastAsia" w:ascii="Arial" w:hAnsi="Arial" w:eastAsia="黑体" w:cs="Times New Roman"/>
          <w:bCs/>
          <w:color w:val="auto"/>
          <w:kern w:val="2"/>
          <w:sz w:val="30"/>
          <w:szCs w:val="32"/>
          <w:highlight w:val="none"/>
          <w:lang w:val="en-US" w:eastAsia="zh-CN" w:bidi="ar-SA"/>
        </w:rPr>
        <w:t>4.5</w:t>
      </w:r>
      <w:r>
        <w:rPr>
          <w:rFonts w:ascii="Arial" w:hAnsi="Arial" w:eastAsia="黑体" w:cs="Times New Roman"/>
          <w:bCs/>
          <w:color w:val="auto"/>
          <w:kern w:val="2"/>
          <w:sz w:val="30"/>
          <w:szCs w:val="32"/>
          <w:highlight w:val="none"/>
          <w:lang w:val="en-US" w:eastAsia="zh-CN" w:bidi="ar-SA"/>
        </w:rPr>
        <w:t xml:space="preserve">  </w:t>
      </w:r>
      <w:r>
        <w:rPr>
          <w:rFonts w:hint="eastAsia" w:ascii="Arial" w:hAnsi="Arial" w:eastAsia="黑体" w:cs="Times New Roman"/>
          <w:bCs/>
          <w:color w:val="auto"/>
          <w:kern w:val="2"/>
          <w:sz w:val="30"/>
          <w:szCs w:val="32"/>
          <w:highlight w:val="none"/>
          <w:lang w:val="en-US" w:eastAsia="zh-CN" w:bidi="ar-SA"/>
        </w:rPr>
        <w:t>计量与支付</w:t>
      </w:r>
      <w:bookmarkEnd w:id="1744"/>
      <w:bookmarkEnd w:id="1745"/>
      <w:bookmarkEnd w:id="1746"/>
      <w:bookmarkEnd w:id="1747"/>
      <w:bookmarkEnd w:id="1748"/>
      <w:bookmarkEnd w:id="1749"/>
      <w:bookmarkEnd w:id="1750"/>
      <w:bookmarkEnd w:id="1751"/>
    </w:p>
    <w:p w14:paraId="7C75210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）承包人按本章要求进行的，施工现场为达到环境保护部门要求的各项施工环境保护</w:t>
      </w:r>
      <w:r>
        <w:rPr>
          <w:rFonts w:hint="eastAsia" w:cs="宋体"/>
          <w:color w:val="auto"/>
          <w:highlight w:val="none"/>
          <w:lang w:val="en-US" w:eastAsia="zh-CN"/>
        </w:rPr>
        <w:t>措施</w:t>
      </w:r>
      <w:r>
        <w:rPr>
          <w:rFonts w:cs="宋体"/>
          <w:color w:val="auto"/>
          <w:highlight w:val="none"/>
          <w:lang w:eastAsia="zh-CN"/>
        </w:rPr>
        <w:t>费，包含在《工程量清单》</w:t>
      </w:r>
      <w:r>
        <w:rPr>
          <w:rFonts w:hint="eastAsia" w:cs="宋体"/>
          <w:color w:val="auto"/>
          <w:highlight w:val="none"/>
          <w:lang w:eastAsia="zh-CN"/>
        </w:rPr>
        <w:t>“</w:t>
      </w:r>
      <w:r>
        <w:rPr>
          <w:rFonts w:hint="eastAsia" w:cs="宋体"/>
          <w:strike w:val="0"/>
          <w:color w:val="auto"/>
          <w:highlight w:val="none"/>
          <w:u w:val="none"/>
          <w:lang w:eastAsia="zh-CN"/>
        </w:rPr>
        <w:t>施工期</w:t>
      </w:r>
      <w:r>
        <w:rPr>
          <w:rFonts w:hint="eastAsia" w:cs="宋体"/>
          <w:color w:val="auto"/>
          <w:highlight w:val="none"/>
          <w:lang w:eastAsia="zh-CN"/>
        </w:rPr>
        <w:t>环境保护工程</w:t>
      </w:r>
      <w:r>
        <w:rPr>
          <w:rFonts w:cs="宋体"/>
          <w:color w:val="auto"/>
          <w:highlight w:val="none"/>
          <w:lang w:eastAsia="zh-CN"/>
        </w:rPr>
        <w:t>”</w:t>
      </w:r>
      <w:r>
        <w:rPr>
          <w:rFonts w:hint="eastAsia" w:cs="宋体"/>
          <w:color w:val="auto"/>
          <w:highlight w:val="none"/>
          <w:lang w:eastAsia="zh-CN"/>
        </w:rPr>
        <w:t>中，由发包人按</w:t>
      </w:r>
      <w:r>
        <w:rPr>
          <w:rFonts w:cs="宋体"/>
          <w:color w:val="auto"/>
          <w:highlight w:val="none"/>
          <w:lang w:eastAsia="zh-CN"/>
        </w:rPr>
        <w:t>总价</w:t>
      </w:r>
      <w:r>
        <w:rPr>
          <w:rFonts w:hint="eastAsia" w:cs="宋体"/>
          <w:color w:val="auto"/>
          <w:highlight w:val="none"/>
          <w:lang w:eastAsia="zh-CN"/>
        </w:rPr>
        <w:t>支付</w:t>
      </w:r>
      <w:r>
        <w:rPr>
          <w:rFonts w:cs="宋体"/>
          <w:color w:val="auto"/>
          <w:highlight w:val="none"/>
          <w:lang w:eastAsia="zh-CN"/>
        </w:rPr>
        <w:t>。</w:t>
      </w:r>
    </w:p>
    <w:p w14:paraId="6BC1CD22">
      <w:pPr>
        <w:ind w:firstLine="420"/>
        <w:jc w:val="left"/>
        <w:rPr>
          <w:rFonts w:hAnsi="Times New Roman" w:cs="宋体"/>
          <w:color w:val="auto"/>
          <w:highlight w:val="none"/>
          <w:lang w:eastAsia="zh-CN"/>
        </w:rPr>
      </w:pPr>
      <w:r>
        <w:rPr>
          <w:rFonts w:hint="eastAsia" w:cs="宋体"/>
          <w:strike w:val="0"/>
          <w:color w:val="auto"/>
          <w:highlight w:val="none"/>
          <w:lang w:eastAsia="zh-CN"/>
        </w:rPr>
        <w:t>（</w:t>
      </w:r>
      <w:r>
        <w:rPr>
          <w:rFonts w:hint="eastAsia" w:cs="宋体"/>
          <w:strike w:val="0"/>
          <w:color w:val="auto"/>
          <w:highlight w:val="none"/>
          <w:lang w:val="en-US" w:eastAsia="zh-CN"/>
        </w:rPr>
        <w:t>2）</w:t>
      </w:r>
      <w:r>
        <w:rPr>
          <w:rFonts w:hint="eastAsia" w:cs="宋体"/>
          <w:strike w:val="0"/>
          <w:color w:val="auto"/>
          <w:highlight w:val="none"/>
          <w:lang w:eastAsia="zh-CN"/>
        </w:rPr>
        <w:t>在</w:t>
      </w:r>
      <w:r>
        <w:rPr>
          <w:rFonts w:cs="宋体"/>
          <w:strike w:val="0"/>
          <w:color w:val="auto"/>
          <w:highlight w:val="none"/>
          <w:lang w:eastAsia="zh-CN"/>
        </w:rPr>
        <w:t>《工程量清单》</w:t>
      </w:r>
      <w:r>
        <w:rPr>
          <w:rFonts w:hint="eastAsia" w:cs="宋体"/>
          <w:strike w:val="0"/>
          <w:color w:val="auto"/>
          <w:highlight w:val="none"/>
          <w:lang w:val="en-US" w:eastAsia="zh-CN"/>
        </w:rPr>
        <w:t>中单独计列的</w:t>
      </w:r>
      <w:r>
        <w:rPr>
          <w:rFonts w:cs="宋体"/>
          <w:strike w:val="0"/>
          <w:color w:val="auto"/>
          <w:highlight w:val="none"/>
          <w:lang w:eastAsia="zh-CN"/>
        </w:rPr>
        <w:t>水土保持工程项目，由发包人按《工程量清单》相应项目工程单价支付。除合同另有约定外，</w:t>
      </w:r>
      <w:r>
        <w:rPr>
          <w:rFonts w:hint="eastAsia" w:cs="宋体"/>
          <w:strike w:val="0"/>
          <w:color w:val="auto"/>
          <w:highlight w:val="none"/>
          <w:lang w:eastAsia="zh-CN"/>
        </w:rPr>
        <w:t>上</w:t>
      </w:r>
      <w:r>
        <w:rPr>
          <w:rFonts w:hint="eastAsia" w:cs="宋体"/>
          <w:strike w:val="0"/>
          <w:color w:val="auto"/>
          <w:highlight w:val="none"/>
          <w:lang w:val="en-US" w:eastAsia="zh-CN"/>
        </w:rPr>
        <w:t>述</w:t>
      </w:r>
      <w:r>
        <w:rPr>
          <w:rFonts w:cs="宋体"/>
          <w:strike w:val="0"/>
          <w:color w:val="auto"/>
          <w:highlight w:val="none"/>
          <w:lang w:eastAsia="zh-CN"/>
        </w:rPr>
        <w:t>项目的工程单价，应包括承包人完成相应项目的建设、运行、维护管理和施工期监测等工作所需全部费用</w:t>
      </w:r>
      <w:r>
        <w:rPr>
          <w:rFonts w:cs="宋体"/>
          <w:color w:val="auto"/>
          <w:highlight w:val="none"/>
          <w:lang w:eastAsia="zh-CN"/>
        </w:rPr>
        <w:t>。</w:t>
      </w:r>
    </w:p>
    <w:p w14:paraId="462AA9A9">
      <w:pPr>
        <w:ind w:firstLine="420"/>
        <w:jc w:val="left"/>
        <w:rPr>
          <w:rFonts w:cs="宋体"/>
          <w:strike w:val="0"/>
          <w:color w:val="auto"/>
          <w:highlight w:val="none"/>
          <w:lang w:eastAsia="zh-CN"/>
        </w:rPr>
      </w:pPr>
      <w:r>
        <w:rPr>
          <w:rFonts w:ascii="宋体" w:hAnsi="宋体" w:eastAsia="宋体" w:cs="宋体"/>
          <w:color w:val="auto"/>
          <w:sz w:val="24"/>
          <w:szCs w:val="24"/>
          <w:highlight w:val="none"/>
        </w:rPr>
        <w:t>（3）在《工程量清单》中未单独计列的其它水土保持措施（包括施工现场为达到相关部门要求的各项水土保持措施费），承包人完成这些措施的建设、运行、维护管理等工作所需费用，包含在《工程量清单》水土保持工程相应项目单价中，发包人不另行支付。</w:t>
      </w:r>
      <w:r>
        <w:rPr>
          <w:rFonts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（4）承包人在《工程量清单》以总价形式专项列报的“施工期环境保护工程”，应按计划实施并经监理人检查确认后，由发包人按项审批支付。</w:t>
      </w:r>
    </w:p>
    <w:p w14:paraId="2D7ECD96">
      <w:pPr>
        <w:suppressAutoHyphens/>
        <w:kinsoku/>
        <w:adjustRightInd/>
        <w:snapToGrid/>
        <w:spacing w:line="360" w:lineRule="auto"/>
        <w:ind w:firstLine="420"/>
        <w:jc w:val="left"/>
        <w:textAlignment w:val="auto"/>
        <w:rPr>
          <w:rFonts w:hint="eastAsia" w:ascii="宋体" w:hAnsi="宋体" w:eastAsia="宋体" w:cs="宋体"/>
          <w:snapToGrid w:val="0"/>
          <w:color w:val="auto"/>
          <w:kern w:val="0"/>
          <w:szCs w:val="21"/>
          <w:highlight w:val="none"/>
          <w:lang w:eastAsia="zh-CN"/>
        </w:rPr>
      </w:pPr>
      <w:r>
        <w:rPr>
          <w:rFonts w:hint="eastAsia" w:cs="宋体"/>
          <w:snapToGrid w:val="0"/>
          <w:color w:val="auto"/>
          <w:kern w:val="0"/>
          <w:szCs w:val="21"/>
          <w:highlight w:val="none"/>
          <w:lang w:eastAsia="zh-CN"/>
        </w:rPr>
        <w:t>（</w:t>
      </w:r>
      <w:r>
        <w:rPr>
          <w:rFonts w:hint="eastAsia" w:cs="宋体"/>
          <w:snapToGrid w:val="0"/>
          <w:color w:val="auto"/>
          <w:kern w:val="0"/>
          <w:szCs w:val="21"/>
          <w:highlight w:val="none"/>
          <w:lang w:val="en-US" w:eastAsia="zh-CN"/>
        </w:rPr>
        <w:t>5）</w:t>
      </w:r>
      <w:r>
        <w:rPr>
          <w:rFonts w:hint="eastAsia" w:ascii="宋体" w:hAnsi="宋体" w:eastAsia="宋体" w:cs="宋体"/>
          <w:snapToGrid w:val="0"/>
          <w:color w:val="auto"/>
          <w:kern w:val="0"/>
          <w:szCs w:val="21"/>
          <w:highlight w:val="none"/>
          <w:lang w:eastAsia="zh-CN"/>
        </w:rPr>
        <w:t>对于未落实水土保持与环境保护“三同时”要求、支付款周期内存在水土保持与环境保护违规行为且被各级生态环境主管部门通报的，不予计量、支付。</w:t>
      </w:r>
    </w:p>
    <w:p w14:paraId="4B26F285">
      <w:pPr>
        <w:pStyle w:val="3"/>
        <w:spacing w:beforeLines="0" w:afterLines="0" w:line="360" w:lineRule="auto"/>
        <w:jc w:val="both"/>
        <w:outlineLvl w:val="1"/>
        <w:rPr>
          <w:rFonts w:hint="eastAsia" w:cs="宋体"/>
          <w:color w:val="auto"/>
          <w:sz w:val="30"/>
          <w:szCs w:val="30"/>
          <w:highlight w:val="none"/>
        </w:rPr>
      </w:pPr>
      <w:bookmarkStart w:id="1752" w:name="_Toc25665"/>
      <w:bookmarkStart w:id="1753" w:name="_Toc12985"/>
      <w:bookmarkStart w:id="1754" w:name="_Toc22812"/>
      <w:bookmarkStart w:id="1755" w:name="_Toc28641"/>
      <w:bookmarkStart w:id="1756" w:name="_Toc1835"/>
      <w:bookmarkStart w:id="1757" w:name="_Toc6319"/>
      <w:r>
        <w:rPr>
          <w:rFonts w:hint="eastAsia" w:cs="宋体"/>
          <w:color w:val="auto"/>
          <w:sz w:val="30"/>
          <w:szCs w:val="30"/>
          <w:highlight w:val="none"/>
        </w:rPr>
        <w:t>5</w:t>
      </w:r>
      <w:r>
        <w:rPr>
          <w:rFonts w:hint="eastAsia" w:cs="宋体"/>
          <w:color w:val="auto"/>
          <w:sz w:val="30"/>
          <w:szCs w:val="30"/>
          <w:highlight w:val="none"/>
          <w:lang w:eastAsia="zh-CN"/>
        </w:rPr>
        <w:t>　</w:t>
      </w:r>
      <w:r>
        <w:rPr>
          <w:rFonts w:hint="eastAsia" w:cs="宋体"/>
          <w:color w:val="auto"/>
          <w:sz w:val="30"/>
          <w:szCs w:val="30"/>
          <w:highlight w:val="none"/>
        </w:rPr>
        <w:t>施工导流工程</w:t>
      </w:r>
      <w:bookmarkEnd w:id="1704"/>
      <w:bookmarkEnd w:id="1705"/>
      <w:bookmarkEnd w:id="1706"/>
      <w:bookmarkEnd w:id="1707"/>
      <w:bookmarkEnd w:id="1708"/>
      <w:bookmarkEnd w:id="1709"/>
      <w:bookmarkEnd w:id="1710"/>
      <w:bookmarkEnd w:id="1711"/>
      <w:bookmarkEnd w:id="1712"/>
      <w:bookmarkEnd w:id="1752"/>
      <w:bookmarkEnd w:id="1753"/>
      <w:bookmarkEnd w:id="1754"/>
      <w:bookmarkEnd w:id="1755"/>
      <w:bookmarkEnd w:id="1756"/>
      <w:bookmarkEnd w:id="1757"/>
    </w:p>
    <w:p w14:paraId="52F8EFDC">
      <w:pPr>
        <w:pStyle w:val="4"/>
        <w:spacing w:beforeLines="0" w:afterLines="0"/>
        <w:jc w:val="both"/>
        <w:rPr>
          <w:rFonts w:hint="eastAsia" w:cs="宋体"/>
          <w:bCs/>
          <w:strike w:val="0"/>
          <w:color w:val="auto"/>
          <w:szCs w:val="24"/>
          <w:highlight w:val="none"/>
          <w:lang w:eastAsia="zh-CN"/>
        </w:rPr>
      </w:pPr>
      <w:bookmarkStart w:id="1758" w:name="_Toc26239"/>
      <w:bookmarkStart w:id="1759" w:name="_Toc31990"/>
      <w:bookmarkStart w:id="1760" w:name="_Toc28710"/>
      <w:r>
        <w:rPr>
          <w:rFonts w:hint="eastAsia" w:cs="宋体"/>
          <w:bCs/>
          <w:strike w:val="0"/>
          <w:color w:val="auto"/>
          <w:szCs w:val="24"/>
          <w:highlight w:val="none"/>
          <w:lang w:eastAsia="zh-CN"/>
        </w:rPr>
        <w:t>5.l　一般规定</w:t>
      </w:r>
      <w:bookmarkEnd w:id="1758"/>
      <w:bookmarkEnd w:id="1759"/>
      <w:bookmarkEnd w:id="1760"/>
    </w:p>
    <w:p w14:paraId="439AFBB3">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5.1.1</w:t>
      </w:r>
      <w:r>
        <w:rPr>
          <w:rFonts w:hint="eastAsia" w:hAnsi="Times New Roman" w:cs="Times New Roman"/>
          <w:strike w:val="0"/>
          <w:color w:val="auto"/>
          <w:highlight w:val="none"/>
          <w:lang w:eastAsia="zh-CN"/>
        </w:rPr>
        <w:t>　</w:t>
      </w:r>
      <w:r>
        <w:rPr>
          <w:rFonts w:hAnsi="楷体" w:cs="楷体"/>
          <w:strike w:val="0"/>
          <w:color w:val="auto"/>
          <w:highlight w:val="none"/>
          <w:lang w:eastAsia="zh-CN"/>
        </w:rPr>
        <w:t>应用范围</w:t>
      </w:r>
    </w:p>
    <w:p w14:paraId="6CDA3BAC">
      <w:pPr>
        <w:ind w:firstLine="420"/>
        <w:jc w:val="left"/>
        <w:rPr>
          <w:rFonts w:hAnsi="Times New Roman" w:cs="宋体"/>
          <w:strike w:val="0"/>
          <w:color w:val="auto"/>
          <w:highlight w:val="none"/>
          <w:lang w:eastAsia="zh-CN"/>
        </w:rPr>
      </w:pPr>
      <w:r>
        <w:rPr>
          <w:rFonts w:cs="宋体"/>
          <w:strike w:val="0"/>
          <w:color w:val="auto"/>
          <w:highlight w:val="none"/>
          <w:lang w:eastAsia="zh-CN"/>
        </w:rPr>
        <w:t>本章规定适用于本合同施工图纸所示主体工程的施工导流工程，包括</w:t>
      </w:r>
      <w:r>
        <w:rPr>
          <w:rFonts w:hint="eastAsia" w:cs="宋体"/>
          <w:strike w:val="0"/>
          <w:color w:val="auto"/>
          <w:highlight w:val="none"/>
          <w:lang w:eastAsia="zh-CN"/>
        </w:rPr>
        <w:t>导流、</w:t>
      </w:r>
      <w:r>
        <w:rPr>
          <w:rFonts w:cs="宋体"/>
          <w:strike w:val="0"/>
          <w:color w:val="auto"/>
          <w:highlight w:val="none"/>
          <w:lang w:eastAsia="zh-CN"/>
        </w:rPr>
        <w:t>度汛</w:t>
      </w:r>
      <w:r>
        <w:rPr>
          <w:rFonts w:hint="eastAsia" w:cs="宋体"/>
          <w:strike w:val="0"/>
          <w:color w:val="auto"/>
          <w:highlight w:val="none"/>
          <w:lang w:eastAsia="zh-CN"/>
        </w:rPr>
        <w:t>、基坑排水、施工降排水</w:t>
      </w:r>
      <w:r>
        <w:rPr>
          <w:rFonts w:cs="宋体"/>
          <w:strike w:val="0"/>
          <w:color w:val="auto"/>
          <w:highlight w:val="none"/>
          <w:lang w:eastAsia="zh-CN"/>
        </w:rPr>
        <w:t>的工程项目及其工作内容。</w:t>
      </w:r>
    </w:p>
    <w:p w14:paraId="46960539">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5.1.2</w:t>
      </w:r>
      <w:r>
        <w:rPr>
          <w:rFonts w:hint="eastAsia" w:hAnsi="Times New Roman" w:cs="Times New Roman"/>
          <w:strike w:val="0"/>
          <w:color w:val="auto"/>
          <w:highlight w:val="none"/>
          <w:lang w:eastAsia="zh-CN"/>
        </w:rPr>
        <w:t>　</w:t>
      </w:r>
      <w:r>
        <w:rPr>
          <w:rFonts w:hAnsi="楷体" w:cs="楷体"/>
          <w:strike w:val="0"/>
          <w:color w:val="auto"/>
          <w:highlight w:val="none"/>
          <w:lang w:eastAsia="zh-CN"/>
        </w:rPr>
        <w:t>承包人责任</w:t>
      </w:r>
    </w:p>
    <w:p w14:paraId="7439C0CA">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1</w:t>
      </w:r>
      <w:r>
        <w:rPr>
          <w:rFonts w:cs="宋体"/>
          <w:strike w:val="0"/>
          <w:color w:val="auto"/>
          <w:highlight w:val="none"/>
          <w:lang w:eastAsia="zh-CN"/>
        </w:rPr>
        <w:t>）按本合同确定的施工导流方案、导流洪水标准与施工控制性进度，编制本工程施工导流的措施计划，提交监理人批准。</w:t>
      </w:r>
    </w:p>
    <w:p w14:paraId="47E3FF78">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2</w:t>
      </w:r>
      <w:r>
        <w:rPr>
          <w:rFonts w:cs="宋体"/>
          <w:strike w:val="0"/>
          <w:color w:val="auto"/>
          <w:highlight w:val="none"/>
          <w:lang w:eastAsia="zh-CN"/>
        </w:rPr>
        <w:t>）按批准的施工导流措施计划和本技术条款的规定，负责完成以下各项工作：</w:t>
      </w:r>
    </w:p>
    <w:p w14:paraId="3DEE5A42">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1</w:t>
      </w:r>
      <w:r>
        <w:rPr>
          <w:rFonts w:cs="宋体"/>
          <w:strike w:val="0"/>
          <w:color w:val="auto"/>
          <w:highlight w:val="none"/>
          <w:lang w:eastAsia="zh-CN"/>
        </w:rPr>
        <w:t>）完成本章第</w:t>
      </w:r>
      <w:r>
        <w:rPr>
          <w:rFonts w:hAnsi="Times New Roman" w:cs="Times New Roman"/>
          <w:strike w:val="0"/>
          <w:color w:val="auto"/>
          <w:highlight w:val="none"/>
          <w:lang w:eastAsia="zh-CN"/>
        </w:rPr>
        <w:t>5.1.1</w:t>
      </w:r>
      <w:r>
        <w:rPr>
          <w:rFonts w:cs="宋体"/>
          <w:strike w:val="0"/>
          <w:color w:val="auto"/>
          <w:highlight w:val="none"/>
          <w:lang w:eastAsia="zh-CN"/>
        </w:rPr>
        <w:t>项所规定的施工导流工程项目及其工作内容。</w:t>
      </w:r>
    </w:p>
    <w:p w14:paraId="3E517AEB">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2</w:t>
      </w:r>
      <w:r>
        <w:rPr>
          <w:rFonts w:cs="宋体"/>
          <w:strike w:val="0"/>
          <w:color w:val="auto"/>
          <w:highlight w:val="none"/>
          <w:lang w:eastAsia="zh-CN"/>
        </w:rPr>
        <w:t>）保证永久建筑物在干地施工的措施。</w:t>
      </w:r>
    </w:p>
    <w:p w14:paraId="45866E45">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3</w:t>
      </w:r>
      <w:r>
        <w:rPr>
          <w:rFonts w:cs="宋体"/>
          <w:strike w:val="0"/>
          <w:color w:val="auto"/>
          <w:highlight w:val="none"/>
          <w:lang w:eastAsia="zh-CN"/>
        </w:rPr>
        <w:t>）按合同约定，负责提供导流工程的材料和设备，包括材料和设备的试验、检验，以及设备的运行和维护。</w:t>
      </w:r>
    </w:p>
    <w:p w14:paraId="4B530A33">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3</w:t>
      </w:r>
      <w:r>
        <w:rPr>
          <w:rFonts w:cs="宋体"/>
          <w:strike w:val="0"/>
          <w:color w:val="auto"/>
          <w:highlight w:val="none"/>
          <w:lang w:eastAsia="zh-CN"/>
        </w:rPr>
        <w:t>）协助发包人安排好施工通航和施工期下游供水。</w:t>
      </w:r>
    </w:p>
    <w:p w14:paraId="7F66C96A">
      <w:pPr>
        <w:suppressAutoHyphens/>
        <w:ind w:firstLine="420"/>
        <w:jc w:val="left"/>
        <w:rPr>
          <w:strike w:val="0"/>
          <w:color w:val="auto"/>
          <w:highlight w:val="none"/>
          <w:lang w:eastAsia="zh-CN"/>
        </w:rPr>
      </w:pPr>
      <w:r>
        <w:rPr>
          <w:rFonts w:hint="eastAsia"/>
          <w:strike w:val="0"/>
          <w:color w:val="auto"/>
          <w:highlight w:val="none"/>
          <w:lang w:eastAsia="zh-CN"/>
        </w:rPr>
        <w:t>（</w:t>
      </w:r>
      <w:r>
        <w:rPr>
          <w:strike w:val="0"/>
          <w:color w:val="auto"/>
          <w:highlight w:val="none"/>
          <w:lang w:eastAsia="zh-CN"/>
        </w:rPr>
        <w:t>4</w:t>
      </w:r>
      <w:r>
        <w:rPr>
          <w:rFonts w:hint="eastAsia"/>
          <w:strike w:val="0"/>
          <w:color w:val="auto"/>
          <w:highlight w:val="none"/>
          <w:lang w:eastAsia="zh-CN"/>
        </w:rPr>
        <w:t>）导流期间，当河道的天然来水流量小于或等于本合同规定的导流工程设计洪水标准时，承包人应对导流工程的施工安全承担责任。</w:t>
      </w:r>
    </w:p>
    <w:p w14:paraId="402BD9C5">
      <w:pPr>
        <w:suppressAutoHyphens/>
        <w:ind w:firstLine="420"/>
        <w:jc w:val="left"/>
        <w:rPr>
          <w:strike w:val="0"/>
          <w:color w:val="auto"/>
          <w:highlight w:val="none"/>
          <w:lang w:eastAsia="zh-CN"/>
        </w:rPr>
      </w:pPr>
      <w:r>
        <w:rPr>
          <w:rFonts w:hint="eastAsia"/>
          <w:strike w:val="0"/>
          <w:color w:val="auto"/>
          <w:highlight w:val="none"/>
          <w:lang w:eastAsia="zh-CN"/>
        </w:rPr>
        <w:t>（</w:t>
      </w:r>
      <w:r>
        <w:rPr>
          <w:strike w:val="0"/>
          <w:color w:val="auto"/>
          <w:highlight w:val="none"/>
          <w:lang w:eastAsia="zh-CN"/>
        </w:rPr>
        <w:t>5</w:t>
      </w:r>
      <w:r>
        <w:rPr>
          <w:rFonts w:hint="eastAsia"/>
          <w:strike w:val="0"/>
          <w:color w:val="auto"/>
          <w:highlight w:val="none"/>
          <w:lang w:eastAsia="zh-CN"/>
        </w:rPr>
        <w:t>）当施工期内，遭遇不可抗力的自然灾害或发生超标准洪水时，承包人应按监理人指示，采取应急措施，进行防洪防灾的抢救工作。</w:t>
      </w:r>
    </w:p>
    <w:p w14:paraId="02DAA70B">
      <w:pPr>
        <w:suppressAutoHyphens/>
        <w:ind w:firstLine="420"/>
        <w:jc w:val="left"/>
        <w:rPr>
          <w:rFonts w:cs="宋体"/>
          <w:strike w:val="0"/>
          <w:color w:val="auto"/>
          <w:highlight w:val="none"/>
          <w:lang w:eastAsia="zh-CN"/>
        </w:rPr>
      </w:pPr>
      <w:r>
        <w:rPr>
          <w:rFonts w:hint="eastAsia"/>
          <w:strike w:val="0"/>
          <w:color w:val="auto"/>
          <w:highlight w:val="none"/>
          <w:lang w:eastAsia="zh-CN"/>
        </w:rPr>
        <w:t>（</w:t>
      </w:r>
      <w:r>
        <w:rPr>
          <w:strike w:val="0"/>
          <w:color w:val="auto"/>
          <w:highlight w:val="none"/>
          <w:lang w:eastAsia="zh-CN"/>
        </w:rPr>
        <w:t>6</w:t>
      </w:r>
      <w:r>
        <w:rPr>
          <w:rFonts w:hint="eastAsia"/>
          <w:strike w:val="0"/>
          <w:color w:val="auto"/>
          <w:highlight w:val="none"/>
          <w:lang w:eastAsia="zh-CN"/>
        </w:rPr>
        <w:t>）承包人应分年度编写本标段超标洪水防御预案、防洪度汛方案、防汛应急预案报监理审核及报备当地相关部门备案。</w:t>
      </w:r>
    </w:p>
    <w:p w14:paraId="3E5E2DA9">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5.1.3</w:t>
      </w:r>
      <w:r>
        <w:rPr>
          <w:rFonts w:hint="eastAsia" w:hAnsi="Times New Roman" w:cs="Times New Roman"/>
          <w:strike w:val="0"/>
          <w:color w:val="auto"/>
          <w:highlight w:val="none"/>
          <w:lang w:eastAsia="zh-CN"/>
        </w:rPr>
        <w:t>　</w:t>
      </w:r>
      <w:r>
        <w:rPr>
          <w:rFonts w:hAnsi="楷体" w:cs="楷体"/>
          <w:strike w:val="0"/>
          <w:color w:val="auto"/>
          <w:highlight w:val="none"/>
          <w:lang w:eastAsia="zh-CN"/>
        </w:rPr>
        <w:t>主要提交件</w:t>
      </w:r>
    </w:p>
    <w:p w14:paraId="15004604">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1</w:t>
      </w:r>
      <w:r>
        <w:rPr>
          <w:rFonts w:cs="宋体"/>
          <w:strike w:val="0"/>
          <w:color w:val="auto"/>
          <w:highlight w:val="none"/>
          <w:lang w:eastAsia="zh-CN"/>
        </w:rPr>
        <w:t>）导流工程施工措施计划</w:t>
      </w:r>
    </w:p>
    <w:p w14:paraId="2482FB93">
      <w:pPr>
        <w:ind w:firstLine="420"/>
        <w:jc w:val="left"/>
        <w:rPr>
          <w:rFonts w:hAnsi="Times New Roman" w:cs="宋体"/>
          <w:strike w:val="0"/>
          <w:color w:val="auto"/>
          <w:highlight w:val="none"/>
          <w:lang w:eastAsia="zh-CN"/>
        </w:rPr>
      </w:pPr>
      <w:r>
        <w:rPr>
          <w:rFonts w:cs="宋体"/>
          <w:strike w:val="0"/>
          <w:color w:val="auto"/>
          <w:highlight w:val="none"/>
          <w:lang w:eastAsia="zh-CN"/>
        </w:rPr>
        <w:t>承包人应在施工导流建筑物开工前35天，按本章第</w:t>
      </w:r>
      <w:r>
        <w:rPr>
          <w:rFonts w:hAnsi="Times New Roman" w:cs="Times New Roman"/>
          <w:strike w:val="0"/>
          <w:color w:val="auto"/>
          <w:highlight w:val="none"/>
          <w:lang w:eastAsia="zh-CN"/>
        </w:rPr>
        <w:t>5.1.1</w:t>
      </w:r>
      <w:r>
        <w:rPr>
          <w:rFonts w:cs="宋体"/>
          <w:strike w:val="0"/>
          <w:color w:val="auto"/>
          <w:highlight w:val="none"/>
          <w:lang w:eastAsia="zh-CN"/>
        </w:rPr>
        <w:t>项规定的导流工程项目，编制导流工程施工措施计划，提交监理人批准，其内容包括：</w:t>
      </w:r>
    </w:p>
    <w:p w14:paraId="39FC7DE0">
      <w:pPr>
        <w:ind w:firstLine="420"/>
        <w:jc w:val="left"/>
        <w:rPr>
          <w:rFonts w:hAnsi="Times New Roman" w:cs="宋体"/>
          <w:strike w:val="0"/>
          <w:color w:val="auto"/>
          <w:highlight w:val="none"/>
        </w:rPr>
      </w:pPr>
      <w:r>
        <w:rPr>
          <w:rFonts w:hAnsi="Times New Roman" w:cs="Times New Roman"/>
          <w:strike w:val="0"/>
          <w:color w:val="auto"/>
          <w:highlight w:val="none"/>
          <w:lang w:eastAsia="zh-CN"/>
        </w:rPr>
        <w:t>1</w:t>
      </w:r>
      <w:r>
        <w:rPr>
          <w:rFonts w:cs="宋体"/>
          <w:strike w:val="0"/>
          <w:color w:val="auto"/>
          <w:highlight w:val="none"/>
        </w:rPr>
        <w:t>）基坑排水措施。</w:t>
      </w:r>
    </w:p>
    <w:p w14:paraId="75BDFE52">
      <w:pPr>
        <w:ind w:firstLine="420"/>
        <w:jc w:val="left"/>
        <w:rPr>
          <w:rFonts w:hAnsi="Times New Roman" w:cs="宋体"/>
          <w:strike w:val="0"/>
          <w:color w:val="auto"/>
          <w:highlight w:val="none"/>
        </w:rPr>
      </w:pPr>
      <w:r>
        <w:rPr>
          <w:rFonts w:cs="宋体"/>
          <w:strike w:val="0"/>
          <w:color w:val="auto"/>
          <w:highlight w:val="none"/>
          <w:lang w:eastAsia="zh-CN"/>
        </w:rPr>
        <w:t>2</w:t>
      </w:r>
      <w:r>
        <w:rPr>
          <w:rFonts w:cs="宋体"/>
          <w:strike w:val="0"/>
          <w:color w:val="auto"/>
          <w:highlight w:val="none"/>
        </w:rPr>
        <w:t>）防洪和安全度汛措施。</w:t>
      </w:r>
    </w:p>
    <w:p w14:paraId="27801828">
      <w:pPr>
        <w:pStyle w:val="7"/>
        <w:ind w:firstLine="420"/>
        <w:jc w:val="left"/>
        <w:rPr>
          <w:rFonts w:cs="宋体"/>
          <w:strike w:val="0"/>
          <w:color w:val="auto"/>
          <w:highlight w:val="none"/>
          <w:lang w:eastAsia="zh-CN"/>
        </w:rPr>
      </w:pPr>
      <w:r>
        <w:rPr>
          <w:rFonts w:cs="宋体"/>
          <w:strike w:val="0"/>
          <w:color w:val="auto"/>
          <w:highlight w:val="none"/>
          <w:lang w:eastAsia="zh-CN"/>
        </w:rPr>
        <w:t>3）防汛器材设备和劳动力配备：</w:t>
      </w:r>
    </w:p>
    <w:p w14:paraId="28AC8D2A">
      <w:pPr>
        <w:pStyle w:val="7"/>
        <w:ind w:firstLine="420"/>
        <w:jc w:val="left"/>
        <w:rPr>
          <w:rFonts w:cs="宋体"/>
          <w:strike w:val="0"/>
          <w:color w:val="auto"/>
          <w:highlight w:val="none"/>
          <w:lang w:eastAsia="zh-CN"/>
        </w:rPr>
      </w:pPr>
      <w:r>
        <w:rPr>
          <w:rFonts w:cs="宋体"/>
          <w:strike w:val="0"/>
          <w:color w:val="auto"/>
          <w:highlight w:val="none"/>
          <w:lang w:eastAsia="zh-CN"/>
        </w:rPr>
        <w:t>4）施工区和生活区的度汛防护措施：</w:t>
      </w:r>
    </w:p>
    <w:p w14:paraId="6C195D28">
      <w:pPr>
        <w:pStyle w:val="7"/>
        <w:ind w:firstLine="420"/>
        <w:jc w:val="left"/>
        <w:rPr>
          <w:rFonts w:cs="宋体"/>
          <w:strike w:val="0"/>
          <w:color w:val="auto"/>
          <w:highlight w:val="none"/>
          <w:lang w:eastAsia="zh-CN"/>
        </w:rPr>
      </w:pPr>
      <w:r>
        <w:rPr>
          <w:rFonts w:cs="宋体"/>
          <w:strike w:val="0"/>
          <w:color w:val="auto"/>
          <w:highlight w:val="none"/>
          <w:lang w:eastAsia="zh-CN"/>
        </w:rPr>
        <w:t>5）遭遇超标准洪水时的应急度汛措施：</w:t>
      </w:r>
    </w:p>
    <w:p w14:paraId="2F464093">
      <w:pPr>
        <w:ind w:firstLine="420"/>
        <w:jc w:val="left"/>
        <w:rPr>
          <w:rFonts w:hAnsi="Times New Roman" w:cs="宋体"/>
          <w:strike w:val="0"/>
          <w:color w:val="auto"/>
          <w:highlight w:val="none"/>
          <w:lang w:eastAsia="zh-CN"/>
        </w:rPr>
      </w:pPr>
      <w:r>
        <w:rPr>
          <w:rFonts w:cs="宋体"/>
          <w:strike w:val="0"/>
          <w:color w:val="auto"/>
          <w:highlight w:val="none"/>
          <w:lang w:eastAsia="zh-CN"/>
        </w:rPr>
        <w:t>6）监理人要求的其它补充措施计划。</w:t>
      </w:r>
    </w:p>
    <w:p w14:paraId="0EBE925F">
      <w:pPr>
        <w:ind w:firstLine="420"/>
        <w:jc w:val="left"/>
        <w:rPr>
          <w:rFonts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2</w:t>
      </w:r>
      <w:r>
        <w:rPr>
          <w:rFonts w:cs="宋体"/>
          <w:strike w:val="0"/>
          <w:color w:val="auto"/>
          <w:highlight w:val="none"/>
          <w:lang w:eastAsia="zh-CN"/>
        </w:rPr>
        <w:t>）导流建筑物施工图纸</w:t>
      </w:r>
    </w:p>
    <w:p w14:paraId="258E78C3">
      <w:pPr>
        <w:suppressAutoHyphens/>
        <w:ind w:firstLine="480"/>
        <w:rPr>
          <w:rFonts w:hAnsi="宋体" w:cs="宋体"/>
          <w:strike/>
          <w:color w:val="auto"/>
          <w:szCs w:val="24"/>
          <w:highlight w:val="none"/>
        </w:rPr>
      </w:pPr>
      <w:r>
        <w:rPr>
          <w:rFonts w:hAnsi="宋体" w:cs="宋体"/>
          <w:strike/>
          <w:color w:val="auto"/>
          <w:szCs w:val="24"/>
          <w:highlight w:val="none"/>
        </w:rPr>
        <w:t>除合同另有约定外，在导流建筑物施工前</w:t>
      </w:r>
      <w:r>
        <w:rPr>
          <w:rFonts w:hint="eastAsia" w:hAnsi="宋体" w:cs="宋体"/>
          <w:strike/>
          <w:color w:val="auto"/>
          <w:szCs w:val="24"/>
          <w:highlight w:val="none"/>
          <w:u w:val="single"/>
        </w:rPr>
        <w:t xml:space="preserve">     </w:t>
      </w:r>
      <w:r>
        <w:rPr>
          <w:rFonts w:hAnsi="宋体" w:cs="宋体"/>
          <w:strike/>
          <w:color w:val="auto"/>
          <w:szCs w:val="24"/>
          <w:highlight w:val="none"/>
        </w:rPr>
        <w:t>天，承包人应将其负责提供的导流建筑物施工图纸，提交监理人批准。</w:t>
      </w:r>
    </w:p>
    <w:p w14:paraId="0B0C1E04">
      <w:pPr>
        <w:ind w:firstLine="420"/>
        <w:jc w:val="left"/>
        <w:rPr>
          <w:rFonts w:hAnsi="Times New Roman" w:cs="宋体"/>
          <w:strike w:val="0"/>
          <w:color w:val="auto"/>
          <w:highlight w:val="none"/>
          <w:lang w:eastAsia="zh-CN"/>
        </w:rPr>
      </w:pPr>
      <w:r>
        <w:rPr>
          <w:rFonts w:cs="宋体"/>
          <w:strike w:val="0"/>
          <w:color w:val="auto"/>
          <w:highlight w:val="none"/>
          <w:lang w:eastAsia="zh-CN"/>
        </w:rPr>
        <w:t>/。</w:t>
      </w:r>
    </w:p>
    <w:p w14:paraId="4E91DC54">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3</w:t>
      </w:r>
      <w:r>
        <w:rPr>
          <w:rFonts w:cs="宋体"/>
          <w:strike w:val="0"/>
          <w:color w:val="auto"/>
          <w:highlight w:val="none"/>
          <w:lang w:eastAsia="zh-CN"/>
        </w:rPr>
        <w:t>）安全度汛措施计划</w:t>
      </w:r>
    </w:p>
    <w:p w14:paraId="1499CE01">
      <w:pPr>
        <w:ind w:firstLine="420"/>
        <w:jc w:val="left"/>
        <w:rPr>
          <w:rFonts w:hAnsi="Times New Roman" w:cs="宋体"/>
          <w:strike w:val="0"/>
          <w:color w:val="auto"/>
          <w:highlight w:val="none"/>
          <w:lang w:eastAsia="zh-CN"/>
        </w:rPr>
      </w:pPr>
      <w:r>
        <w:rPr>
          <w:rFonts w:cs="宋体"/>
          <w:strike w:val="0"/>
          <w:color w:val="auto"/>
          <w:highlight w:val="none"/>
          <w:lang w:eastAsia="zh-CN"/>
        </w:rPr>
        <w:t>承包人应在每年汛期前，将该年度的安全度汛措施报告，提交监理人批准，其内容包括：</w:t>
      </w:r>
    </w:p>
    <w:p w14:paraId="554BB90B">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1</w:t>
      </w:r>
      <w:r>
        <w:rPr>
          <w:rFonts w:cs="宋体"/>
          <w:strike w:val="0"/>
          <w:color w:val="auto"/>
          <w:highlight w:val="none"/>
          <w:lang w:eastAsia="zh-CN"/>
        </w:rPr>
        <w:t>）截至度汛前工程应达到的度汛形象面貌。</w:t>
      </w:r>
    </w:p>
    <w:p w14:paraId="0E0EBBF5">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2</w:t>
      </w:r>
      <w:r>
        <w:rPr>
          <w:rFonts w:cs="宋体"/>
          <w:strike w:val="0"/>
          <w:color w:val="auto"/>
          <w:highlight w:val="none"/>
          <w:lang w:eastAsia="zh-CN"/>
        </w:rPr>
        <w:t>）临时和永久工程建筑物的汛期防护措施。</w:t>
      </w:r>
    </w:p>
    <w:p w14:paraId="7B91FA31">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3</w:t>
      </w:r>
      <w:r>
        <w:rPr>
          <w:rFonts w:cs="宋体"/>
          <w:strike w:val="0"/>
          <w:color w:val="auto"/>
          <w:highlight w:val="none"/>
          <w:lang w:eastAsia="zh-CN"/>
        </w:rPr>
        <w:t>）防汛器材设备和劳动力配备。</w:t>
      </w:r>
    </w:p>
    <w:p w14:paraId="21302855">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4</w:t>
      </w:r>
      <w:r>
        <w:rPr>
          <w:rFonts w:cs="宋体"/>
          <w:strike w:val="0"/>
          <w:color w:val="auto"/>
          <w:highlight w:val="none"/>
          <w:lang w:eastAsia="zh-CN"/>
        </w:rPr>
        <w:t>）施工区和生活区的度汛防护措施。</w:t>
      </w:r>
    </w:p>
    <w:p w14:paraId="7F691B67">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5</w:t>
      </w:r>
      <w:r>
        <w:rPr>
          <w:rFonts w:cs="宋体"/>
          <w:strike w:val="0"/>
          <w:color w:val="auto"/>
          <w:highlight w:val="none"/>
          <w:lang w:eastAsia="zh-CN"/>
        </w:rPr>
        <w:t>）临时通航的安全度汛措施。</w:t>
      </w:r>
    </w:p>
    <w:p w14:paraId="186F007B">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6</w:t>
      </w:r>
      <w:r>
        <w:rPr>
          <w:rFonts w:cs="宋体"/>
          <w:strike w:val="0"/>
          <w:color w:val="auto"/>
          <w:highlight w:val="none"/>
          <w:lang w:eastAsia="zh-CN"/>
        </w:rPr>
        <w:t>）遭遇超标准洪水时的应急度汛措施。</w:t>
      </w:r>
    </w:p>
    <w:p w14:paraId="1D018D36">
      <w:pPr>
        <w:ind w:firstLine="420"/>
        <w:jc w:val="left"/>
        <w:rPr>
          <w:rFonts w:hAnsi="Times New Roman" w:cs="宋体"/>
          <w:strike w:val="0"/>
          <w:color w:val="auto"/>
          <w:highlight w:val="none"/>
          <w:lang w:eastAsia="zh-CN"/>
        </w:rPr>
      </w:pPr>
      <w:r>
        <w:rPr>
          <w:rFonts w:hAnsi="Times New Roman" w:cs="Times New Roman"/>
          <w:strike w:val="0"/>
          <w:color w:val="auto"/>
          <w:highlight w:val="none"/>
          <w:lang w:eastAsia="zh-CN"/>
        </w:rPr>
        <w:t>7</w:t>
      </w:r>
      <w:r>
        <w:rPr>
          <w:rFonts w:cs="宋体"/>
          <w:strike w:val="0"/>
          <w:color w:val="auto"/>
          <w:highlight w:val="none"/>
          <w:lang w:eastAsia="zh-CN"/>
        </w:rPr>
        <w:t>）监理人要求提交的其它施工度汛资料。</w:t>
      </w:r>
    </w:p>
    <w:p w14:paraId="74F9888E">
      <w:pPr>
        <w:ind w:firstLine="420"/>
        <w:jc w:val="left"/>
        <w:rPr>
          <w:rFonts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4</w:t>
      </w:r>
      <w:r>
        <w:rPr>
          <w:rFonts w:cs="宋体"/>
          <w:strike w:val="0"/>
          <w:color w:val="auto"/>
          <w:highlight w:val="none"/>
          <w:lang w:eastAsia="zh-CN"/>
        </w:rPr>
        <w:t>）施工期临时通航措施计划</w:t>
      </w:r>
    </w:p>
    <w:p w14:paraId="469743A8">
      <w:pPr>
        <w:ind w:firstLine="420"/>
        <w:jc w:val="left"/>
        <w:rPr>
          <w:rFonts w:hAnsi="Times New Roman" w:cs="宋体"/>
          <w:strike w:val="0"/>
          <w:color w:val="auto"/>
          <w:highlight w:val="none"/>
          <w:lang w:eastAsia="zh-CN"/>
        </w:rPr>
      </w:pPr>
      <w:r>
        <w:rPr>
          <w:rFonts w:cs="宋体"/>
          <w:strike w:val="0"/>
          <w:color w:val="auto"/>
          <w:highlight w:val="none"/>
          <w:lang w:eastAsia="zh-CN"/>
        </w:rPr>
        <w:t>/。</w:t>
      </w:r>
    </w:p>
    <w:p w14:paraId="23346092">
      <w:pPr>
        <w:ind w:firstLine="420"/>
        <w:jc w:val="left"/>
        <w:rPr>
          <w:rFonts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5</w:t>
      </w:r>
      <w:r>
        <w:rPr>
          <w:rFonts w:cs="宋体"/>
          <w:strike w:val="0"/>
          <w:color w:val="auto"/>
          <w:highlight w:val="none"/>
          <w:lang w:eastAsia="zh-CN"/>
        </w:rPr>
        <w:t>）截流措施计划</w:t>
      </w:r>
    </w:p>
    <w:p w14:paraId="50A3F57A">
      <w:pPr>
        <w:ind w:firstLine="420"/>
        <w:jc w:val="left"/>
        <w:rPr>
          <w:rFonts w:hAnsi="Times New Roman" w:cs="宋体"/>
          <w:strike w:val="0"/>
          <w:color w:val="auto"/>
          <w:highlight w:val="none"/>
          <w:lang w:eastAsia="zh-CN"/>
        </w:rPr>
      </w:pPr>
      <w:r>
        <w:rPr>
          <w:rFonts w:cs="宋体"/>
          <w:strike w:val="0"/>
          <w:color w:val="auto"/>
          <w:highlight w:val="none"/>
          <w:lang w:eastAsia="zh-CN"/>
        </w:rPr>
        <w:t>/。</w:t>
      </w:r>
    </w:p>
    <w:p w14:paraId="46665BE6">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5.1.4</w:t>
      </w:r>
      <w:r>
        <w:rPr>
          <w:rFonts w:hint="eastAsia" w:hAnsi="Times New Roman" w:cs="Times New Roman"/>
          <w:strike w:val="0"/>
          <w:color w:val="auto"/>
          <w:highlight w:val="none"/>
          <w:lang w:eastAsia="zh-CN"/>
        </w:rPr>
        <w:t>　</w:t>
      </w:r>
      <w:r>
        <w:rPr>
          <w:rFonts w:hAnsi="楷体" w:cs="楷体"/>
          <w:strike w:val="0"/>
          <w:color w:val="auto"/>
          <w:highlight w:val="none"/>
          <w:lang w:eastAsia="zh-CN"/>
        </w:rPr>
        <w:t>引用标准</w:t>
      </w:r>
    </w:p>
    <w:p w14:paraId="61CFA79A">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1</w:t>
      </w:r>
      <w:r>
        <w:rPr>
          <w:rFonts w:cs="宋体"/>
          <w:strike w:val="0"/>
          <w:color w:val="auto"/>
          <w:highlight w:val="none"/>
          <w:lang w:eastAsia="zh-CN"/>
        </w:rPr>
        <w:t>）《水利工程建设项目验收管理规定》（水利部令第</w:t>
      </w:r>
      <w:r>
        <w:rPr>
          <w:rFonts w:hAnsi="Times New Roman" w:cs="Times New Roman"/>
          <w:strike w:val="0"/>
          <w:color w:val="auto"/>
          <w:highlight w:val="none"/>
          <w:lang w:eastAsia="zh-CN"/>
        </w:rPr>
        <w:t>30</w:t>
      </w:r>
      <w:r>
        <w:rPr>
          <w:rFonts w:cs="宋体"/>
          <w:strike w:val="0"/>
          <w:color w:val="auto"/>
          <w:highlight w:val="none"/>
          <w:lang w:eastAsia="zh-CN"/>
        </w:rPr>
        <w:t>号）。</w:t>
      </w:r>
    </w:p>
    <w:p w14:paraId="64CEBA1F">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2</w:t>
      </w:r>
      <w:r>
        <w:rPr>
          <w:rFonts w:cs="宋体"/>
          <w:strike w:val="0"/>
          <w:color w:val="auto"/>
          <w:highlight w:val="none"/>
          <w:lang w:eastAsia="zh-CN"/>
        </w:rPr>
        <w:t>）《防洪标准》（</w:t>
      </w:r>
      <w:r>
        <w:rPr>
          <w:rFonts w:hint="eastAsia" w:hAnsi="Times New Roman" w:cs="Times New Roman"/>
          <w:strike w:val="0"/>
          <w:color w:val="auto"/>
          <w:highlight w:val="none"/>
          <w:lang w:eastAsia="zh-CN"/>
        </w:rPr>
        <w:t xml:space="preserve">GB </w:t>
      </w:r>
      <w:r>
        <w:rPr>
          <w:rFonts w:hAnsi="Times New Roman" w:cs="Times New Roman"/>
          <w:strike w:val="0"/>
          <w:color w:val="auto"/>
          <w:highlight w:val="none"/>
          <w:lang w:eastAsia="zh-CN"/>
        </w:rPr>
        <w:t>50201-2014</w:t>
      </w:r>
      <w:r>
        <w:rPr>
          <w:rFonts w:cs="宋体"/>
          <w:strike w:val="0"/>
          <w:color w:val="auto"/>
          <w:highlight w:val="none"/>
          <w:lang w:eastAsia="zh-CN"/>
        </w:rPr>
        <w:t>）。</w:t>
      </w:r>
    </w:p>
    <w:p w14:paraId="77019F2E">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3</w:t>
      </w:r>
      <w:r>
        <w:rPr>
          <w:rFonts w:cs="宋体"/>
          <w:strike w:val="0"/>
          <w:color w:val="auto"/>
          <w:highlight w:val="none"/>
          <w:lang w:eastAsia="zh-CN"/>
        </w:rPr>
        <w:t>）《水利水电建设工程验收规程》（</w:t>
      </w:r>
      <w:r>
        <w:rPr>
          <w:rFonts w:hAnsi="Times New Roman" w:cs="Times New Roman"/>
          <w:strike w:val="0"/>
          <w:color w:val="auto"/>
          <w:highlight w:val="none"/>
          <w:lang w:eastAsia="zh-CN"/>
        </w:rPr>
        <w:t>SL223-2008</w:t>
      </w:r>
      <w:r>
        <w:rPr>
          <w:rFonts w:cs="宋体"/>
          <w:strike w:val="0"/>
          <w:color w:val="auto"/>
          <w:highlight w:val="none"/>
          <w:lang w:eastAsia="zh-CN"/>
        </w:rPr>
        <w:t>）。</w:t>
      </w:r>
    </w:p>
    <w:p w14:paraId="12C81536">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4</w:t>
      </w:r>
      <w:r>
        <w:rPr>
          <w:rFonts w:cs="宋体"/>
          <w:strike w:val="0"/>
          <w:color w:val="auto"/>
          <w:highlight w:val="none"/>
          <w:lang w:eastAsia="zh-CN"/>
        </w:rPr>
        <w:t>）《水利水电工程施工组织设计规范》（</w:t>
      </w:r>
      <w:r>
        <w:rPr>
          <w:rFonts w:hAnsi="Times New Roman" w:cs="Times New Roman"/>
          <w:strike w:val="0"/>
          <w:color w:val="auto"/>
          <w:highlight w:val="none"/>
          <w:lang w:eastAsia="zh-CN"/>
        </w:rPr>
        <w:t>SL303-2017</w:t>
      </w:r>
      <w:r>
        <w:rPr>
          <w:rFonts w:cs="宋体"/>
          <w:strike w:val="0"/>
          <w:color w:val="auto"/>
          <w:highlight w:val="none"/>
          <w:lang w:eastAsia="zh-CN"/>
        </w:rPr>
        <w:t>）。</w:t>
      </w:r>
    </w:p>
    <w:p w14:paraId="0CEE1301">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5</w:t>
      </w:r>
      <w:r>
        <w:rPr>
          <w:rFonts w:cs="宋体"/>
          <w:strike w:val="0"/>
          <w:color w:val="auto"/>
          <w:highlight w:val="none"/>
          <w:lang w:eastAsia="zh-CN"/>
        </w:rPr>
        <w:t>）《水利水电工程天然建筑材料勘察规程》（</w:t>
      </w:r>
      <w:r>
        <w:rPr>
          <w:rFonts w:hAnsi="Times New Roman" w:cs="Times New Roman"/>
          <w:strike w:val="0"/>
          <w:color w:val="auto"/>
          <w:highlight w:val="none"/>
          <w:lang w:eastAsia="zh-CN"/>
        </w:rPr>
        <w:t>SL251-2015</w:t>
      </w:r>
      <w:r>
        <w:rPr>
          <w:rFonts w:cs="宋体"/>
          <w:strike w:val="0"/>
          <w:color w:val="auto"/>
          <w:highlight w:val="none"/>
          <w:lang w:eastAsia="zh-CN"/>
        </w:rPr>
        <w:t>）。</w:t>
      </w:r>
    </w:p>
    <w:p w14:paraId="41E9E52B">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6</w:t>
      </w:r>
      <w:r>
        <w:rPr>
          <w:rFonts w:cs="宋体"/>
          <w:strike w:val="0"/>
          <w:color w:val="auto"/>
          <w:highlight w:val="none"/>
          <w:lang w:eastAsia="zh-CN"/>
        </w:rPr>
        <w:t>）《水利水电工程等级划分及洪水标准》（</w:t>
      </w:r>
      <w:r>
        <w:rPr>
          <w:rFonts w:hAnsi="Times New Roman" w:cs="Times New Roman"/>
          <w:strike w:val="0"/>
          <w:color w:val="auto"/>
          <w:highlight w:val="none"/>
          <w:lang w:eastAsia="zh-CN"/>
        </w:rPr>
        <w:t>SL252-2017</w:t>
      </w:r>
      <w:r>
        <w:rPr>
          <w:rFonts w:cs="宋体"/>
          <w:strike w:val="0"/>
          <w:color w:val="auto"/>
          <w:highlight w:val="none"/>
          <w:lang w:eastAsia="zh-CN"/>
        </w:rPr>
        <w:t>）。</w:t>
      </w:r>
    </w:p>
    <w:p w14:paraId="17C1EC56">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7</w:t>
      </w:r>
      <w:r>
        <w:rPr>
          <w:rFonts w:cs="宋体"/>
          <w:strike w:val="0"/>
          <w:color w:val="auto"/>
          <w:highlight w:val="none"/>
          <w:lang w:eastAsia="zh-CN"/>
        </w:rPr>
        <w:t>）《水利水电工程混凝土防渗墙施工技术规范》（</w:t>
      </w:r>
      <w:r>
        <w:rPr>
          <w:rFonts w:hAnsi="Times New Roman" w:cs="Times New Roman"/>
          <w:strike w:val="0"/>
          <w:color w:val="auto"/>
          <w:highlight w:val="none"/>
          <w:lang w:eastAsia="zh-CN"/>
        </w:rPr>
        <w:t>SL174-2014</w:t>
      </w:r>
      <w:r>
        <w:rPr>
          <w:rFonts w:cs="宋体"/>
          <w:strike w:val="0"/>
          <w:color w:val="auto"/>
          <w:highlight w:val="none"/>
          <w:lang w:eastAsia="zh-CN"/>
        </w:rPr>
        <w:t>）。</w:t>
      </w:r>
    </w:p>
    <w:p w14:paraId="72E7EF23">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8</w:t>
      </w:r>
      <w:r>
        <w:rPr>
          <w:rFonts w:cs="宋体"/>
          <w:strike w:val="0"/>
          <w:color w:val="auto"/>
          <w:highlight w:val="none"/>
          <w:lang w:eastAsia="zh-CN"/>
        </w:rPr>
        <w:t>）《水工建筑物水泥灌浆施工技术规范》（</w:t>
      </w:r>
      <w:r>
        <w:rPr>
          <w:rFonts w:hAnsi="Times New Roman" w:cs="Times New Roman"/>
          <w:strike w:val="0"/>
          <w:color w:val="auto"/>
          <w:highlight w:val="none"/>
          <w:lang w:eastAsia="zh-CN"/>
        </w:rPr>
        <w:t>SL/T62-2020</w:t>
      </w:r>
      <w:r>
        <w:rPr>
          <w:rFonts w:cs="宋体"/>
          <w:strike w:val="0"/>
          <w:color w:val="auto"/>
          <w:highlight w:val="none"/>
          <w:lang w:eastAsia="zh-CN"/>
        </w:rPr>
        <w:t>）。</w:t>
      </w:r>
    </w:p>
    <w:p w14:paraId="55ED4FF0">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9</w:t>
      </w:r>
      <w:r>
        <w:rPr>
          <w:rFonts w:cs="宋体"/>
          <w:strike w:val="0"/>
          <w:color w:val="auto"/>
          <w:highlight w:val="none"/>
          <w:lang w:eastAsia="zh-CN"/>
        </w:rPr>
        <w:t>）《水利水电工程施工导流设计规范》（</w:t>
      </w:r>
      <w:r>
        <w:rPr>
          <w:rFonts w:hAnsi="Times New Roman" w:cs="Times New Roman"/>
          <w:strike w:val="0"/>
          <w:color w:val="auto"/>
          <w:highlight w:val="none"/>
          <w:lang w:eastAsia="zh-CN"/>
        </w:rPr>
        <w:t>SL623-2013</w:t>
      </w:r>
      <w:r>
        <w:rPr>
          <w:rFonts w:cs="宋体"/>
          <w:strike w:val="0"/>
          <w:color w:val="auto"/>
          <w:highlight w:val="none"/>
          <w:lang w:eastAsia="zh-CN"/>
        </w:rPr>
        <w:t>）。</w:t>
      </w:r>
    </w:p>
    <w:p w14:paraId="0F992A0F">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10</w:t>
      </w:r>
      <w:r>
        <w:rPr>
          <w:rFonts w:cs="宋体"/>
          <w:strike w:val="0"/>
          <w:color w:val="auto"/>
          <w:highlight w:val="none"/>
          <w:lang w:eastAsia="zh-CN"/>
        </w:rPr>
        <w:t>）《水利水电工程围堰设计规范》（</w:t>
      </w:r>
      <w:r>
        <w:rPr>
          <w:rFonts w:hAnsi="Times New Roman" w:cs="Times New Roman"/>
          <w:strike w:val="0"/>
          <w:color w:val="auto"/>
          <w:highlight w:val="none"/>
          <w:lang w:eastAsia="zh-CN"/>
        </w:rPr>
        <w:t>SL645-2013</w:t>
      </w:r>
      <w:r>
        <w:rPr>
          <w:rFonts w:cs="宋体"/>
          <w:strike w:val="0"/>
          <w:color w:val="auto"/>
          <w:highlight w:val="none"/>
          <w:lang w:eastAsia="zh-CN"/>
        </w:rPr>
        <w:t>）。</w:t>
      </w:r>
    </w:p>
    <w:p w14:paraId="51E0A201">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11</w:t>
      </w:r>
      <w:r>
        <w:rPr>
          <w:rFonts w:cs="宋体"/>
          <w:strike w:val="0"/>
          <w:color w:val="auto"/>
          <w:highlight w:val="none"/>
          <w:lang w:eastAsia="zh-CN"/>
        </w:rPr>
        <w:t>）导流工程项目的专项技术涉及其它章节引用的标准和规程规范。</w:t>
      </w:r>
    </w:p>
    <w:p w14:paraId="7CE6D744">
      <w:pPr>
        <w:pStyle w:val="4"/>
        <w:spacing w:beforeLines="0" w:afterLines="0"/>
        <w:jc w:val="both"/>
        <w:rPr>
          <w:rFonts w:hint="eastAsia" w:cs="宋体"/>
          <w:bCs/>
          <w:strike w:val="0"/>
          <w:color w:val="auto"/>
          <w:szCs w:val="24"/>
          <w:highlight w:val="none"/>
          <w:lang w:eastAsia="zh-CN"/>
        </w:rPr>
      </w:pPr>
      <w:bookmarkStart w:id="1761" w:name="_Toc23771"/>
      <w:bookmarkStart w:id="1762" w:name="_Toc17926"/>
      <w:bookmarkStart w:id="1763" w:name="_Toc4169"/>
      <w:r>
        <w:rPr>
          <w:rFonts w:hint="eastAsia" w:cs="宋体"/>
          <w:bCs/>
          <w:strike w:val="0"/>
          <w:color w:val="auto"/>
          <w:szCs w:val="24"/>
          <w:highlight w:val="none"/>
          <w:lang w:eastAsia="zh-CN"/>
        </w:rPr>
        <w:t>5.2　施工期导流控制标准</w:t>
      </w:r>
      <w:bookmarkEnd w:id="1761"/>
      <w:bookmarkEnd w:id="1762"/>
      <w:bookmarkEnd w:id="1763"/>
    </w:p>
    <w:p w14:paraId="400C9A4D">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5.2.1</w:t>
      </w:r>
      <w:r>
        <w:rPr>
          <w:rFonts w:hint="eastAsia" w:hAnsi="Times New Roman" w:cs="Times New Roman"/>
          <w:strike w:val="0"/>
          <w:color w:val="auto"/>
          <w:highlight w:val="none"/>
          <w:lang w:eastAsia="zh-CN"/>
        </w:rPr>
        <w:t>　</w:t>
      </w:r>
      <w:r>
        <w:rPr>
          <w:rFonts w:hAnsi="楷体" w:cs="楷体"/>
          <w:strike w:val="0"/>
          <w:color w:val="auto"/>
          <w:highlight w:val="none"/>
          <w:lang w:eastAsia="zh-CN"/>
        </w:rPr>
        <w:t>施工导流及度汛标准</w:t>
      </w:r>
    </w:p>
    <w:p w14:paraId="618BD8DD">
      <w:pPr>
        <w:ind w:firstLine="420"/>
        <w:jc w:val="left"/>
        <w:rPr>
          <w:strike w:val="0"/>
          <w:color w:val="auto"/>
          <w:highlight w:val="none"/>
          <w:lang w:eastAsia="zh-CN"/>
        </w:rPr>
      </w:pPr>
      <w:r>
        <w:rPr>
          <w:rFonts w:cs="宋体"/>
          <w:strike w:val="0"/>
          <w:color w:val="auto"/>
          <w:highlight w:val="none"/>
          <w:lang w:eastAsia="zh-CN"/>
        </w:rPr>
        <w:t>承包人应根据合同确定的施工导流标准、度汛标准和度汛方式，完成施工图纸所示的挡水建筑物的施工面貌。</w:t>
      </w:r>
    </w:p>
    <w:p w14:paraId="64549DD7">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5.2.2</w:t>
      </w:r>
      <w:r>
        <w:rPr>
          <w:rFonts w:hint="eastAsia" w:hAnsi="Times New Roman" w:cs="Times New Roman"/>
          <w:strike w:val="0"/>
          <w:color w:val="auto"/>
          <w:highlight w:val="none"/>
          <w:lang w:eastAsia="zh-CN"/>
        </w:rPr>
        <w:t>　</w:t>
      </w:r>
      <w:r>
        <w:rPr>
          <w:rFonts w:hAnsi="楷体" w:cs="楷体"/>
          <w:strike w:val="0"/>
          <w:color w:val="auto"/>
          <w:highlight w:val="none"/>
          <w:lang w:eastAsia="zh-CN"/>
        </w:rPr>
        <w:t>临时通航、下游供水</w:t>
      </w:r>
      <w:r>
        <w:rPr>
          <w:rFonts w:hint="eastAsia" w:hAnsi="楷体" w:cs="楷体"/>
          <w:strike w:val="0"/>
          <w:color w:val="auto"/>
          <w:highlight w:val="none"/>
          <w:lang w:eastAsia="zh-CN"/>
        </w:rPr>
        <w:t>和排冰凌</w:t>
      </w:r>
    </w:p>
    <w:p w14:paraId="3815E6BF">
      <w:pPr>
        <w:ind w:firstLine="420"/>
        <w:jc w:val="left"/>
        <w:rPr>
          <w:rFonts w:hAnsi="Times New Roman"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1</w:t>
      </w:r>
      <w:r>
        <w:rPr>
          <w:rFonts w:cs="宋体"/>
          <w:strike w:val="0"/>
          <w:color w:val="auto"/>
          <w:highlight w:val="none"/>
          <w:lang w:eastAsia="zh-CN"/>
        </w:rPr>
        <w:t>）施工期临时通航要求：/。</w:t>
      </w:r>
    </w:p>
    <w:p w14:paraId="055D9C5A">
      <w:pPr>
        <w:ind w:firstLine="420"/>
        <w:jc w:val="left"/>
        <w:rPr>
          <w:rFonts w:cs="宋体"/>
          <w:strike w:val="0"/>
          <w:color w:val="auto"/>
          <w:highlight w:val="none"/>
          <w:lang w:eastAsia="zh-CN"/>
        </w:rPr>
      </w:pPr>
      <w:r>
        <w:rPr>
          <w:rFonts w:cs="宋体"/>
          <w:strike w:val="0"/>
          <w:color w:val="auto"/>
          <w:highlight w:val="none"/>
          <w:lang w:eastAsia="zh-CN"/>
        </w:rPr>
        <w:t>（</w:t>
      </w:r>
      <w:r>
        <w:rPr>
          <w:rFonts w:hAnsi="Times New Roman" w:cs="Times New Roman"/>
          <w:strike w:val="0"/>
          <w:color w:val="auto"/>
          <w:highlight w:val="none"/>
          <w:lang w:eastAsia="zh-CN"/>
        </w:rPr>
        <w:t>2</w:t>
      </w:r>
      <w:r>
        <w:rPr>
          <w:rFonts w:cs="宋体"/>
          <w:strike w:val="0"/>
          <w:color w:val="auto"/>
          <w:highlight w:val="none"/>
          <w:lang w:eastAsia="zh-CN"/>
        </w:rPr>
        <w:t>）下游供水要求：/。</w:t>
      </w:r>
    </w:p>
    <w:p w14:paraId="3B54827F">
      <w:pPr>
        <w:ind w:firstLine="420"/>
        <w:jc w:val="left"/>
        <w:rPr>
          <w:rFonts w:cs="宋体"/>
          <w:strike w:val="0"/>
          <w:color w:val="auto"/>
          <w:highlight w:val="none"/>
          <w:lang w:eastAsia="zh-CN"/>
        </w:rPr>
      </w:pPr>
      <w:r>
        <w:rPr>
          <w:rFonts w:cs="宋体"/>
          <w:strike w:val="0"/>
          <w:color w:val="auto"/>
          <w:highlight w:val="none"/>
          <w:lang w:eastAsia="zh-CN"/>
        </w:rPr>
        <w:t>（3）</w:t>
      </w:r>
      <w:r>
        <w:rPr>
          <w:rFonts w:hint="eastAsia" w:cs="宋体"/>
          <w:strike w:val="0"/>
          <w:color w:val="auto"/>
          <w:highlight w:val="none"/>
          <w:lang w:eastAsia="zh-CN"/>
        </w:rPr>
        <w:t>排冰凌</w:t>
      </w:r>
      <w:r>
        <w:rPr>
          <w:rFonts w:cs="宋体"/>
          <w:strike w:val="0"/>
          <w:color w:val="auto"/>
          <w:highlight w:val="none"/>
          <w:lang w:eastAsia="zh-CN"/>
        </w:rPr>
        <w:t>要求：/。</w:t>
      </w:r>
    </w:p>
    <w:p w14:paraId="59E495A6">
      <w:pPr>
        <w:pStyle w:val="4"/>
        <w:spacing w:beforeLines="0" w:afterLines="0"/>
        <w:jc w:val="both"/>
        <w:rPr>
          <w:rFonts w:hint="eastAsia" w:cs="宋体"/>
          <w:bCs/>
          <w:strike w:val="0"/>
          <w:color w:val="auto"/>
          <w:szCs w:val="24"/>
          <w:highlight w:val="none"/>
          <w:lang w:eastAsia="zh-CN"/>
        </w:rPr>
      </w:pPr>
      <w:bookmarkStart w:id="1764" w:name="_Toc6780"/>
      <w:bookmarkStart w:id="1765" w:name="_Toc8616"/>
      <w:bookmarkStart w:id="1766" w:name="_Toc10965"/>
      <w:r>
        <w:rPr>
          <w:rFonts w:hint="eastAsia" w:cs="宋体"/>
          <w:bCs/>
          <w:strike w:val="0"/>
          <w:color w:val="auto"/>
          <w:szCs w:val="24"/>
          <w:highlight w:val="none"/>
          <w:lang w:eastAsia="zh-CN"/>
        </w:rPr>
        <w:t>5.3　截流</w:t>
      </w:r>
      <w:bookmarkEnd w:id="1764"/>
      <w:bookmarkEnd w:id="1765"/>
      <w:bookmarkEnd w:id="1766"/>
    </w:p>
    <w:p w14:paraId="09B7DE64">
      <w:pPr>
        <w:ind w:firstLine="420"/>
        <w:jc w:val="left"/>
        <w:rPr>
          <w:rFonts w:hAnsi="Times New Roman" w:cs="宋体"/>
          <w:strike w:val="0"/>
          <w:color w:val="auto"/>
          <w:highlight w:val="none"/>
          <w:lang w:eastAsia="zh-CN"/>
        </w:rPr>
      </w:pPr>
      <w:r>
        <w:rPr>
          <w:rFonts w:cs="宋体"/>
          <w:strike w:val="0"/>
          <w:color w:val="auto"/>
          <w:highlight w:val="none"/>
          <w:lang w:eastAsia="zh-CN"/>
        </w:rPr>
        <w:t>/。</w:t>
      </w:r>
    </w:p>
    <w:p w14:paraId="13271406">
      <w:pPr>
        <w:pStyle w:val="4"/>
        <w:spacing w:beforeLines="0" w:afterLines="0"/>
        <w:jc w:val="both"/>
        <w:rPr>
          <w:rFonts w:hint="eastAsia" w:cs="宋体"/>
          <w:bCs/>
          <w:strike w:val="0"/>
          <w:color w:val="auto"/>
          <w:szCs w:val="24"/>
          <w:highlight w:val="none"/>
          <w:lang w:eastAsia="zh-CN"/>
        </w:rPr>
      </w:pPr>
      <w:bookmarkStart w:id="1767" w:name="_Toc1356"/>
      <w:bookmarkStart w:id="1768" w:name="_Toc21069"/>
      <w:bookmarkStart w:id="1769" w:name="_Toc13797"/>
      <w:r>
        <w:rPr>
          <w:rFonts w:hint="eastAsia" w:cs="宋体"/>
          <w:bCs/>
          <w:strike w:val="0"/>
          <w:color w:val="auto"/>
          <w:szCs w:val="24"/>
          <w:highlight w:val="none"/>
          <w:lang w:eastAsia="zh-CN"/>
        </w:rPr>
        <w:t>5.4　导流建筑物设计与施工</w:t>
      </w:r>
      <w:bookmarkEnd w:id="1767"/>
      <w:bookmarkEnd w:id="1768"/>
      <w:bookmarkEnd w:id="1769"/>
    </w:p>
    <w:p w14:paraId="0F57EF12">
      <w:pPr>
        <w:ind w:firstLine="420"/>
        <w:jc w:val="left"/>
        <w:rPr>
          <w:rFonts w:cs="宋体"/>
          <w:strike w:val="0"/>
          <w:color w:val="auto"/>
          <w:highlight w:val="none"/>
          <w:lang w:eastAsia="zh-CN"/>
        </w:rPr>
      </w:pPr>
      <w:r>
        <w:rPr>
          <w:rFonts w:cs="宋体"/>
          <w:strike w:val="0"/>
          <w:color w:val="auto"/>
          <w:highlight w:val="none"/>
          <w:lang w:eastAsia="zh-CN"/>
        </w:rPr>
        <w:t>/。</w:t>
      </w:r>
    </w:p>
    <w:p w14:paraId="5CF5C8DF">
      <w:pPr>
        <w:pStyle w:val="4"/>
        <w:spacing w:beforeLines="0" w:afterLines="0"/>
        <w:jc w:val="both"/>
        <w:rPr>
          <w:rFonts w:hint="eastAsia" w:cs="宋体"/>
          <w:bCs/>
          <w:strike w:val="0"/>
          <w:color w:val="auto"/>
          <w:szCs w:val="24"/>
          <w:highlight w:val="none"/>
          <w:lang w:eastAsia="zh-CN"/>
        </w:rPr>
      </w:pPr>
      <w:bookmarkStart w:id="1770" w:name="_Toc32454"/>
      <w:bookmarkStart w:id="1771" w:name="_Toc29100"/>
      <w:bookmarkStart w:id="1772" w:name="_Toc1845"/>
      <w:r>
        <w:rPr>
          <w:rFonts w:hint="eastAsia" w:cs="宋体"/>
          <w:bCs/>
          <w:strike w:val="0"/>
          <w:color w:val="auto"/>
          <w:szCs w:val="24"/>
          <w:highlight w:val="none"/>
          <w:lang w:eastAsia="zh-CN"/>
        </w:rPr>
        <w:t>5.5　基坑排水</w:t>
      </w:r>
      <w:bookmarkEnd w:id="1770"/>
      <w:bookmarkEnd w:id="1771"/>
      <w:bookmarkEnd w:id="1772"/>
    </w:p>
    <w:p w14:paraId="72D2524E">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5.5.1</w:t>
      </w:r>
      <w:r>
        <w:rPr>
          <w:rFonts w:hint="eastAsia" w:hAnsi="Times New Roman" w:cs="Times New Roman"/>
          <w:strike w:val="0"/>
          <w:color w:val="auto"/>
          <w:highlight w:val="none"/>
          <w:lang w:eastAsia="zh-CN"/>
        </w:rPr>
        <w:t>　</w:t>
      </w:r>
      <w:r>
        <w:rPr>
          <w:rFonts w:hAnsi="楷体" w:cs="楷体"/>
          <w:strike w:val="0"/>
          <w:color w:val="auto"/>
          <w:highlight w:val="none"/>
          <w:lang w:eastAsia="zh-CN"/>
        </w:rPr>
        <w:t>基坑初期排水</w:t>
      </w:r>
    </w:p>
    <w:p w14:paraId="6914F70C">
      <w:pPr>
        <w:ind w:firstLine="420"/>
        <w:jc w:val="left"/>
        <w:rPr>
          <w:rFonts w:hAnsi="Times New Roman" w:cs="宋体"/>
          <w:strike w:val="0"/>
          <w:color w:val="auto"/>
          <w:highlight w:val="none"/>
          <w:lang w:eastAsia="zh-CN"/>
        </w:rPr>
      </w:pPr>
      <w:r>
        <w:rPr>
          <w:rFonts w:cs="宋体"/>
          <w:strike w:val="0"/>
          <w:color w:val="auto"/>
          <w:highlight w:val="none"/>
          <w:lang w:eastAsia="zh-CN"/>
        </w:rPr>
        <w:t>承包人应负责围堰截流闭气后的基坑初期排水，初期排水量可根据围堰闭气后的基坑积水、抽水过程中围堰和基础渗水量、堰身和基坑覆盖层含水量及可能降雨量进行估算，初期排水时间应按基坑边坡的水位允许下降速度控制。</w:t>
      </w:r>
    </w:p>
    <w:p w14:paraId="6D40DE61">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5.5.2</w:t>
      </w:r>
      <w:r>
        <w:rPr>
          <w:rFonts w:hint="eastAsia" w:hAnsi="Times New Roman" w:cs="Times New Roman"/>
          <w:strike w:val="0"/>
          <w:color w:val="auto"/>
          <w:highlight w:val="none"/>
          <w:lang w:eastAsia="zh-CN"/>
        </w:rPr>
        <w:t>　</w:t>
      </w:r>
      <w:r>
        <w:rPr>
          <w:rFonts w:hAnsi="楷体" w:cs="楷体"/>
          <w:strike w:val="0"/>
          <w:color w:val="auto"/>
          <w:highlight w:val="none"/>
          <w:lang w:eastAsia="zh-CN"/>
        </w:rPr>
        <w:t>基坑经常性排水</w:t>
      </w:r>
    </w:p>
    <w:p w14:paraId="2E2609C2">
      <w:pPr>
        <w:ind w:firstLine="420"/>
        <w:jc w:val="left"/>
        <w:rPr>
          <w:rFonts w:hAnsi="Times New Roman" w:cs="宋体"/>
          <w:strike w:val="0"/>
          <w:color w:val="auto"/>
          <w:highlight w:val="none"/>
          <w:lang w:eastAsia="zh-CN"/>
        </w:rPr>
      </w:pPr>
      <w:r>
        <w:rPr>
          <w:rFonts w:cs="宋体"/>
          <w:strike w:val="0"/>
          <w:color w:val="auto"/>
          <w:highlight w:val="none"/>
          <w:lang w:eastAsia="zh-CN"/>
        </w:rPr>
        <w:t>承包人应负责排除基坑内施工期的围堰渗水、基础渗水、降水和施工废水，以及不能从施工场地地表排水系统排除而进入基坑的地表汇水，经常性排水措施计划应提交监理人。</w:t>
      </w:r>
    </w:p>
    <w:p w14:paraId="59B09B3D">
      <w:pPr>
        <w:pStyle w:val="5"/>
        <w:jc w:val="left"/>
        <w:rPr>
          <w:rFonts w:hAnsi="Times New Roman" w:cs="楷体"/>
          <w:strike w:val="0"/>
          <w:color w:val="auto"/>
          <w:highlight w:val="none"/>
          <w:lang w:eastAsia="zh-CN"/>
        </w:rPr>
      </w:pPr>
      <w:r>
        <w:rPr>
          <w:rFonts w:hAnsi="Times New Roman" w:cs="Times New Roman"/>
          <w:strike w:val="0"/>
          <w:color w:val="auto"/>
          <w:highlight w:val="none"/>
          <w:lang w:eastAsia="zh-CN"/>
        </w:rPr>
        <w:t>5.5.3</w:t>
      </w:r>
      <w:r>
        <w:rPr>
          <w:rFonts w:hint="eastAsia" w:hAnsi="Times New Roman" w:cs="Times New Roman"/>
          <w:strike w:val="0"/>
          <w:color w:val="auto"/>
          <w:highlight w:val="none"/>
          <w:lang w:eastAsia="zh-CN"/>
        </w:rPr>
        <w:t>　</w:t>
      </w:r>
      <w:r>
        <w:rPr>
          <w:rFonts w:hAnsi="楷体" w:cs="楷体"/>
          <w:strike w:val="0"/>
          <w:color w:val="auto"/>
          <w:highlight w:val="none"/>
          <w:lang w:eastAsia="zh-CN"/>
        </w:rPr>
        <w:t>基坑排水设备</w:t>
      </w:r>
    </w:p>
    <w:p w14:paraId="14E1E08E">
      <w:pPr>
        <w:ind w:firstLine="420"/>
        <w:jc w:val="left"/>
        <w:rPr>
          <w:rFonts w:hAnsi="Times New Roman" w:cs="宋体"/>
          <w:strike w:val="0"/>
          <w:color w:val="auto"/>
          <w:highlight w:val="none"/>
          <w:lang w:eastAsia="zh-CN"/>
        </w:rPr>
      </w:pPr>
      <w:r>
        <w:rPr>
          <w:rFonts w:cs="宋体"/>
          <w:strike w:val="0"/>
          <w:color w:val="auto"/>
          <w:highlight w:val="none"/>
          <w:lang w:eastAsia="zh-CN"/>
        </w:rPr>
        <w:t>承包人应负责提供基坑初期排水和经常性排水所需的全部排水设备和设施，并负责设备和设施的安装、运行和维修。承包人应保证基坑排水设备不间断持续运行，配置应急的备用设备和设施（包括备用电源），避免造成基坑积水而延误工期。</w:t>
      </w:r>
    </w:p>
    <w:p w14:paraId="283D0F2E">
      <w:pPr>
        <w:pStyle w:val="4"/>
        <w:spacing w:beforeLines="0" w:afterLines="0"/>
        <w:jc w:val="both"/>
        <w:rPr>
          <w:rFonts w:hint="eastAsia" w:cs="宋体"/>
          <w:bCs/>
          <w:color w:val="auto"/>
          <w:szCs w:val="24"/>
          <w:highlight w:val="none"/>
          <w:lang w:eastAsia="zh-CN"/>
        </w:rPr>
      </w:pPr>
      <w:bookmarkStart w:id="1773" w:name="_Toc14344"/>
      <w:bookmarkStart w:id="1774" w:name="_Toc13222"/>
      <w:bookmarkStart w:id="1775" w:name="_Toc2477"/>
      <w:r>
        <w:rPr>
          <w:rFonts w:hint="eastAsia" w:cs="宋体"/>
          <w:bCs/>
          <w:color w:val="auto"/>
          <w:szCs w:val="24"/>
          <w:highlight w:val="none"/>
          <w:lang w:eastAsia="zh-CN"/>
        </w:rPr>
        <w:t>5.6　安全度汛</w:t>
      </w:r>
      <w:bookmarkEnd w:id="1773"/>
      <w:bookmarkEnd w:id="1774"/>
      <w:bookmarkEnd w:id="1775"/>
    </w:p>
    <w:p w14:paraId="0E6E8B1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）每年汛前，发包人应会同承包人对工程的安全度汛措施和工程应达到的施工面貌进行全面检查，确保度汛安全。</w:t>
      </w:r>
    </w:p>
    <w:p w14:paraId="2BCBF0C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）每年汛前，承包人应按批准的安全度汛措施，备足防汛所需的材料和设备。</w:t>
      </w:r>
    </w:p>
    <w:p w14:paraId="5AEE5087">
      <w:pPr>
        <w:pStyle w:val="4"/>
        <w:spacing w:beforeLines="0" w:afterLines="0"/>
        <w:jc w:val="both"/>
        <w:rPr>
          <w:rFonts w:hint="eastAsia" w:cs="宋体"/>
          <w:bCs/>
          <w:color w:val="auto"/>
          <w:szCs w:val="24"/>
          <w:highlight w:val="none"/>
          <w:lang w:eastAsia="zh-CN"/>
        </w:rPr>
      </w:pPr>
      <w:bookmarkStart w:id="1776" w:name="_Toc32154"/>
      <w:bookmarkStart w:id="1777" w:name="_Toc10552"/>
      <w:bookmarkStart w:id="1778" w:name="_Toc24815"/>
      <w:r>
        <w:rPr>
          <w:rFonts w:hint="eastAsia" w:cs="宋体"/>
          <w:bCs/>
          <w:color w:val="auto"/>
          <w:szCs w:val="24"/>
          <w:highlight w:val="none"/>
          <w:lang w:eastAsia="zh-CN"/>
        </w:rPr>
        <w:t>5.7　下闸封堵和下游供水</w:t>
      </w:r>
      <w:bookmarkEnd w:id="1776"/>
      <w:bookmarkEnd w:id="1777"/>
      <w:bookmarkEnd w:id="1778"/>
    </w:p>
    <w:p w14:paraId="3830FB36">
      <w:pPr>
        <w:ind w:firstLine="420"/>
        <w:jc w:val="left"/>
        <w:rPr>
          <w:rFonts w:cs="宋体"/>
          <w:color w:val="auto"/>
          <w:highlight w:val="none"/>
          <w:lang w:eastAsia="zh-CN"/>
        </w:rPr>
      </w:pPr>
      <w:r>
        <w:rPr>
          <w:rFonts w:cs="宋体"/>
          <w:color w:val="auto"/>
          <w:highlight w:val="none"/>
          <w:lang w:eastAsia="zh-CN"/>
        </w:rPr>
        <w:t>/。</w:t>
      </w:r>
    </w:p>
    <w:p w14:paraId="3D44DB34">
      <w:pPr>
        <w:pStyle w:val="4"/>
        <w:spacing w:beforeLines="0" w:afterLines="0"/>
        <w:jc w:val="both"/>
        <w:rPr>
          <w:rFonts w:hint="eastAsia" w:hAnsi="宋体" w:cs="宋体"/>
          <w:bCs/>
          <w:color w:val="auto"/>
          <w:szCs w:val="24"/>
          <w:highlight w:val="none"/>
          <w:lang w:eastAsia="zh-CN"/>
        </w:rPr>
      </w:pPr>
      <w:bookmarkStart w:id="1779" w:name="_Toc30250"/>
      <w:bookmarkStart w:id="1780" w:name="_Toc13320"/>
      <w:bookmarkStart w:id="1781" w:name="_Toc945"/>
      <w:r>
        <w:rPr>
          <w:rFonts w:hint="eastAsia" w:cs="宋体"/>
          <w:bCs/>
          <w:color w:val="auto"/>
          <w:szCs w:val="24"/>
          <w:highlight w:val="none"/>
          <w:lang w:eastAsia="zh-CN"/>
        </w:rPr>
        <w:t>5.8　施工期临时通航</w:t>
      </w:r>
      <w:bookmarkEnd w:id="1779"/>
      <w:bookmarkEnd w:id="1780"/>
      <w:bookmarkEnd w:id="1781"/>
    </w:p>
    <w:p w14:paraId="5B2275D4">
      <w:pPr>
        <w:ind w:firstLine="420"/>
        <w:jc w:val="left"/>
        <w:rPr>
          <w:rFonts w:cs="宋体"/>
          <w:color w:val="auto"/>
          <w:highlight w:val="none"/>
          <w:lang w:eastAsia="zh-CN"/>
        </w:rPr>
      </w:pPr>
      <w:r>
        <w:rPr>
          <w:rFonts w:cs="宋体"/>
          <w:color w:val="auto"/>
          <w:highlight w:val="none"/>
          <w:lang w:eastAsia="zh-CN"/>
        </w:rPr>
        <w:t>/。</w:t>
      </w:r>
    </w:p>
    <w:p w14:paraId="68A224E6">
      <w:pPr>
        <w:pStyle w:val="4"/>
        <w:spacing w:beforeLines="0" w:afterLines="0"/>
        <w:jc w:val="both"/>
        <w:rPr>
          <w:rFonts w:hint="eastAsia" w:cs="宋体"/>
          <w:bCs/>
          <w:color w:val="auto"/>
          <w:szCs w:val="24"/>
          <w:highlight w:val="none"/>
          <w:lang w:eastAsia="zh-CN"/>
        </w:rPr>
      </w:pPr>
      <w:bookmarkStart w:id="1782" w:name="_Toc3469"/>
      <w:bookmarkStart w:id="1783" w:name="_Toc7384"/>
      <w:bookmarkStart w:id="1784" w:name="_Toc14756"/>
      <w:r>
        <w:rPr>
          <w:rFonts w:hint="eastAsia" w:cs="宋体"/>
          <w:bCs/>
          <w:color w:val="auto"/>
          <w:szCs w:val="24"/>
          <w:highlight w:val="none"/>
          <w:lang w:eastAsia="zh-CN"/>
        </w:rPr>
        <w:t>5.9　质量检查和验收</w:t>
      </w:r>
      <w:bookmarkEnd w:id="1782"/>
      <w:bookmarkEnd w:id="1783"/>
      <w:bookmarkEnd w:id="1784"/>
    </w:p>
    <w:p w14:paraId="4733DE7A">
      <w:pPr>
        <w:pStyle w:val="5"/>
        <w:jc w:val="left"/>
        <w:rPr>
          <w:rFonts w:hAnsi="Times New Roman" w:cs="楷体"/>
          <w:color w:val="auto"/>
          <w:highlight w:val="none"/>
          <w:lang w:eastAsia="zh-CN"/>
        </w:rPr>
      </w:pPr>
      <w:r>
        <w:rPr>
          <w:rFonts w:hAnsi="Times New Roman" w:cs="Times New Roman"/>
          <w:color w:val="auto"/>
          <w:highlight w:val="none"/>
          <w:lang w:eastAsia="zh-CN"/>
        </w:rPr>
        <w:t>5.9.1</w:t>
      </w:r>
      <w:r>
        <w:rPr>
          <w:rFonts w:hint="eastAsia" w:hAnsi="Times New Roman" w:cs="Times New Roman"/>
          <w:color w:val="auto"/>
          <w:highlight w:val="none"/>
          <w:lang w:eastAsia="zh-CN"/>
        </w:rPr>
        <w:t>　</w:t>
      </w:r>
      <w:r>
        <w:rPr>
          <w:rFonts w:hAnsi="楷体" w:cs="楷体"/>
          <w:color w:val="auto"/>
          <w:highlight w:val="none"/>
          <w:lang w:eastAsia="zh-CN"/>
        </w:rPr>
        <w:t>导流建筑物的质量检查</w:t>
      </w:r>
    </w:p>
    <w:p w14:paraId="6F756972">
      <w:pPr>
        <w:ind w:firstLine="420"/>
        <w:jc w:val="left"/>
        <w:rPr>
          <w:rFonts w:cs="宋体"/>
          <w:color w:val="auto"/>
          <w:highlight w:val="none"/>
          <w:lang w:eastAsia="zh-CN"/>
        </w:rPr>
      </w:pPr>
      <w:r>
        <w:rPr>
          <w:rFonts w:cs="宋体"/>
          <w:color w:val="auto"/>
          <w:highlight w:val="none"/>
          <w:lang w:eastAsia="zh-CN"/>
        </w:rPr>
        <w:t>/。</w:t>
      </w:r>
    </w:p>
    <w:p w14:paraId="52CECB76">
      <w:pPr>
        <w:pStyle w:val="5"/>
        <w:jc w:val="left"/>
        <w:rPr>
          <w:rFonts w:hAnsi="Times New Roman" w:cs="楷体"/>
          <w:color w:val="auto"/>
          <w:highlight w:val="none"/>
          <w:lang w:eastAsia="zh-CN"/>
        </w:rPr>
      </w:pPr>
      <w:r>
        <w:rPr>
          <w:rFonts w:hAnsi="Times New Roman" w:cs="Times New Roman"/>
          <w:color w:val="auto"/>
          <w:highlight w:val="none"/>
          <w:lang w:eastAsia="zh-CN"/>
        </w:rPr>
        <w:t>5.9.2</w:t>
      </w:r>
      <w:r>
        <w:rPr>
          <w:rFonts w:hint="eastAsia" w:hAnsi="Times New Roman" w:cs="Times New Roman"/>
          <w:color w:val="auto"/>
          <w:highlight w:val="none"/>
          <w:lang w:eastAsia="zh-CN"/>
        </w:rPr>
        <w:t>　</w:t>
      </w:r>
      <w:r>
        <w:rPr>
          <w:rFonts w:hAnsi="楷体" w:cs="楷体"/>
          <w:color w:val="auto"/>
          <w:highlight w:val="none"/>
          <w:lang w:eastAsia="zh-CN"/>
        </w:rPr>
        <w:t>主河床截流前验收</w:t>
      </w:r>
    </w:p>
    <w:p w14:paraId="56152974">
      <w:pPr>
        <w:ind w:firstLine="420"/>
        <w:jc w:val="left"/>
        <w:rPr>
          <w:rFonts w:cs="宋体"/>
          <w:color w:val="auto"/>
          <w:highlight w:val="none"/>
          <w:lang w:eastAsia="zh-CN"/>
        </w:rPr>
      </w:pPr>
      <w:r>
        <w:rPr>
          <w:rFonts w:cs="宋体"/>
          <w:color w:val="auto"/>
          <w:highlight w:val="none"/>
          <w:lang w:eastAsia="zh-CN"/>
        </w:rPr>
        <w:t>/。</w:t>
      </w:r>
    </w:p>
    <w:p w14:paraId="5C7020CD">
      <w:pPr>
        <w:pStyle w:val="5"/>
        <w:jc w:val="left"/>
        <w:rPr>
          <w:rFonts w:hAnsi="Times New Roman" w:cs="楷体"/>
          <w:color w:val="auto"/>
          <w:highlight w:val="none"/>
          <w:lang w:eastAsia="zh-CN"/>
        </w:rPr>
      </w:pPr>
      <w:r>
        <w:rPr>
          <w:rFonts w:hAnsi="Times New Roman" w:cs="Times New Roman"/>
          <w:color w:val="auto"/>
          <w:highlight w:val="none"/>
          <w:lang w:eastAsia="zh-CN"/>
        </w:rPr>
        <w:t>5.9.3</w:t>
      </w:r>
      <w:r>
        <w:rPr>
          <w:rFonts w:hint="eastAsia" w:hAnsi="Times New Roman" w:cs="Times New Roman"/>
          <w:color w:val="auto"/>
          <w:highlight w:val="none"/>
          <w:lang w:eastAsia="zh-CN"/>
        </w:rPr>
        <w:t>　</w:t>
      </w:r>
      <w:r>
        <w:rPr>
          <w:rFonts w:hAnsi="楷体" w:cs="楷体"/>
          <w:color w:val="auto"/>
          <w:highlight w:val="none"/>
          <w:lang w:eastAsia="zh-CN"/>
        </w:rPr>
        <w:t>水库蓄水前验收</w:t>
      </w:r>
    </w:p>
    <w:p w14:paraId="4E5669E6">
      <w:pPr>
        <w:ind w:firstLine="420"/>
        <w:jc w:val="left"/>
        <w:rPr>
          <w:rFonts w:cs="宋体"/>
          <w:color w:val="auto"/>
          <w:highlight w:val="none"/>
          <w:lang w:eastAsia="zh-CN"/>
        </w:rPr>
      </w:pPr>
      <w:r>
        <w:rPr>
          <w:rFonts w:cs="宋体"/>
          <w:color w:val="auto"/>
          <w:highlight w:val="none"/>
          <w:lang w:eastAsia="zh-CN"/>
        </w:rPr>
        <w:t>/。</w:t>
      </w:r>
    </w:p>
    <w:p w14:paraId="408F4DC5">
      <w:pPr>
        <w:pStyle w:val="4"/>
        <w:spacing w:beforeLines="0" w:afterLines="0"/>
        <w:jc w:val="both"/>
        <w:rPr>
          <w:rFonts w:hint="eastAsia" w:cs="宋体"/>
          <w:bCs/>
          <w:color w:val="auto"/>
          <w:szCs w:val="24"/>
          <w:highlight w:val="none"/>
          <w:lang w:eastAsia="zh-CN"/>
        </w:rPr>
      </w:pPr>
      <w:bookmarkStart w:id="1785" w:name="_Toc8932"/>
      <w:bookmarkStart w:id="1786" w:name="_Toc12357"/>
      <w:bookmarkStart w:id="1787" w:name="_Toc29468"/>
      <w:r>
        <w:rPr>
          <w:rFonts w:hint="eastAsia" w:cs="宋体"/>
          <w:bCs/>
          <w:color w:val="auto"/>
          <w:szCs w:val="24"/>
          <w:highlight w:val="none"/>
          <w:lang w:eastAsia="zh-CN"/>
        </w:rPr>
        <w:t>5.10　计量和支付</w:t>
      </w:r>
      <w:bookmarkEnd w:id="1785"/>
      <w:bookmarkEnd w:id="1786"/>
      <w:bookmarkEnd w:id="1787"/>
    </w:p>
    <w:p w14:paraId="10B413A4">
      <w:pPr>
        <w:ind w:firstLine="420"/>
        <w:jc w:val="left"/>
        <w:rPr>
          <w:rFonts w:cs="宋体"/>
          <w:strike w:val="0"/>
          <w:color w:val="auto"/>
          <w:highlight w:val="none"/>
          <w:lang w:eastAsia="zh-CN"/>
        </w:rPr>
      </w:pPr>
      <w:r>
        <w:rPr>
          <w:rFonts w:cs="宋体"/>
          <w:strike w:val="0"/>
          <w:color w:val="auto"/>
          <w:highlight w:val="none"/>
          <w:lang w:eastAsia="zh-CN"/>
        </w:rPr>
        <w:t>承包人按合同要求完成</w:t>
      </w:r>
      <w:r>
        <w:rPr>
          <w:rFonts w:hint="eastAsia" w:cs="宋体"/>
          <w:strike w:val="0"/>
          <w:color w:val="auto"/>
          <w:highlight w:val="none"/>
          <w:lang w:eastAsia="zh-CN"/>
        </w:rPr>
        <w:t>本章规定</w:t>
      </w:r>
      <w:r>
        <w:rPr>
          <w:rFonts w:cs="宋体"/>
          <w:strike w:val="0"/>
          <w:color w:val="auto"/>
          <w:highlight w:val="none"/>
          <w:lang w:eastAsia="zh-CN"/>
        </w:rPr>
        <w:t>工作所需的费用，包含在《工程量清单》</w:t>
      </w:r>
      <w:r>
        <w:rPr>
          <w:rFonts w:hAnsi="Times New Roman" w:cs="宋体"/>
          <w:strike w:val="0"/>
          <w:color w:val="auto"/>
          <w:highlight w:val="none"/>
          <w:lang w:eastAsia="zh-CN"/>
        </w:rPr>
        <w:t>“</w:t>
      </w:r>
      <w:r>
        <w:rPr>
          <w:rFonts w:hint="eastAsia" w:cs="宋体"/>
          <w:strike w:val="0"/>
          <w:color w:val="auto"/>
          <w:highlight w:val="none"/>
          <w:lang w:eastAsia="zh-CN"/>
        </w:rPr>
        <w:t>施工导流</w:t>
      </w:r>
      <w:r>
        <w:rPr>
          <w:rFonts w:hint="eastAsia" w:cs="宋体"/>
          <w:strike w:val="0"/>
          <w:color w:val="auto"/>
          <w:highlight w:val="none"/>
          <w:lang w:val="en-US" w:eastAsia="zh-CN"/>
        </w:rPr>
        <w:t>工程</w:t>
      </w:r>
      <w:r>
        <w:rPr>
          <w:rFonts w:hint="eastAsia" w:cs="宋体"/>
          <w:strike w:val="0"/>
          <w:color w:val="auto"/>
          <w:highlight w:val="none"/>
          <w:lang w:eastAsia="zh-CN"/>
        </w:rPr>
        <w:t>（含度汛、降水、排水）</w:t>
      </w:r>
      <w:r>
        <w:rPr>
          <w:rFonts w:hAnsi="Times New Roman" w:cs="宋体"/>
          <w:strike w:val="0"/>
          <w:color w:val="auto"/>
          <w:highlight w:val="none"/>
          <w:lang w:eastAsia="zh-CN"/>
        </w:rPr>
        <w:t>”</w:t>
      </w:r>
      <w:r>
        <w:rPr>
          <w:rFonts w:cs="宋体"/>
          <w:strike w:val="0"/>
          <w:color w:val="auto"/>
          <w:highlight w:val="none"/>
          <w:lang w:eastAsia="zh-CN"/>
        </w:rPr>
        <w:t>中，发包人</w:t>
      </w:r>
      <w:r>
        <w:rPr>
          <w:rFonts w:hint="eastAsia" w:cs="宋体"/>
          <w:strike w:val="0"/>
          <w:color w:val="auto"/>
          <w:highlight w:val="none"/>
          <w:lang w:eastAsia="zh-CN"/>
        </w:rPr>
        <w:t>按总价</w:t>
      </w:r>
      <w:r>
        <w:rPr>
          <w:rFonts w:cs="宋体"/>
          <w:strike w:val="0"/>
          <w:color w:val="auto"/>
          <w:highlight w:val="none"/>
          <w:lang w:eastAsia="zh-CN"/>
        </w:rPr>
        <w:t>支付。</w:t>
      </w:r>
    </w:p>
    <w:p w14:paraId="1E8671FA">
      <w:pPr>
        <w:suppressAutoHyphens/>
        <w:ind w:firstLine="420"/>
        <w:jc w:val="left"/>
        <w:rPr>
          <w:color w:val="auto"/>
          <w:highlight w:val="none"/>
          <w:lang w:eastAsia="zh-CN"/>
        </w:rPr>
      </w:pPr>
      <w:r>
        <w:rPr>
          <w:rFonts w:hint="eastAsia" w:eastAsia="宋体"/>
          <w:color w:val="auto"/>
          <w:highlight w:val="none"/>
          <w:lang w:eastAsia="zh-CN"/>
        </w:rPr>
        <w:t>除超常规排水外，隧洞抽排水设备设施和日常排水的费用均</w:t>
      </w:r>
      <w:r>
        <w:rPr>
          <w:rFonts w:hint="eastAsia" w:ascii="宋体" w:eastAsia="宋体"/>
          <w:color w:val="auto"/>
          <w:highlight w:val="none"/>
          <w:lang w:val="en-US" w:eastAsia="zh-CN"/>
        </w:rPr>
        <w:t>已</w:t>
      </w:r>
      <w:r>
        <w:rPr>
          <w:rFonts w:hint="eastAsia" w:eastAsia="宋体"/>
          <w:color w:val="auto"/>
          <w:highlight w:val="none"/>
          <w:lang w:eastAsia="zh-CN"/>
        </w:rPr>
        <w:t>计入《</w:t>
      </w:r>
      <w:r>
        <w:rPr>
          <w:rFonts w:hint="eastAsia" w:ascii="宋体" w:eastAsia="宋体"/>
          <w:color w:val="auto"/>
          <w:highlight w:val="none"/>
          <w:lang w:val="en-US" w:eastAsia="zh-CN"/>
        </w:rPr>
        <w:t>措施项目清单》“施工导流工程（含度汛、降水、排水）”</w:t>
      </w:r>
      <w:r>
        <w:rPr>
          <w:rFonts w:hint="eastAsia" w:eastAsia="宋体"/>
          <w:color w:val="auto"/>
          <w:highlight w:val="none"/>
          <w:lang w:eastAsia="zh-CN"/>
        </w:rPr>
        <w:t>，</w:t>
      </w:r>
      <w:r>
        <w:rPr>
          <w:rFonts w:hint="eastAsia" w:ascii="宋体" w:eastAsia="宋体"/>
          <w:color w:val="auto"/>
          <w:highlight w:val="none"/>
          <w:lang w:val="en-US" w:eastAsia="zh-CN"/>
        </w:rPr>
        <w:t>由</w:t>
      </w:r>
      <w:r>
        <w:rPr>
          <w:rFonts w:hint="eastAsia" w:eastAsia="宋体"/>
          <w:color w:val="auto"/>
          <w:highlight w:val="none"/>
          <w:lang w:eastAsia="zh-CN"/>
        </w:rPr>
        <w:t>发包人</w:t>
      </w:r>
      <w:r>
        <w:rPr>
          <w:rFonts w:hint="eastAsia" w:ascii="宋体" w:eastAsia="宋体"/>
          <w:color w:val="auto"/>
          <w:highlight w:val="none"/>
          <w:lang w:val="en-US" w:eastAsia="zh-CN"/>
        </w:rPr>
        <w:t>按总价</w:t>
      </w:r>
      <w:r>
        <w:rPr>
          <w:rFonts w:hint="eastAsia" w:eastAsia="宋体"/>
          <w:color w:val="auto"/>
          <w:highlight w:val="none"/>
          <w:lang w:eastAsia="zh-CN"/>
        </w:rPr>
        <w:t>支付。</w:t>
      </w:r>
    </w:p>
    <w:p w14:paraId="6126468B">
      <w:pPr>
        <w:ind w:firstLine="420"/>
        <w:jc w:val="left"/>
        <w:rPr>
          <w:rFonts w:cs="宋体"/>
          <w:strike w:val="0"/>
          <w:color w:val="auto"/>
          <w:highlight w:val="none"/>
          <w:lang w:eastAsia="zh-CN"/>
        </w:rPr>
      </w:pPr>
      <w:r>
        <w:rPr>
          <w:rFonts w:hint="eastAsia" w:eastAsia="宋体"/>
          <w:color w:val="auto"/>
          <w:highlight w:val="none"/>
          <w:lang w:eastAsia="zh-CN"/>
        </w:rPr>
        <w:t>超常规排水由发包人按《工程量清单》“隧洞排水”项目实际抽排水的每立方米工程单价支付。超常规排水指隧洞涌水量超过</w:t>
      </w:r>
      <w:r>
        <w:rPr>
          <w:rFonts w:hint="eastAsia"/>
          <w:color w:val="auto"/>
          <w:highlight w:val="none"/>
          <w:lang w:val="en-US" w:eastAsia="zh-CN"/>
        </w:rPr>
        <w:t>50</w:t>
      </w:r>
      <w:r>
        <w:rPr>
          <w:color w:val="auto"/>
          <w:highlight w:val="none"/>
          <w:lang w:eastAsia="zh-CN"/>
        </w:rPr>
        <w:t>0</w:t>
      </w:r>
      <w:r>
        <w:rPr>
          <w:rFonts w:hint="eastAsia" w:ascii="宋体" w:eastAsia="宋体"/>
          <w:color w:val="auto"/>
          <w:highlight w:val="none"/>
          <w:lang w:val="en-US" w:eastAsia="zh-CN"/>
        </w:rPr>
        <w:t>m</w:t>
      </w:r>
      <w:r>
        <w:rPr>
          <w:rFonts w:hint="eastAsia" w:ascii="宋体" w:eastAsia="宋体"/>
          <w:color w:val="auto"/>
          <w:highlight w:val="none"/>
          <w:vertAlign w:val="superscript"/>
          <w:lang w:val="en-US" w:eastAsia="zh-CN"/>
        </w:rPr>
        <w:t>3</w:t>
      </w:r>
      <w:r>
        <w:rPr>
          <w:color w:val="auto"/>
          <w:highlight w:val="none"/>
          <w:lang w:eastAsia="zh-CN"/>
        </w:rPr>
        <w:t>/</w:t>
      </w:r>
      <w:r>
        <w:rPr>
          <w:rFonts w:hint="eastAsia" w:ascii="宋体" w:eastAsia="宋体"/>
          <w:color w:val="auto"/>
          <w:highlight w:val="none"/>
          <w:lang w:val="en-US" w:eastAsia="zh-CN"/>
        </w:rPr>
        <w:t>天</w:t>
      </w:r>
      <w:r>
        <w:rPr>
          <w:rFonts w:hint="eastAsia"/>
          <w:color w:val="auto"/>
          <w:highlight w:val="none"/>
          <w:lang w:val="en-US" w:eastAsia="zh-CN"/>
        </w:rPr>
        <w:t xml:space="preserve"> </w:t>
      </w:r>
      <w:r>
        <w:rPr>
          <w:rFonts w:hint="eastAsia" w:eastAsia="宋体"/>
          <w:color w:val="auto"/>
          <w:highlight w:val="none"/>
          <w:lang w:eastAsia="zh-CN"/>
        </w:rPr>
        <w:t>，应由发包人、设计单位、监理单位、承包人各方共同确定为超常规排水，</w:t>
      </w:r>
      <w:r>
        <w:rPr>
          <w:rFonts w:hint="eastAsia" w:ascii="宋体" w:eastAsia="宋体"/>
          <w:color w:val="auto"/>
          <w:highlight w:val="none"/>
          <w:lang w:val="en-US" w:eastAsia="zh-CN"/>
        </w:rPr>
        <w:t>相关费用按合同第15.4款计量计价</w:t>
      </w:r>
      <w:r>
        <w:rPr>
          <w:rFonts w:hint="eastAsia" w:eastAsia="宋体"/>
          <w:color w:val="auto"/>
          <w:highlight w:val="none"/>
          <w:lang w:eastAsia="zh-CN"/>
        </w:rPr>
        <w:t>。</w:t>
      </w:r>
    </w:p>
    <w:p w14:paraId="00071431">
      <w:pPr>
        <w:pStyle w:val="3"/>
        <w:spacing w:beforeLines="0" w:afterLines="0" w:line="360" w:lineRule="auto"/>
        <w:jc w:val="both"/>
        <w:outlineLvl w:val="1"/>
        <w:rPr>
          <w:rFonts w:hint="eastAsia" w:cs="宋体"/>
          <w:color w:val="auto"/>
          <w:sz w:val="30"/>
          <w:szCs w:val="30"/>
          <w:highlight w:val="none"/>
        </w:rPr>
      </w:pPr>
      <w:bookmarkStart w:id="1788" w:name="_Toc22805"/>
      <w:bookmarkStart w:id="1789" w:name="_Toc29769"/>
      <w:bookmarkStart w:id="1790" w:name="_Toc12350"/>
      <w:bookmarkStart w:id="1791" w:name="_Toc30507"/>
      <w:bookmarkStart w:id="1792" w:name="_Toc31665"/>
      <w:bookmarkStart w:id="1793" w:name="_Toc2359"/>
      <w:bookmarkStart w:id="1794" w:name="_Toc26531"/>
      <w:bookmarkStart w:id="1795" w:name="_Toc9090"/>
      <w:bookmarkStart w:id="1796" w:name="_Toc714"/>
      <w:bookmarkStart w:id="1797" w:name="_Toc8609"/>
      <w:bookmarkStart w:id="1798" w:name="_Toc9700"/>
      <w:bookmarkStart w:id="1799" w:name="_Toc3534"/>
      <w:bookmarkStart w:id="1800" w:name="_Toc1196"/>
      <w:bookmarkStart w:id="1801" w:name="_Toc5324"/>
      <w:bookmarkStart w:id="1802" w:name="_Toc28030"/>
      <w:r>
        <w:rPr>
          <w:rFonts w:hint="eastAsia" w:cs="宋体"/>
          <w:color w:val="auto"/>
          <w:sz w:val="30"/>
          <w:szCs w:val="30"/>
          <w:highlight w:val="none"/>
        </w:rPr>
        <w:t>6</w:t>
      </w:r>
      <w:r>
        <w:rPr>
          <w:rFonts w:hint="eastAsia" w:cs="宋体"/>
          <w:color w:val="auto"/>
          <w:sz w:val="30"/>
          <w:szCs w:val="30"/>
          <w:highlight w:val="none"/>
          <w:lang w:eastAsia="zh-CN"/>
        </w:rPr>
        <w:t>　</w:t>
      </w:r>
      <w:r>
        <w:rPr>
          <w:rFonts w:hint="eastAsia" w:cs="宋体"/>
          <w:color w:val="auto"/>
          <w:sz w:val="30"/>
          <w:szCs w:val="30"/>
          <w:highlight w:val="none"/>
        </w:rPr>
        <w:t>土方明挖</w:t>
      </w:r>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p>
    <w:p w14:paraId="58FEACB2">
      <w:pPr>
        <w:pStyle w:val="4"/>
        <w:spacing w:beforeLines="0" w:afterLines="0"/>
        <w:jc w:val="both"/>
        <w:rPr>
          <w:rFonts w:hint="eastAsia" w:hAnsi="宋体" w:cs="宋体"/>
          <w:bCs/>
          <w:color w:val="auto"/>
          <w:szCs w:val="24"/>
          <w:highlight w:val="none"/>
          <w:lang w:eastAsia="zh-CN"/>
        </w:rPr>
      </w:pPr>
      <w:bookmarkStart w:id="1803" w:name="_Toc3419"/>
      <w:bookmarkStart w:id="1804" w:name="_Toc3649"/>
      <w:bookmarkStart w:id="1805" w:name="_Toc21961"/>
      <w:r>
        <w:rPr>
          <w:rFonts w:hint="eastAsia" w:cs="宋体"/>
          <w:bCs/>
          <w:color w:val="auto"/>
          <w:szCs w:val="24"/>
          <w:highlight w:val="none"/>
          <w:lang w:eastAsia="zh-CN"/>
        </w:rPr>
        <w:t>6.1　一般规定</w:t>
      </w:r>
      <w:bookmarkEnd w:id="1803"/>
      <w:bookmarkEnd w:id="1804"/>
      <w:bookmarkEnd w:id="1805"/>
    </w:p>
    <w:p w14:paraId="051F91B2">
      <w:pPr>
        <w:pStyle w:val="5"/>
        <w:jc w:val="left"/>
        <w:rPr>
          <w:rFonts w:hAnsi="Times New Roman" w:cs="楷体"/>
          <w:color w:val="auto"/>
          <w:highlight w:val="none"/>
          <w:lang w:eastAsia="zh-CN"/>
        </w:rPr>
      </w:pPr>
      <w:r>
        <w:rPr>
          <w:rFonts w:hAnsi="Times New Roman" w:cs="Times New Roman"/>
          <w:color w:val="auto"/>
          <w:highlight w:val="none"/>
          <w:lang w:eastAsia="zh-CN"/>
        </w:rPr>
        <w:t>6.1.1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40A4E80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）本章规定适用于本合同施工图纸所示的永久和临时工程覆盖层等的明挖工程。</w:t>
      </w:r>
      <w:r>
        <w:rPr>
          <w:rFonts w:hint="eastAsia"/>
          <w:color w:val="auto"/>
          <w:highlight w:val="none"/>
          <w:lang w:val="zh-CN" w:eastAsia="zh-CN"/>
        </w:rPr>
        <w:t>其开挖工作内容包括（但不限于）：准备工作、场地清理、</w:t>
      </w:r>
      <w:r>
        <w:rPr>
          <w:rFonts w:hint="eastAsia"/>
          <w:color w:val="auto"/>
          <w:highlight w:val="none"/>
          <w:lang w:eastAsia="zh-CN"/>
        </w:rPr>
        <w:t>表层土剥离、</w:t>
      </w:r>
      <w:r>
        <w:rPr>
          <w:rFonts w:hint="eastAsia"/>
          <w:color w:val="auto"/>
          <w:highlight w:val="none"/>
          <w:lang w:val="zh-CN" w:eastAsia="zh-CN"/>
        </w:rPr>
        <w:t>土方开挖、施工期排水、施工期边坡监测、完工验收前的维护，以及将开挖可利用或废弃的土方运至监理人指定的堆放区，并按环境保护要求对边坡进行保护、治理等工作。</w:t>
      </w:r>
    </w:p>
    <w:p w14:paraId="0862B21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）本章不包括膨胀性土、多年冻土等特殊地质条件的土方工程。</w:t>
      </w:r>
    </w:p>
    <w:p w14:paraId="18FC92E2">
      <w:pPr>
        <w:pStyle w:val="5"/>
        <w:jc w:val="left"/>
        <w:rPr>
          <w:rFonts w:hAnsi="Times New Roman" w:cs="楷体"/>
          <w:color w:val="auto"/>
          <w:highlight w:val="none"/>
          <w:lang w:eastAsia="zh-CN"/>
        </w:rPr>
      </w:pPr>
      <w:r>
        <w:rPr>
          <w:rFonts w:hAnsi="Times New Roman" w:cs="Times New Roman"/>
          <w:color w:val="auto"/>
          <w:highlight w:val="none"/>
          <w:lang w:eastAsia="zh-CN"/>
        </w:rPr>
        <w:t>6.1.2</w:t>
      </w:r>
      <w:r>
        <w:rPr>
          <w:rFonts w:hint="eastAsia" w:hAnsi="Times New Roman" w:cs="Times New Roman"/>
          <w:color w:val="auto"/>
          <w:highlight w:val="none"/>
          <w:lang w:eastAsia="zh-CN"/>
        </w:rPr>
        <w:t>　</w:t>
      </w:r>
      <w:r>
        <w:rPr>
          <w:rFonts w:hAnsi="楷体" w:cs="楷体"/>
          <w:color w:val="auto"/>
          <w:highlight w:val="none"/>
          <w:lang w:eastAsia="zh-CN"/>
        </w:rPr>
        <w:t>承包人责任</w:t>
      </w:r>
    </w:p>
    <w:p w14:paraId="72F77C40">
      <w:pPr>
        <w:suppressAutoHyphens/>
        <w:ind w:firstLine="420"/>
        <w:jc w:val="left"/>
        <w:rPr>
          <w:color w:val="auto"/>
          <w:highlight w:val="none"/>
          <w:lang w:val="zh-CN" w:eastAsia="zh-CN"/>
        </w:rPr>
      </w:pPr>
      <w:r>
        <w:rPr>
          <w:rFonts w:hint="eastAsia"/>
          <w:color w:val="auto"/>
          <w:highlight w:val="none"/>
          <w:lang w:val="zh-CN" w:eastAsia="zh-CN"/>
        </w:rPr>
        <w:t>（1）承包人应根据本技术条款和施工图纸要求，以及监理人的指示，按土方明挖工程的开挖线进行施工</w:t>
      </w:r>
      <w:r>
        <w:rPr>
          <w:rFonts w:hint="eastAsia"/>
          <w:color w:val="auto"/>
          <w:highlight w:val="none"/>
          <w:lang w:val="en-US" w:eastAsia="zh-CN"/>
        </w:rPr>
        <w:t>。</w:t>
      </w:r>
      <w:r>
        <w:rPr>
          <w:rFonts w:hint="eastAsia"/>
          <w:color w:val="auto"/>
          <w:highlight w:val="none"/>
          <w:lang w:val="zh-CN" w:eastAsia="zh-CN"/>
        </w:rPr>
        <w:t>若在开挖过程中偏离了指定开挖线，应重新修整到监理人认为合格为止。因承包人自身施工失误所增加的工程量，以及由此增加的额外费用均由承包人承担。</w:t>
      </w:r>
    </w:p>
    <w:p w14:paraId="561D441B">
      <w:pPr>
        <w:suppressAutoHyphens/>
        <w:ind w:firstLine="420"/>
        <w:jc w:val="left"/>
        <w:rPr>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2</w:t>
      </w:r>
      <w:r>
        <w:rPr>
          <w:rFonts w:hint="eastAsia"/>
          <w:color w:val="auto"/>
          <w:highlight w:val="none"/>
          <w:lang w:val="zh-CN" w:eastAsia="zh-CN"/>
        </w:rPr>
        <w:t>）在施工前，承包人应详细了解工程地质结构、地形地貌和水文地质情况。</w:t>
      </w:r>
      <w:r>
        <w:rPr>
          <w:rFonts w:hint="eastAsia"/>
          <w:color w:val="auto"/>
          <w:highlight w:val="none"/>
          <w:lang w:val="en-US" w:eastAsia="zh-CN"/>
        </w:rPr>
        <w:t>承包人应</w:t>
      </w:r>
      <w:r>
        <w:rPr>
          <w:rFonts w:hint="eastAsia"/>
          <w:color w:val="auto"/>
          <w:highlight w:val="none"/>
          <w:lang w:val="zh-CN" w:eastAsia="zh-CN"/>
        </w:rPr>
        <w:t>对可能引起的滑坡和崩塌体,及时采取有效的预防性保护措施；</w:t>
      </w:r>
      <w:r>
        <w:rPr>
          <w:rFonts w:hAnsi="宋体" w:cs="宋体"/>
          <w:color w:val="auto"/>
          <w:szCs w:val="24"/>
          <w:highlight w:val="none"/>
        </w:rPr>
        <w:t>在陡坡下施工，应事先做好安全清理和支护</w:t>
      </w:r>
      <w:r>
        <w:rPr>
          <w:rFonts w:hint="eastAsia" w:hAnsi="宋体" w:cs="宋体"/>
          <w:color w:val="auto"/>
          <w:szCs w:val="24"/>
          <w:highlight w:val="none"/>
          <w:lang w:eastAsia="zh-CN"/>
        </w:rPr>
        <w:t>。</w:t>
      </w:r>
      <w:r>
        <w:rPr>
          <w:rFonts w:hint="eastAsia"/>
          <w:color w:val="auto"/>
          <w:highlight w:val="none"/>
          <w:lang w:val="zh-CN" w:eastAsia="zh-CN"/>
        </w:rPr>
        <w:t>在高边坡下施工，应仔细检查边坡的稳定性，如遇有孤石、崩塌体等，应事先作好妥善清理和支护。</w:t>
      </w:r>
    </w:p>
    <w:p w14:paraId="06078D11">
      <w:pPr>
        <w:suppressAutoHyphens/>
        <w:ind w:firstLine="420"/>
        <w:jc w:val="left"/>
        <w:rPr>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3</w:t>
      </w:r>
      <w:r>
        <w:rPr>
          <w:rFonts w:hint="eastAsia"/>
          <w:color w:val="auto"/>
          <w:highlight w:val="none"/>
          <w:lang w:val="zh-CN" w:eastAsia="zh-CN"/>
        </w:rPr>
        <w:t>）在已有建筑物附近进行开挖时，承包人必须采取可靠的施工措施保证其原有建筑物的稳定和安全，</w:t>
      </w:r>
      <w:r>
        <w:rPr>
          <w:rFonts w:hint="eastAsia"/>
          <w:color w:val="auto"/>
          <w:highlight w:val="none"/>
          <w:lang w:eastAsia="zh-CN"/>
        </w:rPr>
        <w:t>并开展安全监测，</w:t>
      </w:r>
      <w:r>
        <w:rPr>
          <w:rFonts w:hint="eastAsia"/>
          <w:color w:val="auto"/>
          <w:highlight w:val="none"/>
          <w:lang w:val="zh-CN" w:eastAsia="zh-CN"/>
        </w:rPr>
        <w:t>尽可能做到不影响其正常使用。</w:t>
      </w:r>
    </w:p>
    <w:p w14:paraId="64F624ED">
      <w:pPr>
        <w:suppressAutoHyphens/>
        <w:ind w:firstLine="420"/>
        <w:jc w:val="left"/>
        <w:rPr>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4</w:t>
      </w:r>
      <w:r>
        <w:rPr>
          <w:rFonts w:hint="eastAsia"/>
          <w:color w:val="auto"/>
          <w:highlight w:val="none"/>
          <w:lang w:val="zh-CN" w:eastAsia="zh-CN"/>
        </w:rPr>
        <w:t>）承包人应在开挖的危险作业地带设置安全防护设施和明显的安全警示标志。</w:t>
      </w:r>
    </w:p>
    <w:p w14:paraId="1FB3A7B7">
      <w:pPr>
        <w:suppressAutoHyphens/>
        <w:ind w:firstLine="420"/>
        <w:jc w:val="left"/>
        <w:rPr>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5</w:t>
      </w:r>
      <w:r>
        <w:rPr>
          <w:rFonts w:hint="eastAsia"/>
          <w:color w:val="auto"/>
          <w:highlight w:val="none"/>
          <w:lang w:val="zh-CN" w:eastAsia="zh-CN"/>
        </w:rPr>
        <w:t>）承包人为其施工需要，在本合同施工图纸开挖线以外进行的开挖，应在该开挖工作开始前，书面报监理人审批，并应注意保持永久边坡的稳定，其所增加的开挖、填筑（含混凝土回填）等费用由承包人计入报价，发包人不另行支付。</w:t>
      </w:r>
    </w:p>
    <w:p w14:paraId="5D1933CA">
      <w:pPr>
        <w:pStyle w:val="5"/>
        <w:jc w:val="left"/>
        <w:rPr>
          <w:rFonts w:hAnsi="Times New Roman" w:cs="楷体"/>
          <w:color w:val="auto"/>
          <w:highlight w:val="none"/>
          <w:lang w:eastAsia="zh-CN"/>
        </w:rPr>
      </w:pPr>
      <w:r>
        <w:rPr>
          <w:rFonts w:hAnsi="Times New Roman" w:cs="Times New Roman"/>
          <w:color w:val="auto"/>
          <w:highlight w:val="none"/>
          <w:lang w:eastAsia="zh-CN"/>
        </w:rPr>
        <w:t>6.1.3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7E577DD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）开挖放样资料</w:t>
      </w:r>
    </w:p>
    <w:p w14:paraId="1D58F053">
      <w:pPr>
        <w:ind w:firstLine="420"/>
        <w:jc w:val="left"/>
        <w:rPr>
          <w:rFonts w:hAnsi="Times New Roman" w:cs="宋体"/>
          <w:color w:val="auto"/>
          <w:highlight w:val="none"/>
          <w:lang w:eastAsia="zh-CN"/>
        </w:rPr>
      </w:pPr>
      <w:r>
        <w:rPr>
          <w:rFonts w:cs="宋体"/>
          <w:color w:val="auto"/>
          <w:highlight w:val="none"/>
          <w:lang w:eastAsia="zh-CN"/>
        </w:rPr>
        <w:t>每项单位工程开工前</w:t>
      </w:r>
      <w:r>
        <w:rPr>
          <w:rFonts w:hint="eastAsia" w:cs="宋体"/>
          <w:color w:val="auto"/>
          <w:highlight w:val="none"/>
          <w:u w:val="single"/>
          <w:lang w:val="en-US" w:eastAsia="zh-CN"/>
        </w:rPr>
        <w:t xml:space="preserve">  </w:t>
      </w:r>
      <w:r>
        <w:rPr>
          <w:rFonts w:cs="宋体"/>
          <w:color w:val="auto"/>
          <w:highlight w:val="none"/>
          <w:u w:val="single"/>
          <w:lang w:eastAsia="zh-CN"/>
        </w:rPr>
        <w:t>14</w:t>
      </w:r>
      <w:r>
        <w:rPr>
          <w:rFonts w:hint="eastAsia" w:cs="宋体"/>
          <w:color w:val="auto"/>
          <w:highlight w:val="none"/>
          <w:u w:val="single"/>
          <w:lang w:val="en-US" w:eastAsia="zh-CN"/>
        </w:rPr>
        <w:t xml:space="preserve">  </w:t>
      </w:r>
      <w:r>
        <w:rPr>
          <w:rFonts w:cs="宋体"/>
          <w:color w:val="auto"/>
          <w:highlight w:val="none"/>
          <w:lang w:eastAsia="zh-CN"/>
        </w:rPr>
        <w:t>天，承包人应将开挖前实测地形和开挖放样剖面图提交监理人批准，批准后方可进行开挖</w:t>
      </w:r>
      <w:r>
        <w:rPr>
          <w:rFonts w:hint="eastAsia" w:cs="宋体"/>
          <w:color w:val="auto"/>
          <w:highlight w:val="none"/>
          <w:lang w:val="en-US" w:eastAsia="zh-CN"/>
        </w:rPr>
        <w:t>。</w:t>
      </w:r>
      <w:r>
        <w:rPr>
          <w:rFonts w:hint="eastAsia" w:cs="宋体"/>
          <w:color w:val="auto"/>
          <w:highlight w:val="none"/>
          <w:lang w:eastAsia="zh-CN"/>
        </w:rPr>
        <w:t>在开挖结束后，承包人须对开挖范围内的地形进行测量，测量成果报送监理人复核。监理人的批准，不减轻承包人对其开挖放线准确性应负的责任</w:t>
      </w:r>
      <w:r>
        <w:rPr>
          <w:rFonts w:cs="宋体"/>
          <w:color w:val="auto"/>
          <w:highlight w:val="none"/>
          <w:lang w:eastAsia="zh-CN"/>
        </w:rPr>
        <w:t>。</w:t>
      </w:r>
    </w:p>
    <w:p w14:paraId="51DE498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）施工措施计划</w:t>
      </w:r>
    </w:p>
    <w:p w14:paraId="0530A995">
      <w:pPr>
        <w:ind w:firstLine="420"/>
        <w:jc w:val="left"/>
        <w:rPr>
          <w:rFonts w:hAnsi="Times New Roman" w:cs="宋体"/>
          <w:color w:val="auto"/>
          <w:highlight w:val="none"/>
          <w:lang w:eastAsia="zh-CN"/>
        </w:rPr>
      </w:pPr>
      <w:r>
        <w:rPr>
          <w:rFonts w:cs="宋体"/>
          <w:color w:val="auto"/>
          <w:highlight w:val="none"/>
          <w:lang w:eastAsia="zh-CN"/>
        </w:rPr>
        <w:t>承包人应在本工程或每项单位工程开工前</w:t>
      </w:r>
      <w:r>
        <w:rPr>
          <w:rFonts w:hint="eastAsia" w:cs="宋体"/>
          <w:color w:val="auto"/>
          <w:highlight w:val="none"/>
          <w:u w:val="single"/>
          <w:lang w:val="en-US" w:eastAsia="zh-CN"/>
        </w:rPr>
        <w:t xml:space="preserve">  14  </w:t>
      </w:r>
      <w:r>
        <w:rPr>
          <w:rFonts w:cs="宋体"/>
          <w:color w:val="auto"/>
          <w:highlight w:val="none"/>
          <w:lang w:eastAsia="zh-CN"/>
        </w:rPr>
        <w:t>天，按施工图纸和监理人指示，编制土方明挖工程的施工措施计划，提交监理人批准，其内容包括：</w:t>
      </w:r>
    </w:p>
    <w:p w14:paraId="2E3C7669">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）开挖施工平面布置图（含施工交通线路布置图）。</w:t>
      </w:r>
    </w:p>
    <w:p w14:paraId="5F6D9ADC">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）开挖程序与开挖方法。</w:t>
      </w:r>
    </w:p>
    <w:p w14:paraId="0D79225E">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）施工设备的配置和劳动力安排。</w:t>
      </w:r>
    </w:p>
    <w:p w14:paraId="4518D4D1">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）开挖边坡的排水和边坡保护措施。</w:t>
      </w:r>
    </w:p>
    <w:p w14:paraId="49C52CF2">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）土料利用和弃渣措施。</w:t>
      </w:r>
    </w:p>
    <w:p w14:paraId="0D88487E">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）质量与安全保证措施。</w:t>
      </w:r>
    </w:p>
    <w:p w14:paraId="776F9B79">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）主要开挖工程施工进度计划</w:t>
      </w:r>
      <w:r>
        <w:rPr>
          <w:rFonts w:hint="eastAsia" w:cs="宋体"/>
          <w:color w:val="auto"/>
          <w:highlight w:val="none"/>
          <w:lang w:eastAsia="zh-CN"/>
        </w:rPr>
        <w:t>、水保环保措施</w:t>
      </w:r>
      <w:r>
        <w:rPr>
          <w:rFonts w:cs="宋体"/>
          <w:color w:val="auto"/>
          <w:highlight w:val="none"/>
          <w:lang w:eastAsia="zh-CN"/>
        </w:rPr>
        <w:t>等。</w:t>
      </w:r>
    </w:p>
    <w:p w14:paraId="754B3C0A">
      <w:pPr>
        <w:pStyle w:val="5"/>
        <w:jc w:val="left"/>
        <w:rPr>
          <w:rFonts w:hAnsi="楷体" w:cs="楷体"/>
          <w:color w:val="auto"/>
          <w:highlight w:val="none"/>
          <w:lang w:eastAsia="zh-CN"/>
        </w:rPr>
      </w:pPr>
      <w:r>
        <w:rPr>
          <w:rFonts w:hAnsi="Times New Roman" w:cs="Times New Roman"/>
          <w:color w:val="auto"/>
          <w:highlight w:val="none"/>
          <w:lang w:eastAsia="zh-CN"/>
        </w:rPr>
        <w:t>6.1.4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6B516CA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）《水利工程工程量清单计价规范》（</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50501-2007</w:t>
      </w:r>
      <w:r>
        <w:rPr>
          <w:rFonts w:cs="宋体"/>
          <w:color w:val="auto"/>
          <w:highlight w:val="none"/>
          <w:lang w:eastAsia="zh-CN"/>
        </w:rPr>
        <w:t>）。</w:t>
      </w:r>
    </w:p>
    <w:p w14:paraId="51D843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）《建筑地基基础工程施工质量验收标准》（</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50202-2018</w:t>
      </w:r>
      <w:r>
        <w:rPr>
          <w:rFonts w:cs="宋体"/>
          <w:color w:val="auto"/>
          <w:highlight w:val="none"/>
          <w:lang w:eastAsia="zh-CN"/>
        </w:rPr>
        <w:t>）。</w:t>
      </w:r>
    </w:p>
    <w:p w14:paraId="7A3FA87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）《水利水电工程施工组织设计规范》（</w:t>
      </w:r>
      <w:r>
        <w:rPr>
          <w:rFonts w:hAnsi="Times New Roman" w:cs="Times New Roman"/>
          <w:color w:val="auto"/>
          <w:highlight w:val="none"/>
          <w:lang w:eastAsia="zh-CN"/>
        </w:rPr>
        <w:t>SL303-2017</w:t>
      </w:r>
      <w:r>
        <w:rPr>
          <w:rFonts w:cs="宋体"/>
          <w:color w:val="auto"/>
          <w:highlight w:val="none"/>
          <w:lang w:eastAsia="zh-CN"/>
        </w:rPr>
        <w:t>）。</w:t>
      </w:r>
    </w:p>
    <w:p w14:paraId="3D7B8A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w:t>
      </w:r>
      <w:r>
        <w:rPr>
          <w:rFonts w:hint="eastAsia" w:cs="宋体"/>
          <w:color w:val="auto"/>
          <w:highlight w:val="none"/>
          <w:lang w:eastAsia="zh-CN"/>
        </w:rPr>
        <w:t>《水利工程工程量清单计价规范（GB50501-2007）》</w:t>
      </w:r>
      <w:r>
        <w:rPr>
          <w:rFonts w:cs="宋体"/>
          <w:color w:val="auto"/>
          <w:highlight w:val="none"/>
          <w:lang w:eastAsia="zh-CN"/>
        </w:rPr>
        <w:t>。</w:t>
      </w:r>
    </w:p>
    <w:p w14:paraId="38EABBDC">
      <w:pPr>
        <w:pStyle w:val="4"/>
        <w:spacing w:beforeLines="0" w:afterLines="0"/>
        <w:jc w:val="both"/>
        <w:rPr>
          <w:rFonts w:hint="eastAsia" w:cs="宋体"/>
          <w:bCs/>
          <w:color w:val="auto"/>
          <w:szCs w:val="24"/>
          <w:highlight w:val="none"/>
          <w:lang w:eastAsia="zh-CN"/>
        </w:rPr>
      </w:pPr>
      <w:bookmarkStart w:id="1806" w:name="_Toc10002"/>
      <w:bookmarkStart w:id="1807" w:name="_Toc22783"/>
      <w:bookmarkStart w:id="1808" w:name="_Toc15445"/>
      <w:r>
        <w:rPr>
          <w:rFonts w:hint="eastAsia" w:cs="宋体"/>
          <w:bCs/>
          <w:color w:val="auto"/>
          <w:szCs w:val="24"/>
          <w:highlight w:val="none"/>
          <w:lang w:eastAsia="zh-CN"/>
        </w:rPr>
        <w:t>6.2　场地清理</w:t>
      </w:r>
      <w:bookmarkEnd w:id="1806"/>
      <w:bookmarkEnd w:id="1807"/>
      <w:bookmarkEnd w:id="1808"/>
    </w:p>
    <w:p w14:paraId="04887664">
      <w:pPr>
        <w:ind w:firstLine="420"/>
        <w:jc w:val="left"/>
        <w:rPr>
          <w:rFonts w:cs="宋体"/>
          <w:color w:val="auto"/>
          <w:highlight w:val="none"/>
          <w:lang w:eastAsia="zh-CN"/>
        </w:rPr>
      </w:pPr>
      <w:r>
        <w:rPr>
          <w:rFonts w:cs="宋体"/>
          <w:color w:val="auto"/>
          <w:highlight w:val="none"/>
          <w:lang w:eastAsia="zh-CN"/>
        </w:rPr>
        <w:t>场地清理包括植被清理</w:t>
      </w:r>
      <w:r>
        <w:rPr>
          <w:rFonts w:hint="eastAsia" w:cs="宋体"/>
          <w:color w:val="auto"/>
          <w:highlight w:val="none"/>
          <w:lang w:eastAsia="zh-CN"/>
        </w:rPr>
        <w:t>、</w:t>
      </w:r>
      <w:r>
        <w:rPr>
          <w:rFonts w:cs="宋体"/>
          <w:color w:val="auto"/>
          <w:highlight w:val="none"/>
          <w:lang w:eastAsia="zh-CN"/>
        </w:rPr>
        <w:t>表土开挖</w:t>
      </w:r>
      <w:r>
        <w:rPr>
          <w:rFonts w:hint="eastAsia" w:cs="宋体"/>
          <w:color w:val="auto"/>
          <w:highlight w:val="none"/>
          <w:lang w:val="en-US" w:eastAsia="zh-CN"/>
        </w:rPr>
        <w:t>和地面附着物拆除</w:t>
      </w:r>
      <w:r>
        <w:rPr>
          <w:rFonts w:cs="宋体"/>
          <w:color w:val="auto"/>
          <w:highlight w:val="none"/>
          <w:lang w:eastAsia="zh-CN"/>
        </w:rPr>
        <w:t>。其范围包括永久和临时工程、料场、存弃渣场等施工用地需要清理的区域地表。</w:t>
      </w:r>
      <w:r>
        <w:rPr>
          <w:rFonts w:hint="eastAsia" w:cs="宋体"/>
          <w:color w:val="auto"/>
          <w:highlight w:val="none"/>
          <w:lang w:eastAsia="zh-CN"/>
        </w:rPr>
        <w:t>场地清理过程中，对于剥离的有用表土，承包人应按发包人或监理人的要求进行堆存、利用。</w:t>
      </w:r>
    </w:p>
    <w:p w14:paraId="6FEA55A9">
      <w:pPr>
        <w:pStyle w:val="5"/>
        <w:jc w:val="left"/>
        <w:rPr>
          <w:rFonts w:hAnsi="Times New Roman" w:cs="楷体"/>
          <w:color w:val="auto"/>
          <w:highlight w:val="none"/>
          <w:lang w:eastAsia="zh-CN"/>
        </w:rPr>
      </w:pPr>
      <w:r>
        <w:rPr>
          <w:rFonts w:hAnsi="Times New Roman" w:cs="Times New Roman"/>
          <w:color w:val="auto"/>
          <w:highlight w:val="none"/>
          <w:lang w:eastAsia="zh-CN"/>
        </w:rPr>
        <w:t>6.2.1</w:t>
      </w:r>
      <w:r>
        <w:rPr>
          <w:rFonts w:hint="eastAsia" w:hAnsi="Times New Roman" w:cs="Times New Roman"/>
          <w:color w:val="auto"/>
          <w:highlight w:val="none"/>
          <w:lang w:eastAsia="zh-CN"/>
        </w:rPr>
        <w:t>　</w:t>
      </w:r>
      <w:r>
        <w:rPr>
          <w:rFonts w:hAnsi="楷体" w:cs="楷体"/>
          <w:color w:val="auto"/>
          <w:highlight w:val="none"/>
          <w:lang w:eastAsia="zh-CN"/>
        </w:rPr>
        <w:t>植被清理</w:t>
      </w:r>
    </w:p>
    <w:p w14:paraId="6024A0D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）在场地开挖前，承包人应清理开挖区域内的树根</w:t>
      </w:r>
      <w:r>
        <w:rPr>
          <w:rFonts w:hint="eastAsia" w:cs="宋体"/>
          <w:color w:val="auto"/>
          <w:highlight w:val="none"/>
          <w:lang w:eastAsia="zh-CN"/>
        </w:rPr>
        <w:t>（含高出地面</w:t>
      </w:r>
      <w:r>
        <w:rPr>
          <w:rFonts w:cs="宋体"/>
          <w:color w:val="auto"/>
          <w:highlight w:val="none"/>
          <w:lang w:eastAsia="zh-CN"/>
        </w:rPr>
        <w:t>30cm以内的残留树桩）、杂草、垃圾、废渣及其它有碍物，主体工程植被清理的挖除树根范围应延伸到离施工图纸所示最大开挖边线、填筑线或建筑物基础外侧</w:t>
      </w:r>
      <w:r>
        <w:rPr>
          <w:rFonts w:hAnsi="Times New Roman" w:cs="Times New Roman"/>
          <w:color w:val="auto"/>
          <w:highlight w:val="none"/>
          <w:lang w:eastAsia="zh-CN"/>
        </w:rPr>
        <w:t>3m</w:t>
      </w:r>
      <w:r>
        <w:rPr>
          <w:rFonts w:cs="宋体"/>
          <w:color w:val="auto"/>
          <w:highlight w:val="none"/>
          <w:lang w:eastAsia="zh-CN"/>
        </w:rPr>
        <w:t>距离。</w:t>
      </w:r>
    </w:p>
    <w:p w14:paraId="0ABBA50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）除合同另有约定外，主体工程施工场地地表的植被清理，必须延伸至离施工图纸所示最大开挖边线或建筑物基础边线（或填筑坡脚线）外侧至少</w:t>
      </w:r>
      <w:r>
        <w:rPr>
          <w:rFonts w:hAnsi="Times New Roman" w:cs="Times New Roman"/>
          <w:color w:val="auto"/>
          <w:highlight w:val="none"/>
          <w:lang w:eastAsia="zh-CN"/>
        </w:rPr>
        <w:t>5m</w:t>
      </w:r>
      <w:r>
        <w:rPr>
          <w:rFonts w:cs="宋体"/>
          <w:color w:val="auto"/>
          <w:highlight w:val="none"/>
          <w:lang w:eastAsia="zh-CN"/>
        </w:rPr>
        <w:t>距离。</w:t>
      </w:r>
    </w:p>
    <w:p w14:paraId="238F2DE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）承包人应注意保护清理区域附近的天然植被，避免因施工不当造成清理区域附近林业和天然植被资源的毁坏，以及对环境保护工作造成的不良后果。</w:t>
      </w:r>
    </w:p>
    <w:p w14:paraId="019DA4D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）场地清理范围内，承包人砍伐的成材或清理获得具有商业价值的材料应归发包人所有，承包人应按监理人指示将其运到指定地点。</w:t>
      </w:r>
    </w:p>
    <w:p w14:paraId="547DFD4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）凡属无价值的可燃物，承包人应尽快将其焚毁，并按本技术条款第</w:t>
      </w:r>
      <w:r>
        <w:rPr>
          <w:rFonts w:hAnsi="Times New Roman" w:cs="Times New Roman"/>
          <w:color w:val="auto"/>
          <w:highlight w:val="none"/>
          <w:lang w:eastAsia="zh-CN"/>
        </w:rPr>
        <w:t>3</w:t>
      </w:r>
      <w:r>
        <w:rPr>
          <w:rFonts w:cs="宋体"/>
          <w:color w:val="auto"/>
          <w:highlight w:val="none"/>
          <w:lang w:eastAsia="zh-CN"/>
        </w:rPr>
        <w:t>章规定确保其周边地区的安全。承包人应按指定的地点掩埋废弃物，掩埋物不得妨碍自然排水或污染河川。</w:t>
      </w:r>
    </w:p>
    <w:p w14:paraId="71ED44C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）场地清理中发现文物古迹，承包人应按本合同通用合同条款第</w:t>
      </w:r>
      <w:r>
        <w:rPr>
          <w:rFonts w:hAnsi="Times New Roman" w:cs="Times New Roman"/>
          <w:color w:val="auto"/>
          <w:highlight w:val="none"/>
          <w:lang w:eastAsia="zh-CN"/>
        </w:rPr>
        <w:t>1.10</w:t>
      </w:r>
      <w:r>
        <w:rPr>
          <w:rFonts w:cs="宋体"/>
          <w:color w:val="auto"/>
          <w:highlight w:val="none"/>
          <w:lang w:eastAsia="zh-CN"/>
        </w:rPr>
        <w:t>款的约定办理。</w:t>
      </w:r>
    </w:p>
    <w:p w14:paraId="3B31F125">
      <w:pPr>
        <w:pStyle w:val="5"/>
        <w:jc w:val="left"/>
        <w:rPr>
          <w:rFonts w:hAnsi="Times New Roman" w:cs="楷体"/>
          <w:color w:val="auto"/>
          <w:highlight w:val="none"/>
          <w:lang w:eastAsia="zh-CN"/>
        </w:rPr>
      </w:pPr>
      <w:r>
        <w:rPr>
          <w:rFonts w:hAnsi="Times New Roman" w:cs="Times New Roman"/>
          <w:color w:val="auto"/>
          <w:highlight w:val="none"/>
          <w:lang w:eastAsia="zh-CN"/>
        </w:rPr>
        <w:t>6.2.2</w:t>
      </w:r>
      <w:r>
        <w:rPr>
          <w:rFonts w:hint="eastAsia" w:hAnsi="Times New Roman" w:cs="Times New Roman"/>
          <w:color w:val="auto"/>
          <w:highlight w:val="none"/>
          <w:lang w:eastAsia="zh-CN"/>
        </w:rPr>
        <w:t>　</w:t>
      </w:r>
      <w:r>
        <w:rPr>
          <w:rFonts w:hAnsi="楷体" w:cs="楷体"/>
          <w:color w:val="auto"/>
          <w:highlight w:val="none"/>
          <w:lang w:eastAsia="zh-CN"/>
        </w:rPr>
        <w:t>表土的清挖、堆放和有机土壤的使用</w:t>
      </w:r>
    </w:p>
    <w:p w14:paraId="631E694B">
      <w:pPr>
        <w:ind w:firstLine="420"/>
        <w:jc w:val="left"/>
        <w:rPr>
          <w:rFonts w:hAnsi="Times New Roman" w:cs="宋体"/>
          <w:color w:val="auto"/>
          <w:highlight w:val="none"/>
          <w:lang w:eastAsia="zh-CN"/>
        </w:rPr>
      </w:pPr>
      <w:r>
        <w:rPr>
          <w:rFonts w:cs="宋体"/>
          <w:color w:val="auto"/>
          <w:highlight w:val="none"/>
          <w:lang w:eastAsia="zh-CN"/>
        </w:rPr>
        <w:t>含细根须、草本植物及覆盖草等植物的表层有机土壤，承包人应按监理人指示和本技术条款第</w:t>
      </w:r>
      <w:r>
        <w:rPr>
          <w:rFonts w:hAnsi="Times New Roman" w:cs="Times New Roman"/>
          <w:color w:val="auto"/>
          <w:highlight w:val="none"/>
          <w:lang w:eastAsia="zh-CN"/>
        </w:rPr>
        <w:t>4.5</w:t>
      </w:r>
      <w:r>
        <w:rPr>
          <w:rFonts w:cs="宋体"/>
          <w:color w:val="auto"/>
          <w:highlight w:val="none"/>
          <w:lang w:eastAsia="zh-CN"/>
        </w:rPr>
        <w:t>款的规定合理使用有机土壤，并运到指定地点堆放保存，不得任意处置。</w:t>
      </w:r>
    </w:p>
    <w:p w14:paraId="4BDE2D68">
      <w:pPr>
        <w:pStyle w:val="4"/>
        <w:jc w:val="left"/>
        <w:rPr>
          <w:color w:val="auto"/>
          <w:szCs w:val="24"/>
          <w:highlight w:val="none"/>
          <w:lang w:eastAsia="zh-CN"/>
        </w:rPr>
      </w:pPr>
      <w:bookmarkStart w:id="1809" w:name="_Toc6917"/>
      <w:r>
        <w:rPr>
          <w:color w:val="auto"/>
          <w:szCs w:val="24"/>
          <w:highlight w:val="none"/>
          <w:lang w:eastAsia="zh-CN"/>
        </w:rPr>
        <w:t>6.3</w:t>
      </w:r>
      <w:r>
        <w:rPr>
          <w:rFonts w:hint="eastAsia" w:hAnsi="Times New Roman" w:cs="Times New Roman"/>
          <w:color w:val="auto"/>
          <w:szCs w:val="24"/>
          <w:highlight w:val="none"/>
          <w:lang w:eastAsia="zh-CN"/>
        </w:rPr>
        <w:t>　</w:t>
      </w:r>
      <w:r>
        <w:rPr>
          <w:rFonts w:hint="eastAsia"/>
          <w:color w:val="auto"/>
          <w:szCs w:val="24"/>
          <w:highlight w:val="none"/>
          <w:lang w:eastAsia="zh-CN"/>
        </w:rPr>
        <w:t>土方明挖</w:t>
      </w:r>
      <w:bookmarkEnd w:id="1809"/>
    </w:p>
    <w:p w14:paraId="49AA511C">
      <w:pPr>
        <w:pStyle w:val="5"/>
        <w:jc w:val="left"/>
        <w:rPr>
          <w:rFonts w:hAnsi="Times New Roman" w:cs="楷体"/>
          <w:color w:val="auto"/>
          <w:highlight w:val="none"/>
          <w:lang w:eastAsia="zh-CN"/>
        </w:rPr>
      </w:pPr>
      <w:r>
        <w:rPr>
          <w:rFonts w:hAnsi="Times New Roman" w:cs="Times New Roman"/>
          <w:color w:val="auto"/>
          <w:highlight w:val="none"/>
          <w:lang w:eastAsia="zh-CN"/>
        </w:rPr>
        <w:t>6.3.1</w:t>
      </w:r>
      <w:r>
        <w:rPr>
          <w:rFonts w:hint="eastAsia" w:hAnsi="Times New Roman" w:cs="Times New Roman"/>
          <w:color w:val="auto"/>
          <w:highlight w:val="none"/>
          <w:lang w:eastAsia="zh-CN"/>
        </w:rPr>
        <w:t>　</w:t>
      </w:r>
      <w:r>
        <w:rPr>
          <w:rFonts w:hAnsi="楷体" w:cs="楷体"/>
          <w:color w:val="auto"/>
          <w:highlight w:val="none"/>
          <w:lang w:eastAsia="zh-CN"/>
        </w:rPr>
        <w:t>土方定义</w:t>
      </w:r>
    </w:p>
    <w:p w14:paraId="5264387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）指黄土、黏土、砂土（包括淤沙、粉砂、河砂等）、淤泥、砾质土、砂石、松散坍塌体、石渣混合料、软弱的全风化岩体，无须采用爆破技术，直接用手工工具或土方开挖机械进行开挖的土方工程。</w:t>
      </w:r>
    </w:p>
    <w:p w14:paraId="737766E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）土类开挖级别划分，应符合《水利水电工程施工组织设计规范》（</w:t>
      </w:r>
      <w:r>
        <w:rPr>
          <w:rFonts w:hAnsi="Times New Roman" w:cs="Times New Roman"/>
          <w:color w:val="auto"/>
          <w:highlight w:val="none"/>
          <w:lang w:eastAsia="zh-CN"/>
        </w:rPr>
        <w:t>SL303-2017</w:t>
      </w:r>
      <w:r>
        <w:rPr>
          <w:rFonts w:cs="宋体"/>
          <w:color w:val="auto"/>
          <w:highlight w:val="none"/>
          <w:lang w:eastAsia="zh-CN"/>
        </w:rPr>
        <w:t>）表</w:t>
      </w:r>
      <w:r>
        <w:rPr>
          <w:rFonts w:hAnsi="Times New Roman" w:cs="Times New Roman"/>
          <w:color w:val="auto"/>
          <w:highlight w:val="none"/>
          <w:lang w:eastAsia="zh-CN"/>
        </w:rPr>
        <w:t>D.1.1</w:t>
      </w:r>
      <w:r>
        <w:rPr>
          <w:rFonts w:cs="宋体"/>
          <w:color w:val="auto"/>
          <w:highlight w:val="none"/>
          <w:lang w:eastAsia="zh-CN"/>
        </w:rPr>
        <w:t>的规定。</w:t>
      </w:r>
    </w:p>
    <w:p w14:paraId="592D87B0">
      <w:pPr>
        <w:pStyle w:val="5"/>
        <w:jc w:val="left"/>
        <w:rPr>
          <w:rFonts w:hAnsi="Times New Roman" w:cs="楷体"/>
          <w:color w:val="auto"/>
          <w:highlight w:val="none"/>
          <w:lang w:eastAsia="zh-CN"/>
        </w:rPr>
      </w:pPr>
      <w:r>
        <w:rPr>
          <w:rFonts w:hAnsi="Times New Roman" w:cs="Times New Roman"/>
          <w:color w:val="auto"/>
          <w:highlight w:val="none"/>
          <w:lang w:eastAsia="zh-CN"/>
        </w:rPr>
        <w:t>6.3.2</w:t>
      </w:r>
      <w:r>
        <w:rPr>
          <w:rFonts w:hint="eastAsia" w:hAnsi="Times New Roman" w:cs="Times New Roman"/>
          <w:color w:val="auto"/>
          <w:highlight w:val="none"/>
          <w:lang w:eastAsia="zh-CN"/>
        </w:rPr>
        <w:t>　</w:t>
      </w:r>
      <w:r>
        <w:rPr>
          <w:rFonts w:hAnsi="楷体" w:cs="楷体"/>
          <w:color w:val="auto"/>
          <w:highlight w:val="none"/>
          <w:lang w:eastAsia="zh-CN"/>
        </w:rPr>
        <w:t>开挖区临时道路</w:t>
      </w:r>
    </w:p>
    <w:p w14:paraId="56BE8C31">
      <w:pPr>
        <w:ind w:firstLine="420"/>
        <w:jc w:val="left"/>
        <w:rPr>
          <w:rFonts w:hAnsi="Times New Roman" w:cs="宋体"/>
          <w:color w:val="auto"/>
          <w:highlight w:val="none"/>
          <w:lang w:eastAsia="zh-CN"/>
        </w:rPr>
      </w:pPr>
      <w:r>
        <w:rPr>
          <w:rFonts w:cs="宋体"/>
          <w:color w:val="auto"/>
          <w:highlight w:val="none"/>
          <w:lang w:eastAsia="zh-CN"/>
        </w:rPr>
        <w:t>承包人应按《水利水电工程施工组织设计规范》（</w:t>
      </w:r>
      <w:r>
        <w:rPr>
          <w:rFonts w:hAnsi="Times New Roman" w:cs="Times New Roman"/>
          <w:color w:val="auto"/>
          <w:highlight w:val="none"/>
          <w:lang w:eastAsia="zh-CN"/>
        </w:rPr>
        <w:t>SL303-2017</w:t>
      </w:r>
      <w:r>
        <w:rPr>
          <w:rFonts w:cs="宋体"/>
          <w:color w:val="auto"/>
          <w:highlight w:val="none"/>
          <w:lang w:eastAsia="zh-CN"/>
        </w:rPr>
        <w:t>）第</w:t>
      </w:r>
      <w:r>
        <w:rPr>
          <w:rFonts w:hAnsi="Times New Roman" w:cs="Times New Roman"/>
          <w:color w:val="auto"/>
          <w:highlight w:val="none"/>
          <w:lang w:eastAsia="zh-CN"/>
        </w:rPr>
        <w:t>5.3</w:t>
      </w:r>
      <w:r>
        <w:rPr>
          <w:rFonts w:cs="宋体"/>
          <w:color w:val="auto"/>
          <w:highlight w:val="none"/>
          <w:lang w:eastAsia="zh-CN"/>
        </w:rPr>
        <w:t>节的规定，以及监理人批准的施工总布置设计</w:t>
      </w:r>
      <w:r>
        <w:rPr>
          <w:rFonts w:hint="eastAsia"/>
          <w:color w:val="auto"/>
          <w:highlight w:val="none"/>
          <w:lang w:val="zh-CN" w:eastAsia="zh-CN"/>
        </w:rPr>
        <w:t>，并结合施工开挖区的开挖方法、开挖运输机械的运行路线</w:t>
      </w:r>
      <w:r>
        <w:rPr>
          <w:rFonts w:cs="宋体"/>
          <w:color w:val="auto"/>
          <w:highlight w:val="none"/>
          <w:lang w:eastAsia="zh-CN"/>
        </w:rPr>
        <w:t>进行场内交通道路布置。</w:t>
      </w:r>
    </w:p>
    <w:p w14:paraId="20DB1946">
      <w:pPr>
        <w:pStyle w:val="5"/>
        <w:jc w:val="left"/>
        <w:rPr>
          <w:rFonts w:hAnsi="Times New Roman" w:cs="楷体"/>
          <w:color w:val="auto"/>
          <w:highlight w:val="none"/>
          <w:lang w:eastAsia="zh-CN"/>
        </w:rPr>
      </w:pPr>
      <w:r>
        <w:rPr>
          <w:rFonts w:hAnsi="Times New Roman" w:cs="Times New Roman"/>
          <w:color w:val="auto"/>
          <w:highlight w:val="none"/>
          <w:lang w:eastAsia="zh-CN"/>
        </w:rPr>
        <w:t>6.3.3</w:t>
      </w:r>
      <w:r>
        <w:rPr>
          <w:rFonts w:hint="eastAsia" w:hAnsi="Times New Roman" w:cs="Times New Roman"/>
          <w:color w:val="auto"/>
          <w:highlight w:val="none"/>
          <w:lang w:eastAsia="zh-CN"/>
        </w:rPr>
        <w:t>　</w:t>
      </w:r>
      <w:r>
        <w:rPr>
          <w:rFonts w:hAnsi="楷体" w:cs="楷体"/>
          <w:color w:val="auto"/>
          <w:highlight w:val="none"/>
          <w:lang w:eastAsia="zh-CN"/>
        </w:rPr>
        <w:t>校核测量</w:t>
      </w:r>
    </w:p>
    <w:p w14:paraId="24E52914">
      <w:pPr>
        <w:ind w:firstLine="420"/>
        <w:jc w:val="left"/>
        <w:rPr>
          <w:rFonts w:hAnsi="Times New Roman"/>
          <w:color w:val="auto"/>
          <w:highlight w:val="none"/>
          <w:lang w:eastAsia="zh-CN"/>
        </w:rPr>
      </w:pPr>
      <w:r>
        <w:rPr>
          <w:rFonts w:hint="eastAsia" w:cs="宋体"/>
          <w:color w:val="auto"/>
          <w:highlight w:val="none"/>
          <w:lang w:eastAsia="zh-CN"/>
        </w:rPr>
        <w:t>承包人应按施工图纸的要求，在施工开挖之前对开挖区域内的地形进行复核测量，并校核测量开挖区域的平面位置、水平标高、控制桩号、水准点和边坡坡度等，地形复核测量成果应提交监理人复核确认，监理人有权随时抽验承包人的校核测量成果，有必要时，承包人应与业主、监理人联合进行校核测量，</w:t>
      </w:r>
      <w:r>
        <w:rPr>
          <w:rFonts w:hint="eastAsia" w:cs="宋体"/>
          <w:color w:val="auto"/>
          <w:highlight w:val="none"/>
          <w:lang w:val="zh-CN" w:eastAsia="zh-CN"/>
        </w:rPr>
        <w:t>承包人不能因监理人指示纠正其放线错误而引起的工程量增加，向发包人要求额外支付工程费用</w:t>
      </w:r>
      <w:r>
        <w:rPr>
          <w:rFonts w:hint="eastAsia" w:cs="宋体"/>
          <w:color w:val="auto"/>
          <w:highlight w:val="none"/>
          <w:lang w:eastAsia="zh-CN"/>
        </w:rPr>
        <w:t>。</w:t>
      </w:r>
    </w:p>
    <w:p w14:paraId="42909716">
      <w:pPr>
        <w:ind w:firstLine="420"/>
        <w:jc w:val="left"/>
        <w:rPr>
          <w:rFonts w:hAnsi="Times New Roman" w:cs="宋体"/>
          <w:color w:val="auto"/>
          <w:highlight w:val="none"/>
          <w:lang w:eastAsia="zh-CN"/>
        </w:rPr>
      </w:pPr>
      <w:r>
        <w:rPr>
          <w:rFonts w:hint="eastAsia" w:cs="宋体"/>
          <w:color w:val="auto"/>
          <w:highlight w:val="none"/>
          <w:lang w:eastAsia="zh-CN"/>
        </w:rPr>
        <w:t>经监理人复核的测量成果，与设计单位的测量成果有较大差异时，应提交业主复核确认，否则以设计单位的测量成果为准。承包人应对其复核测量成果的真实性负责。</w:t>
      </w:r>
    </w:p>
    <w:p w14:paraId="3BBF1F9F">
      <w:pPr>
        <w:pStyle w:val="5"/>
        <w:jc w:val="left"/>
        <w:rPr>
          <w:rFonts w:hAnsi="Times New Roman" w:cs="楷体"/>
          <w:color w:val="auto"/>
          <w:highlight w:val="none"/>
          <w:lang w:eastAsia="zh-CN"/>
        </w:rPr>
      </w:pPr>
      <w:r>
        <w:rPr>
          <w:rFonts w:hAnsi="Times New Roman" w:cs="Times New Roman"/>
          <w:color w:val="auto"/>
          <w:highlight w:val="none"/>
          <w:lang w:eastAsia="zh-CN"/>
        </w:rPr>
        <w:t>6.3.4</w:t>
      </w:r>
      <w:r>
        <w:rPr>
          <w:rFonts w:hint="eastAsia" w:hAnsi="Times New Roman" w:cs="Times New Roman"/>
          <w:color w:val="auto"/>
          <w:highlight w:val="none"/>
          <w:lang w:eastAsia="zh-CN"/>
        </w:rPr>
        <w:t>　</w:t>
      </w:r>
      <w:r>
        <w:rPr>
          <w:rFonts w:hAnsi="楷体" w:cs="楷体"/>
          <w:color w:val="auto"/>
          <w:highlight w:val="none"/>
          <w:lang w:eastAsia="zh-CN"/>
        </w:rPr>
        <w:t>临时边坡的稳定</w:t>
      </w:r>
    </w:p>
    <w:p w14:paraId="25657403">
      <w:pPr>
        <w:ind w:firstLine="420"/>
        <w:jc w:val="left"/>
        <w:rPr>
          <w:rFonts w:hAnsi="Times New Roman" w:cs="宋体"/>
          <w:color w:val="auto"/>
          <w:highlight w:val="none"/>
          <w:lang w:eastAsia="zh-CN"/>
        </w:rPr>
      </w:pPr>
      <w:r>
        <w:rPr>
          <w:rFonts w:cs="宋体"/>
          <w:color w:val="auto"/>
          <w:highlight w:val="none"/>
          <w:lang w:eastAsia="zh-CN"/>
        </w:rPr>
        <w:t>主体工程的临时开挖边坡，应按施工图纸所示或监理人指示进行开挖。对于承包人自行确定的开挖边坡，或临时边坡保留时间过长，经监理人检查有不安全因素时，承包人应立即进行补充开挖和采取保护措施。</w:t>
      </w:r>
    </w:p>
    <w:p w14:paraId="3E7F0B71">
      <w:pPr>
        <w:pStyle w:val="5"/>
        <w:jc w:val="left"/>
        <w:rPr>
          <w:rFonts w:hAnsi="Times New Roman" w:cs="楷体"/>
          <w:color w:val="auto"/>
          <w:highlight w:val="none"/>
          <w:lang w:eastAsia="zh-CN"/>
        </w:rPr>
      </w:pPr>
      <w:r>
        <w:rPr>
          <w:rFonts w:hAnsi="Times New Roman" w:cs="Times New Roman"/>
          <w:color w:val="auto"/>
          <w:highlight w:val="none"/>
          <w:lang w:eastAsia="zh-CN"/>
        </w:rPr>
        <w:t>6.3.5</w:t>
      </w:r>
      <w:r>
        <w:rPr>
          <w:rFonts w:hint="eastAsia" w:hAnsi="Times New Roman" w:cs="Times New Roman"/>
          <w:color w:val="auto"/>
          <w:highlight w:val="none"/>
          <w:lang w:eastAsia="zh-CN"/>
        </w:rPr>
        <w:t>　</w:t>
      </w:r>
      <w:r>
        <w:rPr>
          <w:rFonts w:hAnsi="楷体" w:cs="楷体"/>
          <w:color w:val="auto"/>
          <w:highlight w:val="none"/>
          <w:lang w:eastAsia="zh-CN"/>
        </w:rPr>
        <w:t>基础和边坡开挖</w:t>
      </w:r>
    </w:p>
    <w:p w14:paraId="63309C5D">
      <w:pPr>
        <w:ind w:firstLine="420"/>
        <w:jc w:val="left"/>
        <w:rPr>
          <w:rFonts w:cs="宋体"/>
          <w:color w:val="auto"/>
          <w:highlight w:val="none"/>
          <w:lang w:eastAsia="zh-CN"/>
        </w:rPr>
      </w:pPr>
      <w:r>
        <w:rPr>
          <w:rFonts w:cs="宋体"/>
          <w:color w:val="auto"/>
          <w:highlight w:val="none"/>
          <w:lang w:eastAsia="zh-CN"/>
        </w:rPr>
        <w:t>基础和边坡开挖的施工方法应符合《水利水电工程施工组织设计规范》（</w:t>
      </w:r>
      <w:r>
        <w:rPr>
          <w:rFonts w:hAnsi="Times New Roman" w:cs="Times New Roman"/>
          <w:color w:val="auto"/>
          <w:highlight w:val="none"/>
          <w:lang w:eastAsia="zh-CN"/>
        </w:rPr>
        <w:t>SL303-2017</w:t>
      </w:r>
      <w:r>
        <w:rPr>
          <w:rFonts w:cs="宋体"/>
          <w:color w:val="auto"/>
          <w:highlight w:val="none"/>
          <w:lang w:eastAsia="zh-CN"/>
        </w:rPr>
        <w:t>）第</w:t>
      </w:r>
      <w:r>
        <w:rPr>
          <w:rFonts w:hAnsi="Times New Roman" w:cs="Times New Roman"/>
          <w:color w:val="auto"/>
          <w:highlight w:val="none"/>
          <w:lang w:eastAsia="zh-CN"/>
        </w:rPr>
        <w:t>4.2</w:t>
      </w:r>
      <w:r>
        <w:rPr>
          <w:rFonts w:cs="宋体"/>
          <w:color w:val="auto"/>
          <w:highlight w:val="none"/>
          <w:lang w:eastAsia="zh-CN"/>
        </w:rPr>
        <w:t>节的规定。</w:t>
      </w:r>
    </w:p>
    <w:p w14:paraId="3A0C0D04">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val="zh-CN" w:eastAsia="zh-CN"/>
        </w:rPr>
        <w:t>1）开挖前，完成地表水系导引措施，并按设计要求完成边坡截水沟施工。</w:t>
      </w:r>
    </w:p>
    <w:p w14:paraId="35245D9F">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val="zh-CN" w:eastAsia="zh-CN"/>
        </w:rPr>
        <w:t>2）土方开挖应</w:t>
      </w:r>
      <w:r>
        <w:rPr>
          <w:rFonts w:hint="eastAsia"/>
          <w:color w:val="auto"/>
          <w:szCs w:val="21"/>
          <w:highlight w:val="none"/>
          <w:lang w:eastAsia="zh-CN"/>
        </w:rPr>
        <w:t>自</w:t>
      </w:r>
      <w:r>
        <w:rPr>
          <w:rFonts w:hint="eastAsia"/>
          <w:color w:val="auto"/>
          <w:szCs w:val="21"/>
          <w:highlight w:val="none"/>
          <w:lang w:val="zh-CN" w:eastAsia="zh-CN"/>
        </w:rPr>
        <w:t>上而下分层进行，严禁自下而上或采取倒悬的开挖方法。施工中随时做成一定的坡势，以利排水，开挖过程中应避免边坡范围内形成积水。</w:t>
      </w:r>
    </w:p>
    <w:p w14:paraId="1DB39E1F">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val="zh-CN" w:eastAsia="zh-CN"/>
        </w:rPr>
        <w:t>3）地下洞室洞口削坡应自上而下分层进行，严禁上下垂直作业。进洞前，应做好开挖及其影响范围内的危石清理和坡顶排水，按设计要求进行边坡加固。</w:t>
      </w:r>
    </w:p>
    <w:p w14:paraId="29B79032">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val="zh-CN" w:eastAsia="zh-CN"/>
        </w:rPr>
        <w:t>4）严禁在设计建基面、设计边坡附近采用洞室爆破法或药壶爆破法施工。</w:t>
      </w:r>
    </w:p>
    <w:p w14:paraId="5EE3DF2F">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val="zh-CN" w:eastAsia="zh-CN"/>
        </w:rPr>
        <w:t>5）随着开挖高程下降，应及时对坡面进行测量检查，以防止偏离设计开挖线，避免在形成高边坡后再进行处理。</w:t>
      </w:r>
    </w:p>
    <w:p w14:paraId="30C62285">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val="zh-CN" w:eastAsia="zh-CN"/>
        </w:rPr>
        <w:t>6）开挖边坡的支护应在分层开挖过程中逐层进行，上层的支护应保证以下各层的开挖安全。</w:t>
      </w:r>
    </w:p>
    <w:p w14:paraId="1F407B27">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eastAsia="zh-CN"/>
        </w:rPr>
        <w:t>7</w:t>
      </w:r>
      <w:r>
        <w:rPr>
          <w:rFonts w:hint="eastAsia"/>
          <w:color w:val="auto"/>
          <w:szCs w:val="21"/>
          <w:highlight w:val="none"/>
          <w:lang w:val="zh-CN" w:eastAsia="zh-CN"/>
        </w:rPr>
        <w:t>）开挖过程中，如出现整体裂缝或滑动迹象时，应立即停止施工，将人员、设备尽快撤离工作面，视开裂或滑动程度采取不同的应急措施。</w:t>
      </w:r>
    </w:p>
    <w:p w14:paraId="1EA1FE31">
      <w:pPr>
        <w:pStyle w:val="48"/>
        <w:suppressAutoHyphens/>
        <w:spacing w:line="360" w:lineRule="auto"/>
        <w:ind w:firstLine="420"/>
        <w:jc w:val="left"/>
        <w:rPr>
          <w:color w:val="auto"/>
          <w:szCs w:val="21"/>
          <w:highlight w:val="none"/>
          <w:lang w:val="zh-CN" w:eastAsia="zh-CN"/>
        </w:rPr>
      </w:pPr>
      <w:r>
        <w:rPr>
          <w:rFonts w:hint="eastAsia"/>
          <w:color w:val="auto"/>
          <w:szCs w:val="21"/>
          <w:highlight w:val="none"/>
          <w:lang w:val="zh-CN" w:eastAsia="zh-CN"/>
        </w:rPr>
        <w:t>（</w:t>
      </w:r>
      <w:r>
        <w:rPr>
          <w:color w:val="auto"/>
          <w:szCs w:val="21"/>
          <w:highlight w:val="none"/>
          <w:lang w:eastAsia="zh-CN"/>
        </w:rPr>
        <w:t>8</w:t>
      </w:r>
      <w:r>
        <w:rPr>
          <w:rFonts w:hint="eastAsia"/>
          <w:color w:val="auto"/>
          <w:szCs w:val="21"/>
          <w:highlight w:val="none"/>
          <w:lang w:val="zh-CN" w:eastAsia="zh-CN"/>
        </w:rPr>
        <w:t>）未尽事宜，需满足</w:t>
      </w:r>
      <w:r>
        <w:rPr>
          <w:color w:val="auto"/>
          <w:szCs w:val="21"/>
          <w:highlight w:val="none"/>
          <w:lang w:val="zh-CN" w:eastAsia="zh-CN"/>
        </w:rPr>
        <w:t>SL303</w:t>
      </w:r>
      <w:r>
        <w:rPr>
          <w:rFonts w:hint="eastAsia"/>
          <w:color w:val="auto"/>
          <w:szCs w:val="21"/>
          <w:highlight w:val="none"/>
          <w:lang w:eastAsia="zh-CN"/>
        </w:rPr>
        <w:t>相关</w:t>
      </w:r>
      <w:r>
        <w:rPr>
          <w:rFonts w:hint="eastAsia"/>
          <w:color w:val="auto"/>
          <w:szCs w:val="21"/>
          <w:highlight w:val="none"/>
          <w:lang w:val="zh-CN" w:eastAsia="zh-CN"/>
        </w:rPr>
        <w:t>规定。</w:t>
      </w:r>
    </w:p>
    <w:p w14:paraId="31EEB958">
      <w:pPr>
        <w:pStyle w:val="5"/>
        <w:jc w:val="left"/>
        <w:rPr>
          <w:rFonts w:hAnsi="Times New Roman" w:cs="楷体"/>
          <w:color w:val="auto"/>
          <w:highlight w:val="none"/>
          <w:lang w:eastAsia="zh-CN"/>
        </w:rPr>
      </w:pPr>
      <w:r>
        <w:rPr>
          <w:rFonts w:hAnsi="Times New Roman" w:cs="Times New Roman"/>
          <w:color w:val="auto"/>
          <w:highlight w:val="none"/>
          <w:lang w:eastAsia="zh-CN"/>
        </w:rPr>
        <w:t>6.3.6</w:t>
      </w:r>
      <w:r>
        <w:rPr>
          <w:rFonts w:hint="eastAsia" w:hAnsi="Times New Roman" w:cs="Times New Roman"/>
          <w:color w:val="auto"/>
          <w:highlight w:val="none"/>
          <w:lang w:eastAsia="zh-CN"/>
        </w:rPr>
        <w:t>　</w:t>
      </w:r>
      <w:r>
        <w:rPr>
          <w:rFonts w:hAnsi="楷体" w:cs="楷体"/>
          <w:color w:val="auto"/>
          <w:highlight w:val="none"/>
          <w:lang w:eastAsia="zh-CN"/>
        </w:rPr>
        <w:t>边坡的护面和加固</w:t>
      </w:r>
    </w:p>
    <w:p w14:paraId="3686A0E0">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1）为防止修整后的开挖边坡遭受雨水冲刷，边坡的护面和加固工作应在雨季前严格按施工图纸要求完成。冬季施工的开挖边坡修整及其护面和加固工作，应在解冻后进行。</w:t>
      </w:r>
    </w:p>
    <w:p w14:paraId="5990F91E">
      <w:pPr>
        <w:suppressAutoHyphens/>
        <w:ind w:firstLine="420"/>
        <w:jc w:val="left"/>
        <w:rPr>
          <w:color w:val="auto"/>
          <w:highlight w:val="none"/>
          <w:lang w:val="zh-CN" w:eastAsia="zh-CN"/>
        </w:rPr>
      </w:pPr>
      <w:r>
        <w:rPr>
          <w:rFonts w:hint="eastAsia"/>
          <w:color w:val="auto"/>
          <w:highlight w:val="none"/>
          <w:lang w:val="zh-CN" w:eastAsia="zh-CN"/>
        </w:rPr>
        <w:t>（2）护坡植草和植生袋根据当地土质和气候条件，选用根系发达、茎干低矮、枝叶茂盛、生长能力强的草种。</w:t>
      </w:r>
    </w:p>
    <w:p w14:paraId="79DE2B91">
      <w:pPr>
        <w:suppressAutoHyphens/>
        <w:ind w:firstLine="420"/>
        <w:jc w:val="left"/>
        <w:rPr>
          <w:color w:val="auto"/>
          <w:highlight w:val="none"/>
          <w:lang w:val="zh-CN" w:eastAsia="zh-CN"/>
        </w:rPr>
      </w:pPr>
      <w:r>
        <w:rPr>
          <w:rFonts w:hint="eastAsia"/>
          <w:color w:val="auto"/>
          <w:highlight w:val="none"/>
          <w:lang w:val="zh-CN" w:eastAsia="zh-CN"/>
        </w:rPr>
        <w:t>（3）护坡植草的草皮施工前应先在坡面上铺撒一层10～15cm厚的种植土层，草皮块铺设间距2cm，于次日及一周后各滚压一次，使草皮与土壤紧密结合，并确保坡面平整美观。</w:t>
      </w:r>
    </w:p>
    <w:p w14:paraId="7A5F5913">
      <w:pPr>
        <w:suppressAutoHyphens/>
        <w:ind w:firstLine="420"/>
        <w:jc w:val="left"/>
        <w:rPr>
          <w:color w:val="auto"/>
          <w:highlight w:val="none"/>
          <w:lang w:val="zh-CN" w:eastAsia="zh-CN"/>
        </w:rPr>
      </w:pPr>
      <w:r>
        <w:rPr>
          <w:rFonts w:hint="eastAsia"/>
          <w:color w:val="auto"/>
          <w:highlight w:val="none"/>
          <w:lang w:val="zh-CN" w:eastAsia="zh-CN"/>
        </w:rPr>
        <w:t>（4）植生袋铺设前，将框格内多余的碎石、泥土等杂物清除并平整，要求清理后坡面比框格表面低20cm以上。</w:t>
      </w:r>
    </w:p>
    <w:p w14:paraId="63D46B2E">
      <w:pPr>
        <w:suppressAutoHyphens/>
        <w:ind w:firstLine="420"/>
        <w:jc w:val="left"/>
        <w:rPr>
          <w:color w:val="auto"/>
          <w:highlight w:val="none"/>
          <w:lang w:val="zh-CN" w:eastAsia="zh-CN"/>
        </w:rPr>
      </w:pPr>
      <w:r>
        <w:rPr>
          <w:rFonts w:hint="eastAsia"/>
          <w:color w:val="auto"/>
          <w:highlight w:val="none"/>
          <w:lang w:val="zh-CN" w:eastAsia="zh-CN"/>
        </w:rPr>
        <w:t>（5）用配好种子并加工好的植生袋装填种植土，种植土中适当加入符合草籽生长的肥料。</w:t>
      </w:r>
    </w:p>
    <w:p w14:paraId="36541ED5">
      <w:pPr>
        <w:suppressAutoHyphens/>
        <w:ind w:firstLine="420"/>
        <w:jc w:val="left"/>
        <w:rPr>
          <w:color w:val="auto"/>
          <w:highlight w:val="none"/>
          <w:lang w:val="zh-CN" w:eastAsia="zh-CN"/>
        </w:rPr>
      </w:pPr>
      <w:r>
        <w:rPr>
          <w:rFonts w:hint="eastAsia"/>
          <w:color w:val="auto"/>
          <w:highlight w:val="none"/>
          <w:lang w:val="zh-CN" w:eastAsia="zh-CN"/>
        </w:rPr>
        <w:t>（6）将装好种植土的袋子由下而上均匀码放在框格内，每码好一排后压紧再往上继续码放。</w:t>
      </w:r>
    </w:p>
    <w:p w14:paraId="2EB0DBEA">
      <w:pPr>
        <w:suppressAutoHyphens/>
        <w:ind w:firstLine="420"/>
        <w:jc w:val="left"/>
        <w:rPr>
          <w:color w:val="auto"/>
          <w:highlight w:val="none"/>
          <w:lang w:val="zh-CN" w:eastAsia="zh-CN"/>
        </w:rPr>
      </w:pPr>
      <w:r>
        <w:rPr>
          <w:rFonts w:hint="eastAsia"/>
          <w:color w:val="auto"/>
          <w:highlight w:val="none"/>
          <w:lang w:val="zh-CN" w:eastAsia="zh-CN"/>
        </w:rPr>
        <w:t>（7）植草应在气候温暖、湿度较大的季节（如春季或雨季）种植为宜。</w:t>
      </w:r>
    </w:p>
    <w:p w14:paraId="1D0D8DD6">
      <w:pPr>
        <w:suppressAutoHyphens/>
        <w:ind w:firstLine="420"/>
        <w:jc w:val="left"/>
        <w:rPr>
          <w:color w:val="auto"/>
          <w:highlight w:val="none"/>
          <w:lang w:val="zh-CN" w:eastAsia="zh-CN"/>
        </w:rPr>
      </w:pPr>
      <w:r>
        <w:rPr>
          <w:rFonts w:hint="eastAsia"/>
          <w:color w:val="auto"/>
          <w:highlight w:val="none"/>
          <w:lang w:val="zh-CN" w:eastAsia="zh-CN"/>
        </w:rPr>
        <w:t>（8）种植后应进行洒水、追肥等养护，并及时对稀疏无草区进行补播。</w:t>
      </w:r>
    </w:p>
    <w:p w14:paraId="564B7950">
      <w:pPr>
        <w:pStyle w:val="5"/>
        <w:jc w:val="left"/>
        <w:rPr>
          <w:rFonts w:hAnsi="Times New Roman" w:cs="楷体"/>
          <w:color w:val="auto"/>
          <w:highlight w:val="none"/>
          <w:lang w:eastAsia="zh-CN"/>
        </w:rPr>
      </w:pPr>
      <w:r>
        <w:rPr>
          <w:rFonts w:hAnsi="Times New Roman" w:cs="Times New Roman"/>
          <w:color w:val="auto"/>
          <w:highlight w:val="none"/>
          <w:lang w:eastAsia="zh-CN"/>
        </w:rPr>
        <w:t>6.3.7</w:t>
      </w:r>
      <w:r>
        <w:rPr>
          <w:rFonts w:hint="eastAsia" w:hAnsi="Times New Roman" w:cs="Times New Roman"/>
          <w:color w:val="auto"/>
          <w:highlight w:val="none"/>
          <w:lang w:eastAsia="zh-CN"/>
        </w:rPr>
        <w:t>　</w:t>
      </w:r>
      <w:r>
        <w:rPr>
          <w:rFonts w:hAnsi="楷体" w:cs="楷体"/>
          <w:color w:val="auto"/>
          <w:highlight w:val="none"/>
          <w:lang w:eastAsia="zh-CN"/>
        </w:rPr>
        <w:t>开挖线的变更</w:t>
      </w:r>
    </w:p>
    <w:p w14:paraId="24B74947">
      <w:pPr>
        <w:ind w:firstLine="420"/>
        <w:jc w:val="left"/>
        <w:rPr>
          <w:rFonts w:hAnsi="Times New Roman" w:cs="宋体"/>
          <w:color w:val="auto"/>
          <w:highlight w:val="none"/>
          <w:lang w:eastAsia="zh-CN"/>
        </w:rPr>
      </w:pPr>
      <w:r>
        <w:rPr>
          <w:rFonts w:hint="eastAsia" w:cs="宋体"/>
          <w:color w:val="auto"/>
          <w:highlight w:val="none"/>
          <w:lang w:eastAsia="zh-CN"/>
        </w:rPr>
        <w:t>（</w:t>
      </w:r>
      <w:r>
        <w:rPr>
          <w:rFonts w:cs="宋体"/>
          <w:color w:val="auto"/>
          <w:highlight w:val="none"/>
          <w:lang w:eastAsia="zh-CN"/>
        </w:rPr>
        <w:t>1）在开挖过程中，经监理人批准，承包人可根据土方明挖边坡和基础揭示的地质特性，对施工图纸所示的开挖线作必要修改，</w:t>
      </w:r>
      <w:r>
        <w:rPr>
          <w:rFonts w:hint="eastAsia" w:cs="宋体"/>
          <w:color w:val="auto"/>
          <w:highlight w:val="none"/>
          <w:lang w:val="zh-CN" w:eastAsia="zh-CN"/>
        </w:rPr>
        <w:t>承包人应按监理人签发的设计修改图执行，</w:t>
      </w:r>
      <w:r>
        <w:rPr>
          <w:rFonts w:cs="宋体"/>
          <w:color w:val="auto"/>
          <w:highlight w:val="none"/>
          <w:lang w:eastAsia="zh-CN"/>
        </w:rPr>
        <w:t>涉及合同变更的，应按本合同通用合同条款第</w:t>
      </w:r>
      <w:r>
        <w:rPr>
          <w:rFonts w:hAnsi="Times New Roman" w:cs="Times New Roman"/>
          <w:color w:val="auto"/>
          <w:highlight w:val="none"/>
          <w:lang w:eastAsia="zh-CN"/>
        </w:rPr>
        <w:t>15</w:t>
      </w:r>
      <w:r>
        <w:rPr>
          <w:rFonts w:cs="宋体"/>
          <w:color w:val="auto"/>
          <w:highlight w:val="none"/>
          <w:lang w:eastAsia="zh-CN"/>
        </w:rPr>
        <w:t>条约定办理。</w:t>
      </w:r>
    </w:p>
    <w:p w14:paraId="5C1F72E0">
      <w:pPr>
        <w:suppressAutoHyphens/>
        <w:ind w:firstLine="420"/>
        <w:jc w:val="left"/>
        <w:rPr>
          <w:rFonts w:cs="宋体"/>
          <w:color w:val="auto"/>
          <w:highlight w:val="none"/>
          <w:lang w:val="zh-CN" w:eastAsia="zh-CN"/>
        </w:rPr>
      </w:pPr>
      <w:r>
        <w:rPr>
          <w:rFonts w:cs="宋体"/>
          <w:color w:val="auto"/>
          <w:highlight w:val="none"/>
          <w:lang w:val="zh-CN" w:eastAsia="zh-CN"/>
        </w:rPr>
        <w:t>（2）承包人因施工需要变更施工图纸所示的开挖线，应报监理人批准后方可实施，其增加的开挖、回填等费用应包含在相应的开挖单价中，发包人不为此另行支付费用。</w:t>
      </w:r>
    </w:p>
    <w:p w14:paraId="298AF68F">
      <w:pPr>
        <w:suppressAutoHyphens/>
        <w:ind w:firstLine="420"/>
        <w:jc w:val="left"/>
        <w:rPr>
          <w:rFonts w:cs="宋体"/>
          <w:color w:val="auto"/>
          <w:highlight w:val="none"/>
          <w:lang w:val="zh-CN" w:eastAsia="zh-CN"/>
        </w:rPr>
      </w:pPr>
      <w:r>
        <w:rPr>
          <w:rFonts w:cs="宋体"/>
          <w:color w:val="auto"/>
          <w:highlight w:val="none"/>
          <w:lang w:val="zh-CN" w:eastAsia="zh-CN"/>
        </w:rPr>
        <w:t>（3）由于地质原因而引起的超挖，只有当突然的不可预料坍塌，或者是可以预料的地质缺陷但由于不可避免的扰动且不能为正确的施工方法及支护措施所制止时，才能认为是地质超挖。承包人必须在超挖发生之后且坍塌仍保留在现场时，立即报告监理人并进行测量，经监理人现场检查，并在测量结果表上签字核准之后，承包人才能得到相应的费用，否则不予支付。</w:t>
      </w:r>
    </w:p>
    <w:p w14:paraId="3FEFC12E">
      <w:pPr>
        <w:pStyle w:val="5"/>
        <w:jc w:val="left"/>
        <w:rPr>
          <w:rFonts w:hAnsi="Times New Roman" w:cs="楷体"/>
          <w:color w:val="auto"/>
          <w:highlight w:val="none"/>
          <w:lang w:eastAsia="zh-CN"/>
        </w:rPr>
      </w:pPr>
      <w:r>
        <w:rPr>
          <w:rFonts w:hAnsi="Times New Roman" w:cs="Times New Roman"/>
          <w:color w:val="auto"/>
          <w:highlight w:val="none"/>
          <w:lang w:eastAsia="zh-CN"/>
        </w:rPr>
        <w:t>6.3.8</w:t>
      </w:r>
      <w:r>
        <w:rPr>
          <w:rFonts w:hint="eastAsia" w:hAnsi="Times New Roman" w:cs="Times New Roman"/>
          <w:color w:val="auto"/>
          <w:highlight w:val="none"/>
          <w:lang w:eastAsia="zh-CN"/>
        </w:rPr>
        <w:t>　</w:t>
      </w:r>
      <w:r>
        <w:rPr>
          <w:rFonts w:hAnsi="楷体" w:cs="楷体"/>
          <w:color w:val="auto"/>
          <w:highlight w:val="none"/>
          <w:lang w:eastAsia="zh-CN"/>
        </w:rPr>
        <w:t>边坡安全的应急措施</w:t>
      </w:r>
    </w:p>
    <w:p w14:paraId="723182EF">
      <w:pPr>
        <w:ind w:firstLine="420"/>
        <w:jc w:val="left"/>
        <w:rPr>
          <w:rFonts w:cs="宋体"/>
          <w:color w:val="auto"/>
          <w:highlight w:val="none"/>
          <w:lang w:eastAsia="zh-CN"/>
        </w:rPr>
      </w:pPr>
      <w:r>
        <w:rPr>
          <w:rFonts w:cs="宋体"/>
          <w:color w:val="auto"/>
          <w:highlight w:val="none"/>
          <w:lang w:eastAsia="zh-CN"/>
        </w:rPr>
        <w:t>若开挖过程中出现裂缝和滑动迹象时，承包人应立即暂停施工，并通知监理人。必要时承包人应按监理人的指示设置观测点，及时观测边坡变化情况，并做好记录。</w:t>
      </w:r>
    </w:p>
    <w:p w14:paraId="3B3DB023">
      <w:pPr>
        <w:pStyle w:val="5"/>
        <w:jc w:val="left"/>
        <w:rPr>
          <w:rFonts w:cs="宋体"/>
          <w:color w:val="auto"/>
          <w:highlight w:val="none"/>
          <w:lang w:eastAsia="zh-CN"/>
        </w:rPr>
      </w:pPr>
      <w:r>
        <w:rPr>
          <w:rFonts w:cs="宋体"/>
          <w:color w:val="auto"/>
          <w:highlight w:val="none"/>
          <w:lang w:eastAsia="zh-CN"/>
        </w:rPr>
        <w:t>6.3.9</w:t>
      </w:r>
      <w:r>
        <w:rPr>
          <w:rFonts w:hint="eastAsia" w:cs="宋体"/>
          <w:color w:val="auto"/>
          <w:highlight w:val="none"/>
          <w:lang w:eastAsia="zh-CN"/>
        </w:rPr>
        <w:t>　干地施工</w:t>
      </w:r>
    </w:p>
    <w:p w14:paraId="11FE1F86">
      <w:pPr>
        <w:ind w:firstLine="420"/>
        <w:jc w:val="left"/>
        <w:rPr>
          <w:color w:val="auto"/>
          <w:highlight w:val="none"/>
          <w:lang w:eastAsia="zh-CN"/>
        </w:rPr>
      </w:pPr>
      <w:r>
        <w:rPr>
          <w:rFonts w:hint="eastAsia"/>
          <w:color w:val="auto"/>
          <w:highlight w:val="none"/>
          <w:lang w:val="zh-CN" w:eastAsia="zh-CN"/>
        </w:rPr>
        <w:t>除监理人另有指示外，</w:t>
      </w:r>
      <w:r>
        <w:rPr>
          <w:rFonts w:hint="eastAsia"/>
          <w:color w:val="auto"/>
          <w:highlight w:val="none"/>
          <w:lang w:eastAsia="zh-CN"/>
        </w:rPr>
        <w:t>本标段</w:t>
      </w:r>
      <w:r>
        <w:rPr>
          <w:rFonts w:hint="eastAsia"/>
          <w:color w:val="auto"/>
          <w:highlight w:val="none"/>
          <w:lang w:val="zh-CN" w:eastAsia="zh-CN"/>
        </w:rPr>
        <w:t>所有主体工程建筑物的基础开挖均应在干地进行施工</w:t>
      </w:r>
    </w:p>
    <w:p w14:paraId="7CC26D7B">
      <w:pPr>
        <w:pStyle w:val="5"/>
        <w:jc w:val="left"/>
        <w:rPr>
          <w:rFonts w:cs="宋体"/>
          <w:color w:val="auto"/>
          <w:highlight w:val="none"/>
          <w:lang w:eastAsia="zh-CN"/>
        </w:rPr>
      </w:pPr>
      <w:r>
        <w:rPr>
          <w:rFonts w:cs="宋体"/>
          <w:color w:val="auto"/>
          <w:highlight w:val="none"/>
          <w:lang w:eastAsia="zh-CN"/>
        </w:rPr>
        <w:t>6.3.10</w:t>
      </w:r>
      <w:r>
        <w:rPr>
          <w:rFonts w:hint="eastAsia" w:cs="宋体"/>
          <w:color w:val="auto"/>
          <w:highlight w:val="none"/>
          <w:lang w:eastAsia="zh-CN"/>
        </w:rPr>
        <w:t>　</w:t>
      </w:r>
      <w:r>
        <w:rPr>
          <w:rFonts w:cs="宋体"/>
          <w:color w:val="auto"/>
          <w:highlight w:val="none"/>
          <w:lang w:eastAsia="zh-CN"/>
        </w:rPr>
        <w:t>雨季施工</w:t>
      </w:r>
    </w:p>
    <w:p w14:paraId="4EA5D415">
      <w:pPr>
        <w:ind w:firstLine="420"/>
        <w:jc w:val="left"/>
        <w:rPr>
          <w:rFonts w:cs="宋体"/>
          <w:color w:val="auto"/>
          <w:highlight w:val="none"/>
          <w:lang w:eastAsia="zh-CN"/>
        </w:rPr>
      </w:pPr>
      <w:r>
        <w:rPr>
          <w:rFonts w:hint="eastAsia"/>
          <w:color w:val="auto"/>
          <w:highlight w:val="none"/>
          <w:lang w:val="zh-CN" w:eastAsia="zh-CN"/>
        </w:rPr>
        <w:t>在雨季施工中，承包人应采取保证工程质量和安全施工的技术措施，有效地防止</w:t>
      </w:r>
      <w:r>
        <w:rPr>
          <w:rFonts w:hint="eastAsia"/>
          <w:color w:val="auto"/>
          <w:highlight w:val="none"/>
          <w:lang w:eastAsia="zh-CN"/>
        </w:rPr>
        <w:t>地表水进入开挖作业区，</w:t>
      </w:r>
      <w:r>
        <w:rPr>
          <w:rFonts w:hint="eastAsia"/>
          <w:color w:val="auto"/>
          <w:highlight w:val="none"/>
          <w:lang w:val="zh-CN" w:eastAsia="zh-CN"/>
        </w:rPr>
        <w:t>雨水冲刷边坡和侵蚀地基土壤</w:t>
      </w:r>
      <w:r>
        <w:rPr>
          <w:rFonts w:cs="宋体"/>
          <w:color w:val="auto"/>
          <w:highlight w:val="none"/>
          <w:lang w:eastAsia="zh-CN"/>
        </w:rPr>
        <w:t>。</w:t>
      </w:r>
    </w:p>
    <w:p w14:paraId="6321F187">
      <w:pPr>
        <w:pStyle w:val="5"/>
        <w:jc w:val="left"/>
        <w:rPr>
          <w:rFonts w:cs="宋体"/>
          <w:color w:val="auto"/>
          <w:highlight w:val="none"/>
          <w:lang w:eastAsia="zh-CN"/>
        </w:rPr>
      </w:pPr>
      <w:r>
        <w:rPr>
          <w:rFonts w:cs="宋体"/>
          <w:color w:val="auto"/>
          <w:highlight w:val="none"/>
          <w:lang w:eastAsia="zh-CN"/>
        </w:rPr>
        <w:t>6.3.11</w:t>
      </w:r>
      <w:r>
        <w:rPr>
          <w:rFonts w:hint="eastAsia" w:cs="宋体"/>
          <w:color w:val="auto"/>
          <w:highlight w:val="none"/>
          <w:lang w:eastAsia="zh-CN"/>
        </w:rPr>
        <w:t>　临时边坡的稳定</w:t>
      </w:r>
    </w:p>
    <w:p w14:paraId="23CC713E">
      <w:pPr>
        <w:ind w:firstLine="420"/>
        <w:jc w:val="left"/>
        <w:rPr>
          <w:color w:val="auto"/>
          <w:highlight w:val="none"/>
          <w:lang w:eastAsia="zh-CN"/>
        </w:rPr>
      </w:pPr>
      <w:r>
        <w:rPr>
          <w:rFonts w:hint="eastAsia"/>
          <w:color w:val="auto"/>
          <w:highlight w:val="none"/>
          <w:lang w:val="zh-CN" w:eastAsia="zh-CN"/>
        </w:rPr>
        <w:t>主体工程的临时开挖边坡，应按施工图纸所示或监理人指示进行开挖</w:t>
      </w:r>
      <w:r>
        <w:rPr>
          <w:rFonts w:hint="eastAsia"/>
          <w:color w:val="auto"/>
          <w:highlight w:val="none"/>
          <w:lang w:eastAsia="zh-CN"/>
        </w:rPr>
        <w:t>和保护</w:t>
      </w:r>
      <w:r>
        <w:rPr>
          <w:rFonts w:hint="eastAsia"/>
          <w:color w:val="auto"/>
          <w:highlight w:val="none"/>
          <w:lang w:val="zh-CN" w:eastAsia="zh-CN"/>
        </w:rPr>
        <w:t>。对于承包人自行确定的开挖边坡，或时间保留较长的临时边坡，经监理人检查认为存在不安全因素时，承包人应及时进行补充开挖和采取保护措施。</w:t>
      </w:r>
    </w:p>
    <w:p w14:paraId="2EE91496">
      <w:pPr>
        <w:pStyle w:val="5"/>
        <w:jc w:val="left"/>
        <w:rPr>
          <w:rFonts w:cs="宋体"/>
          <w:color w:val="auto"/>
          <w:highlight w:val="none"/>
          <w:lang w:eastAsia="zh-CN"/>
        </w:rPr>
      </w:pPr>
      <w:r>
        <w:rPr>
          <w:rFonts w:cs="宋体"/>
          <w:color w:val="auto"/>
          <w:highlight w:val="none"/>
          <w:lang w:eastAsia="zh-CN"/>
        </w:rPr>
        <w:t>6.3.12</w:t>
      </w:r>
      <w:r>
        <w:rPr>
          <w:rFonts w:hint="eastAsia" w:cs="宋体"/>
          <w:color w:val="auto"/>
          <w:highlight w:val="none"/>
          <w:lang w:eastAsia="zh-CN"/>
        </w:rPr>
        <w:t>　机械开挖的边坡修整</w:t>
      </w:r>
    </w:p>
    <w:p w14:paraId="5EF3F339">
      <w:pPr>
        <w:pStyle w:val="7"/>
        <w:ind w:firstLine="420"/>
        <w:jc w:val="left"/>
        <w:rPr>
          <w:color w:val="auto"/>
          <w:highlight w:val="none"/>
          <w:lang w:eastAsia="zh-CN"/>
        </w:rPr>
      </w:pPr>
      <w:r>
        <w:rPr>
          <w:rFonts w:hint="eastAsia"/>
          <w:color w:val="auto"/>
          <w:highlight w:val="none"/>
          <w:lang w:val="zh-CN" w:eastAsia="zh-CN"/>
        </w:rPr>
        <w:t>使用机械开挖土方时，实际施工的边坡</w:t>
      </w:r>
      <w:r>
        <w:rPr>
          <w:rFonts w:hint="eastAsia"/>
          <w:color w:val="auto"/>
          <w:highlight w:val="none"/>
          <w:lang w:eastAsia="zh-CN"/>
        </w:rPr>
        <w:t>不得超挖，且</w:t>
      </w:r>
      <w:r>
        <w:rPr>
          <w:rFonts w:hint="eastAsia"/>
          <w:color w:val="auto"/>
          <w:highlight w:val="none"/>
          <w:lang w:val="zh-CN" w:eastAsia="zh-CN"/>
        </w:rPr>
        <w:t>应适当留有修坡余量，再用人工修整，边坡修整应满足施工图纸要求的坡度和平整度。</w:t>
      </w:r>
    </w:p>
    <w:p w14:paraId="0A3A3906">
      <w:pPr>
        <w:pStyle w:val="5"/>
        <w:jc w:val="left"/>
        <w:rPr>
          <w:rFonts w:cs="宋体"/>
          <w:color w:val="auto"/>
          <w:highlight w:val="none"/>
          <w:lang w:eastAsia="zh-CN"/>
        </w:rPr>
      </w:pPr>
      <w:r>
        <w:rPr>
          <w:rFonts w:cs="宋体"/>
          <w:color w:val="auto"/>
          <w:highlight w:val="none"/>
          <w:lang w:eastAsia="zh-CN"/>
        </w:rPr>
        <w:t>6.3.13</w:t>
      </w:r>
      <w:r>
        <w:rPr>
          <w:rFonts w:hint="eastAsia" w:cs="宋体"/>
          <w:color w:val="auto"/>
          <w:highlight w:val="none"/>
          <w:lang w:eastAsia="zh-CN"/>
        </w:rPr>
        <w:t>　弃土的堆放</w:t>
      </w:r>
    </w:p>
    <w:p w14:paraId="426B8630">
      <w:pPr>
        <w:ind w:firstLine="420"/>
        <w:jc w:val="left"/>
        <w:rPr>
          <w:color w:val="auto"/>
          <w:highlight w:val="none"/>
          <w:lang w:eastAsia="zh-CN"/>
        </w:rPr>
      </w:pPr>
      <w:r>
        <w:rPr>
          <w:rFonts w:hint="eastAsia" w:cs="宋体"/>
          <w:color w:val="auto"/>
          <w:highlight w:val="none"/>
          <w:lang w:eastAsia="zh-CN"/>
        </w:rPr>
        <w:t>自然边坡和开挖边坡坡顶和坡面不得弃土。弃土必须运至合同规定的弃渣场，或监理人指定的位置堆置。不允许在弃渣场外的冲沟或沿河岸弃土；所有的弃土，均应按规划要求堆放和防护，保证弃渣堆放稳定，并防止山洪造成泥石流或河道淤塞。</w:t>
      </w:r>
    </w:p>
    <w:p w14:paraId="7CA35F6C">
      <w:pPr>
        <w:pStyle w:val="5"/>
        <w:jc w:val="left"/>
        <w:rPr>
          <w:rFonts w:cs="宋体"/>
          <w:color w:val="auto"/>
          <w:highlight w:val="none"/>
          <w:lang w:eastAsia="zh-CN"/>
        </w:rPr>
      </w:pPr>
      <w:r>
        <w:rPr>
          <w:rFonts w:cs="宋体"/>
          <w:color w:val="auto"/>
          <w:highlight w:val="none"/>
          <w:lang w:eastAsia="zh-CN"/>
        </w:rPr>
        <w:t>6.3.14</w:t>
      </w:r>
      <w:r>
        <w:rPr>
          <w:rFonts w:hint="eastAsia" w:cs="宋体"/>
          <w:color w:val="auto"/>
          <w:highlight w:val="none"/>
          <w:lang w:eastAsia="zh-CN"/>
        </w:rPr>
        <w:t>　边坡面渗水排除</w:t>
      </w:r>
    </w:p>
    <w:p w14:paraId="239D763D">
      <w:pPr>
        <w:ind w:firstLine="420"/>
        <w:jc w:val="left"/>
        <w:rPr>
          <w:color w:val="auto"/>
          <w:highlight w:val="none"/>
          <w:lang w:eastAsia="zh-CN"/>
        </w:rPr>
      </w:pPr>
      <w:r>
        <w:rPr>
          <w:rFonts w:hint="eastAsia" w:cs="宋体"/>
          <w:color w:val="auto"/>
          <w:highlight w:val="none"/>
          <w:lang w:eastAsia="zh-CN"/>
        </w:rPr>
        <w:t>在开挖边坡上遇有地下水渗流时，承包人应在边坡修整和加固前，采取有效的疏导和保护措施。</w:t>
      </w:r>
    </w:p>
    <w:p w14:paraId="060FE375">
      <w:pPr>
        <w:pStyle w:val="4"/>
        <w:spacing w:beforeLines="0" w:afterLines="0"/>
        <w:jc w:val="both"/>
        <w:rPr>
          <w:rFonts w:hint="eastAsia" w:cs="宋体"/>
          <w:bCs/>
          <w:color w:val="auto"/>
          <w:szCs w:val="24"/>
          <w:highlight w:val="none"/>
          <w:lang w:eastAsia="zh-CN"/>
        </w:rPr>
      </w:pPr>
      <w:bookmarkStart w:id="1810" w:name="_Toc5083"/>
      <w:bookmarkStart w:id="1811" w:name="_Toc29960"/>
      <w:bookmarkStart w:id="1812" w:name="_Toc28043"/>
      <w:r>
        <w:rPr>
          <w:rFonts w:hint="eastAsia" w:cs="宋体"/>
          <w:bCs/>
          <w:color w:val="auto"/>
          <w:szCs w:val="24"/>
          <w:highlight w:val="none"/>
          <w:lang w:eastAsia="zh-CN"/>
        </w:rPr>
        <w:t>6.4　施工期临时排水</w:t>
      </w:r>
      <w:bookmarkEnd w:id="1810"/>
      <w:bookmarkEnd w:id="1811"/>
      <w:bookmarkEnd w:id="1812"/>
    </w:p>
    <w:p w14:paraId="6A2584F2">
      <w:pPr>
        <w:pStyle w:val="5"/>
        <w:jc w:val="left"/>
        <w:rPr>
          <w:rFonts w:hAnsi="Times New Roman" w:cs="楷体"/>
          <w:color w:val="auto"/>
          <w:highlight w:val="none"/>
          <w:lang w:eastAsia="zh-CN"/>
        </w:rPr>
      </w:pPr>
      <w:r>
        <w:rPr>
          <w:rFonts w:hAnsi="Times New Roman" w:cs="Times New Roman"/>
          <w:color w:val="auto"/>
          <w:highlight w:val="none"/>
          <w:lang w:eastAsia="zh-CN"/>
        </w:rPr>
        <w:t>6.4.1</w:t>
      </w:r>
      <w:r>
        <w:rPr>
          <w:rFonts w:hint="eastAsia" w:hAnsi="Times New Roman" w:cs="Times New Roman"/>
          <w:color w:val="auto"/>
          <w:highlight w:val="none"/>
          <w:lang w:eastAsia="zh-CN"/>
        </w:rPr>
        <w:t>　</w:t>
      </w:r>
      <w:r>
        <w:rPr>
          <w:rFonts w:hAnsi="楷体" w:cs="楷体"/>
          <w:color w:val="auto"/>
          <w:highlight w:val="none"/>
          <w:lang w:eastAsia="zh-CN"/>
        </w:rPr>
        <w:t>排水措施</w:t>
      </w:r>
    </w:p>
    <w:p w14:paraId="4916394A">
      <w:pPr>
        <w:ind w:firstLine="420"/>
        <w:jc w:val="left"/>
        <w:rPr>
          <w:rFonts w:ascii="Arial" w:hAnsi="宋体" w:eastAsia="宋体" w:cs="Arial"/>
          <w:snapToGrid w:val="0"/>
          <w:color w:val="auto"/>
          <w:sz w:val="21"/>
          <w:szCs w:val="21"/>
          <w:highlight w:val="none"/>
          <w:lang w:val="en-US" w:eastAsia="en-US" w:bidi="ar-SA"/>
        </w:rPr>
      </w:pPr>
      <w:r>
        <w:rPr>
          <w:rFonts w:cs="宋体"/>
          <w:color w:val="auto"/>
          <w:highlight w:val="none"/>
          <w:lang w:eastAsia="zh-CN"/>
        </w:rPr>
        <w:t>（</w:t>
      </w:r>
      <w:r>
        <w:rPr>
          <w:rFonts w:ascii="Arial" w:hAnsi="宋体" w:eastAsia="宋体" w:cs="宋体"/>
          <w:snapToGrid w:val="0"/>
          <w:color w:val="auto"/>
          <w:sz w:val="21"/>
          <w:szCs w:val="21"/>
          <w:highlight w:val="none"/>
          <w:lang w:val="en-US" w:eastAsia="en-US" w:bidi="ar-SA"/>
        </w:rPr>
        <w:t>1</w:t>
      </w:r>
      <w:r>
        <w:rPr>
          <w:rFonts w:cs="宋体"/>
          <w:color w:val="auto"/>
          <w:highlight w:val="none"/>
          <w:lang w:eastAsia="zh-CN"/>
        </w:rPr>
        <w:t>）承包人应在每项开挖工程开始前，结合永久性排水设施的布置，规划好开</w:t>
      </w:r>
      <w:r>
        <w:rPr>
          <w:rFonts w:hint="eastAsia" w:cs="宋体"/>
          <w:color w:val="auto"/>
          <w:highlight w:val="none"/>
          <w:lang w:val="en-US" w:eastAsia="zh-CN"/>
        </w:rPr>
        <w:t>挖</w:t>
      </w:r>
      <w:r>
        <w:rPr>
          <w:rFonts w:cs="宋体"/>
          <w:color w:val="auto"/>
          <w:highlight w:val="none"/>
          <w:lang w:eastAsia="zh-CN"/>
        </w:rPr>
        <w:t>区域内外的临时性排水措施，保证主体工程建筑物的基础开挖在干地施工。</w:t>
      </w:r>
    </w:p>
    <w:p w14:paraId="4431660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）承包人应在边坡开挖前，按施工图纸要求完成边坡上部永久性山坡截水沟的开挖和衬护。对其上部未设置永久性山坡截水沟的边坡面，应由承包人自行加设临时性山坡截水沟。</w:t>
      </w:r>
    </w:p>
    <w:p w14:paraId="0B45FF7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）在开挖过程中，承包人应做好地面排水设施，包括保持必要的地面排水坡度、设置临时坑槽、使用机械排除积水，以及开挖排水沟道排走雨水和地面积水等。</w:t>
      </w:r>
    </w:p>
    <w:p w14:paraId="0D071A4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）在平地或凹地进行开挖时，承包人应在开挖区周围设置挡水堤和开挖周边排水沟，以及采取集水坑抽水等措施，阻止场外水流进入场地，并有效排除积水。</w:t>
      </w:r>
    </w:p>
    <w:p w14:paraId="18E7CDE4">
      <w:pPr>
        <w:pStyle w:val="5"/>
        <w:jc w:val="left"/>
        <w:rPr>
          <w:rFonts w:hAnsi="Times New Roman" w:cs="楷体"/>
          <w:color w:val="auto"/>
          <w:highlight w:val="none"/>
          <w:lang w:eastAsia="zh-CN"/>
        </w:rPr>
      </w:pPr>
      <w:r>
        <w:rPr>
          <w:rFonts w:hAnsi="Times New Roman" w:cs="Times New Roman"/>
          <w:color w:val="auto"/>
          <w:highlight w:val="none"/>
          <w:lang w:eastAsia="zh-CN"/>
        </w:rPr>
        <w:t>6.4.2</w:t>
      </w:r>
      <w:r>
        <w:rPr>
          <w:rFonts w:hint="eastAsia" w:hAnsi="Times New Roman" w:cs="Times New Roman"/>
          <w:color w:val="auto"/>
          <w:highlight w:val="none"/>
          <w:lang w:eastAsia="zh-CN"/>
        </w:rPr>
        <w:t>　</w:t>
      </w:r>
      <w:r>
        <w:rPr>
          <w:rFonts w:hAnsi="楷体" w:cs="楷体"/>
          <w:color w:val="auto"/>
          <w:highlight w:val="none"/>
          <w:lang w:eastAsia="zh-CN"/>
        </w:rPr>
        <w:t>降低地下水位的排水措施</w:t>
      </w:r>
    </w:p>
    <w:p w14:paraId="6E40756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）对位于地下水位以下的基坑需要进行干地开挖时，可根据基坑的工程地质条件采用降低地下水位的措施。并将降低基坑地下水位的施工措施，提交监理人批准。</w:t>
      </w:r>
    </w:p>
    <w:p w14:paraId="42D413B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）采用挖掘机、铲运机、推土机等机械开挖基坑时，应保证地下水位降低至最低开挖面</w:t>
      </w:r>
      <w:r>
        <w:rPr>
          <w:rFonts w:hAnsi="Times New Roman" w:cs="Times New Roman"/>
          <w:color w:val="auto"/>
          <w:highlight w:val="none"/>
          <w:u w:val="single"/>
          <w:lang w:eastAsia="zh-CN"/>
        </w:rPr>
        <w:t>0.5m</w:t>
      </w:r>
      <w:r>
        <w:rPr>
          <w:rFonts w:cs="宋体"/>
          <w:color w:val="auto"/>
          <w:highlight w:val="none"/>
          <w:lang w:eastAsia="zh-CN"/>
        </w:rPr>
        <w:t>以下。</w:t>
      </w:r>
    </w:p>
    <w:p w14:paraId="6304267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）在基坑开挖期间，承包人应对基坑及其周围受降低水位影响的地区进行地下水位地面沉降观测。承包人应将观测点布置、观测仪器设置和定期观测记录提交监理人。</w:t>
      </w:r>
    </w:p>
    <w:p w14:paraId="1F01413F">
      <w:pPr>
        <w:pStyle w:val="5"/>
        <w:jc w:val="left"/>
        <w:rPr>
          <w:rFonts w:hAnsi="Times New Roman" w:cs="楷体"/>
          <w:color w:val="auto"/>
          <w:highlight w:val="none"/>
          <w:lang w:eastAsia="zh-CN"/>
        </w:rPr>
      </w:pPr>
      <w:r>
        <w:rPr>
          <w:rFonts w:hAnsi="Times New Roman" w:cs="Times New Roman"/>
          <w:color w:val="auto"/>
          <w:highlight w:val="none"/>
          <w:lang w:eastAsia="zh-CN"/>
        </w:rPr>
        <w:t>6.4.3</w:t>
      </w:r>
      <w:r>
        <w:rPr>
          <w:rFonts w:hint="eastAsia" w:hAnsi="Times New Roman" w:cs="Times New Roman"/>
          <w:color w:val="auto"/>
          <w:highlight w:val="none"/>
          <w:lang w:eastAsia="zh-CN"/>
        </w:rPr>
        <w:t>　</w:t>
      </w:r>
      <w:r>
        <w:rPr>
          <w:rFonts w:hAnsi="楷体" w:cs="楷体"/>
          <w:color w:val="auto"/>
          <w:highlight w:val="none"/>
          <w:lang w:eastAsia="zh-CN"/>
        </w:rPr>
        <w:t>保护永久建筑物和永久边坡免受冲刷</w:t>
      </w:r>
    </w:p>
    <w:p w14:paraId="1D6F4731">
      <w:pPr>
        <w:ind w:firstLine="420"/>
        <w:jc w:val="left"/>
        <w:rPr>
          <w:rFonts w:hAnsi="Times New Roman" w:cs="宋体"/>
          <w:color w:val="auto"/>
          <w:highlight w:val="none"/>
          <w:lang w:eastAsia="zh-CN"/>
        </w:rPr>
      </w:pPr>
      <w:r>
        <w:rPr>
          <w:rFonts w:cs="宋体"/>
          <w:color w:val="auto"/>
          <w:highlight w:val="none"/>
          <w:lang w:eastAsia="zh-CN"/>
        </w:rPr>
        <w:t>承包人的临时排水措施，应注意保护已开挖的永久边坡面及附近建筑物及其基础免受冲刷和侵蚀破坏。</w:t>
      </w:r>
    </w:p>
    <w:p w14:paraId="6EC7490C">
      <w:pPr>
        <w:pStyle w:val="4"/>
        <w:spacing w:beforeLines="0" w:afterLines="0"/>
        <w:jc w:val="both"/>
        <w:rPr>
          <w:rFonts w:hint="eastAsia" w:cs="宋体"/>
          <w:bCs/>
          <w:color w:val="auto"/>
          <w:szCs w:val="24"/>
          <w:highlight w:val="none"/>
          <w:lang w:eastAsia="zh-CN"/>
        </w:rPr>
      </w:pPr>
      <w:bookmarkStart w:id="1813" w:name="_Toc17538"/>
      <w:bookmarkStart w:id="1814" w:name="_Toc21989"/>
      <w:bookmarkStart w:id="1815" w:name="_Toc22889"/>
      <w:r>
        <w:rPr>
          <w:rFonts w:hint="eastAsia" w:cs="宋体"/>
          <w:bCs/>
          <w:color w:val="auto"/>
          <w:szCs w:val="24"/>
          <w:highlight w:val="none"/>
          <w:lang w:eastAsia="zh-CN"/>
        </w:rPr>
        <w:t>6.5　土料场和砂砾料场开采</w:t>
      </w:r>
      <w:bookmarkEnd w:id="1813"/>
      <w:bookmarkEnd w:id="1814"/>
      <w:bookmarkEnd w:id="1815"/>
    </w:p>
    <w:p w14:paraId="412FD04D">
      <w:pPr>
        <w:ind w:firstLine="420"/>
        <w:jc w:val="left"/>
        <w:rPr>
          <w:rFonts w:hAnsi="Times New Roman" w:cs="宋体"/>
          <w:color w:val="auto"/>
          <w:highlight w:val="none"/>
          <w:lang w:eastAsia="zh-CN"/>
        </w:rPr>
      </w:pPr>
      <w:r>
        <w:rPr>
          <w:rFonts w:hint="eastAsia" w:cs="宋体"/>
          <w:color w:val="auto"/>
          <w:highlight w:val="none"/>
          <w:lang w:val="en-US" w:eastAsia="zh-CN"/>
        </w:rPr>
        <w:t>本标段不涉及。</w:t>
      </w:r>
    </w:p>
    <w:p w14:paraId="332828E6">
      <w:pPr>
        <w:pStyle w:val="4"/>
        <w:spacing w:beforeLines="0" w:afterLines="0"/>
        <w:jc w:val="both"/>
        <w:rPr>
          <w:rFonts w:hint="eastAsia" w:cs="宋体"/>
          <w:bCs/>
          <w:color w:val="auto"/>
          <w:szCs w:val="24"/>
          <w:highlight w:val="none"/>
          <w:lang w:eastAsia="zh-CN"/>
        </w:rPr>
      </w:pPr>
      <w:bookmarkStart w:id="1816" w:name="_Toc2795"/>
      <w:bookmarkStart w:id="1817" w:name="_Toc14856"/>
      <w:bookmarkStart w:id="1818" w:name="_Toc17095"/>
      <w:r>
        <w:rPr>
          <w:rFonts w:hint="eastAsia" w:cs="宋体"/>
          <w:bCs/>
          <w:color w:val="auto"/>
          <w:szCs w:val="24"/>
          <w:highlight w:val="none"/>
          <w:lang w:eastAsia="zh-CN"/>
        </w:rPr>
        <w:t>6.6　开挖渣料的利用和弃渣处理</w:t>
      </w:r>
      <w:bookmarkEnd w:id="1816"/>
      <w:bookmarkEnd w:id="1817"/>
      <w:bookmarkEnd w:id="1818"/>
    </w:p>
    <w:p w14:paraId="3D3E4942">
      <w:pPr>
        <w:pStyle w:val="5"/>
        <w:jc w:val="left"/>
        <w:rPr>
          <w:rFonts w:hAnsi="Times New Roman" w:cs="楷体"/>
          <w:color w:val="auto"/>
          <w:highlight w:val="none"/>
          <w:lang w:eastAsia="zh-CN"/>
        </w:rPr>
      </w:pPr>
      <w:r>
        <w:rPr>
          <w:rFonts w:hAnsi="Times New Roman" w:cs="Times New Roman"/>
          <w:color w:val="auto"/>
          <w:highlight w:val="none"/>
          <w:lang w:eastAsia="zh-CN"/>
        </w:rPr>
        <w:t>6.6.1</w:t>
      </w:r>
      <w:r>
        <w:rPr>
          <w:rFonts w:hint="eastAsia" w:hAnsi="Times New Roman" w:cs="Times New Roman"/>
          <w:color w:val="auto"/>
          <w:highlight w:val="none"/>
          <w:lang w:eastAsia="zh-CN"/>
        </w:rPr>
        <w:t>　</w:t>
      </w:r>
      <w:r>
        <w:rPr>
          <w:rFonts w:hAnsi="楷体" w:cs="楷体"/>
          <w:color w:val="auto"/>
          <w:highlight w:val="none"/>
          <w:lang w:eastAsia="zh-CN"/>
        </w:rPr>
        <w:t>可利用渣料的利用</w:t>
      </w:r>
    </w:p>
    <w:p w14:paraId="65DAABF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）承包人提交的土方开挖施工措施计划中，应对开挖获得的可利用渣料进行统一规划，渣料应首先专用于本工程永久和临时工程的填筑及场地平整等。</w:t>
      </w:r>
    </w:p>
    <w:p w14:paraId="02541E3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）承包人应按批准的堆渣地点和堆渣方式，将可利用渣料运至指定地点分类堆存。渣料堆体应保持边坡稳定，并设有良好的自由排水措施。</w:t>
      </w:r>
    </w:p>
    <w:p w14:paraId="1481A19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）对监理人确认的可用料，承包人应在开挖、装运、堆存和其它作业时，采取有效的保质措施，保护可利用渣料免受污染和侵蚀。</w:t>
      </w:r>
    </w:p>
    <w:p w14:paraId="16FF429E">
      <w:pPr>
        <w:pStyle w:val="5"/>
        <w:jc w:val="left"/>
        <w:rPr>
          <w:rFonts w:hAnsi="Times New Roman" w:cs="楷体"/>
          <w:color w:val="auto"/>
          <w:highlight w:val="none"/>
          <w:lang w:eastAsia="zh-CN"/>
        </w:rPr>
      </w:pPr>
      <w:r>
        <w:rPr>
          <w:rFonts w:hAnsi="Times New Roman" w:cs="Times New Roman"/>
          <w:color w:val="auto"/>
          <w:highlight w:val="none"/>
          <w:lang w:eastAsia="zh-CN"/>
        </w:rPr>
        <w:t>6.6.2</w:t>
      </w:r>
      <w:r>
        <w:rPr>
          <w:rFonts w:hint="eastAsia" w:hAnsi="Times New Roman" w:cs="Times New Roman"/>
          <w:color w:val="auto"/>
          <w:highlight w:val="none"/>
          <w:lang w:eastAsia="zh-CN"/>
        </w:rPr>
        <w:t>　</w:t>
      </w:r>
      <w:r>
        <w:rPr>
          <w:rFonts w:hAnsi="楷体" w:cs="楷体"/>
          <w:color w:val="auto"/>
          <w:highlight w:val="none"/>
          <w:lang w:eastAsia="zh-CN"/>
        </w:rPr>
        <w:t>弃渣处理</w:t>
      </w:r>
    </w:p>
    <w:p w14:paraId="76258665">
      <w:pPr>
        <w:ind w:firstLine="420"/>
        <w:jc w:val="left"/>
        <w:rPr>
          <w:rFonts w:hAnsi="Times New Roman" w:cs="宋体"/>
          <w:color w:val="auto"/>
          <w:highlight w:val="none"/>
          <w:lang w:eastAsia="zh-CN"/>
        </w:rPr>
      </w:pPr>
      <w:r>
        <w:rPr>
          <w:rFonts w:cs="宋体"/>
          <w:color w:val="auto"/>
          <w:highlight w:val="none"/>
          <w:lang w:eastAsia="zh-CN"/>
        </w:rPr>
        <w:t>弃渣应按批准的土方开挖施工措施计划指定的地点有序堆存，防止雨水冲刷流失，危及施工区及周边地区安全。</w:t>
      </w:r>
    </w:p>
    <w:p w14:paraId="7D514B02">
      <w:pPr>
        <w:pStyle w:val="4"/>
        <w:spacing w:beforeLines="0" w:afterLines="0"/>
        <w:jc w:val="both"/>
        <w:rPr>
          <w:rFonts w:hint="eastAsia" w:cs="宋体"/>
          <w:bCs/>
          <w:color w:val="auto"/>
          <w:szCs w:val="24"/>
          <w:highlight w:val="none"/>
          <w:lang w:eastAsia="zh-CN"/>
        </w:rPr>
      </w:pPr>
      <w:bookmarkStart w:id="1819" w:name="_Toc15910"/>
      <w:bookmarkStart w:id="1820" w:name="_Toc15222"/>
      <w:bookmarkStart w:id="1821" w:name="_Toc16188"/>
      <w:r>
        <w:rPr>
          <w:rFonts w:hint="eastAsia" w:cs="宋体"/>
          <w:bCs/>
          <w:color w:val="auto"/>
          <w:szCs w:val="24"/>
          <w:highlight w:val="none"/>
          <w:lang w:eastAsia="zh-CN"/>
        </w:rPr>
        <w:t>6.7　检查和验收</w:t>
      </w:r>
      <w:bookmarkEnd w:id="1819"/>
      <w:bookmarkEnd w:id="1820"/>
      <w:bookmarkEnd w:id="1821"/>
    </w:p>
    <w:p w14:paraId="289FE998">
      <w:pPr>
        <w:pStyle w:val="5"/>
        <w:jc w:val="left"/>
        <w:rPr>
          <w:rFonts w:hAnsi="Times New Roman" w:cs="楷体"/>
          <w:color w:val="auto"/>
          <w:highlight w:val="none"/>
          <w:lang w:eastAsia="zh-CN"/>
        </w:rPr>
      </w:pPr>
      <w:r>
        <w:rPr>
          <w:rFonts w:hAnsi="Times New Roman" w:cs="Times New Roman"/>
          <w:color w:val="auto"/>
          <w:highlight w:val="none"/>
          <w:lang w:eastAsia="zh-CN"/>
        </w:rPr>
        <w:t>6.7.1</w:t>
      </w:r>
      <w:r>
        <w:rPr>
          <w:rFonts w:hint="eastAsia" w:hAnsi="Times New Roman" w:cs="Times New Roman"/>
          <w:color w:val="auto"/>
          <w:highlight w:val="none"/>
          <w:lang w:eastAsia="zh-CN"/>
        </w:rPr>
        <w:t>　</w:t>
      </w:r>
      <w:r>
        <w:rPr>
          <w:rFonts w:hAnsi="楷体" w:cs="楷体"/>
          <w:color w:val="auto"/>
          <w:highlight w:val="none"/>
          <w:lang w:eastAsia="zh-CN"/>
        </w:rPr>
        <w:t>土方开挖前的检查和验收</w:t>
      </w:r>
    </w:p>
    <w:p w14:paraId="158D8871">
      <w:pPr>
        <w:ind w:firstLine="420"/>
        <w:jc w:val="left"/>
        <w:rPr>
          <w:rFonts w:hAnsi="Times New Roman" w:cs="宋体"/>
          <w:color w:val="auto"/>
          <w:highlight w:val="none"/>
          <w:lang w:eastAsia="zh-CN"/>
        </w:rPr>
      </w:pPr>
      <w:r>
        <w:rPr>
          <w:rFonts w:cs="宋体"/>
          <w:color w:val="auto"/>
          <w:highlight w:val="none"/>
          <w:lang w:eastAsia="zh-CN"/>
        </w:rPr>
        <w:t>土方开挖前，承包人应会同监理人进行以下各项检查：</w:t>
      </w:r>
    </w:p>
    <w:p w14:paraId="7E65EDF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）用于开挖工程量计量的原地形测量剖面的复核检查。</w:t>
      </w:r>
    </w:p>
    <w:p w14:paraId="41819F5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）按施工图纸所示的工程建筑物开挖尺寸进行开挖剖面测量放样成果的检查。承包人的开挖剖面放样成果作为工程量计量的原始依据。</w:t>
      </w:r>
    </w:p>
    <w:p w14:paraId="2AD5658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）按施工图纸所示进行开挖区周围排水和防洪保护设施的质量检查和验收。</w:t>
      </w:r>
    </w:p>
    <w:p w14:paraId="03456368">
      <w:pPr>
        <w:pStyle w:val="5"/>
        <w:jc w:val="left"/>
        <w:rPr>
          <w:rFonts w:hAnsi="Times New Roman" w:cs="楷体"/>
          <w:color w:val="auto"/>
          <w:highlight w:val="none"/>
          <w:lang w:eastAsia="zh-CN"/>
        </w:rPr>
      </w:pPr>
      <w:r>
        <w:rPr>
          <w:rFonts w:hAnsi="Times New Roman" w:cs="Times New Roman"/>
          <w:color w:val="auto"/>
          <w:highlight w:val="none"/>
          <w:lang w:eastAsia="zh-CN"/>
        </w:rPr>
        <w:t>6.7.2</w:t>
      </w:r>
      <w:r>
        <w:rPr>
          <w:rFonts w:hint="eastAsia" w:hAnsi="Times New Roman" w:cs="Times New Roman"/>
          <w:color w:val="auto"/>
          <w:highlight w:val="none"/>
          <w:lang w:eastAsia="zh-CN"/>
        </w:rPr>
        <w:t>　</w:t>
      </w:r>
      <w:r>
        <w:rPr>
          <w:rFonts w:hAnsi="楷体" w:cs="楷体"/>
          <w:color w:val="auto"/>
          <w:highlight w:val="none"/>
          <w:lang w:eastAsia="zh-CN"/>
        </w:rPr>
        <w:t>土方明挖工程完成后的质量检查和验收</w:t>
      </w:r>
    </w:p>
    <w:p w14:paraId="5C96370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）土方基础明挖工程完成后，承包人应会同监理人进行以下各项质量检查和验收：</w:t>
      </w:r>
    </w:p>
    <w:p w14:paraId="68DB58EB">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）按施工图纸要求检查工程基础开挖面的平面尺寸、标高和场地平整度。</w:t>
      </w:r>
    </w:p>
    <w:p w14:paraId="431C2224">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）取样检测基础土的物理力学性质指标。</w:t>
      </w:r>
    </w:p>
    <w:p w14:paraId="61EA7CA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）基础面覆盖前的质量检验和验收：</w:t>
      </w:r>
    </w:p>
    <w:p w14:paraId="46B580D1">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）基础面覆盖前，应复核检查基础面是否满足本章第</w:t>
      </w:r>
      <w:r>
        <w:rPr>
          <w:rFonts w:hAnsi="Times New Roman" w:cs="Times New Roman"/>
          <w:color w:val="auto"/>
          <w:highlight w:val="none"/>
          <w:lang w:eastAsia="zh-CN"/>
        </w:rPr>
        <w:t>6.7.3</w:t>
      </w:r>
      <w:r>
        <w:rPr>
          <w:rFonts w:cs="宋体"/>
          <w:color w:val="auto"/>
          <w:highlight w:val="none"/>
          <w:lang w:eastAsia="zh-CN"/>
        </w:rPr>
        <w:t>项第（</w:t>
      </w:r>
      <w:r>
        <w:rPr>
          <w:rFonts w:hAnsi="Times New Roman" w:cs="Times New Roman"/>
          <w:color w:val="auto"/>
          <w:highlight w:val="none"/>
          <w:lang w:eastAsia="zh-CN"/>
        </w:rPr>
        <w:t>1</w:t>
      </w:r>
      <w:r>
        <w:rPr>
          <w:rFonts w:cs="宋体"/>
          <w:color w:val="auto"/>
          <w:highlight w:val="none"/>
          <w:lang w:eastAsia="zh-CN"/>
        </w:rPr>
        <w:t>）目的规定。</w:t>
      </w:r>
    </w:p>
    <w:p w14:paraId="174A4D51">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）对已开挖完成的土基基础开挖面，应在坝体（或砌体）填筑前清除表面的松土层，并按监理人批准的施工方法进行压实，受积水侵蚀软化的土壤应予清除，并应在监理人检验合格后立即进行覆盖。</w:t>
      </w:r>
    </w:p>
    <w:p w14:paraId="290CDECA">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）上述第（</w:t>
      </w:r>
      <w:r>
        <w:rPr>
          <w:rFonts w:hAnsi="Times New Roman" w:cs="Times New Roman"/>
          <w:color w:val="auto"/>
          <w:highlight w:val="none"/>
          <w:lang w:eastAsia="zh-CN"/>
        </w:rPr>
        <w:t>1</w:t>
      </w:r>
      <w:r>
        <w:rPr>
          <w:rFonts w:cs="宋体"/>
          <w:color w:val="auto"/>
          <w:highlight w:val="none"/>
          <w:lang w:eastAsia="zh-CN"/>
        </w:rPr>
        <w:t>）目基础面开挖完成后的检查验收，与本项规定的在基础面覆盖前进行的基础清理作业后的检验验收是检查和检验目的和性质不同的两次作业，未经监理人同意，承包人不得将这两次作业合并为一次完成。</w:t>
      </w:r>
    </w:p>
    <w:p w14:paraId="5D5F8B1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）永久边坡的检查和验收：</w:t>
      </w:r>
    </w:p>
    <w:p w14:paraId="61E719B3">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）永久边坡的坡度和平整度的复测检查。</w:t>
      </w:r>
    </w:p>
    <w:p w14:paraId="64DEB684">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）边坡永久性排水沟道的坡度和尺寸的复测检查。</w:t>
      </w:r>
    </w:p>
    <w:p w14:paraId="587C68BB">
      <w:pPr>
        <w:pStyle w:val="5"/>
        <w:jc w:val="left"/>
        <w:rPr>
          <w:rFonts w:hAnsi="Times New Roman" w:cs="楷体"/>
          <w:color w:val="auto"/>
          <w:highlight w:val="none"/>
          <w:lang w:eastAsia="zh-CN"/>
        </w:rPr>
      </w:pPr>
      <w:r>
        <w:rPr>
          <w:rFonts w:hAnsi="Times New Roman" w:cs="Times New Roman"/>
          <w:color w:val="auto"/>
          <w:highlight w:val="none"/>
          <w:lang w:eastAsia="zh-CN"/>
        </w:rPr>
        <w:t>6.7.3</w:t>
      </w:r>
      <w:r>
        <w:rPr>
          <w:rFonts w:hint="eastAsia" w:hAnsi="Times New Roman" w:cs="Times New Roman"/>
          <w:color w:val="auto"/>
          <w:highlight w:val="none"/>
          <w:lang w:eastAsia="zh-CN"/>
        </w:rPr>
        <w:t>　</w:t>
      </w:r>
      <w:r>
        <w:rPr>
          <w:rFonts w:hAnsi="楷体" w:cs="楷体"/>
          <w:color w:val="auto"/>
          <w:highlight w:val="none"/>
          <w:lang w:eastAsia="zh-CN"/>
        </w:rPr>
        <w:t>完工验收</w:t>
      </w:r>
    </w:p>
    <w:p w14:paraId="24319906">
      <w:pPr>
        <w:ind w:firstLine="420"/>
        <w:jc w:val="left"/>
        <w:rPr>
          <w:rFonts w:hAnsi="Times New Roman" w:cs="宋体"/>
          <w:color w:val="auto"/>
          <w:highlight w:val="none"/>
          <w:lang w:eastAsia="zh-CN"/>
        </w:rPr>
      </w:pPr>
      <w:r>
        <w:rPr>
          <w:rFonts w:cs="宋体"/>
          <w:color w:val="auto"/>
          <w:highlight w:val="none"/>
          <w:lang w:eastAsia="zh-CN"/>
        </w:rPr>
        <w:t>各项土方明挖工程完工后，承包人应申请完工验收，并提交以下完工验收资料：</w:t>
      </w:r>
    </w:p>
    <w:p w14:paraId="73149BA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）土方明挖工程竣工平面和剖面图。</w:t>
      </w:r>
    </w:p>
    <w:p w14:paraId="59546B1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）质量检查和验收记录。</w:t>
      </w:r>
    </w:p>
    <w:p w14:paraId="0631BD4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）监理人要求提供的其它资料。</w:t>
      </w:r>
    </w:p>
    <w:p w14:paraId="2FC592B8">
      <w:pPr>
        <w:pStyle w:val="4"/>
        <w:spacing w:beforeLines="0" w:afterLines="0"/>
        <w:jc w:val="both"/>
        <w:rPr>
          <w:rFonts w:hint="eastAsia" w:cs="宋体"/>
          <w:bCs/>
          <w:color w:val="auto"/>
          <w:szCs w:val="24"/>
          <w:highlight w:val="none"/>
          <w:lang w:eastAsia="zh-CN"/>
        </w:rPr>
      </w:pPr>
      <w:bookmarkStart w:id="1822" w:name="_Toc19040"/>
      <w:bookmarkStart w:id="1823" w:name="_Toc25122"/>
      <w:bookmarkStart w:id="1824" w:name="_Toc16183"/>
      <w:r>
        <w:rPr>
          <w:rFonts w:hint="eastAsia" w:cs="宋体"/>
          <w:bCs/>
          <w:color w:val="auto"/>
          <w:szCs w:val="24"/>
          <w:highlight w:val="none"/>
          <w:lang w:eastAsia="zh-CN"/>
        </w:rPr>
        <w:t>6.8　计量和支付</w:t>
      </w:r>
      <w:bookmarkEnd w:id="1822"/>
      <w:bookmarkEnd w:id="1823"/>
      <w:bookmarkEnd w:id="1824"/>
    </w:p>
    <w:p w14:paraId="76ADD452">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1</w:t>
      </w:r>
      <w:r>
        <w:rPr>
          <w:rFonts w:cs="宋体"/>
          <w:color w:val="auto"/>
          <w:highlight w:val="none"/>
          <w:lang w:eastAsia="zh-CN"/>
        </w:rPr>
        <w:t>）一般土方开挖、淤泥流砂开挖、沟槽开挖和柱坑开挖按施工图纸所示开挖轮廓尺寸计算的有效自然方体积以立方米为单位计量，由发包人按《工程量清单》相应项目有效工程量的每立方米工程单价支付。</w:t>
      </w:r>
    </w:p>
    <w:p w14:paraId="1FDBDD86">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2</w:t>
      </w:r>
      <w:r>
        <w:rPr>
          <w:rFonts w:cs="宋体"/>
          <w:color w:val="auto"/>
          <w:highlight w:val="none"/>
          <w:lang w:eastAsia="zh-CN"/>
        </w:rPr>
        <w:t>）非承包人原因引起的塌方清理按施工图纸所示开挖轮廓尺寸计算的有效塌方堆方体积以立方米为单位计量，由发包人按《工程量清单》相应项目有效工程量的每立方米工程单价支付。</w:t>
      </w:r>
    </w:p>
    <w:p w14:paraId="0AFEA3C0">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3</w:t>
      </w:r>
      <w:r>
        <w:rPr>
          <w:rFonts w:cs="宋体"/>
          <w:color w:val="auto"/>
          <w:highlight w:val="none"/>
          <w:lang w:eastAsia="zh-CN"/>
        </w:rPr>
        <w:t>）除另有约定外，承包人完成本章第</w:t>
      </w:r>
      <w:r>
        <w:rPr>
          <w:rFonts w:hAnsi="Times New Roman" w:cs="Times New Roman"/>
          <w:color w:val="auto"/>
          <w:highlight w:val="none"/>
          <w:lang w:eastAsia="zh-CN"/>
        </w:rPr>
        <w:t>6.2</w:t>
      </w:r>
      <w:r>
        <w:rPr>
          <w:rFonts w:cs="宋体"/>
          <w:color w:val="auto"/>
          <w:highlight w:val="none"/>
          <w:lang w:eastAsia="zh-CN"/>
        </w:rPr>
        <w:t>项所列的</w:t>
      </w:r>
      <w:r>
        <w:rPr>
          <w:rFonts w:hint="eastAsia" w:cs="宋体"/>
          <w:color w:val="auto"/>
          <w:highlight w:val="none"/>
          <w:lang w:eastAsia="zh-CN"/>
        </w:rPr>
        <w:t>“场地清理”</w:t>
      </w:r>
      <w:r>
        <w:rPr>
          <w:rFonts w:cs="宋体"/>
          <w:color w:val="auto"/>
          <w:highlight w:val="none"/>
          <w:lang w:eastAsia="zh-CN"/>
        </w:rPr>
        <w:t>工作所需的费用，包含在《工程量清单》相应土方明挖项目有效工程量的每立方米工程单价中，发包人不另行支付。</w:t>
      </w:r>
    </w:p>
    <w:p w14:paraId="126CB085">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4</w:t>
      </w:r>
      <w:r>
        <w:rPr>
          <w:rFonts w:cs="宋体"/>
          <w:color w:val="auto"/>
          <w:highlight w:val="none"/>
          <w:lang w:eastAsia="zh-CN"/>
        </w:rPr>
        <w:t>）土方明挖工程单价包括承包人按合同要求完成场地清理，测量放样，临时性排水</w:t>
      </w:r>
      <w:r>
        <w:rPr>
          <w:rFonts w:hint="eastAsia" w:cs="宋体"/>
          <w:color w:val="auto"/>
          <w:highlight w:val="none"/>
          <w:lang w:eastAsia="zh-CN"/>
        </w:rPr>
        <w:t>、降水</w:t>
      </w:r>
      <w:r>
        <w:rPr>
          <w:rFonts w:cs="宋体"/>
          <w:color w:val="auto"/>
          <w:highlight w:val="none"/>
          <w:lang w:eastAsia="zh-CN"/>
        </w:rPr>
        <w:t>措施（包括排水</w:t>
      </w:r>
      <w:r>
        <w:rPr>
          <w:rFonts w:hint="eastAsia" w:cs="宋体"/>
          <w:color w:val="auto"/>
          <w:highlight w:val="none"/>
          <w:lang w:eastAsia="zh-CN"/>
        </w:rPr>
        <w:t>、降水</w:t>
      </w:r>
      <w:r>
        <w:rPr>
          <w:rFonts w:cs="宋体"/>
          <w:color w:val="auto"/>
          <w:highlight w:val="none"/>
          <w:lang w:eastAsia="zh-CN"/>
        </w:rPr>
        <w:t>设备的安拆、运行和维修），土方开挖、装卸和运输，边坡整治和稳定观测，基础、边坡面的检查和验收，以及将开挖可利用或废弃的土方运至监理人指定的堆放区并加以保护、处理等工作所需的费用。</w:t>
      </w:r>
    </w:p>
    <w:p w14:paraId="473B982C">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土方明挖开始前，承包人应根据监理人指示，测量开挖区的地形和计量剖面，经监理人检查确认后，作为计量支付的原始资料。土方明挖按施工图纸所示的轮廓尺寸计算有效自然方体积以立方米为单位计量，由发包人按《工程量清单》相应项目有效工程量的每立方米工程单价支付。施工过程中增加的超挖量和施工附加量所需的费用，应包含在《工程量清单》相应项目有效工程量的每立方米工程单价中，发包人不另行支付。</w:t>
      </w:r>
    </w:p>
    <w:p w14:paraId="6C5764CE">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6</w:t>
      </w:r>
      <w:r>
        <w:rPr>
          <w:rFonts w:cs="宋体"/>
          <w:color w:val="auto"/>
          <w:highlight w:val="none"/>
          <w:lang w:eastAsia="zh-CN"/>
        </w:rPr>
        <w:t>）除合同另有约定外，开采土料或砂砾料（包括取土、含水量调整、弃土处理、土料运输和堆放等工作）所需的费用，包含在《工程量清单》相应项目有效工程量的工程单价或总价中，发包人不另行支付。</w:t>
      </w:r>
    </w:p>
    <w:p w14:paraId="4C771ECD">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7</w:t>
      </w:r>
      <w:r>
        <w:rPr>
          <w:rFonts w:cs="宋体"/>
          <w:color w:val="auto"/>
          <w:highlight w:val="none"/>
          <w:lang w:eastAsia="zh-CN"/>
        </w:rPr>
        <w:t>）除合同另有约定外，承包人在料场开采结束后完成开采区清理、恢复和绿化等工作所需的费用，包含在《工程量清单》相应项目的工程单价或总价中，发包人不另行支付。</w:t>
      </w:r>
    </w:p>
    <w:p w14:paraId="38DF0A6A">
      <w:pPr>
        <w:pStyle w:val="7"/>
        <w:ind w:firstLine="420"/>
        <w:jc w:val="left"/>
        <w:rPr>
          <w:color w:val="auto"/>
          <w:highlight w:val="none"/>
          <w:lang w:eastAsia="zh-CN"/>
        </w:rPr>
      </w:pPr>
      <w:r>
        <w:rPr>
          <w:rFonts w:hint="eastAsia"/>
          <w:color w:val="auto"/>
          <w:highlight w:val="none"/>
          <w:lang w:val="zh-CN" w:eastAsia="zh-CN"/>
        </w:rPr>
        <w:t>（</w:t>
      </w:r>
      <w:r>
        <w:rPr>
          <w:rFonts w:hint="eastAsia"/>
          <w:color w:val="auto"/>
          <w:highlight w:val="none"/>
          <w:lang w:val="en-US" w:eastAsia="zh-CN"/>
        </w:rPr>
        <w:t>8</w:t>
      </w:r>
      <w:r>
        <w:rPr>
          <w:rFonts w:hint="eastAsia"/>
          <w:color w:val="auto"/>
          <w:highlight w:val="none"/>
          <w:lang w:val="zh-CN" w:eastAsia="zh-CN"/>
        </w:rPr>
        <w:t>）土方中体积＜0.7m</w:t>
      </w:r>
      <w:r>
        <w:rPr>
          <w:color w:val="auto"/>
          <w:highlight w:val="none"/>
          <w:vertAlign w:val="superscript"/>
          <w:lang w:val="zh-CN" w:eastAsia="zh-CN"/>
        </w:rPr>
        <w:t>3</w:t>
      </w:r>
      <w:r>
        <w:rPr>
          <w:rFonts w:hint="eastAsia"/>
          <w:color w:val="auto"/>
          <w:highlight w:val="none"/>
          <w:lang w:val="zh-CN" w:eastAsia="zh-CN"/>
        </w:rPr>
        <w:t>的孤石按土方明挖单价支付，土方中单个体积＞0.7m</w:t>
      </w:r>
      <w:r>
        <w:rPr>
          <w:color w:val="auto"/>
          <w:highlight w:val="none"/>
          <w:vertAlign w:val="superscript"/>
          <w:lang w:val="zh-CN" w:eastAsia="zh-CN"/>
        </w:rPr>
        <w:t>3</w:t>
      </w:r>
      <w:r>
        <w:rPr>
          <w:rFonts w:hint="eastAsia"/>
          <w:color w:val="auto"/>
          <w:highlight w:val="none"/>
          <w:lang w:val="zh-CN" w:eastAsia="zh-CN"/>
        </w:rPr>
        <w:t>的孤石解小（含钻孔爆破法解小与机械法解小）、装车、运输、卸车、堆存,以立方米（自然方）为单位计量，并按工程量清单</w:t>
      </w:r>
      <w:r>
        <w:rPr>
          <w:rFonts w:hint="eastAsia"/>
          <w:color w:val="auto"/>
          <w:highlight w:val="none"/>
          <w:lang w:eastAsia="zh-CN"/>
        </w:rPr>
        <w:t>的石方明挖</w:t>
      </w:r>
      <w:r>
        <w:rPr>
          <w:rFonts w:hint="eastAsia"/>
          <w:color w:val="auto"/>
          <w:highlight w:val="none"/>
          <w:lang w:val="zh-CN" w:eastAsia="zh-CN"/>
        </w:rPr>
        <w:t>单价支付。</w:t>
      </w:r>
    </w:p>
    <w:p w14:paraId="5850DD5C">
      <w:pPr>
        <w:ind w:firstLine="420"/>
        <w:jc w:val="left"/>
        <w:rPr>
          <w:rFonts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9</w:t>
      </w:r>
      <w:r>
        <w:rPr>
          <w:rFonts w:cs="宋体"/>
          <w:color w:val="auto"/>
          <w:highlight w:val="none"/>
          <w:lang w:eastAsia="zh-CN"/>
        </w:rPr>
        <w:t>）土方开挖不区分土质级别，按综合类考虑，不因土质级别调整土方开挖单价。</w:t>
      </w:r>
    </w:p>
    <w:p w14:paraId="1899A279">
      <w:pPr>
        <w:pStyle w:val="3"/>
        <w:spacing w:beforeLines="0" w:afterLines="0" w:line="360" w:lineRule="auto"/>
        <w:jc w:val="both"/>
        <w:outlineLvl w:val="1"/>
        <w:rPr>
          <w:rFonts w:hint="eastAsia" w:cs="宋体"/>
          <w:color w:val="auto"/>
          <w:szCs w:val="30"/>
          <w:highlight w:val="none"/>
        </w:rPr>
      </w:pPr>
      <w:bookmarkStart w:id="1825" w:name="_Toc30833"/>
      <w:bookmarkStart w:id="1826" w:name="_Toc12867"/>
      <w:bookmarkStart w:id="1827" w:name="_Toc16333"/>
      <w:bookmarkStart w:id="1828" w:name="_Toc27465"/>
      <w:bookmarkStart w:id="1829" w:name="_Toc29006"/>
      <w:bookmarkStart w:id="1830" w:name="_Toc12644"/>
      <w:bookmarkStart w:id="1831" w:name="_Toc15955"/>
      <w:bookmarkStart w:id="1832" w:name="_Toc25398"/>
      <w:bookmarkStart w:id="1833" w:name="_Toc9311"/>
      <w:bookmarkStart w:id="1834" w:name="_Toc22382"/>
      <w:bookmarkStart w:id="1835" w:name="_Toc8724"/>
      <w:bookmarkStart w:id="1836" w:name="_Toc21874"/>
      <w:bookmarkStart w:id="1837" w:name="_Toc31226"/>
      <w:bookmarkStart w:id="1838" w:name="_Toc14906"/>
      <w:bookmarkStart w:id="1839" w:name="_Toc20581"/>
      <w:r>
        <w:rPr>
          <w:rFonts w:hint="eastAsia" w:cs="宋体"/>
          <w:color w:val="auto"/>
          <w:szCs w:val="30"/>
          <w:highlight w:val="none"/>
        </w:rPr>
        <w:t>7</w:t>
      </w:r>
      <w:r>
        <w:rPr>
          <w:rFonts w:hint="eastAsia" w:cs="宋体"/>
          <w:color w:val="auto"/>
          <w:szCs w:val="30"/>
          <w:highlight w:val="none"/>
          <w:lang w:eastAsia="zh-CN"/>
        </w:rPr>
        <w:t>　</w:t>
      </w:r>
      <w:r>
        <w:rPr>
          <w:rFonts w:hint="eastAsia" w:cs="宋体"/>
          <w:color w:val="auto"/>
          <w:szCs w:val="30"/>
          <w:highlight w:val="none"/>
        </w:rPr>
        <w:t>石方明挖</w:t>
      </w:r>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p>
    <w:p w14:paraId="5CB80858">
      <w:pPr>
        <w:pStyle w:val="4"/>
        <w:spacing w:beforeLines="0" w:afterLines="0"/>
        <w:jc w:val="both"/>
        <w:rPr>
          <w:rFonts w:hint="eastAsia" w:cs="宋体"/>
          <w:bCs/>
          <w:color w:val="auto"/>
          <w:szCs w:val="24"/>
          <w:highlight w:val="none"/>
          <w:lang w:eastAsia="zh-CN"/>
        </w:rPr>
      </w:pPr>
      <w:bookmarkStart w:id="1840" w:name="_Toc3522"/>
      <w:bookmarkStart w:id="1841" w:name="_Toc21333"/>
      <w:bookmarkStart w:id="1842" w:name="_Toc19650"/>
      <w:r>
        <w:rPr>
          <w:rFonts w:hint="eastAsia" w:cs="宋体"/>
          <w:bCs/>
          <w:color w:val="auto"/>
          <w:szCs w:val="24"/>
          <w:highlight w:val="none"/>
          <w:lang w:eastAsia="zh-CN"/>
        </w:rPr>
        <w:t>7.1　一般规定</w:t>
      </w:r>
      <w:bookmarkEnd w:id="1840"/>
      <w:bookmarkEnd w:id="1841"/>
      <w:bookmarkEnd w:id="1842"/>
    </w:p>
    <w:p w14:paraId="2BD98BF6">
      <w:pPr>
        <w:pStyle w:val="5"/>
        <w:jc w:val="left"/>
        <w:rPr>
          <w:rFonts w:hAnsi="Times New Roman" w:cs="楷体"/>
          <w:color w:val="auto"/>
          <w:highlight w:val="none"/>
          <w:lang w:eastAsia="zh-CN"/>
        </w:rPr>
      </w:pPr>
      <w:r>
        <w:rPr>
          <w:rFonts w:hAnsi="Times New Roman" w:cs="Times New Roman"/>
          <w:color w:val="auto"/>
          <w:highlight w:val="none"/>
          <w:lang w:eastAsia="zh-CN"/>
        </w:rPr>
        <w:t>7.1.1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5097D056">
      <w:pPr>
        <w:ind w:firstLine="420"/>
        <w:jc w:val="left"/>
        <w:rPr>
          <w:rFonts w:hAnsi="Times New Roman" w:cs="宋体"/>
          <w:color w:val="auto"/>
          <w:highlight w:val="none"/>
          <w:lang w:eastAsia="zh-CN"/>
        </w:rPr>
      </w:pPr>
      <w:r>
        <w:rPr>
          <w:rFonts w:cs="宋体"/>
          <w:color w:val="auto"/>
          <w:highlight w:val="none"/>
          <w:lang w:eastAsia="zh-CN"/>
        </w:rPr>
        <w:t>本章规定适用于本工程施工图纸所示的石方明挖工程，包括隧洞进出口（含施工支洞）</w:t>
      </w:r>
      <w:r>
        <w:rPr>
          <w:rFonts w:hint="eastAsia" w:cs="宋体"/>
          <w:color w:val="auto"/>
          <w:highlight w:val="none"/>
          <w:lang w:eastAsia="zh-CN"/>
        </w:rPr>
        <w:t>、</w:t>
      </w:r>
      <w:r>
        <w:rPr>
          <w:rFonts w:cs="宋体"/>
          <w:color w:val="auto"/>
          <w:highlight w:val="none"/>
          <w:lang w:eastAsia="zh-CN"/>
        </w:rPr>
        <w:t>施工临时道路、施工辅助设施的施工。</w:t>
      </w:r>
    </w:p>
    <w:p w14:paraId="13D21612">
      <w:pPr>
        <w:pStyle w:val="5"/>
        <w:jc w:val="left"/>
        <w:rPr>
          <w:rFonts w:hAnsi="Times New Roman" w:cs="楷体"/>
          <w:color w:val="auto"/>
          <w:highlight w:val="none"/>
          <w:lang w:eastAsia="zh-CN"/>
        </w:rPr>
      </w:pPr>
      <w:r>
        <w:rPr>
          <w:rFonts w:hAnsi="Times New Roman" w:cs="Times New Roman"/>
          <w:color w:val="auto"/>
          <w:highlight w:val="none"/>
          <w:lang w:eastAsia="zh-CN"/>
        </w:rPr>
        <w:t>7.1.2</w:t>
      </w:r>
      <w:r>
        <w:rPr>
          <w:rFonts w:hint="eastAsia" w:hAnsi="Times New Roman" w:cs="Times New Roman"/>
          <w:color w:val="auto"/>
          <w:highlight w:val="none"/>
          <w:lang w:eastAsia="zh-CN"/>
        </w:rPr>
        <w:t>　</w:t>
      </w:r>
      <w:r>
        <w:rPr>
          <w:rFonts w:hAnsi="楷体" w:cs="楷体"/>
          <w:color w:val="auto"/>
          <w:highlight w:val="none"/>
          <w:lang w:eastAsia="zh-CN"/>
        </w:rPr>
        <w:t>承包人的责任</w:t>
      </w:r>
    </w:p>
    <w:p w14:paraId="0242392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）承包人应根据本合同施工图纸和监理人的指示，按建筑物的石方明挖工程的开挖线进行开挖施工。</w:t>
      </w:r>
      <w:r>
        <w:rPr>
          <w:rFonts w:hint="eastAsia"/>
          <w:color w:val="auto"/>
          <w:highlight w:val="none"/>
          <w:lang w:eastAsia="zh-CN"/>
        </w:rPr>
        <w:t>若在开挖过程中偏离指定开挖线，应重新修整至监理人认可为止，因承包人自身失误所增加的工程量以及由此增加的额外费用均由承包人承担。</w:t>
      </w:r>
    </w:p>
    <w:p w14:paraId="11931E1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）承包人在施工前应详细了解工程地质结构、地形地貌和水文地质情况，对不良地质地段采取有效的预防性保护措施。</w:t>
      </w:r>
      <w:r>
        <w:rPr>
          <w:rFonts w:hint="eastAsia"/>
          <w:color w:val="auto"/>
          <w:highlight w:val="none"/>
          <w:lang w:eastAsia="zh-CN"/>
        </w:rPr>
        <w:t>若承包人根据实际地质情况需要修改开挖边坡时，应经监理人批准。</w:t>
      </w:r>
    </w:p>
    <w:p w14:paraId="2CC8772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）承包人应按监理人指定的格式和要求，进行开挖面的地质测绘和地质编录工作。</w:t>
      </w:r>
      <w:r>
        <w:rPr>
          <w:rFonts w:hint="eastAsia"/>
          <w:color w:val="auto"/>
          <w:highlight w:val="none"/>
          <w:lang w:eastAsia="zh-CN"/>
        </w:rPr>
        <w:t>其工作内容还应包括地质测绘前必要的局部清理和暂停开挖工作，承包人不得以局部清理和暂停开挖为由，向发包人索取额外费用。</w:t>
      </w:r>
    </w:p>
    <w:p w14:paraId="39C9748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）承包人应按合同约定，完成施工图纸要求的专项爆破试验工作。</w:t>
      </w:r>
    </w:p>
    <w:p w14:paraId="5B109833">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承包人因施工需要在施工图纸所示开挖线以外进行石方明挖时，承包人应保持开挖部位的山坡或山体的稳定，并应经监理人批准。由此增加的开挖、填筑（含混凝土回填）等费用由承包人计入报价，发包人不另行支付费用。</w:t>
      </w:r>
    </w:p>
    <w:p w14:paraId="4BFA96A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6</w:t>
      </w:r>
      <w:r>
        <w:rPr>
          <w:rFonts w:hint="eastAsia"/>
          <w:color w:val="auto"/>
          <w:highlight w:val="none"/>
          <w:lang w:eastAsia="zh-CN"/>
        </w:rPr>
        <w:t>）承包人应根据本合同的施工用地范围，按指定地点堆放可利用的石渣和废弃渣。</w:t>
      </w:r>
    </w:p>
    <w:p w14:paraId="0165AD86">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7</w:t>
      </w:r>
      <w:r>
        <w:rPr>
          <w:rFonts w:hint="eastAsia"/>
          <w:color w:val="auto"/>
          <w:highlight w:val="none"/>
          <w:lang w:eastAsia="zh-CN"/>
        </w:rPr>
        <w:t>）承包人在开挖前应了解或掌握施工范围内涉及的文物古迹以及临近或穿越的铁路、公路、输油输气、供水管道、高压线（塔）、输变电、电信（含国防地下光缆）、广播电视设施、大坝、堤防、桥梁等设施的施工报建手续，在获得相关部门施工许可，同时采取合理的开挖方案并报监理人审批，获得批准后方可进行施工。监理人的审批并不免除承包人由于施工原因造成的对上述文物古迹以及其它设施损坏的赔偿责任。</w:t>
      </w:r>
    </w:p>
    <w:p w14:paraId="00F6A636">
      <w:pPr>
        <w:pStyle w:val="5"/>
        <w:jc w:val="left"/>
        <w:rPr>
          <w:rFonts w:hAnsi="Times New Roman" w:cs="楷体"/>
          <w:color w:val="auto"/>
          <w:highlight w:val="none"/>
          <w:lang w:eastAsia="zh-CN"/>
        </w:rPr>
      </w:pPr>
      <w:r>
        <w:rPr>
          <w:rFonts w:hAnsi="Times New Roman" w:cs="Times New Roman"/>
          <w:color w:val="auto"/>
          <w:highlight w:val="none"/>
          <w:lang w:eastAsia="zh-CN"/>
        </w:rPr>
        <w:t>7.1.3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66A8D7C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）施工措施计划</w:t>
      </w:r>
    </w:p>
    <w:p w14:paraId="54AFA158">
      <w:pPr>
        <w:ind w:firstLine="420"/>
        <w:jc w:val="left"/>
        <w:rPr>
          <w:rFonts w:hAnsi="Times New Roman" w:cs="宋体"/>
          <w:color w:val="auto"/>
          <w:highlight w:val="none"/>
          <w:lang w:eastAsia="zh-CN"/>
        </w:rPr>
      </w:pPr>
      <w:r>
        <w:rPr>
          <w:rFonts w:cs="宋体"/>
          <w:color w:val="auto"/>
          <w:highlight w:val="none"/>
          <w:lang w:eastAsia="zh-CN"/>
        </w:rPr>
        <w:t>承包人应在本工程每项单位工程开工前</w:t>
      </w:r>
      <w:r>
        <w:rPr>
          <w:rFonts w:hint="eastAsia" w:cs="宋体"/>
          <w:color w:val="auto"/>
          <w:highlight w:val="none"/>
          <w:lang w:val="en-US" w:eastAsia="zh-CN"/>
        </w:rPr>
        <w:t xml:space="preserve">    </w:t>
      </w:r>
      <w:r>
        <w:rPr>
          <w:rFonts w:cs="宋体"/>
          <w:color w:val="auto"/>
          <w:highlight w:val="none"/>
          <w:lang w:eastAsia="zh-CN"/>
        </w:rPr>
        <w:t>天，按施工图纸和本技术条款的要求，编制包括下列内容的施工措施计划，提交监理人批准。</w:t>
      </w:r>
    </w:p>
    <w:p w14:paraId="67B32CC8">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）施工开挖布置图。</w:t>
      </w:r>
    </w:p>
    <w:p w14:paraId="10D1BA2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）钻孔和爆破的方法和程序。</w:t>
      </w:r>
    </w:p>
    <w:p w14:paraId="53F2DE2C">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）施工设备配置和劳动力安排。</w:t>
      </w:r>
    </w:p>
    <w:p w14:paraId="43890038">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）出渣、弃渣和石料的利用措施。</w:t>
      </w:r>
    </w:p>
    <w:p w14:paraId="69B374E8">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）边坡的保护加固和排水措施。</w:t>
      </w:r>
    </w:p>
    <w:p w14:paraId="72ECEA1B">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）质量与安全保护措施。</w:t>
      </w:r>
    </w:p>
    <w:p w14:paraId="32DD5E03">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）主要开挖工程施工进度计划等。</w:t>
      </w:r>
    </w:p>
    <w:p w14:paraId="3C9F229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）开挖放样剖面资料</w:t>
      </w:r>
    </w:p>
    <w:p w14:paraId="5E409410">
      <w:pPr>
        <w:ind w:firstLine="420"/>
        <w:jc w:val="left"/>
        <w:rPr>
          <w:rFonts w:hAnsi="Times New Roman" w:cs="宋体"/>
          <w:color w:val="auto"/>
          <w:highlight w:val="none"/>
          <w:lang w:eastAsia="zh-CN"/>
        </w:rPr>
      </w:pPr>
      <w:r>
        <w:rPr>
          <w:rFonts w:cs="宋体"/>
          <w:color w:val="auto"/>
          <w:highlight w:val="none"/>
          <w:lang w:eastAsia="zh-CN"/>
        </w:rPr>
        <w:t>每项开挖工程开工前</w:t>
      </w:r>
      <w:r>
        <w:rPr>
          <w:rFonts w:hAnsi="Times New Roman" w:cs="宋体"/>
          <w:color w:val="auto"/>
          <w:highlight w:val="none"/>
          <w:lang w:eastAsia="zh-CN"/>
        </w:rPr>
        <w:t>14</w:t>
      </w:r>
      <w:r>
        <w:rPr>
          <w:rFonts w:cs="宋体"/>
          <w:color w:val="auto"/>
          <w:highlight w:val="none"/>
          <w:lang w:eastAsia="zh-CN"/>
        </w:rPr>
        <w:t>天，承包人应将石方开挖前的实测地形和开挖放样剖面，提交监理人复核，经批准后方可进行开挖。</w:t>
      </w:r>
      <w:r>
        <w:rPr>
          <w:rFonts w:hint="eastAsia"/>
          <w:color w:val="auto"/>
          <w:highlight w:val="none"/>
          <w:lang w:eastAsia="zh-CN"/>
        </w:rPr>
        <w:t>监理人的复核不减轻承包人对其放线的准确性应负的责任，承包人不能因监理人纠正其自身放线错误而引起工程量的增加，向发包人要求支付额外费用。</w:t>
      </w:r>
    </w:p>
    <w:p w14:paraId="248644B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）钻爆作业措施计划</w:t>
      </w:r>
    </w:p>
    <w:p w14:paraId="0AF0684A">
      <w:pPr>
        <w:ind w:firstLine="420"/>
        <w:jc w:val="left"/>
        <w:rPr>
          <w:rFonts w:hAnsi="Times New Roman" w:cs="宋体"/>
          <w:color w:val="auto"/>
          <w:highlight w:val="none"/>
          <w:lang w:eastAsia="zh-CN"/>
        </w:rPr>
      </w:pPr>
      <w:r>
        <w:rPr>
          <w:rFonts w:cs="宋体"/>
          <w:color w:val="auto"/>
          <w:highlight w:val="none"/>
          <w:lang w:eastAsia="zh-CN"/>
        </w:rPr>
        <w:t>在每项单位工程（或开挖区）的开挖作业开始前</w:t>
      </w:r>
      <w:r>
        <w:rPr>
          <w:rFonts w:hint="eastAsia" w:cs="宋体"/>
          <w:color w:val="auto"/>
          <w:highlight w:val="none"/>
          <w:lang w:val="en-US" w:eastAsia="zh-CN"/>
        </w:rPr>
        <w:t xml:space="preserve">   </w:t>
      </w:r>
      <w:r>
        <w:rPr>
          <w:rFonts w:cs="宋体"/>
          <w:color w:val="auto"/>
          <w:highlight w:val="none"/>
          <w:lang w:eastAsia="zh-CN"/>
        </w:rPr>
        <w:t>天，承包人应将该项钻爆作业措施计划提交监理人批准。其内容包括：</w:t>
      </w:r>
    </w:p>
    <w:p w14:paraId="43CF8065">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）爆破孔的孔径、孔排距、孔深和倾角。</w:t>
      </w:r>
    </w:p>
    <w:p w14:paraId="1BD7197A">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）炸药类型、单位耗药量和装药结构，单响药量和总装药量。</w:t>
      </w:r>
    </w:p>
    <w:p w14:paraId="7098E0A2">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）延时顺序、</w:t>
      </w:r>
      <w:r>
        <w:rPr>
          <w:rFonts w:hint="eastAsia" w:cs="宋体"/>
          <w:color w:val="auto"/>
          <w:highlight w:val="none"/>
          <w:lang w:eastAsia="zh-CN"/>
        </w:rPr>
        <w:t>数码电子雷管</w:t>
      </w:r>
      <w:r>
        <w:rPr>
          <w:rFonts w:cs="宋体"/>
          <w:color w:val="auto"/>
          <w:highlight w:val="none"/>
          <w:lang w:eastAsia="zh-CN"/>
        </w:rPr>
        <w:t>型号和起爆方式。</w:t>
      </w:r>
    </w:p>
    <w:p w14:paraId="657D7DAC">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）承包人拟采用的任何特殊钻孔和爆破作业方法的说明。</w:t>
      </w:r>
    </w:p>
    <w:p w14:paraId="288A3539">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）爆破参数试验成果。</w:t>
      </w:r>
    </w:p>
    <w:p w14:paraId="73E5F7EA">
      <w:pPr>
        <w:ind w:firstLine="420"/>
        <w:jc w:val="left"/>
        <w:rPr>
          <w:rFonts w:hAnsi="Times New Roman" w:cs="宋体"/>
          <w:color w:val="auto"/>
          <w:highlight w:val="none"/>
          <w:lang w:eastAsia="zh-CN"/>
        </w:rPr>
      </w:pPr>
      <w:r>
        <w:rPr>
          <w:rFonts w:cs="宋体"/>
          <w:color w:val="auto"/>
          <w:highlight w:val="none"/>
          <w:lang w:eastAsia="zh-CN"/>
        </w:rPr>
        <w:t>监理人应在收到爆破作业措施计划的</w:t>
      </w:r>
      <w:r>
        <w:rPr>
          <w:rFonts w:hint="eastAsia" w:cs="宋体"/>
          <w:color w:val="auto"/>
          <w:highlight w:val="none"/>
          <w:lang w:val="en-US" w:eastAsia="zh-CN"/>
        </w:rPr>
        <w:t xml:space="preserve">    </w:t>
      </w:r>
      <w:r>
        <w:rPr>
          <w:rFonts w:cs="宋体"/>
          <w:color w:val="auto"/>
          <w:highlight w:val="none"/>
          <w:lang w:eastAsia="zh-CN"/>
        </w:rPr>
        <w:t>天内批复承包人。爆破方案的批准并不减轻承包人对爆破作业应负的施工责任。</w:t>
      </w:r>
    </w:p>
    <w:p w14:paraId="1C5E8D48">
      <w:pPr>
        <w:pStyle w:val="5"/>
        <w:jc w:val="left"/>
        <w:rPr>
          <w:rFonts w:hAnsi="Times New Roman" w:cs="楷体"/>
          <w:color w:val="auto"/>
          <w:highlight w:val="none"/>
          <w:lang w:eastAsia="zh-CN"/>
        </w:rPr>
      </w:pPr>
      <w:r>
        <w:rPr>
          <w:rFonts w:hAnsi="Times New Roman" w:cs="Times New Roman"/>
          <w:color w:val="auto"/>
          <w:highlight w:val="none"/>
          <w:lang w:eastAsia="zh-CN"/>
        </w:rPr>
        <w:t>7.1.4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1DCA3A9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）《爆破安全规程》（</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6722-2014</w:t>
      </w:r>
      <w:r>
        <w:rPr>
          <w:rFonts w:cs="宋体"/>
          <w:color w:val="auto"/>
          <w:highlight w:val="none"/>
          <w:lang w:eastAsia="zh-CN"/>
        </w:rPr>
        <w:t>）。</w:t>
      </w:r>
    </w:p>
    <w:p w14:paraId="4B26513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）《建筑地基基础工程施工质量验收标准》（</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50202-2018</w:t>
      </w:r>
      <w:r>
        <w:rPr>
          <w:rFonts w:cs="宋体"/>
          <w:color w:val="auto"/>
          <w:highlight w:val="none"/>
          <w:lang w:eastAsia="zh-CN"/>
        </w:rPr>
        <w:t>）。</w:t>
      </w:r>
    </w:p>
    <w:p w14:paraId="5B3C59B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）《水利水电工程施工通用安全技术规程》（</w:t>
      </w:r>
      <w:r>
        <w:rPr>
          <w:rFonts w:hAnsi="Times New Roman" w:cs="Times New Roman"/>
          <w:color w:val="auto"/>
          <w:highlight w:val="none"/>
          <w:lang w:eastAsia="zh-CN"/>
        </w:rPr>
        <w:t>SL398-2007</w:t>
      </w:r>
      <w:r>
        <w:rPr>
          <w:rFonts w:cs="宋体"/>
          <w:color w:val="auto"/>
          <w:highlight w:val="none"/>
          <w:lang w:eastAsia="zh-CN"/>
        </w:rPr>
        <w:t>）。</w:t>
      </w:r>
    </w:p>
    <w:p w14:paraId="3F7EAA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）《水利工程工程量清单计价规范》（</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50501-2007</w:t>
      </w:r>
      <w:r>
        <w:rPr>
          <w:rFonts w:cs="宋体"/>
          <w:color w:val="auto"/>
          <w:highlight w:val="none"/>
          <w:lang w:eastAsia="zh-CN"/>
        </w:rPr>
        <w:t>）。</w:t>
      </w:r>
    </w:p>
    <w:p w14:paraId="1356497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）《水利水电工程施工组织设计规范》（</w:t>
      </w:r>
      <w:r>
        <w:rPr>
          <w:rFonts w:hAnsi="Times New Roman" w:cs="Times New Roman"/>
          <w:color w:val="auto"/>
          <w:highlight w:val="none"/>
          <w:lang w:eastAsia="zh-CN"/>
        </w:rPr>
        <w:t>SL303-2017</w:t>
      </w:r>
      <w:r>
        <w:rPr>
          <w:rFonts w:cs="宋体"/>
          <w:color w:val="auto"/>
          <w:highlight w:val="none"/>
          <w:lang w:eastAsia="zh-CN"/>
        </w:rPr>
        <w:t>）。</w:t>
      </w:r>
    </w:p>
    <w:p w14:paraId="4DDEAA1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）《水利水电工程天然建筑材料勘察规程》（</w:t>
      </w:r>
      <w:r>
        <w:rPr>
          <w:rFonts w:hAnsi="Times New Roman" w:cs="Times New Roman"/>
          <w:color w:val="auto"/>
          <w:highlight w:val="none"/>
          <w:lang w:eastAsia="zh-CN"/>
        </w:rPr>
        <w:t>SL251-2015</w:t>
      </w:r>
      <w:r>
        <w:rPr>
          <w:rFonts w:cs="宋体"/>
          <w:color w:val="auto"/>
          <w:highlight w:val="none"/>
          <w:lang w:eastAsia="zh-CN"/>
        </w:rPr>
        <w:t>）。</w:t>
      </w:r>
    </w:p>
    <w:p w14:paraId="32F6DF9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）《水工建筑物岩石基础开挖工程施工技术规范》（</w:t>
      </w:r>
      <w:r>
        <w:rPr>
          <w:rFonts w:hAnsi="Times New Roman" w:cs="Times New Roman"/>
          <w:color w:val="auto"/>
          <w:highlight w:val="none"/>
          <w:lang w:eastAsia="zh-CN"/>
        </w:rPr>
        <w:t>DL/T5389-2007</w:t>
      </w:r>
      <w:r>
        <w:rPr>
          <w:rFonts w:cs="宋体"/>
          <w:color w:val="auto"/>
          <w:highlight w:val="none"/>
          <w:lang w:eastAsia="zh-CN"/>
        </w:rPr>
        <w:t>）。</w:t>
      </w:r>
    </w:p>
    <w:p w14:paraId="753FCE5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w:t>
      </w:r>
      <w:r>
        <w:rPr>
          <w:rFonts w:hint="eastAsia" w:cs="宋体"/>
          <w:color w:val="auto"/>
          <w:highlight w:val="none"/>
          <w:lang w:eastAsia="zh-CN"/>
        </w:rPr>
        <w:t>《水利工程工程量清单计价规范（GB50501-2007）》</w:t>
      </w:r>
      <w:r>
        <w:rPr>
          <w:rFonts w:cs="宋体"/>
          <w:color w:val="auto"/>
          <w:highlight w:val="none"/>
          <w:lang w:eastAsia="zh-CN"/>
        </w:rPr>
        <w:t>。</w:t>
      </w:r>
    </w:p>
    <w:p w14:paraId="7C09A428">
      <w:pPr>
        <w:pStyle w:val="4"/>
        <w:spacing w:beforeLines="0" w:afterLines="0"/>
        <w:jc w:val="both"/>
        <w:rPr>
          <w:rFonts w:hint="eastAsia" w:cs="宋体"/>
          <w:bCs/>
          <w:color w:val="auto"/>
          <w:szCs w:val="24"/>
          <w:highlight w:val="none"/>
          <w:lang w:eastAsia="zh-CN"/>
        </w:rPr>
      </w:pPr>
      <w:bookmarkStart w:id="1843" w:name="_Toc32285"/>
      <w:bookmarkStart w:id="1844" w:name="_Toc10102"/>
      <w:bookmarkStart w:id="1845" w:name="_Toc22226"/>
      <w:r>
        <w:rPr>
          <w:rFonts w:hint="eastAsia" w:cs="宋体"/>
          <w:bCs/>
          <w:color w:val="auto"/>
          <w:szCs w:val="24"/>
          <w:highlight w:val="none"/>
          <w:lang w:eastAsia="zh-CN"/>
        </w:rPr>
        <w:t>7.2　钻孔与爆破</w:t>
      </w:r>
      <w:bookmarkEnd w:id="1843"/>
      <w:bookmarkEnd w:id="1844"/>
      <w:bookmarkEnd w:id="1845"/>
    </w:p>
    <w:p w14:paraId="74474F0D">
      <w:pPr>
        <w:pStyle w:val="5"/>
        <w:jc w:val="left"/>
        <w:rPr>
          <w:rFonts w:hAnsi="楷体" w:cs="楷体"/>
          <w:color w:val="auto"/>
          <w:highlight w:val="none"/>
          <w:lang w:eastAsia="zh-CN"/>
        </w:rPr>
      </w:pPr>
      <w:r>
        <w:rPr>
          <w:rFonts w:hAnsi="Times New Roman" w:cs="Times New Roman"/>
          <w:color w:val="auto"/>
          <w:highlight w:val="none"/>
          <w:lang w:eastAsia="zh-CN"/>
        </w:rPr>
        <w:t>7.2.1</w:t>
      </w:r>
      <w:r>
        <w:rPr>
          <w:rFonts w:hint="eastAsia" w:hAnsi="Times New Roman" w:cs="Times New Roman"/>
          <w:color w:val="auto"/>
          <w:highlight w:val="none"/>
          <w:lang w:eastAsia="zh-CN"/>
        </w:rPr>
        <w:t>　</w:t>
      </w:r>
      <w:r>
        <w:rPr>
          <w:rFonts w:hAnsi="楷体" w:cs="楷体"/>
          <w:color w:val="auto"/>
          <w:highlight w:val="none"/>
          <w:lang w:eastAsia="zh-CN"/>
        </w:rPr>
        <w:t>爆破作业安全</w:t>
      </w:r>
    </w:p>
    <w:p w14:paraId="10BCDCAD">
      <w:pPr>
        <w:suppressAutoHyphens/>
        <w:ind w:firstLine="420"/>
        <w:jc w:val="left"/>
        <w:rPr>
          <w:color w:val="auto"/>
          <w:highlight w:val="none"/>
          <w:lang w:eastAsia="zh-CN"/>
        </w:rPr>
      </w:pPr>
      <w:r>
        <w:rPr>
          <w:rFonts w:hint="eastAsia"/>
          <w:color w:val="auto"/>
          <w:highlight w:val="none"/>
          <w:lang w:eastAsia="zh-CN"/>
        </w:rPr>
        <w:t>（1）爆破作业的安全应遵守《爆破安全规程》GB 6722的有关规定。</w:t>
      </w:r>
    </w:p>
    <w:p w14:paraId="5B58640B">
      <w:pPr>
        <w:suppressAutoHyphens/>
        <w:ind w:firstLine="420"/>
        <w:jc w:val="left"/>
        <w:rPr>
          <w:color w:val="auto"/>
          <w:highlight w:val="none"/>
          <w:lang w:eastAsia="zh-CN"/>
        </w:rPr>
      </w:pPr>
      <w:r>
        <w:rPr>
          <w:rFonts w:hint="eastAsia"/>
          <w:color w:val="auto"/>
          <w:highlight w:val="none"/>
          <w:lang w:eastAsia="zh-CN"/>
        </w:rPr>
        <w:t>（2）承包人应加强对爆破作业的安全管理，制定严格的安全检查制度，设立专职的安全检查人员，一切爆破作业必须经专职安检员检查同意后才能进行爆破。</w:t>
      </w:r>
    </w:p>
    <w:p w14:paraId="3EC24EAC">
      <w:pPr>
        <w:suppressAutoHyphens/>
        <w:ind w:firstLine="420"/>
        <w:jc w:val="left"/>
        <w:rPr>
          <w:color w:val="auto"/>
          <w:highlight w:val="none"/>
          <w:lang w:eastAsia="zh-CN"/>
        </w:rPr>
      </w:pPr>
      <w:r>
        <w:rPr>
          <w:rFonts w:hint="eastAsia"/>
          <w:color w:val="auto"/>
          <w:highlight w:val="none"/>
          <w:lang w:eastAsia="zh-CN"/>
        </w:rPr>
        <w:t>（3）参加爆破作业的人员，均应按国家和行业的有关规定进行考试和现场操作考核，合格者才准上岗。</w:t>
      </w:r>
    </w:p>
    <w:p w14:paraId="7E2D9EF1">
      <w:pPr>
        <w:suppressAutoHyphens/>
        <w:ind w:firstLine="420"/>
        <w:jc w:val="left"/>
        <w:rPr>
          <w:color w:val="auto"/>
          <w:highlight w:val="none"/>
          <w:lang w:eastAsia="zh-CN"/>
        </w:rPr>
      </w:pPr>
      <w:r>
        <w:rPr>
          <w:rFonts w:hint="eastAsia"/>
          <w:color w:val="auto"/>
          <w:highlight w:val="none"/>
          <w:lang w:eastAsia="zh-CN"/>
        </w:rPr>
        <w:t>（4）承包人应加强对爆破材料使用的监管。爆破材料的采购、验点入库、提领发放、现场使用，以及每次爆破后的剩余爆破材料的回库等进行全面监管和清点登记，严格防止爆破材料丢失。</w:t>
      </w:r>
    </w:p>
    <w:p w14:paraId="1DB2D4E0">
      <w:pPr>
        <w:suppressAutoHyphens/>
        <w:ind w:firstLine="420"/>
        <w:jc w:val="left"/>
        <w:rPr>
          <w:color w:val="auto"/>
          <w:highlight w:val="none"/>
          <w:lang w:eastAsia="zh-CN"/>
        </w:rPr>
      </w:pPr>
      <w:r>
        <w:rPr>
          <w:rFonts w:hint="eastAsia"/>
          <w:color w:val="auto"/>
          <w:highlight w:val="none"/>
          <w:lang w:eastAsia="zh-CN"/>
        </w:rPr>
        <w:t>（5）监理人认为有必要时，承包人应在指定的地段设置防护栏或防护墙，以尽量减少爆破飞石或滚石影响其他工程部位的施工。</w:t>
      </w:r>
    </w:p>
    <w:p w14:paraId="6131FB70">
      <w:pPr>
        <w:suppressAutoHyphens/>
        <w:ind w:firstLine="420"/>
        <w:jc w:val="left"/>
        <w:rPr>
          <w:color w:val="auto"/>
          <w:highlight w:val="none"/>
          <w:lang w:eastAsia="zh-CN"/>
        </w:rPr>
      </w:pPr>
      <w:r>
        <w:rPr>
          <w:rFonts w:hint="eastAsia"/>
          <w:color w:val="auto"/>
          <w:highlight w:val="none"/>
          <w:lang w:eastAsia="zh-CN"/>
        </w:rPr>
        <w:t>（6）爆破工作开始前，应明确规定安全警戒线，制定统一的爆破时间和信号，并在指定地点设安全哨，执勤人员应有红色袖章、红旗和口笛。</w:t>
      </w:r>
    </w:p>
    <w:p w14:paraId="0B0DE718">
      <w:pPr>
        <w:suppressAutoHyphens/>
        <w:ind w:firstLine="420"/>
        <w:jc w:val="left"/>
        <w:rPr>
          <w:color w:val="auto"/>
          <w:highlight w:val="none"/>
          <w:lang w:eastAsia="zh-CN"/>
        </w:rPr>
      </w:pPr>
      <w:r>
        <w:rPr>
          <w:rFonts w:hint="eastAsia"/>
          <w:color w:val="auto"/>
          <w:highlight w:val="none"/>
          <w:lang w:eastAsia="zh-CN"/>
        </w:rPr>
        <w:t>（7）爆破时，个别飞石对被保护对象的安全距离，不应小于《水利水电工程施工通用安全技术规程》（SL398）表8.5.5-1及表8.5.5-2规定的数值。</w:t>
      </w:r>
    </w:p>
    <w:p w14:paraId="5FAA3BCA">
      <w:pPr>
        <w:ind w:firstLine="420"/>
        <w:jc w:val="left"/>
        <w:rPr>
          <w:rFonts w:hAnsi="Times New Roman" w:cs="Times New Roman"/>
          <w:color w:val="auto"/>
          <w:highlight w:val="none"/>
          <w:lang w:eastAsia="zh-CN"/>
        </w:rPr>
      </w:pPr>
      <w:r>
        <w:rPr>
          <w:rFonts w:hint="eastAsia"/>
          <w:color w:val="auto"/>
          <w:highlight w:val="none"/>
          <w:lang w:eastAsia="zh-CN"/>
        </w:rPr>
        <w:t>（8）爆破对建筑物和构筑物的爆破震动安全判据，宜采用保护对象所在地的质点峰值振动速度和主振频率，以主振频率的频段确定相应的振动速度，其安全标准见《爆破安全规程》（GB 6722）表2。</w:t>
      </w:r>
    </w:p>
    <w:p w14:paraId="3C29C8A3">
      <w:pPr>
        <w:pStyle w:val="5"/>
        <w:jc w:val="left"/>
        <w:rPr>
          <w:rFonts w:hAnsi="Times New Roman" w:cs="楷体"/>
          <w:color w:val="auto"/>
          <w:highlight w:val="none"/>
          <w:lang w:eastAsia="zh-CN"/>
        </w:rPr>
      </w:pPr>
      <w:r>
        <w:rPr>
          <w:rFonts w:hAnsi="Times New Roman" w:cs="Times New Roman"/>
          <w:color w:val="auto"/>
          <w:highlight w:val="none"/>
          <w:lang w:eastAsia="zh-CN"/>
        </w:rPr>
        <w:t>7.2.2</w:t>
      </w:r>
      <w:r>
        <w:rPr>
          <w:rFonts w:hint="eastAsia" w:hAnsi="Times New Roman" w:cs="Times New Roman"/>
          <w:color w:val="auto"/>
          <w:highlight w:val="none"/>
          <w:lang w:eastAsia="zh-CN"/>
        </w:rPr>
        <w:t>　</w:t>
      </w:r>
      <w:r>
        <w:rPr>
          <w:rFonts w:hAnsi="楷体" w:cs="楷体"/>
          <w:color w:val="auto"/>
          <w:highlight w:val="none"/>
          <w:lang w:eastAsia="zh-CN"/>
        </w:rPr>
        <w:t>爆破材料的试验和选用</w:t>
      </w:r>
    </w:p>
    <w:p w14:paraId="0A0DBB1A">
      <w:pPr>
        <w:ind w:firstLine="420"/>
        <w:jc w:val="left"/>
        <w:rPr>
          <w:rFonts w:hAnsi="Times New Roman" w:cs="宋体"/>
          <w:color w:val="auto"/>
          <w:highlight w:val="none"/>
          <w:lang w:eastAsia="zh-CN"/>
        </w:rPr>
      </w:pPr>
      <w:r>
        <w:rPr>
          <w:rFonts w:cs="宋体"/>
          <w:color w:val="auto"/>
          <w:highlight w:val="none"/>
          <w:lang w:eastAsia="zh-CN"/>
        </w:rPr>
        <w:t>承包人应根据本工程的实际使用条件和监理人批准的钻爆措施计划中规定的技术要求选用爆破材料，每批爆破材料使用前应进行材料性能试验，试验报告应提交监理人。</w:t>
      </w:r>
    </w:p>
    <w:p w14:paraId="6A2B9563">
      <w:pPr>
        <w:pStyle w:val="5"/>
        <w:jc w:val="left"/>
        <w:rPr>
          <w:rFonts w:hAnsi="Times New Roman" w:cs="楷体"/>
          <w:color w:val="auto"/>
          <w:highlight w:val="none"/>
          <w:lang w:eastAsia="zh-CN"/>
        </w:rPr>
      </w:pPr>
      <w:r>
        <w:rPr>
          <w:rFonts w:hAnsi="Times New Roman" w:cs="Times New Roman"/>
          <w:color w:val="auto"/>
          <w:highlight w:val="none"/>
          <w:lang w:eastAsia="zh-CN"/>
        </w:rPr>
        <w:t>7.2.3</w:t>
      </w:r>
      <w:r>
        <w:rPr>
          <w:rFonts w:hint="eastAsia" w:hAnsi="Times New Roman" w:cs="Times New Roman"/>
          <w:color w:val="auto"/>
          <w:highlight w:val="none"/>
          <w:lang w:eastAsia="zh-CN"/>
        </w:rPr>
        <w:t>　</w:t>
      </w:r>
      <w:r>
        <w:rPr>
          <w:rFonts w:hAnsi="楷体" w:cs="楷体"/>
          <w:color w:val="auto"/>
          <w:highlight w:val="none"/>
          <w:lang w:eastAsia="zh-CN"/>
        </w:rPr>
        <w:t>控制爆破</w:t>
      </w:r>
    </w:p>
    <w:p w14:paraId="404CEBF8">
      <w:pPr>
        <w:ind w:firstLine="420"/>
        <w:jc w:val="left"/>
        <w:rPr>
          <w:rFonts w:hAnsi="Times New Roman" w:cs="宋体"/>
          <w:color w:val="auto"/>
          <w:highlight w:val="none"/>
          <w:lang w:eastAsia="zh-CN"/>
        </w:rPr>
      </w:pPr>
      <w:r>
        <w:rPr>
          <w:rFonts w:cs="宋体"/>
          <w:color w:val="auto"/>
          <w:highlight w:val="none"/>
          <w:lang w:eastAsia="zh-CN"/>
        </w:rPr>
        <w:t>边坡和基础开挖必须按以下各项要求进行控制爆破：</w:t>
      </w:r>
    </w:p>
    <w:p w14:paraId="61F9112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）承包人应对岩质基础、边坡、马道的所有轮廓线上的垂直、斜坡面采用控制爆破。</w:t>
      </w:r>
    </w:p>
    <w:p w14:paraId="622E564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）紧邻设计建基面、设计边坡、建筑物或防护目标，应采用毫秒延时起爆网络，不得采用大孔径爆破方法。</w:t>
      </w:r>
    </w:p>
    <w:p w14:paraId="4D97E433">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）钻孔爆破施工应遵守《水工建筑物岩石基础开挖工程施工技术规范》（</w:t>
      </w:r>
      <w:r>
        <w:rPr>
          <w:rFonts w:hAnsi="Times New Roman" w:cs="Times New Roman"/>
          <w:color w:val="auto"/>
          <w:highlight w:val="none"/>
          <w:lang w:eastAsia="zh-CN"/>
        </w:rPr>
        <w:t>DL/T5389-2007</w:t>
      </w:r>
      <w:r>
        <w:rPr>
          <w:rFonts w:cs="宋体"/>
          <w:color w:val="auto"/>
          <w:highlight w:val="none"/>
          <w:lang w:eastAsia="zh-CN"/>
        </w:rPr>
        <w:t>）的有关规定。</w:t>
      </w:r>
    </w:p>
    <w:p w14:paraId="60D69D7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）在新浇混凝土、新灌浆区、新喷锚支护区和已建建筑物附近进行爆破，以及在特殊要求部位进行爆破作业时，必须制定专门的爆破措施方案。</w:t>
      </w:r>
    </w:p>
    <w:p w14:paraId="28D0A16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）对廊道、齿槽和其它特殊沟槽等开挖必须进行控制爆破设计，并通过爆破试验调整其爆破参数。</w:t>
      </w:r>
    </w:p>
    <w:p w14:paraId="0A4E82A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）预裂爆破、梯段爆破、台阶爆破和特殊部位的爆破，其所用的参数和装药量应由承包人通过专项爆破试验确定，试验成果应提交监理人批准。</w:t>
      </w:r>
    </w:p>
    <w:p w14:paraId="7843513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）对爆破空气冲击波和飞石要做好控制与防护措施，以免危及机械设备和人身安全。</w:t>
      </w:r>
    </w:p>
    <w:p w14:paraId="11A54A65">
      <w:pPr>
        <w:pStyle w:val="4"/>
        <w:spacing w:beforeLines="0" w:afterLines="0"/>
        <w:jc w:val="both"/>
        <w:rPr>
          <w:rFonts w:hint="eastAsia" w:cs="宋体"/>
          <w:bCs/>
          <w:color w:val="auto"/>
          <w:szCs w:val="24"/>
          <w:highlight w:val="none"/>
          <w:lang w:eastAsia="zh-CN"/>
        </w:rPr>
      </w:pPr>
      <w:bookmarkStart w:id="1846" w:name="_Toc27789"/>
      <w:bookmarkStart w:id="1847" w:name="_Toc22588"/>
      <w:bookmarkStart w:id="1848" w:name="_Toc30419"/>
      <w:r>
        <w:rPr>
          <w:rFonts w:hint="eastAsia" w:cs="宋体"/>
          <w:bCs/>
          <w:color w:val="auto"/>
          <w:szCs w:val="24"/>
          <w:highlight w:val="none"/>
          <w:lang w:eastAsia="zh-CN"/>
        </w:rPr>
        <w:t>7.3　石方明挖</w:t>
      </w:r>
      <w:bookmarkEnd w:id="1846"/>
      <w:bookmarkEnd w:id="1847"/>
      <w:bookmarkEnd w:id="1848"/>
    </w:p>
    <w:p w14:paraId="6F5E882B">
      <w:pPr>
        <w:pStyle w:val="5"/>
        <w:jc w:val="left"/>
        <w:rPr>
          <w:rFonts w:hAnsi="楷体" w:cs="楷体"/>
          <w:color w:val="auto"/>
          <w:highlight w:val="none"/>
          <w:lang w:eastAsia="zh-CN"/>
        </w:rPr>
      </w:pPr>
      <w:r>
        <w:rPr>
          <w:rFonts w:hAnsi="Times New Roman" w:cs="Times New Roman"/>
          <w:color w:val="auto"/>
          <w:highlight w:val="none"/>
          <w:lang w:eastAsia="zh-CN"/>
        </w:rPr>
        <w:t>7.3.1</w:t>
      </w:r>
      <w:r>
        <w:rPr>
          <w:rFonts w:hint="eastAsia" w:hAnsi="Times New Roman" w:cs="Times New Roman"/>
          <w:color w:val="auto"/>
          <w:highlight w:val="none"/>
          <w:lang w:eastAsia="zh-CN"/>
        </w:rPr>
        <w:t>　</w:t>
      </w:r>
      <w:r>
        <w:rPr>
          <w:rFonts w:hAnsi="楷体" w:cs="楷体"/>
          <w:color w:val="auto"/>
          <w:highlight w:val="none"/>
          <w:lang w:eastAsia="zh-CN"/>
        </w:rPr>
        <w:t>岩石分级和石方定义</w:t>
      </w:r>
    </w:p>
    <w:p w14:paraId="23BED498">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）石方开挖是指除全风化岩体之外的岩石开挖工程。</w:t>
      </w:r>
    </w:p>
    <w:p w14:paraId="75F8844E">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）全风化岩体是指饱和单轴抗压强度</w:t>
      </w:r>
      <w:r>
        <w:rPr>
          <w:rFonts w:hint="eastAsia" w:hAnsi="Times New Roman"/>
          <w:color w:val="auto"/>
          <w:highlight w:val="none"/>
          <w:lang w:eastAsia="zh-CN"/>
        </w:rPr>
        <w:t>≤</w:t>
      </w:r>
      <w:r>
        <w:rPr>
          <w:rFonts w:hAnsi="Times New Roman"/>
          <w:color w:val="auto"/>
          <w:highlight w:val="none"/>
          <w:lang w:eastAsia="zh-CN"/>
        </w:rPr>
        <w:t>5MPa</w:t>
      </w:r>
      <w:r>
        <w:rPr>
          <w:rFonts w:hint="eastAsia"/>
          <w:color w:val="auto"/>
          <w:highlight w:val="none"/>
          <w:lang w:eastAsia="zh-CN"/>
        </w:rPr>
        <w:t>的岩体。</w:t>
      </w:r>
    </w:p>
    <w:p w14:paraId="3AF7E9F6">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）设计成果所示的岩土分界线不作为土方、石方分界及计量的划分依据。</w:t>
      </w:r>
    </w:p>
    <w:p w14:paraId="51E2F572">
      <w:pPr>
        <w:pStyle w:val="5"/>
        <w:jc w:val="left"/>
        <w:rPr>
          <w:rFonts w:hAnsi="Times New Roman" w:cs="楷体"/>
          <w:color w:val="auto"/>
          <w:highlight w:val="none"/>
          <w:lang w:eastAsia="zh-CN"/>
        </w:rPr>
      </w:pPr>
      <w:r>
        <w:rPr>
          <w:rFonts w:hAnsi="Times New Roman" w:cs="Times New Roman"/>
          <w:color w:val="auto"/>
          <w:highlight w:val="none"/>
          <w:lang w:eastAsia="zh-CN"/>
        </w:rPr>
        <w:t>7.3.2</w:t>
      </w:r>
      <w:r>
        <w:rPr>
          <w:rFonts w:hint="eastAsia" w:hAnsi="Times New Roman" w:cs="Times New Roman"/>
          <w:color w:val="auto"/>
          <w:highlight w:val="none"/>
          <w:lang w:eastAsia="zh-CN"/>
        </w:rPr>
        <w:t>　</w:t>
      </w:r>
      <w:r>
        <w:rPr>
          <w:rFonts w:hAnsi="楷体" w:cs="楷体"/>
          <w:color w:val="auto"/>
          <w:highlight w:val="none"/>
          <w:lang w:eastAsia="zh-CN"/>
        </w:rPr>
        <w:t>岩石开挖的技术要求</w:t>
      </w:r>
    </w:p>
    <w:p w14:paraId="5AB9BB0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）承包人应采取有效措施确保边坡、基础及其邻近建基面，以及坑、槽部位的开挖质量。除按本技术条款第</w:t>
      </w:r>
      <w:r>
        <w:rPr>
          <w:rFonts w:hAnsi="Times New Roman" w:cs="Times New Roman"/>
          <w:color w:val="auto"/>
          <w:highlight w:val="none"/>
          <w:lang w:eastAsia="zh-CN"/>
        </w:rPr>
        <w:t>7.2.3</w:t>
      </w:r>
      <w:r>
        <w:rPr>
          <w:rFonts w:cs="宋体"/>
          <w:color w:val="auto"/>
          <w:highlight w:val="none"/>
          <w:lang w:eastAsia="zh-CN"/>
        </w:rPr>
        <w:t>项做好控制爆破外，还应遵守《水工建筑物岩石基础开挖工程施工技术规范》（</w:t>
      </w:r>
      <w:r>
        <w:rPr>
          <w:rFonts w:hAnsi="Times New Roman" w:cs="Times New Roman"/>
          <w:color w:val="auto"/>
          <w:highlight w:val="none"/>
          <w:lang w:eastAsia="zh-CN"/>
        </w:rPr>
        <w:t>DL/T5389-2007</w:t>
      </w:r>
      <w:r>
        <w:rPr>
          <w:rFonts w:cs="宋体"/>
          <w:color w:val="auto"/>
          <w:highlight w:val="none"/>
          <w:lang w:eastAsia="zh-CN"/>
        </w:rPr>
        <w:t>）的有关规定。</w:t>
      </w:r>
    </w:p>
    <w:p w14:paraId="44803005">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）裂隙较发育部位的基础面，应在清除裂隙松动岩石后，进行喷混凝土保护。</w:t>
      </w:r>
    </w:p>
    <w:p w14:paraId="0E4C03A1">
      <w:pPr>
        <w:pStyle w:val="5"/>
        <w:jc w:val="left"/>
        <w:rPr>
          <w:rFonts w:cs="宋体"/>
          <w:color w:val="auto"/>
          <w:highlight w:val="none"/>
          <w:lang w:eastAsia="zh-CN"/>
        </w:rPr>
      </w:pPr>
      <w:r>
        <w:rPr>
          <w:rFonts w:cs="宋体"/>
          <w:color w:val="auto"/>
          <w:highlight w:val="none"/>
          <w:lang w:eastAsia="zh-CN"/>
        </w:rPr>
        <w:t>7.3.2.1</w:t>
      </w:r>
      <w:r>
        <w:rPr>
          <w:rFonts w:hint="eastAsia" w:cs="宋体"/>
          <w:color w:val="auto"/>
          <w:highlight w:val="none"/>
          <w:lang w:eastAsia="zh-CN"/>
        </w:rPr>
        <w:t>　边坡开挖</w:t>
      </w:r>
    </w:p>
    <w:p w14:paraId="472FE497">
      <w:pPr>
        <w:suppressAutoHyphens/>
        <w:ind w:firstLine="420"/>
        <w:jc w:val="left"/>
        <w:rPr>
          <w:color w:val="auto"/>
          <w:highlight w:val="none"/>
          <w:lang w:eastAsia="zh-CN"/>
        </w:rPr>
      </w:pPr>
      <w:r>
        <w:rPr>
          <w:rFonts w:hint="eastAsia"/>
          <w:color w:val="auto"/>
          <w:highlight w:val="none"/>
          <w:lang w:eastAsia="zh-CN"/>
        </w:rPr>
        <w:t>（1）边坡开挖前，承包人应详细调查边坡岩石的稳定性，包括设计开挖范围以外对施工安全有影响的坡面和岸坡等。对边坡开挖范围内，以及开挖边坡上部和临近两侧存在的不安全因素，必须采取相应的处理措施，山坡上所有危石及不稳定岩体均应撬挖排除，如少量岩块撬挖确有困难，可用浅孔微量炸药爆破。坡顶截水沟系统应在边坡开挖之前完成。</w:t>
      </w:r>
    </w:p>
    <w:p w14:paraId="262019EA">
      <w:pPr>
        <w:suppressAutoHyphens/>
        <w:ind w:firstLine="420"/>
        <w:jc w:val="left"/>
        <w:rPr>
          <w:color w:val="auto"/>
          <w:highlight w:val="none"/>
          <w:lang w:eastAsia="zh-CN"/>
        </w:rPr>
      </w:pPr>
      <w:r>
        <w:rPr>
          <w:rFonts w:hint="eastAsia"/>
          <w:color w:val="auto"/>
          <w:highlight w:val="none"/>
          <w:lang w:eastAsia="zh-CN"/>
        </w:rPr>
        <w:t>（2）开挖应自上而下进行，高度较大的边坡，应采用分层台阶爆破的方法，台阶或分层高度应根据爆破方式、施工机械性能及开挖区布置等因素选定开挖边坡的台阶高度。严禁采取自下而上的开挖方式。</w:t>
      </w:r>
    </w:p>
    <w:p w14:paraId="110E592F">
      <w:pPr>
        <w:suppressAutoHyphens/>
        <w:ind w:firstLine="420"/>
        <w:jc w:val="left"/>
        <w:rPr>
          <w:color w:val="auto"/>
          <w:highlight w:val="none"/>
          <w:lang w:eastAsia="zh-CN"/>
        </w:rPr>
      </w:pPr>
      <w:r>
        <w:rPr>
          <w:rFonts w:hint="eastAsia"/>
          <w:color w:val="auto"/>
          <w:highlight w:val="none"/>
          <w:lang w:eastAsia="zh-CN"/>
        </w:rPr>
        <w:t>（3）在开挖边坡的施工台阶逐渐下降过程中，应及时对坡面进行测量检查以防止偏离设计开挖线，避免在形成高边坡后再进行处理。</w:t>
      </w:r>
    </w:p>
    <w:p w14:paraId="414E80D3">
      <w:pPr>
        <w:suppressAutoHyphens/>
        <w:ind w:firstLine="420"/>
        <w:jc w:val="left"/>
        <w:rPr>
          <w:color w:val="auto"/>
          <w:highlight w:val="none"/>
          <w:lang w:eastAsia="zh-CN"/>
        </w:rPr>
      </w:pPr>
      <w:r>
        <w:rPr>
          <w:rFonts w:hint="eastAsia"/>
          <w:color w:val="auto"/>
          <w:highlight w:val="none"/>
          <w:lang w:eastAsia="zh-CN"/>
        </w:rPr>
        <w:t>（4）对于边坡开挖中出露不利断层、软弱夹层或卸荷松动体、不利组合块体等不良地质情况，以及边坡变形异常、拉裂、局部滑动等不利迹象，应及时按施工图纸和监理人的指示进行处理，并在施工完成后再进行下一层边坡开挖施工。</w:t>
      </w:r>
    </w:p>
    <w:p w14:paraId="3CDB0814">
      <w:pPr>
        <w:suppressAutoHyphens/>
        <w:ind w:firstLine="420"/>
        <w:jc w:val="left"/>
        <w:rPr>
          <w:color w:val="auto"/>
          <w:highlight w:val="none"/>
          <w:lang w:eastAsia="zh-CN"/>
        </w:rPr>
      </w:pPr>
      <w:r>
        <w:rPr>
          <w:rFonts w:hint="eastAsia"/>
          <w:color w:val="auto"/>
          <w:highlight w:val="none"/>
          <w:lang w:eastAsia="zh-CN"/>
        </w:rPr>
        <w:t>（5）开挖边坡的支护应在分层开挖过程中逐层进行，上层的支护应保证下一层的开挖安全。Ⅳ类岩体边坡未完成上一层的浅层（挂网喷砼、锚杆、排水孔等）支护，严禁进行下一层的开挖；Ⅱ类、Ⅲ类岩体边坡浅层支护（挂网喷砼、锚杆、排水孔等）滞后开挖工作面不应大于一个爆破梯段；深层支护（锚筋桩等）滞后开挖工作面不应大于两个爆破梯段。</w:t>
      </w:r>
    </w:p>
    <w:p w14:paraId="03D89C6E">
      <w:pPr>
        <w:suppressAutoHyphens/>
        <w:ind w:firstLine="420"/>
        <w:jc w:val="left"/>
        <w:rPr>
          <w:color w:val="auto"/>
          <w:highlight w:val="none"/>
          <w:lang w:eastAsia="zh-CN"/>
        </w:rPr>
      </w:pPr>
      <w:r>
        <w:rPr>
          <w:rFonts w:hint="eastAsia"/>
          <w:color w:val="auto"/>
          <w:highlight w:val="none"/>
          <w:lang w:eastAsia="zh-CN"/>
        </w:rPr>
        <w:t>（6）边坡施工过程中，可以根据边坡开挖揭示情况和现场安全监测资料成果，协调好边坡开挖与支护施工工作面的关系，以满足边坡稳定和限制卸荷松弛为总体原则，上层边坡的支护应保证下一层开挖的安全，下层的开挖不影响上层已完成的支护。</w:t>
      </w:r>
    </w:p>
    <w:p w14:paraId="05B877D6">
      <w:pPr>
        <w:suppressAutoHyphens/>
        <w:ind w:firstLine="420"/>
        <w:jc w:val="left"/>
        <w:rPr>
          <w:color w:val="auto"/>
          <w:highlight w:val="none"/>
          <w:lang w:eastAsia="zh-CN"/>
        </w:rPr>
      </w:pPr>
      <w:r>
        <w:rPr>
          <w:rFonts w:hint="eastAsia"/>
          <w:color w:val="auto"/>
          <w:highlight w:val="none"/>
          <w:lang w:eastAsia="zh-CN"/>
        </w:rPr>
        <w:t>（7）开挖过程中，如出现整体裂缝或滑动迹象时，应立即停止施工，将人员、设备尽快撤离工作面，视开裂或滑动程度采取不同的应急措施。</w:t>
      </w:r>
    </w:p>
    <w:p w14:paraId="24D1B1D2">
      <w:pPr>
        <w:ind w:firstLine="420"/>
        <w:jc w:val="left"/>
        <w:rPr>
          <w:color w:val="auto"/>
          <w:highlight w:val="none"/>
          <w:lang w:eastAsia="zh-CN"/>
        </w:rPr>
      </w:pPr>
      <w:r>
        <w:rPr>
          <w:rFonts w:hint="eastAsia"/>
          <w:color w:val="auto"/>
          <w:highlight w:val="none"/>
          <w:lang w:eastAsia="zh-CN"/>
        </w:rPr>
        <w:t>（8）在施工期间直至工程验收，承包人应对开挖边坡的稳定进行安全监测，并应按监理人指示，定期将安全监测记录提交监理人。若出现不稳定迹象时，承包人应及时通知监理人，并立即采取有效措施保护边坡稳定。</w:t>
      </w:r>
    </w:p>
    <w:p w14:paraId="5B3F867F">
      <w:pPr>
        <w:pStyle w:val="5"/>
        <w:jc w:val="left"/>
        <w:rPr>
          <w:rFonts w:cs="宋体"/>
          <w:color w:val="auto"/>
          <w:highlight w:val="none"/>
          <w:lang w:eastAsia="zh-CN"/>
        </w:rPr>
      </w:pPr>
      <w:r>
        <w:rPr>
          <w:rFonts w:cs="宋体"/>
          <w:color w:val="auto"/>
          <w:highlight w:val="none"/>
          <w:lang w:eastAsia="zh-CN"/>
        </w:rPr>
        <w:t>7.3.2.2</w:t>
      </w:r>
      <w:r>
        <w:rPr>
          <w:rFonts w:hint="eastAsia" w:cs="宋体"/>
          <w:color w:val="auto"/>
          <w:highlight w:val="none"/>
          <w:lang w:eastAsia="zh-CN"/>
        </w:rPr>
        <w:t>　基础开挖</w:t>
      </w:r>
    </w:p>
    <w:p w14:paraId="755E723C">
      <w:pPr>
        <w:suppressAutoHyphens/>
        <w:ind w:firstLine="420"/>
        <w:jc w:val="left"/>
        <w:rPr>
          <w:color w:val="auto"/>
          <w:highlight w:val="none"/>
          <w:lang w:eastAsia="zh-CN"/>
        </w:rPr>
      </w:pPr>
      <w:r>
        <w:rPr>
          <w:rFonts w:hint="eastAsia"/>
          <w:color w:val="auto"/>
          <w:highlight w:val="none"/>
          <w:lang w:eastAsia="zh-CN"/>
        </w:rPr>
        <w:t>（1）开挖要求及质量标准</w:t>
      </w:r>
    </w:p>
    <w:p w14:paraId="3DB5CB2B">
      <w:pPr>
        <w:suppressAutoHyphens/>
        <w:ind w:firstLine="420"/>
        <w:jc w:val="left"/>
        <w:rPr>
          <w:color w:val="auto"/>
          <w:highlight w:val="none"/>
          <w:lang w:eastAsia="zh-CN"/>
        </w:rPr>
      </w:pPr>
      <w:r>
        <w:rPr>
          <w:rFonts w:hint="eastAsia"/>
          <w:color w:val="auto"/>
          <w:highlight w:val="none"/>
          <w:lang w:eastAsia="zh-CN"/>
        </w:rPr>
        <w:t>承包人应按本合同技术条款的要求和监理人指示，采取有效措施确保基础开挖的施工质量。除按本技术条款第7.2.2条作好控制爆破外，还应满足以下标准和要求：</w:t>
      </w:r>
    </w:p>
    <w:p w14:paraId="224F5E1E">
      <w:pPr>
        <w:suppressAutoHyphens/>
        <w:ind w:firstLine="420"/>
        <w:jc w:val="left"/>
        <w:rPr>
          <w:color w:val="auto"/>
          <w:highlight w:val="none"/>
          <w:lang w:eastAsia="zh-CN"/>
        </w:rPr>
      </w:pPr>
      <w:r>
        <w:rPr>
          <w:rFonts w:hint="eastAsia"/>
          <w:color w:val="auto"/>
          <w:highlight w:val="none"/>
          <w:lang w:eastAsia="zh-CN"/>
        </w:rPr>
        <w:t>1）基础开挖均应在干地中施工。</w:t>
      </w:r>
    </w:p>
    <w:p w14:paraId="7C95CC53">
      <w:pPr>
        <w:suppressAutoHyphens/>
        <w:ind w:firstLine="420"/>
        <w:jc w:val="left"/>
        <w:rPr>
          <w:color w:val="auto"/>
          <w:highlight w:val="none"/>
          <w:lang w:eastAsia="zh-CN"/>
        </w:rPr>
      </w:pPr>
      <w:r>
        <w:rPr>
          <w:rFonts w:hint="eastAsia"/>
          <w:color w:val="auto"/>
          <w:highlight w:val="none"/>
          <w:lang w:eastAsia="zh-CN"/>
        </w:rPr>
        <w:t>2）承包人必须采取措施避免基础岩石面出现爆破裂隙，或使原有构造裂隙和岩体的自然状态产生不应有的恶化。</w:t>
      </w:r>
    </w:p>
    <w:p w14:paraId="360065BE">
      <w:pPr>
        <w:suppressAutoHyphens/>
        <w:ind w:firstLine="420"/>
        <w:jc w:val="left"/>
        <w:rPr>
          <w:color w:val="auto"/>
          <w:highlight w:val="none"/>
          <w:lang w:eastAsia="zh-CN"/>
        </w:rPr>
      </w:pPr>
      <w:r>
        <w:rPr>
          <w:rFonts w:hint="eastAsia"/>
          <w:color w:val="auto"/>
          <w:highlight w:val="none"/>
          <w:lang w:eastAsia="zh-CN"/>
        </w:rPr>
        <w:t>3）水平建基面高程的不允许欠挖。</w:t>
      </w:r>
    </w:p>
    <w:p w14:paraId="7E45466E">
      <w:pPr>
        <w:suppressAutoHyphens/>
        <w:ind w:firstLine="420"/>
        <w:jc w:val="left"/>
        <w:rPr>
          <w:color w:val="auto"/>
          <w:highlight w:val="none"/>
          <w:lang w:eastAsia="zh-CN"/>
        </w:rPr>
      </w:pPr>
      <w:r>
        <w:rPr>
          <w:rFonts w:hint="eastAsia"/>
          <w:color w:val="auto"/>
          <w:highlight w:val="none"/>
          <w:lang w:eastAsia="zh-CN"/>
        </w:rPr>
        <w:t>4）基础面预裂孔的残留孔痕迹应均匀分布，残留孔痕迹保存率不小于85%～90％；相邻两炮孔间岩面的不平整度不应大于15cm；炮孔壁不应有明显的爆破裂隙。</w:t>
      </w:r>
    </w:p>
    <w:p w14:paraId="09229B6D">
      <w:pPr>
        <w:suppressAutoHyphens/>
        <w:ind w:firstLine="420"/>
        <w:jc w:val="left"/>
        <w:rPr>
          <w:color w:val="auto"/>
          <w:highlight w:val="none"/>
          <w:lang w:eastAsia="zh-CN"/>
        </w:rPr>
      </w:pPr>
      <w:r>
        <w:rPr>
          <w:rFonts w:hint="eastAsia"/>
          <w:color w:val="auto"/>
          <w:highlight w:val="none"/>
          <w:lang w:eastAsia="zh-CN"/>
        </w:rPr>
        <w:t>5）开挖到位的基础面应符合施工图纸要求的岩体质量标准。</w:t>
      </w:r>
    </w:p>
    <w:p w14:paraId="6BDF0906">
      <w:pPr>
        <w:suppressAutoHyphens/>
        <w:ind w:firstLine="420"/>
        <w:jc w:val="left"/>
        <w:rPr>
          <w:color w:val="auto"/>
          <w:highlight w:val="none"/>
          <w:lang w:eastAsia="zh-CN"/>
        </w:rPr>
      </w:pPr>
      <w:r>
        <w:rPr>
          <w:rFonts w:hint="eastAsia"/>
          <w:color w:val="auto"/>
          <w:highlight w:val="none"/>
          <w:lang w:eastAsia="zh-CN"/>
        </w:rPr>
        <w:t>6）基础开挖后，如基岩表面发现原设计未勘查到的地质缺陷，则承包人应按监理人的指示进行处理，包括增加开挖、回填混凝土或埋设灌浆管等。监理人认为有必要时，可要求承包人进行补充勘探。</w:t>
      </w:r>
    </w:p>
    <w:p w14:paraId="551BCEED">
      <w:pPr>
        <w:suppressAutoHyphens/>
        <w:ind w:firstLine="420"/>
        <w:jc w:val="left"/>
        <w:rPr>
          <w:color w:val="auto"/>
          <w:highlight w:val="none"/>
          <w:lang w:eastAsia="zh-CN"/>
        </w:rPr>
      </w:pPr>
      <w:r>
        <w:rPr>
          <w:rFonts w:hint="eastAsia"/>
          <w:color w:val="auto"/>
          <w:highlight w:val="none"/>
          <w:lang w:eastAsia="zh-CN"/>
        </w:rPr>
        <w:t>7）开挖到位的基础表面因钻孔设备限制留下的小台阶应小心清除；因爆破震松（裂）的岩石、裂隙发育或具有水平裂隙的岩石、反坡、倒悬坡、陡坎尖角等均应清除；结构面上的泥土、锈斑、钙膜等应清洗干净；断层、裂隙、软弱夹层应清除到监理人同意的深度。</w:t>
      </w:r>
    </w:p>
    <w:p w14:paraId="54DB7999">
      <w:pPr>
        <w:suppressAutoHyphens/>
        <w:ind w:firstLine="420"/>
        <w:jc w:val="left"/>
        <w:rPr>
          <w:color w:val="auto"/>
          <w:highlight w:val="none"/>
          <w:lang w:eastAsia="zh-CN"/>
        </w:rPr>
      </w:pPr>
      <w:r>
        <w:rPr>
          <w:rFonts w:hint="eastAsia"/>
          <w:color w:val="auto"/>
          <w:highlight w:val="none"/>
          <w:lang w:eastAsia="zh-CN"/>
        </w:rPr>
        <w:t>（2）基础保护</w:t>
      </w:r>
    </w:p>
    <w:p w14:paraId="596256BF">
      <w:pPr>
        <w:ind w:firstLine="420"/>
        <w:jc w:val="left"/>
        <w:rPr>
          <w:color w:val="auto"/>
          <w:highlight w:val="none"/>
          <w:lang w:eastAsia="zh-CN"/>
        </w:rPr>
      </w:pPr>
      <w:r>
        <w:rPr>
          <w:rFonts w:hint="eastAsia"/>
          <w:color w:val="auto"/>
          <w:highlight w:val="none"/>
          <w:lang w:eastAsia="zh-CN"/>
        </w:rPr>
        <w:t>裂隙较发育部位的基础面，应在清除裂隙松动岩石后进行喷混凝土保护。</w:t>
      </w:r>
    </w:p>
    <w:p w14:paraId="3FD93886">
      <w:pPr>
        <w:pStyle w:val="4"/>
        <w:spacing w:beforeLines="0" w:afterLines="0"/>
        <w:jc w:val="both"/>
        <w:rPr>
          <w:rFonts w:hint="eastAsia" w:cs="宋体"/>
          <w:bCs/>
          <w:color w:val="auto"/>
          <w:szCs w:val="24"/>
          <w:highlight w:val="none"/>
          <w:lang w:eastAsia="zh-CN"/>
        </w:rPr>
      </w:pPr>
      <w:bookmarkStart w:id="1849" w:name="_Toc23057"/>
      <w:bookmarkStart w:id="1850" w:name="_Toc23715"/>
      <w:bookmarkStart w:id="1851" w:name="_Toc30459"/>
      <w:r>
        <w:rPr>
          <w:rFonts w:hint="eastAsia" w:cs="宋体"/>
          <w:bCs/>
          <w:color w:val="auto"/>
          <w:szCs w:val="24"/>
          <w:highlight w:val="none"/>
          <w:lang w:eastAsia="zh-CN"/>
        </w:rPr>
        <w:t>7.4　施工期临时排水</w:t>
      </w:r>
      <w:bookmarkEnd w:id="1849"/>
      <w:bookmarkEnd w:id="1850"/>
      <w:bookmarkEnd w:id="1851"/>
    </w:p>
    <w:p w14:paraId="563EE8D5">
      <w:pPr>
        <w:ind w:firstLine="420"/>
        <w:jc w:val="left"/>
        <w:rPr>
          <w:rFonts w:hAnsi="Times New Roman" w:cs="宋体"/>
          <w:color w:val="auto"/>
          <w:highlight w:val="none"/>
          <w:lang w:eastAsia="zh-CN"/>
        </w:rPr>
      </w:pPr>
      <w:r>
        <w:rPr>
          <w:rFonts w:cs="宋体"/>
          <w:color w:val="auto"/>
          <w:highlight w:val="none"/>
          <w:lang w:eastAsia="zh-CN"/>
        </w:rPr>
        <w:t>承包人应遵守本技术条款第</w:t>
      </w:r>
      <w:r>
        <w:rPr>
          <w:rFonts w:hAnsi="Times New Roman" w:cs="Times New Roman"/>
          <w:color w:val="auto"/>
          <w:highlight w:val="none"/>
          <w:lang w:eastAsia="zh-CN"/>
        </w:rPr>
        <w:t>6.4</w:t>
      </w:r>
      <w:r>
        <w:rPr>
          <w:rFonts w:cs="宋体"/>
          <w:color w:val="auto"/>
          <w:highlight w:val="none"/>
          <w:lang w:eastAsia="zh-CN"/>
        </w:rPr>
        <w:t>款施工期临时排水的有关规定。</w:t>
      </w:r>
    </w:p>
    <w:p w14:paraId="445B4470">
      <w:pPr>
        <w:pStyle w:val="4"/>
        <w:spacing w:beforeLines="0" w:afterLines="0"/>
        <w:jc w:val="both"/>
        <w:rPr>
          <w:rFonts w:hint="eastAsia" w:cs="宋体"/>
          <w:bCs/>
          <w:color w:val="auto"/>
          <w:szCs w:val="24"/>
          <w:highlight w:val="none"/>
          <w:lang w:eastAsia="zh-CN"/>
        </w:rPr>
      </w:pPr>
      <w:bookmarkStart w:id="1852" w:name="_Toc17850"/>
      <w:bookmarkStart w:id="1853" w:name="_Toc1349"/>
      <w:bookmarkStart w:id="1854" w:name="_Toc1547"/>
      <w:r>
        <w:rPr>
          <w:rFonts w:hint="eastAsia" w:cs="宋体"/>
          <w:bCs/>
          <w:color w:val="auto"/>
          <w:szCs w:val="24"/>
          <w:highlight w:val="none"/>
          <w:lang w:eastAsia="zh-CN"/>
        </w:rPr>
        <w:t>7.5　堆渣场地和渣料利用</w:t>
      </w:r>
      <w:bookmarkEnd w:id="1852"/>
      <w:bookmarkEnd w:id="1853"/>
      <w:bookmarkEnd w:id="1854"/>
    </w:p>
    <w:p w14:paraId="301DBD58">
      <w:pPr>
        <w:pStyle w:val="5"/>
        <w:jc w:val="left"/>
        <w:rPr>
          <w:rFonts w:hAnsi="Times New Roman" w:cs="楷体"/>
          <w:color w:val="auto"/>
          <w:highlight w:val="none"/>
          <w:lang w:eastAsia="zh-CN"/>
        </w:rPr>
      </w:pPr>
      <w:r>
        <w:rPr>
          <w:rFonts w:hAnsi="Times New Roman" w:cs="Times New Roman"/>
          <w:color w:val="auto"/>
          <w:highlight w:val="none"/>
          <w:lang w:eastAsia="zh-CN"/>
        </w:rPr>
        <w:t>7.5.1</w:t>
      </w:r>
      <w:r>
        <w:rPr>
          <w:rFonts w:hint="eastAsia" w:hAnsi="Times New Roman" w:cs="Times New Roman"/>
          <w:color w:val="auto"/>
          <w:highlight w:val="none"/>
          <w:lang w:eastAsia="zh-CN"/>
        </w:rPr>
        <w:t>　</w:t>
      </w:r>
      <w:r>
        <w:rPr>
          <w:rFonts w:hAnsi="楷体" w:cs="楷体"/>
          <w:color w:val="auto"/>
          <w:highlight w:val="none"/>
          <w:lang w:eastAsia="zh-CN"/>
        </w:rPr>
        <w:t>堆渣场地</w:t>
      </w:r>
    </w:p>
    <w:p w14:paraId="5647751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）开挖出的渣料，除安排直接运往使用地点外，其余渣料（包括弃渣料）均应按本合同要求分类堆放在指定的存、弃渣场。</w:t>
      </w:r>
    </w:p>
    <w:p w14:paraId="183E6A6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）用作堆存可利用渣料的场地，应按监理人的要求进行场地清理和平整处理，渣料堆存应按施工措施计划要求分层进行，并便于取料。</w:t>
      </w:r>
    </w:p>
    <w:p w14:paraId="3E7A0083">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）堆渣位置、范围和高程必须严格按施工图纸和监理人指示实施，严禁将可利用渣料与弃渣混杂装运和堆存。承包人应保护渣料堆体的边坡稳定，做好堆渣体周围的排水设施。</w:t>
      </w:r>
    </w:p>
    <w:p w14:paraId="41F9235E">
      <w:pPr>
        <w:pStyle w:val="7"/>
        <w:ind w:firstLine="420"/>
        <w:jc w:val="left"/>
        <w:rPr>
          <w:color w:val="auto"/>
          <w:highlight w:val="none"/>
          <w:lang w:eastAsia="zh-CN"/>
        </w:rPr>
      </w:pPr>
      <w:r>
        <w:rPr>
          <w:rFonts w:hint="eastAsia"/>
          <w:color w:val="auto"/>
          <w:highlight w:val="none"/>
          <w:lang w:eastAsia="zh-CN"/>
        </w:rPr>
        <w:t>（4）出渣运输和堆（弃）渣不得污染环境。</w:t>
      </w:r>
    </w:p>
    <w:p w14:paraId="44CC4F0B">
      <w:pPr>
        <w:pStyle w:val="5"/>
        <w:jc w:val="left"/>
        <w:rPr>
          <w:rFonts w:hAnsi="Times New Roman" w:cs="楷体"/>
          <w:color w:val="auto"/>
          <w:highlight w:val="none"/>
          <w:lang w:eastAsia="zh-CN"/>
        </w:rPr>
      </w:pPr>
      <w:r>
        <w:rPr>
          <w:rFonts w:hAnsi="Times New Roman" w:cs="Times New Roman"/>
          <w:color w:val="auto"/>
          <w:highlight w:val="none"/>
          <w:lang w:eastAsia="zh-CN"/>
        </w:rPr>
        <w:t>7.5.2</w:t>
      </w:r>
      <w:r>
        <w:rPr>
          <w:rFonts w:hint="eastAsia" w:hAnsi="Times New Roman" w:cs="Times New Roman"/>
          <w:color w:val="auto"/>
          <w:highlight w:val="none"/>
          <w:lang w:eastAsia="zh-CN"/>
        </w:rPr>
        <w:t>　</w:t>
      </w:r>
      <w:r>
        <w:rPr>
          <w:rFonts w:hAnsi="楷体" w:cs="楷体"/>
          <w:color w:val="auto"/>
          <w:highlight w:val="none"/>
          <w:lang w:eastAsia="zh-CN"/>
        </w:rPr>
        <w:t>渣料利用</w:t>
      </w:r>
    </w:p>
    <w:p w14:paraId="1228284A">
      <w:pPr>
        <w:ind w:firstLine="420"/>
        <w:jc w:val="left"/>
        <w:rPr>
          <w:rFonts w:hAnsi="Times New Roman" w:cs="宋体"/>
          <w:color w:val="auto"/>
          <w:highlight w:val="none"/>
          <w:lang w:eastAsia="zh-CN"/>
        </w:rPr>
      </w:pPr>
      <w:r>
        <w:rPr>
          <w:rFonts w:cs="宋体"/>
          <w:color w:val="auto"/>
          <w:highlight w:val="none"/>
          <w:lang w:eastAsia="zh-CN"/>
        </w:rPr>
        <w:t>按合同约定凡可利用的开挖渣料应属发包人所有。承包人需要使用本工程渣料时，应经监理人批准。承包人应采取合理的爆破、装运和堆渣措施，以提高渣料的利用率。</w:t>
      </w:r>
    </w:p>
    <w:p w14:paraId="5FCB6F9D">
      <w:pPr>
        <w:pStyle w:val="4"/>
        <w:spacing w:beforeLines="0" w:afterLines="0"/>
        <w:jc w:val="both"/>
        <w:rPr>
          <w:rFonts w:hint="eastAsia" w:cs="宋体"/>
          <w:bCs/>
          <w:color w:val="auto"/>
          <w:szCs w:val="24"/>
          <w:highlight w:val="none"/>
          <w:lang w:eastAsia="zh-CN"/>
        </w:rPr>
      </w:pPr>
      <w:bookmarkStart w:id="1855" w:name="_Toc14278"/>
      <w:bookmarkStart w:id="1856" w:name="_Toc24072"/>
      <w:bookmarkStart w:id="1857" w:name="_Toc26815"/>
      <w:r>
        <w:rPr>
          <w:rFonts w:hint="eastAsia" w:cs="宋体"/>
          <w:bCs/>
          <w:color w:val="auto"/>
          <w:szCs w:val="24"/>
          <w:highlight w:val="none"/>
          <w:lang w:eastAsia="zh-CN"/>
        </w:rPr>
        <w:t>7.6　石料场</w:t>
      </w:r>
      <w:bookmarkEnd w:id="1855"/>
      <w:bookmarkEnd w:id="1856"/>
      <w:bookmarkEnd w:id="1857"/>
    </w:p>
    <w:p w14:paraId="7A463503">
      <w:pPr>
        <w:ind w:firstLine="420"/>
        <w:jc w:val="left"/>
        <w:rPr>
          <w:rFonts w:hAnsi="Times New Roman" w:cs="宋体"/>
          <w:color w:val="auto"/>
          <w:highlight w:val="none"/>
          <w:lang w:eastAsia="zh-CN"/>
        </w:rPr>
      </w:pPr>
      <w:r>
        <w:rPr>
          <w:rFonts w:hint="eastAsia" w:cs="宋体"/>
          <w:color w:val="auto"/>
          <w:highlight w:val="none"/>
          <w:lang w:val="en-US" w:eastAsia="zh-CN"/>
        </w:rPr>
        <w:t>本标段不涉及</w:t>
      </w:r>
      <w:r>
        <w:rPr>
          <w:rFonts w:cs="宋体"/>
          <w:color w:val="auto"/>
          <w:highlight w:val="none"/>
          <w:lang w:eastAsia="zh-CN"/>
        </w:rPr>
        <w:t>。</w:t>
      </w:r>
    </w:p>
    <w:p w14:paraId="691FD05D">
      <w:pPr>
        <w:pStyle w:val="4"/>
        <w:spacing w:beforeLines="0" w:afterLines="0"/>
        <w:jc w:val="both"/>
        <w:rPr>
          <w:rFonts w:hint="eastAsia" w:cs="宋体"/>
          <w:bCs/>
          <w:color w:val="auto"/>
          <w:szCs w:val="24"/>
          <w:highlight w:val="none"/>
          <w:lang w:eastAsia="zh-CN"/>
        </w:rPr>
      </w:pPr>
      <w:bookmarkStart w:id="1858" w:name="_Toc2032"/>
      <w:bookmarkStart w:id="1859" w:name="_Toc28907"/>
      <w:bookmarkStart w:id="1860" w:name="_Toc27012"/>
      <w:r>
        <w:rPr>
          <w:rFonts w:hint="eastAsia" w:cs="宋体"/>
          <w:bCs/>
          <w:color w:val="auto"/>
          <w:szCs w:val="24"/>
          <w:highlight w:val="none"/>
          <w:lang w:eastAsia="zh-CN"/>
        </w:rPr>
        <w:t>7.7　质量检查和验收</w:t>
      </w:r>
      <w:bookmarkEnd w:id="1858"/>
      <w:bookmarkEnd w:id="1859"/>
      <w:bookmarkEnd w:id="1860"/>
    </w:p>
    <w:p w14:paraId="45B956F1">
      <w:pPr>
        <w:pStyle w:val="5"/>
        <w:jc w:val="left"/>
        <w:rPr>
          <w:rFonts w:hAnsi="Times New Roman" w:cs="楷体"/>
          <w:color w:val="auto"/>
          <w:highlight w:val="none"/>
          <w:lang w:eastAsia="zh-CN"/>
        </w:rPr>
      </w:pPr>
      <w:r>
        <w:rPr>
          <w:rFonts w:hAnsi="Times New Roman" w:cs="Times New Roman"/>
          <w:color w:val="auto"/>
          <w:highlight w:val="none"/>
          <w:lang w:eastAsia="zh-CN"/>
        </w:rPr>
        <w:t>7.7.1</w:t>
      </w:r>
      <w:r>
        <w:rPr>
          <w:rFonts w:hint="eastAsia" w:hAnsi="Times New Roman" w:cs="Times New Roman"/>
          <w:color w:val="auto"/>
          <w:highlight w:val="none"/>
          <w:lang w:eastAsia="zh-CN"/>
        </w:rPr>
        <w:t>　</w:t>
      </w:r>
      <w:r>
        <w:rPr>
          <w:rFonts w:hAnsi="楷体" w:cs="楷体"/>
          <w:color w:val="auto"/>
          <w:highlight w:val="none"/>
          <w:lang w:eastAsia="zh-CN"/>
        </w:rPr>
        <w:t>边坡开挖工程的质量检查和验收</w:t>
      </w:r>
    </w:p>
    <w:p w14:paraId="6087C88E">
      <w:pPr>
        <w:ind w:firstLine="420"/>
        <w:jc w:val="left"/>
        <w:rPr>
          <w:rFonts w:hAnsi="Times New Roman" w:cs="宋体"/>
          <w:color w:val="auto"/>
          <w:highlight w:val="none"/>
          <w:lang w:eastAsia="zh-CN"/>
        </w:rPr>
      </w:pPr>
      <w:r>
        <w:rPr>
          <w:rFonts w:cs="宋体"/>
          <w:color w:val="auto"/>
          <w:highlight w:val="none"/>
          <w:lang w:eastAsia="zh-CN"/>
        </w:rPr>
        <w:t>承包人应会同监理人，对边坡开挖工程进行以下项目的质量检查和验收。</w:t>
      </w:r>
    </w:p>
    <w:p w14:paraId="783EA5A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）边坡开挖前，应进行以下质量检查工作：</w:t>
      </w:r>
    </w:p>
    <w:p w14:paraId="7AF53FB9">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）按施工图纸所示检查边坡开挖剖面和测量放样成果，经监理人复核批准后，作为开挖工程量计量的依据。</w:t>
      </w:r>
    </w:p>
    <w:p w14:paraId="1FC99F4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）对边坡开挖区上部危岩进行清理，经监理人检查确认安全后，才能开始边坡开挖。</w:t>
      </w:r>
    </w:p>
    <w:p w14:paraId="0A67A569">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）按施工图纸和监理人的指示，对边坡开挖区周围排水设施的完工质量进行检查，经监理人确认合格后才能开始边坡开挖。</w:t>
      </w:r>
    </w:p>
    <w:p w14:paraId="28AC70F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）边坡开挖过程的定期检查</w:t>
      </w:r>
    </w:p>
    <w:p w14:paraId="1495D8D3">
      <w:pPr>
        <w:ind w:firstLine="420"/>
        <w:jc w:val="left"/>
        <w:rPr>
          <w:rFonts w:hAnsi="Times New Roman" w:cs="宋体"/>
          <w:color w:val="auto"/>
          <w:highlight w:val="none"/>
          <w:lang w:eastAsia="zh-CN"/>
        </w:rPr>
      </w:pPr>
      <w:r>
        <w:rPr>
          <w:rFonts w:cs="宋体"/>
          <w:color w:val="auto"/>
          <w:highlight w:val="none"/>
          <w:lang w:eastAsia="zh-CN"/>
        </w:rPr>
        <w:t>在边坡开挖过程中，应按本技术条款第</w:t>
      </w:r>
      <w:r>
        <w:rPr>
          <w:rFonts w:hAnsi="Times New Roman" w:cs="Times New Roman"/>
          <w:color w:val="auto"/>
          <w:highlight w:val="none"/>
          <w:lang w:eastAsia="zh-CN"/>
        </w:rPr>
        <w:t>7.3.2</w:t>
      </w:r>
      <w:r>
        <w:rPr>
          <w:rFonts w:cs="宋体"/>
          <w:color w:val="auto"/>
          <w:highlight w:val="none"/>
          <w:lang w:eastAsia="zh-CN"/>
        </w:rPr>
        <w:t>项的规定，定期检查开挖剖面规格和边坡软弱岩层及破碎带等不稳定岩体的处理质量，经监理人检查确认安全后，才能继续开挖。</w:t>
      </w:r>
    </w:p>
    <w:p w14:paraId="675FF83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）边坡开挖工程验收</w:t>
      </w:r>
    </w:p>
    <w:p w14:paraId="1DBB1402">
      <w:pPr>
        <w:ind w:firstLine="420"/>
        <w:jc w:val="left"/>
        <w:rPr>
          <w:rFonts w:hAnsi="Times New Roman" w:cs="宋体"/>
          <w:color w:val="auto"/>
          <w:highlight w:val="none"/>
          <w:lang w:eastAsia="zh-CN"/>
        </w:rPr>
      </w:pPr>
      <w:r>
        <w:rPr>
          <w:rFonts w:cs="宋体"/>
          <w:color w:val="auto"/>
          <w:highlight w:val="none"/>
          <w:lang w:eastAsia="zh-CN"/>
        </w:rPr>
        <w:t>每项边坡开挖工程完工后，承包人应为边坡开挖工程的验收，提交以下资料：</w:t>
      </w:r>
    </w:p>
    <w:p w14:paraId="6FDE4E13">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）边坡开挖面的完工平面和剖面图。</w:t>
      </w:r>
    </w:p>
    <w:p w14:paraId="312A736C">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）承包人的质量检查记录。</w:t>
      </w:r>
    </w:p>
    <w:p w14:paraId="6A69FAA4">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）监理人的质量验收签证。</w:t>
      </w:r>
    </w:p>
    <w:p w14:paraId="05B2CD10">
      <w:pPr>
        <w:pStyle w:val="5"/>
        <w:jc w:val="left"/>
        <w:rPr>
          <w:rFonts w:hAnsi="Times New Roman" w:cs="楷体"/>
          <w:color w:val="auto"/>
          <w:highlight w:val="none"/>
          <w:lang w:eastAsia="zh-CN"/>
        </w:rPr>
      </w:pPr>
      <w:r>
        <w:rPr>
          <w:rFonts w:hAnsi="Times New Roman" w:cs="Times New Roman"/>
          <w:color w:val="auto"/>
          <w:highlight w:val="none"/>
          <w:lang w:eastAsia="zh-CN"/>
        </w:rPr>
        <w:t>7.7.2</w:t>
      </w:r>
      <w:r>
        <w:rPr>
          <w:rFonts w:hint="eastAsia" w:hAnsi="Times New Roman" w:cs="Times New Roman"/>
          <w:color w:val="auto"/>
          <w:highlight w:val="none"/>
          <w:lang w:eastAsia="zh-CN"/>
        </w:rPr>
        <w:t>　</w:t>
      </w:r>
      <w:r>
        <w:rPr>
          <w:rFonts w:hAnsi="楷体" w:cs="楷体"/>
          <w:color w:val="auto"/>
          <w:highlight w:val="none"/>
          <w:lang w:eastAsia="zh-CN"/>
        </w:rPr>
        <w:t>岩石基础开挖的质量检查和验收</w:t>
      </w:r>
    </w:p>
    <w:p w14:paraId="6EA85527">
      <w:pPr>
        <w:ind w:firstLine="420"/>
        <w:jc w:val="left"/>
        <w:rPr>
          <w:rFonts w:hAnsi="Times New Roman" w:cs="宋体"/>
          <w:color w:val="auto"/>
          <w:highlight w:val="none"/>
          <w:lang w:eastAsia="zh-CN"/>
        </w:rPr>
      </w:pPr>
      <w:r>
        <w:rPr>
          <w:rFonts w:cs="宋体"/>
          <w:color w:val="auto"/>
          <w:highlight w:val="none"/>
          <w:lang w:eastAsia="zh-CN"/>
        </w:rPr>
        <w:t>承包人应会同监理人进行以下的质量检查和验收：</w:t>
      </w:r>
    </w:p>
    <w:p w14:paraId="23E397E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）岩石基础开挖至临近建基面时，承包人应会同监理人对基础开挖的爆破措施进行严格检查，以确保建基面的开挖质量。</w:t>
      </w:r>
    </w:p>
    <w:p w14:paraId="20A0EDA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）建基面基础开挖完成后，承包人应为建基面基础验收，提交以下资料：</w:t>
      </w:r>
    </w:p>
    <w:p w14:paraId="5BF2B829">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）开挖竣工后实测平面和剖面图。</w:t>
      </w:r>
    </w:p>
    <w:p w14:paraId="3C8DD693">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）建基面岩体检测成果（超声波测试）。</w:t>
      </w:r>
    </w:p>
    <w:p w14:paraId="49ED2037">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）承包人的质量检查记录。</w:t>
      </w:r>
    </w:p>
    <w:p w14:paraId="246C3676">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）监理人的质量验收签证。</w:t>
      </w:r>
    </w:p>
    <w:p w14:paraId="29355C30">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）监理人要求提交的其它质量验收资料。</w:t>
      </w:r>
    </w:p>
    <w:p w14:paraId="6B5D996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）承包人应在岩基面基础的建筑物被浇筑（或砌筑）覆盖前，对岩基面基础进行基础清理和验收。经监理人验收合格后，才能继续施工。</w:t>
      </w:r>
    </w:p>
    <w:p w14:paraId="574D90EE">
      <w:pPr>
        <w:ind w:firstLine="420"/>
        <w:jc w:val="left"/>
        <w:rPr>
          <w:rFonts w:hAnsi="Times New Roman" w:cs="宋体"/>
          <w:color w:val="auto"/>
          <w:highlight w:val="none"/>
          <w:lang w:eastAsia="zh-CN"/>
        </w:rPr>
      </w:pPr>
      <w:r>
        <w:rPr>
          <w:rFonts w:cs="宋体"/>
          <w:color w:val="auto"/>
          <w:highlight w:val="none"/>
          <w:lang w:eastAsia="zh-CN"/>
        </w:rPr>
        <w:t>本项规定的建基面检查验收与建筑物浇筑（或砌筑）前的基础清理验收是性质和目的不相同的两次验收，未经监理人同意，承包人不得将这两次验收合并为一次完成。</w:t>
      </w:r>
    </w:p>
    <w:p w14:paraId="6DFA6E78">
      <w:pPr>
        <w:pStyle w:val="5"/>
        <w:jc w:val="left"/>
        <w:rPr>
          <w:rFonts w:hAnsi="Times New Roman" w:cs="楷体"/>
          <w:color w:val="auto"/>
          <w:highlight w:val="none"/>
          <w:lang w:eastAsia="zh-CN"/>
        </w:rPr>
      </w:pPr>
      <w:r>
        <w:rPr>
          <w:rFonts w:hAnsi="Times New Roman" w:cs="Times New Roman"/>
          <w:color w:val="auto"/>
          <w:highlight w:val="none"/>
          <w:lang w:eastAsia="zh-CN"/>
        </w:rPr>
        <w:t>7.7.3</w:t>
      </w:r>
      <w:r>
        <w:rPr>
          <w:rFonts w:hint="eastAsia" w:hAnsi="Times New Roman" w:cs="Times New Roman"/>
          <w:color w:val="auto"/>
          <w:highlight w:val="none"/>
          <w:lang w:eastAsia="zh-CN"/>
        </w:rPr>
        <w:t>　</w:t>
      </w:r>
      <w:r>
        <w:rPr>
          <w:rFonts w:hAnsi="楷体" w:cs="楷体"/>
          <w:color w:val="auto"/>
          <w:highlight w:val="none"/>
          <w:lang w:eastAsia="zh-CN"/>
        </w:rPr>
        <w:t>完工验收</w:t>
      </w:r>
    </w:p>
    <w:p w14:paraId="499F8096">
      <w:pPr>
        <w:ind w:firstLine="420"/>
        <w:jc w:val="left"/>
        <w:rPr>
          <w:rFonts w:hAnsi="Times New Roman" w:cs="宋体"/>
          <w:color w:val="auto"/>
          <w:highlight w:val="none"/>
          <w:lang w:eastAsia="zh-CN"/>
        </w:rPr>
      </w:pPr>
      <w:r>
        <w:rPr>
          <w:rFonts w:cs="宋体"/>
          <w:color w:val="auto"/>
          <w:highlight w:val="none"/>
          <w:lang w:eastAsia="zh-CN"/>
        </w:rPr>
        <w:t>石方明挖工程全部完成后，承包人应按本合同约定，向监理人申请完工验收，并提交以下完工验收资料：</w:t>
      </w:r>
    </w:p>
    <w:p w14:paraId="7951F3E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）石方明挖工程竣工平、剖面图。</w:t>
      </w:r>
    </w:p>
    <w:p w14:paraId="536DB68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）质量检查记录。</w:t>
      </w:r>
    </w:p>
    <w:p w14:paraId="5CAD453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）弹性纵波波速检测成果。</w:t>
      </w:r>
    </w:p>
    <w:p w14:paraId="1F5367F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）监理人要求提供的其它资料。</w:t>
      </w:r>
    </w:p>
    <w:p w14:paraId="3C7B6BED">
      <w:pPr>
        <w:pStyle w:val="4"/>
        <w:spacing w:beforeLines="0" w:afterLines="0"/>
        <w:jc w:val="both"/>
        <w:rPr>
          <w:rFonts w:hint="eastAsia" w:cs="宋体"/>
          <w:bCs/>
          <w:color w:val="auto"/>
          <w:szCs w:val="24"/>
          <w:highlight w:val="none"/>
          <w:lang w:eastAsia="zh-CN"/>
        </w:rPr>
      </w:pPr>
      <w:bookmarkStart w:id="1861" w:name="_Toc12467"/>
      <w:bookmarkStart w:id="1862" w:name="_Toc22995"/>
      <w:bookmarkStart w:id="1863" w:name="_Toc10381"/>
      <w:r>
        <w:rPr>
          <w:rFonts w:hint="eastAsia" w:cs="宋体"/>
          <w:bCs/>
          <w:color w:val="auto"/>
          <w:szCs w:val="24"/>
          <w:highlight w:val="none"/>
          <w:lang w:eastAsia="zh-CN"/>
        </w:rPr>
        <w:t>7.8　计量和支付</w:t>
      </w:r>
      <w:bookmarkEnd w:id="1861"/>
      <w:bookmarkEnd w:id="1862"/>
      <w:bookmarkEnd w:id="1863"/>
    </w:p>
    <w:p w14:paraId="05544D2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石方明挖和石方槽挖按施工图纸所示轮廓尺寸计算的有效自然方体积以立方米为单位计量，由发包人按《工程量清单》相应项目有效工程量的每立方米工程单价支付。有结构要求或有配筋预埋件的渠槽坑，施工过程中增加的超挖量和施工附加量所需的费用，包含在《工程量清单》相应项目有效工程量的每立方米工程单价中，发包人不另行支付。</w:t>
      </w:r>
    </w:p>
    <w:p w14:paraId="4602855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）直接利用开挖料作为混凝土骨料或填筑料的原料时，原料进入骨料加工系统进料仓或填筑工作面以前的开挖运输费用，不计入混凝土骨料的原料或填筑料的开采运输费用中。</w:t>
      </w:r>
    </w:p>
    <w:p w14:paraId="2C94271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）承包人按合同要求完成测量放样、基础清理、</w:t>
      </w:r>
      <w:r>
        <w:rPr>
          <w:rFonts w:hint="eastAsia" w:cs="宋体"/>
          <w:color w:val="auto"/>
          <w:highlight w:val="none"/>
          <w:lang w:eastAsia="zh-CN" w:bidi="en-US"/>
        </w:rPr>
        <w:t>石方开挖、开挖采取的防护措施，装卸和运输，边坡整治和稳定观测，基础、边坡面的检查和验收，以及将开挖可利用或废弃的石方运至监理人指定的堆放区并加以保护或处置等</w:t>
      </w:r>
      <w:r>
        <w:rPr>
          <w:rFonts w:cs="宋体"/>
          <w:color w:val="auto"/>
          <w:highlight w:val="none"/>
          <w:lang w:eastAsia="zh-CN"/>
        </w:rPr>
        <w:t>工作所需的费用，包含在《工程量清单》相应开挖项目有效工程量的每立方米工程单价中，发包人不另行支付。</w:t>
      </w:r>
    </w:p>
    <w:p w14:paraId="7947B2C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）石方明挖过程中的临时性排水措施（包括排水设备的安拆、运行和维修）所需费用，包含在《工程量清单》相应石方明挖项目有效工程量的每立方米工程单价中。</w:t>
      </w:r>
    </w:p>
    <w:p w14:paraId="2AA405E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）除合同另有约定外，当骨料或填筑料原料由石料场开采时，原料开采所发生的费用和开采过程中弃料和废料的运输、堆放和处理所发生的费用，均包含在每吨（或立方米）材料单价中，发包人不另行支付。</w:t>
      </w:r>
    </w:p>
    <w:p w14:paraId="50332F5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除合同另有约定外，承包人对石料场进行查勘、取样试验、地质测绘、大型爆破试验以及工程完建后的料场整治和清理等工作所需费用，应包含在每吨（或立方米）材料单价或《工程量清单》相应项目工程单价或总价中，发包人不另行支付。</w:t>
      </w:r>
    </w:p>
    <w:p w14:paraId="284354DC">
      <w:pPr>
        <w:ind w:firstLine="420"/>
        <w:jc w:val="left"/>
        <w:rPr>
          <w:rFonts w:cs="宋体"/>
          <w:color w:val="auto"/>
          <w:highlight w:val="none"/>
          <w:lang w:eastAsia="zh-CN"/>
        </w:rPr>
      </w:pPr>
      <w:r>
        <w:rPr>
          <w:rFonts w:hint="eastAsia" w:cs="宋体"/>
          <w:color w:val="auto"/>
          <w:highlight w:val="none"/>
          <w:lang w:eastAsia="zh-CN"/>
        </w:rPr>
        <w:t>（</w:t>
      </w:r>
      <w:r>
        <w:rPr>
          <w:rFonts w:hAnsi="Times New Roman"/>
          <w:color w:val="auto"/>
          <w:highlight w:val="none"/>
          <w:lang w:eastAsia="zh-CN"/>
        </w:rPr>
        <w:t>7</w:t>
      </w:r>
      <w:r>
        <w:rPr>
          <w:rFonts w:hint="eastAsia" w:cs="宋体"/>
          <w:color w:val="auto"/>
          <w:highlight w:val="none"/>
          <w:lang w:eastAsia="zh-CN"/>
        </w:rPr>
        <w:t>）发包人已视承包人已取得石方开挖对周边既有建（构）筑物的影响、风险和其他情况的全部必要资料，以及土方、石方分界线的变化，并预见石方开挖所有困难和费用，应选择合理的施工方法，同时满足周边既有建（构）筑物权属人（单位）的相关要求，相应项目的单价不随石方开挖施工方法及相应施工影响范围的变化而调整。</w:t>
      </w:r>
    </w:p>
    <w:p w14:paraId="1D580F6D">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8）石方明挖不区分岩石级别，按综合类考虑，不因岩石级别调整石方明挖单价。</w:t>
      </w:r>
    </w:p>
    <w:p w14:paraId="76C0750E">
      <w:pPr>
        <w:pStyle w:val="3"/>
        <w:spacing w:beforeLines="0" w:afterLines="0" w:line="360" w:lineRule="auto"/>
        <w:jc w:val="both"/>
        <w:outlineLvl w:val="1"/>
        <w:rPr>
          <w:rFonts w:hint="eastAsia" w:cs="宋体"/>
          <w:color w:val="auto"/>
          <w:sz w:val="30"/>
          <w:szCs w:val="30"/>
          <w:highlight w:val="none"/>
        </w:rPr>
      </w:pPr>
      <w:bookmarkStart w:id="1864" w:name="_Toc28349"/>
      <w:bookmarkStart w:id="1865" w:name="_Toc21052"/>
      <w:bookmarkStart w:id="1866" w:name="_Toc2699"/>
      <w:bookmarkStart w:id="1867" w:name="_Toc8479"/>
      <w:bookmarkStart w:id="1868" w:name="_Toc27952"/>
      <w:bookmarkStart w:id="1869" w:name="_Toc25957"/>
      <w:bookmarkStart w:id="1870" w:name="_Toc16985"/>
      <w:bookmarkStart w:id="1871" w:name="_Toc9254"/>
      <w:bookmarkStart w:id="1872" w:name="_Toc4366"/>
      <w:bookmarkStart w:id="1873" w:name="_Toc1459"/>
      <w:bookmarkStart w:id="1874" w:name="_Toc26045"/>
      <w:bookmarkStart w:id="1875" w:name="_Toc7513"/>
      <w:bookmarkStart w:id="1876" w:name="_Toc13691"/>
      <w:bookmarkStart w:id="1877" w:name="_Toc2943"/>
      <w:bookmarkStart w:id="1878" w:name="_Toc12560"/>
      <w:r>
        <w:rPr>
          <w:rFonts w:hint="eastAsia" w:cs="宋体"/>
          <w:color w:val="auto"/>
          <w:sz w:val="30"/>
          <w:szCs w:val="30"/>
          <w:highlight w:val="none"/>
        </w:rPr>
        <w:t>8</w:t>
      </w:r>
      <w:r>
        <w:rPr>
          <w:rFonts w:hint="eastAsia" w:cs="宋体"/>
          <w:color w:val="auto"/>
          <w:sz w:val="30"/>
          <w:szCs w:val="30"/>
          <w:highlight w:val="none"/>
          <w:lang w:eastAsia="zh-CN"/>
        </w:rPr>
        <w:t>　</w:t>
      </w:r>
      <w:r>
        <w:rPr>
          <w:rFonts w:hint="eastAsia" w:cs="宋体"/>
          <w:color w:val="auto"/>
          <w:sz w:val="30"/>
          <w:szCs w:val="30"/>
          <w:highlight w:val="none"/>
        </w:rPr>
        <w:t>地下洞室开挖</w:t>
      </w:r>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p>
    <w:p w14:paraId="25331885">
      <w:pPr>
        <w:pStyle w:val="4"/>
        <w:spacing w:beforeLines="0" w:afterLines="0"/>
        <w:jc w:val="both"/>
        <w:rPr>
          <w:rFonts w:hint="eastAsia" w:cs="宋体"/>
          <w:bCs/>
          <w:color w:val="auto"/>
          <w:szCs w:val="24"/>
          <w:highlight w:val="none"/>
          <w:lang w:eastAsia="zh-CN"/>
        </w:rPr>
      </w:pPr>
      <w:bookmarkStart w:id="1879" w:name="_Toc9065"/>
      <w:bookmarkStart w:id="1880" w:name="_Toc18553"/>
      <w:bookmarkStart w:id="1881" w:name="_Toc8985"/>
      <w:r>
        <w:rPr>
          <w:rFonts w:hint="eastAsia" w:cs="宋体"/>
          <w:bCs/>
          <w:color w:val="auto"/>
          <w:szCs w:val="24"/>
          <w:highlight w:val="none"/>
          <w:lang w:eastAsia="zh-CN"/>
        </w:rPr>
        <w:t>8.1　一般规定</w:t>
      </w:r>
      <w:bookmarkEnd w:id="1879"/>
      <w:bookmarkEnd w:id="1880"/>
      <w:bookmarkEnd w:id="1881"/>
    </w:p>
    <w:p w14:paraId="717FC64B">
      <w:pPr>
        <w:pStyle w:val="5"/>
        <w:jc w:val="left"/>
        <w:rPr>
          <w:rFonts w:hAnsi="Times New Roman" w:cs="楷体"/>
          <w:color w:val="auto"/>
          <w:highlight w:val="none"/>
          <w:lang w:eastAsia="zh-CN"/>
        </w:rPr>
      </w:pPr>
      <w:r>
        <w:rPr>
          <w:rFonts w:hAnsi="Times New Roman" w:cs="Times New Roman"/>
          <w:color w:val="auto"/>
          <w:highlight w:val="none"/>
          <w:lang w:eastAsia="zh-CN"/>
        </w:rPr>
        <w:t>8.1.1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4992D64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）本章规定适用于本合同施工图纸所示各类地下洞室，包括平洞、大跨度洞室、临时施工支洞、导流洞的开挖，以及已建成地下洞室的扩大开挖</w:t>
      </w:r>
      <w:r>
        <w:rPr>
          <w:rFonts w:hint="eastAsia"/>
          <w:color w:val="auto"/>
          <w:highlight w:val="none"/>
          <w:lang w:eastAsia="zh-CN"/>
        </w:rPr>
        <w:t>和监理人指定的其他地下洞室的开挖施工</w:t>
      </w:r>
      <w:r>
        <w:rPr>
          <w:rFonts w:cs="宋体"/>
          <w:color w:val="auto"/>
          <w:highlight w:val="none"/>
          <w:lang w:eastAsia="zh-CN"/>
        </w:rPr>
        <w:t>等。其工作内容包括</w:t>
      </w:r>
      <w:r>
        <w:rPr>
          <w:rFonts w:hint="eastAsia" w:cs="宋体"/>
          <w:color w:val="auto"/>
          <w:highlight w:val="none"/>
          <w:lang w:eastAsia="zh-CN"/>
        </w:rPr>
        <w:t>准备工作、</w:t>
      </w:r>
      <w:r>
        <w:rPr>
          <w:rFonts w:hint="eastAsia"/>
          <w:color w:val="auto"/>
          <w:highlight w:val="none"/>
          <w:lang w:eastAsia="zh-CN"/>
        </w:rPr>
        <w:t>施工测量、施工期排水、照明和通风、钻孔爆破（含爆破试验）、石渣运至指定地区堆存或弃渣、施工期监测、施工期超前地质预报、不良地质预处理和开挖后处理、安全防护、临时支护、质量检查、完工验收前的维护，以及相关配合等从开工至完工的等全部工作。</w:t>
      </w:r>
    </w:p>
    <w:p w14:paraId="20B9F318">
      <w:pPr>
        <w:pStyle w:val="5"/>
        <w:jc w:val="left"/>
        <w:rPr>
          <w:rFonts w:hAnsi="Times New Roman" w:cs="楷体"/>
          <w:color w:val="auto"/>
          <w:highlight w:val="none"/>
          <w:lang w:eastAsia="zh-CN"/>
        </w:rPr>
      </w:pPr>
      <w:r>
        <w:rPr>
          <w:rFonts w:hAnsi="Times New Roman" w:cs="Times New Roman"/>
          <w:color w:val="auto"/>
          <w:highlight w:val="none"/>
          <w:lang w:eastAsia="zh-CN"/>
        </w:rPr>
        <w:t>8.1.2</w:t>
      </w:r>
      <w:r>
        <w:rPr>
          <w:rFonts w:hint="eastAsia" w:hAnsi="Times New Roman" w:cs="Times New Roman"/>
          <w:color w:val="auto"/>
          <w:highlight w:val="none"/>
          <w:lang w:eastAsia="zh-CN"/>
        </w:rPr>
        <w:t>　</w:t>
      </w:r>
      <w:r>
        <w:rPr>
          <w:rFonts w:hAnsi="楷体" w:cs="楷体"/>
          <w:color w:val="auto"/>
          <w:highlight w:val="none"/>
          <w:lang w:eastAsia="zh-CN"/>
        </w:rPr>
        <w:t>承包人的责任</w:t>
      </w:r>
    </w:p>
    <w:p w14:paraId="5055114C">
      <w:pPr>
        <w:suppressAutoHyphens/>
        <w:kinsoku/>
        <w:adjustRightInd/>
        <w:snapToGrid/>
        <w:ind w:firstLine="480"/>
        <w:textAlignment w:val="auto"/>
        <w:rPr>
          <w:rFonts w:ascii="宋体" w:hAnsi="宋体" w:eastAsia="宋体" w:cs="宋体"/>
          <w:snapToGrid/>
          <w:color w:val="auto"/>
          <w:kern w:val="2"/>
          <w:szCs w:val="24"/>
          <w:highlight w:val="none"/>
          <w:lang w:eastAsia="zh-CN"/>
        </w:rPr>
      </w:pPr>
      <w:r>
        <w:rPr>
          <w:rFonts w:ascii="宋体" w:hAnsi="宋体" w:eastAsia="宋体" w:cs="宋体"/>
          <w:snapToGrid/>
          <w:color w:val="auto"/>
          <w:kern w:val="2"/>
          <w:szCs w:val="24"/>
          <w:highlight w:val="none"/>
          <w:lang w:eastAsia="zh-CN"/>
        </w:rPr>
        <w:t>（</w:t>
      </w:r>
      <w:r>
        <w:rPr>
          <w:rFonts w:ascii="宋体" w:hAnsi="Times New Roman" w:eastAsia="宋体" w:cs="Times New Roman"/>
          <w:snapToGrid/>
          <w:color w:val="auto"/>
          <w:kern w:val="2"/>
          <w:szCs w:val="24"/>
          <w:highlight w:val="none"/>
          <w:lang w:eastAsia="zh-CN"/>
        </w:rPr>
        <w:t>1</w:t>
      </w:r>
      <w:r>
        <w:rPr>
          <w:rFonts w:ascii="宋体" w:hAnsi="宋体" w:eastAsia="宋体" w:cs="宋体"/>
          <w:snapToGrid/>
          <w:color w:val="auto"/>
          <w:kern w:val="2"/>
          <w:szCs w:val="24"/>
          <w:highlight w:val="none"/>
          <w:lang w:eastAsia="zh-CN"/>
        </w:rPr>
        <w:t>）承包人应按施工图纸与监理人指示，以及本技术条款规定进行地下洞室的开挖施工。</w:t>
      </w:r>
    </w:p>
    <w:p w14:paraId="5D5CD71E">
      <w:pPr>
        <w:suppressAutoHyphens/>
        <w:kinsoku/>
        <w:adjustRightInd/>
        <w:snapToGrid/>
        <w:ind w:firstLine="480"/>
        <w:textAlignment w:val="auto"/>
        <w:rPr>
          <w:rFonts w:ascii="宋体" w:hAnsi="宋体" w:eastAsia="宋体" w:cs="宋体"/>
          <w:snapToGrid/>
          <w:color w:val="auto"/>
          <w:kern w:val="2"/>
          <w:szCs w:val="24"/>
          <w:highlight w:val="none"/>
          <w:lang w:eastAsia="zh-CN"/>
        </w:rPr>
      </w:pPr>
      <w:r>
        <w:rPr>
          <w:rFonts w:ascii="宋体" w:hAnsi="宋体" w:eastAsia="宋体" w:cs="宋体"/>
          <w:snapToGrid/>
          <w:color w:val="auto"/>
          <w:kern w:val="2"/>
          <w:szCs w:val="24"/>
          <w:highlight w:val="none"/>
          <w:lang w:eastAsia="zh-CN"/>
        </w:rPr>
        <w:t>（</w:t>
      </w:r>
      <w:r>
        <w:rPr>
          <w:rFonts w:ascii="宋体" w:hAnsi="Times New Roman" w:eastAsia="宋体" w:cs="Times New Roman"/>
          <w:snapToGrid/>
          <w:color w:val="auto"/>
          <w:kern w:val="2"/>
          <w:szCs w:val="24"/>
          <w:highlight w:val="none"/>
          <w:lang w:eastAsia="zh-CN"/>
        </w:rPr>
        <w:t>2</w:t>
      </w:r>
      <w:r>
        <w:rPr>
          <w:rFonts w:ascii="宋体" w:hAnsi="宋体" w:eastAsia="宋体" w:cs="宋体"/>
          <w:snapToGrid/>
          <w:color w:val="auto"/>
          <w:kern w:val="2"/>
          <w:szCs w:val="24"/>
          <w:highlight w:val="none"/>
          <w:lang w:eastAsia="zh-CN"/>
        </w:rPr>
        <w:t>）承包人应对地下洞室开挖的施工安全负责。承包人应按本技术条款的规定做好围岩稳定的安全保护工作，防止洞（井）口及洞室发生塌方、掉块危及人员安全。</w:t>
      </w:r>
    </w:p>
    <w:p w14:paraId="490D8B2A">
      <w:pPr>
        <w:suppressAutoHyphens/>
        <w:kinsoku/>
        <w:adjustRightInd/>
        <w:snapToGrid/>
        <w:ind w:firstLine="480"/>
        <w:textAlignment w:val="auto"/>
        <w:rPr>
          <w:rFonts w:ascii="宋体" w:hAnsi="宋体" w:eastAsia="宋体" w:cs="宋体"/>
          <w:snapToGrid/>
          <w:color w:val="auto"/>
          <w:kern w:val="2"/>
          <w:szCs w:val="24"/>
          <w:highlight w:val="none"/>
          <w:lang w:eastAsia="zh-CN"/>
        </w:rPr>
      </w:pPr>
      <w:r>
        <w:rPr>
          <w:rFonts w:ascii="宋体" w:hAnsi="宋体" w:eastAsia="宋体" w:cs="宋体"/>
          <w:snapToGrid/>
          <w:color w:val="auto"/>
          <w:kern w:val="2"/>
          <w:szCs w:val="24"/>
          <w:highlight w:val="none"/>
          <w:lang w:eastAsia="zh-CN"/>
        </w:rPr>
        <w:t>（</w:t>
      </w:r>
      <w:r>
        <w:rPr>
          <w:rFonts w:ascii="宋体" w:hAnsi="Times New Roman" w:eastAsia="宋体" w:cs="Times New Roman"/>
          <w:snapToGrid/>
          <w:color w:val="auto"/>
          <w:kern w:val="2"/>
          <w:szCs w:val="24"/>
          <w:highlight w:val="none"/>
          <w:lang w:eastAsia="zh-CN"/>
        </w:rPr>
        <w:t>3</w:t>
      </w:r>
      <w:r>
        <w:rPr>
          <w:rFonts w:ascii="宋体" w:hAnsi="宋体" w:eastAsia="宋体" w:cs="宋体"/>
          <w:snapToGrid/>
          <w:color w:val="auto"/>
          <w:kern w:val="2"/>
          <w:szCs w:val="24"/>
          <w:highlight w:val="none"/>
          <w:lang w:eastAsia="zh-CN"/>
        </w:rPr>
        <w:t>）承包人应做好地下工程施工现场的粉尘、噪声和有害气体的安全防护工作，并应进行必要的施工安全监测工作。</w:t>
      </w:r>
    </w:p>
    <w:p w14:paraId="33657422">
      <w:pPr>
        <w:suppressAutoHyphens/>
        <w:kinsoku/>
        <w:adjustRightInd/>
        <w:snapToGrid/>
        <w:ind w:firstLine="480"/>
        <w:textAlignment w:val="auto"/>
        <w:rPr>
          <w:rFonts w:ascii="宋体" w:hAnsi="宋体" w:eastAsia="宋体" w:cs="宋体"/>
          <w:snapToGrid/>
          <w:color w:val="auto"/>
          <w:kern w:val="2"/>
          <w:szCs w:val="24"/>
          <w:highlight w:val="none"/>
          <w:lang w:eastAsia="zh-CN"/>
        </w:rPr>
      </w:pPr>
      <w:r>
        <w:rPr>
          <w:rFonts w:ascii="宋体" w:hAnsi="宋体" w:eastAsia="宋体" w:cs="宋体"/>
          <w:snapToGrid/>
          <w:color w:val="auto"/>
          <w:kern w:val="2"/>
          <w:szCs w:val="24"/>
          <w:highlight w:val="none"/>
          <w:lang w:eastAsia="zh-CN"/>
        </w:rPr>
        <w:t>（</w:t>
      </w:r>
      <w:r>
        <w:rPr>
          <w:rFonts w:ascii="宋体" w:hAnsi="Times New Roman" w:eastAsia="宋体" w:cs="Times New Roman"/>
          <w:snapToGrid/>
          <w:color w:val="auto"/>
          <w:kern w:val="2"/>
          <w:szCs w:val="24"/>
          <w:highlight w:val="none"/>
          <w:lang w:eastAsia="zh-CN"/>
        </w:rPr>
        <w:t>4</w:t>
      </w:r>
      <w:r>
        <w:rPr>
          <w:rFonts w:ascii="宋体" w:hAnsi="宋体" w:eastAsia="宋体" w:cs="宋体"/>
          <w:snapToGrid/>
          <w:color w:val="auto"/>
          <w:kern w:val="2"/>
          <w:szCs w:val="24"/>
          <w:highlight w:val="none"/>
          <w:lang w:eastAsia="zh-CN"/>
        </w:rPr>
        <w:t>）承包人应按监理人批准的施工措施计划，以及本技术条款第</w:t>
      </w:r>
      <w:r>
        <w:rPr>
          <w:rFonts w:ascii="宋体" w:hAnsi="Times New Roman" w:eastAsia="宋体" w:cs="Times New Roman"/>
          <w:snapToGrid/>
          <w:color w:val="auto"/>
          <w:kern w:val="2"/>
          <w:szCs w:val="24"/>
          <w:highlight w:val="none"/>
          <w:lang w:eastAsia="zh-CN"/>
        </w:rPr>
        <w:t>4</w:t>
      </w:r>
      <w:r>
        <w:rPr>
          <w:rFonts w:ascii="宋体" w:hAnsi="宋体" w:eastAsia="宋体" w:cs="宋体"/>
          <w:snapToGrid/>
          <w:color w:val="auto"/>
          <w:kern w:val="2"/>
          <w:szCs w:val="24"/>
          <w:highlight w:val="none"/>
          <w:lang w:eastAsia="zh-CN"/>
        </w:rPr>
        <w:t>章的规定，在</w:t>
      </w:r>
      <w:bookmarkStart w:id="1882" w:name="bookmark181"/>
      <w:bookmarkEnd w:id="1882"/>
      <w:r>
        <w:rPr>
          <w:rFonts w:ascii="宋体" w:hAnsi="宋体" w:eastAsia="宋体" w:cs="宋体"/>
          <w:snapToGrid/>
          <w:color w:val="auto"/>
          <w:kern w:val="2"/>
          <w:szCs w:val="24"/>
          <w:highlight w:val="none"/>
          <w:lang w:eastAsia="zh-CN"/>
        </w:rPr>
        <w:t>监理指定的地点堆放石渣。</w:t>
      </w:r>
    </w:p>
    <w:p w14:paraId="085BCC1F">
      <w:pPr>
        <w:suppressAutoHyphens/>
        <w:kinsoku/>
        <w:adjustRightInd/>
        <w:snapToGrid/>
        <w:ind w:firstLine="480"/>
        <w:textAlignment w:val="auto"/>
        <w:rPr>
          <w:rFonts w:ascii="宋体" w:hAnsi="宋体" w:eastAsia="宋体" w:cs="宋体"/>
          <w:snapToGrid/>
          <w:color w:val="auto"/>
          <w:kern w:val="2"/>
          <w:szCs w:val="24"/>
          <w:highlight w:val="none"/>
          <w:lang w:eastAsia="zh-CN"/>
        </w:rPr>
      </w:pPr>
      <w:r>
        <w:rPr>
          <w:rFonts w:ascii="宋体" w:hAnsi="宋体" w:eastAsia="宋体" w:cs="宋体"/>
          <w:snapToGrid/>
          <w:color w:val="auto"/>
          <w:kern w:val="2"/>
          <w:szCs w:val="24"/>
          <w:highlight w:val="none"/>
          <w:lang w:eastAsia="zh-CN"/>
        </w:rPr>
        <w:t>（</w:t>
      </w:r>
      <w:r>
        <w:rPr>
          <w:rFonts w:ascii="宋体" w:hAnsi="Times New Roman" w:eastAsia="宋体" w:cs="Times New Roman"/>
          <w:snapToGrid/>
          <w:color w:val="auto"/>
          <w:kern w:val="2"/>
          <w:szCs w:val="24"/>
          <w:highlight w:val="none"/>
          <w:lang w:eastAsia="zh-CN"/>
        </w:rPr>
        <w:t>5</w:t>
      </w:r>
      <w:r>
        <w:rPr>
          <w:rFonts w:ascii="宋体" w:hAnsi="宋体" w:eastAsia="宋体" w:cs="宋体"/>
          <w:snapToGrid/>
          <w:color w:val="auto"/>
          <w:kern w:val="2"/>
          <w:szCs w:val="24"/>
          <w:highlight w:val="none"/>
          <w:lang w:eastAsia="zh-CN"/>
        </w:rPr>
        <w:t>）开挖过程中，承包人应按监理人指定的格式和要求作好施工地质编录。</w:t>
      </w:r>
    </w:p>
    <w:p w14:paraId="194FA62B">
      <w:pPr>
        <w:suppressAutoHyphens/>
        <w:kinsoku/>
        <w:adjustRightInd/>
        <w:snapToGrid/>
        <w:ind w:firstLine="480"/>
        <w:textAlignment w:val="auto"/>
        <w:rPr>
          <w:rFonts w:ascii="宋体" w:hAnsi="宋体" w:eastAsia="宋体" w:cs="宋体"/>
          <w:snapToGrid/>
          <w:color w:val="auto"/>
          <w:kern w:val="2"/>
          <w:szCs w:val="24"/>
          <w:highlight w:val="none"/>
          <w:lang w:eastAsia="zh-CN"/>
        </w:rPr>
      </w:pPr>
      <w:r>
        <w:rPr>
          <w:rFonts w:ascii="宋体" w:hAnsi="宋体" w:eastAsia="宋体" w:cs="宋体"/>
          <w:snapToGrid/>
          <w:color w:val="auto"/>
          <w:kern w:val="2"/>
          <w:szCs w:val="24"/>
          <w:highlight w:val="none"/>
          <w:lang w:eastAsia="zh-CN"/>
        </w:rPr>
        <w:t>（</w:t>
      </w:r>
      <w:r>
        <w:rPr>
          <w:rFonts w:ascii="宋体" w:hAnsi="Times New Roman" w:eastAsia="宋体" w:cs="Times New Roman"/>
          <w:snapToGrid/>
          <w:color w:val="auto"/>
          <w:kern w:val="2"/>
          <w:szCs w:val="24"/>
          <w:highlight w:val="none"/>
          <w:lang w:eastAsia="zh-CN"/>
        </w:rPr>
        <w:t>6</w:t>
      </w:r>
      <w:r>
        <w:rPr>
          <w:rFonts w:ascii="宋体" w:hAnsi="宋体" w:eastAsia="宋体" w:cs="宋体"/>
          <w:snapToGrid/>
          <w:color w:val="auto"/>
          <w:kern w:val="2"/>
          <w:szCs w:val="24"/>
          <w:highlight w:val="none"/>
          <w:lang w:eastAsia="zh-CN"/>
        </w:rPr>
        <w:t>）开挖过程中，承包人应负责保护好已埋设的安全监测仪器设备等，施工中因保护措施不妥，造成监测仪器设备破坏或失效，应由承包人按监理人指示进行处理。</w:t>
      </w:r>
    </w:p>
    <w:p w14:paraId="64E44269">
      <w:pPr>
        <w:ind w:firstLine="420"/>
        <w:jc w:val="left"/>
        <w:rPr>
          <w:rFonts w:hAnsi="Times New Roman"/>
          <w:color w:val="auto"/>
          <w:highlight w:val="none"/>
          <w:lang w:eastAsia="zh-CN"/>
        </w:rPr>
      </w:pPr>
      <w:r>
        <w:rPr>
          <w:rFonts w:hint="eastAsia" w:eastAsia="宋体"/>
          <w:color w:val="auto"/>
          <w:highlight w:val="none"/>
          <w:lang w:eastAsia="zh-CN"/>
        </w:rPr>
        <w:t>（</w:t>
      </w:r>
      <w:r>
        <w:rPr>
          <w:rFonts w:hint="eastAsia"/>
          <w:color w:val="auto"/>
          <w:highlight w:val="none"/>
          <w:lang w:val="en-US" w:eastAsia="zh-CN"/>
        </w:rPr>
        <w:t>7</w:t>
      </w:r>
      <w:r>
        <w:rPr>
          <w:rFonts w:hint="eastAsia" w:eastAsia="宋体"/>
          <w:color w:val="auto"/>
          <w:highlight w:val="none"/>
          <w:lang w:eastAsia="zh-CN"/>
        </w:rPr>
        <w:t>）承包人应按监理人批准的施工措施计划和本技术条款有关规定，在指定地点堆放石渣。对于开挖料中的可利用料，承包人必须按发包人和监理人的指示或本技术条款规定的地点、质量、数量和方式进行堆存，并对堆存的地点、质量、数量和方式负责。</w:t>
      </w:r>
    </w:p>
    <w:p w14:paraId="2BA1EE42">
      <w:pPr>
        <w:ind w:firstLine="420"/>
        <w:jc w:val="left"/>
        <w:rPr>
          <w:rFonts w:hAnsi="Times New Roman"/>
          <w:color w:val="auto"/>
          <w:highlight w:val="none"/>
          <w:lang w:eastAsia="zh-CN"/>
        </w:rPr>
      </w:pPr>
      <w:r>
        <w:rPr>
          <w:rFonts w:hint="eastAsia" w:eastAsia="宋体"/>
          <w:color w:val="auto"/>
          <w:highlight w:val="none"/>
          <w:lang w:eastAsia="zh-CN"/>
        </w:rPr>
        <w:t>（</w:t>
      </w:r>
      <w:r>
        <w:rPr>
          <w:rFonts w:hint="eastAsia"/>
          <w:color w:val="auto"/>
          <w:highlight w:val="none"/>
          <w:lang w:val="en-US" w:eastAsia="zh-CN"/>
        </w:rPr>
        <w:t>8</w:t>
      </w:r>
      <w:r>
        <w:rPr>
          <w:rFonts w:hint="eastAsia" w:eastAsia="宋体"/>
          <w:color w:val="auto"/>
          <w:highlight w:val="none"/>
          <w:lang w:eastAsia="zh-CN"/>
        </w:rPr>
        <w:t>）开挖过程中，承包人应按监理人指定的格式和要求作好施工地质编录，配合其它承包人做好洞室的地质勘测和永久观测设施的埋设工作，承包人不能以此为由，向发包人索要工期和额外费用。</w:t>
      </w:r>
    </w:p>
    <w:p w14:paraId="75B81C8A">
      <w:pPr>
        <w:ind w:firstLine="420"/>
        <w:jc w:val="left"/>
        <w:rPr>
          <w:rFonts w:hAnsi="Times New Roman"/>
          <w:color w:val="auto"/>
          <w:highlight w:val="none"/>
          <w:lang w:eastAsia="zh-CN"/>
        </w:rPr>
      </w:pPr>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）承包人应针对地下工程开挖过程中可能遇及的断层、岩溶、软岩大变形、蚀变带、风化深槽、节理密集带等岩体软弱、地质构造复杂、地下水丰富、上覆岩层厚度小于</w:t>
      </w:r>
      <w:r>
        <w:rPr>
          <w:rFonts w:hAnsi="Times New Roman"/>
          <w:color w:val="auto"/>
          <w:highlight w:val="none"/>
          <w:lang w:eastAsia="zh-CN"/>
        </w:rPr>
        <w:t>1</w:t>
      </w:r>
      <w:r>
        <w:rPr>
          <w:rFonts w:hint="eastAsia"/>
          <w:color w:val="auto"/>
          <w:highlight w:val="none"/>
          <w:lang w:eastAsia="zh-CN"/>
        </w:rPr>
        <w:t>倍洞径等不良地质采用多种预报手段，</w:t>
      </w:r>
      <w:r>
        <w:rPr>
          <w:rFonts w:hint="eastAsia" w:cs="宋体"/>
          <w:color w:val="auto"/>
          <w:highlight w:val="none"/>
          <w:lang w:eastAsia="zh-CN"/>
        </w:rPr>
        <w:t>并根据现场情况编制超前地质预报方案报监理批准，切实掌握本工程隧洞沿线不良地质分布情况，以确保隧洞施工安全。</w:t>
      </w:r>
    </w:p>
    <w:p w14:paraId="0A269367">
      <w:pPr>
        <w:ind w:firstLine="420"/>
        <w:jc w:val="left"/>
        <w:rPr>
          <w:rFonts w:hAnsi="Times New Roman"/>
          <w:color w:val="auto"/>
          <w:highlight w:val="none"/>
          <w:lang w:eastAsia="zh-CN"/>
        </w:rPr>
      </w:pPr>
      <w:r>
        <w:rPr>
          <w:rFonts w:hint="eastAsia"/>
          <w:color w:val="auto"/>
          <w:highlight w:val="none"/>
          <w:lang w:eastAsia="zh-CN"/>
        </w:rPr>
        <w:t>（</w:t>
      </w:r>
      <w:r>
        <w:rPr>
          <w:rFonts w:hint="eastAsia"/>
          <w:color w:val="auto"/>
          <w:highlight w:val="none"/>
          <w:lang w:val="en-US" w:eastAsia="zh-CN"/>
        </w:rPr>
        <w:t>10</w:t>
      </w:r>
      <w:r>
        <w:rPr>
          <w:rFonts w:hint="eastAsia"/>
          <w:color w:val="auto"/>
          <w:highlight w:val="none"/>
          <w:lang w:eastAsia="zh-CN"/>
        </w:rPr>
        <w:t>）施工图纸及与本合同文件相关的地质资料并不能充分地揭露所有的地质条件，承包人应根据地质揭露情况以及自身经验判断围岩状况，提出合理的施工方法与施工工艺报送监理人，承包人不能因自己的判断有误或未及时报告围岩变化状况并得到监理人确认而造成的损失向发包人提出增加费用的要求。</w:t>
      </w:r>
    </w:p>
    <w:p w14:paraId="65D96E68">
      <w:pPr>
        <w:ind w:firstLine="420"/>
        <w:jc w:val="left"/>
        <w:rPr>
          <w:rFonts w:hAnsi="Times New Roman"/>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11</w:t>
      </w:r>
      <w:r>
        <w:rPr>
          <w:rFonts w:hint="eastAsia" w:cs="宋体"/>
          <w:color w:val="auto"/>
          <w:highlight w:val="none"/>
          <w:lang w:eastAsia="zh-CN"/>
        </w:rPr>
        <w:t>）承包人应进行地质测绘编录工作。</w:t>
      </w:r>
    </w:p>
    <w:p w14:paraId="58A6973D">
      <w:pPr>
        <w:ind w:firstLine="420"/>
        <w:jc w:val="left"/>
        <w:rPr>
          <w:rFonts w:hAnsi="Times New Roman"/>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12</w:t>
      </w:r>
      <w:r>
        <w:rPr>
          <w:rFonts w:hint="eastAsia" w:cs="宋体"/>
          <w:color w:val="auto"/>
          <w:highlight w:val="none"/>
          <w:lang w:eastAsia="zh-CN"/>
        </w:rPr>
        <w:t>）承包人应协助设计单位进行地质测绘编录工作，其工作内容还应包括地质测绘前必须的清洗和暂停开挖及必要的摄影（照相）工作，在隧洞内及时的以适当间隔对洞身桩号、坐标和高程作出醒目的标记等。承包人不得因上述工作向发包人索取额外费用。</w:t>
      </w:r>
    </w:p>
    <w:p w14:paraId="5E0BF989">
      <w:pPr>
        <w:ind w:firstLine="420"/>
        <w:jc w:val="left"/>
        <w:rPr>
          <w:rFonts w:hAnsi="Times New Roman"/>
          <w:color w:val="auto"/>
          <w:highlight w:val="none"/>
          <w:lang w:eastAsia="zh-CN"/>
        </w:rPr>
      </w:pPr>
      <w:r>
        <w:rPr>
          <w:rFonts w:hint="eastAsia"/>
          <w:color w:val="auto"/>
          <w:highlight w:val="none"/>
          <w:lang w:eastAsia="zh-CN"/>
        </w:rPr>
        <w:t>（</w:t>
      </w:r>
      <w:r>
        <w:rPr>
          <w:rFonts w:hint="eastAsia"/>
          <w:color w:val="auto"/>
          <w:highlight w:val="none"/>
          <w:lang w:val="en-US" w:eastAsia="zh-CN"/>
        </w:rPr>
        <w:t>13</w:t>
      </w:r>
      <w:r>
        <w:rPr>
          <w:rFonts w:hint="eastAsia"/>
          <w:color w:val="auto"/>
          <w:highlight w:val="none"/>
          <w:lang w:eastAsia="zh-CN"/>
        </w:rPr>
        <w:t>）开挖过程中，承包人应负责保护好已埋设的安全监测仪器设备等，施工中因保护措施不妥，造成监测仪器设备破坏或失效，应由承包人按监理人指示进行处理。</w:t>
      </w:r>
    </w:p>
    <w:p w14:paraId="1D2DBC5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hAnsi="Times New Roman"/>
          <w:color w:val="auto"/>
          <w:highlight w:val="none"/>
          <w:lang w:val="en-US" w:eastAsia="zh-CN"/>
        </w:rPr>
        <w:t>4</w:t>
      </w:r>
      <w:r>
        <w:rPr>
          <w:rFonts w:hint="eastAsia"/>
          <w:color w:val="auto"/>
          <w:highlight w:val="none"/>
          <w:lang w:eastAsia="zh-CN"/>
        </w:rPr>
        <w:t>）对违章作业造成质量事故，发包人和监理人有权要求承包人进行补救处理，其处理工程量全部由承包人承担。</w:t>
      </w:r>
    </w:p>
    <w:p w14:paraId="0D722CD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hAnsi="Times New Roman"/>
          <w:color w:val="auto"/>
          <w:highlight w:val="none"/>
          <w:lang w:val="en-US" w:eastAsia="zh-CN"/>
        </w:rPr>
        <w:t>5</w:t>
      </w:r>
      <w:r>
        <w:rPr>
          <w:rFonts w:hint="eastAsia"/>
          <w:color w:val="auto"/>
          <w:highlight w:val="none"/>
          <w:lang w:eastAsia="zh-CN"/>
        </w:rPr>
        <w:t>）承包人应协助发包人进行与本标有关的其他标段施工的协调工作，承包人不得因此工作向发包人索取额外费用。</w:t>
      </w:r>
    </w:p>
    <w:p w14:paraId="5CDFEB8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hAnsi="Times New Roman"/>
          <w:color w:val="auto"/>
          <w:highlight w:val="none"/>
          <w:lang w:val="en-US" w:eastAsia="zh-CN"/>
        </w:rPr>
        <w:t>6</w:t>
      </w:r>
      <w:r>
        <w:rPr>
          <w:rFonts w:hint="eastAsia"/>
          <w:color w:val="auto"/>
          <w:highlight w:val="none"/>
          <w:lang w:eastAsia="zh-CN"/>
        </w:rPr>
        <w:t>）除非合同另有规定，承包人对其实施项目相邻标段界面的施工安全、质量控制、进度要求亦负有相应责任。</w:t>
      </w:r>
    </w:p>
    <w:p w14:paraId="2C7CFBFB">
      <w:pPr>
        <w:ind w:firstLine="420"/>
        <w:jc w:val="left"/>
        <w:rPr>
          <w:rFonts w:cs="宋体"/>
          <w:color w:val="auto"/>
          <w:highlight w:val="none"/>
          <w:lang w:eastAsia="zh-CN" w:bidi="en-US"/>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7</w:t>
      </w:r>
      <w:r>
        <w:rPr>
          <w:rFonts w:cs="宋体"/>
          <w:color w:val="auto"/>
          <w:highlight w:val="none"/>
          <w:lang w:eastAsia="zh-CN"/>
        </w:rPr>
        <w:t>）</w:t>
      </w:r>
      <w:r>
        <w:rPr>
          <w:rFonts w:cs="宋体"/>
          <w:color w:val="auto"/>
          <w:highlight w:val="none"/>
          <w:lang w:eastAsia="zh-CN" w:bidi="en-US"/>
        </w:rPr>
        <w:t>发包人所提供的地质资料为前期地质勘探成果，仅供承包人参考，在施工过程中承包人应对发包人提供的地质资料做出自己的判断</w:t>
      </w:r>
      <w:r>
        <w:rPr>
          <w:rFonts w:hint="eastAsia" w:cs="宋体"/>
          <w:color w:val="auto"/>
          <w:highlight w:val="none"/>
          <w:lang w:eastAsia="zh-CN" w:bidi="en-US"/>
        </w:rPr>
        <w:t>。</w:t>
      </w:r>
    </w:p>
    <w:p w14:paraId="71CC008D">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val="en-US" w:eastAsia="zh-CN"/>
        </w:rPr>
        <w:t>8</w:t>
      </w:r>
      <w:r>
        <w:rPr>
          <w:rFonts w:hint="eastAsia"/>
          <w:color w:val="auto"/>
          <w:highlight w:val="none"/>
          <w:lang w:eastAsia="zh-CN"/>
        </w:rPr>
        <w:t>）承包人应按施工图纸与监理人指示，以及本技术条款规定进行地下洞室的开挖施工。</w:t>
      </w:r>
    </w:p>
    <w:p w14:paraId="400D407E">
      <w:pPr>
        <w:suppressAutoHyphens/>
        <w:ind w:firstLine="420"/>
        <w:jc w:val="left"/>
        <w:rPr>
          <w:color w:val="auto"/>
          <w:highlight w:val="none"/>
          <w:lang w:eastAsia="zh-CN"/>
        </w:rPr>
      </w:pPr>
      <w:r>
        <w:rPr>
          <w:rFonts w:hint="eastAsia"/>
          <w:color w:val="auto"/>
          <w:highlight w:val="none"/>
          <w:lang w:eastAsia="zh-CN"/>
        </w:rPr>
        <w:t>（1</w:t>
      </w:r>
      <w:r>
        <w:rPr>
          <w:rFonts w:hint="eastAsia"/>
          <w:color w:val="auto"/>
          <w:highlight w:val="none"/>
          <w:lang w:val="en-US" w:eastAsia="zh-CN"/>
        </w:rPr>
        <w:t>9</w:t>
      </w:r>
      <w:r>
        <w:rPr>
          <w:rFonts w:hint="eastAsia"/>
          <w:color w:val="auto"/>
          <w:highlight w:val="none"/>
          <w:lang w:eastAsia="zh-CN"/>
        </w:rPr>
        <w:t>）承包人应根据设计图纸、超前地质预报和围岩变形监测成果，结合经监理人批准的开挖方案，在围岩条件发生变化时及时调整开挖断面尺寸，避免二次开挖（换拱）。</w:t>
      </w:r>
    </w:p>
    <w:p w14:paraId="7B4F9A5E">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20</w:t>
      </w:r>
      <w:r>
        <w:rPr>
          <w:rFonts w:hint="eastAsia"/>
          <w:color w:val="auto"/>
          <w:highlight w:val="none"/>
          <w:lang w:eastAsia="zh-CN"/>
        </w:rPr>
        <w:t>）隧洞混凝土衬砌需跟随开挖进行。钻爆洞段Ⅳ类围岩衬砌施工滞后掌子面的距离一般不大于70m（具体可根据围岩变形监测结果动态调整），Ⅴ类围岩、断层带等不良地质洞段、下穿公路、铁路洞段衬砌施工滞后掌子面的距离一般不大于50m。</w:t>
      </w:r>
    </w:p>
    <w:p w14:paraId="30CF53FE">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21</w:t>
      </w:r>
      <w:r>
        <w:rPr>
          <w:rFonts w:hint="eastAsia"/>
          <w:color w:val="auto"/>
          <w:highlight w:val="none"/>
          <w:lang w:eastAsia="zh-CN"/>
        </w:rPr>
        <w:t>）承包人应对地下洞室开挖的施工安全负责。承包人应按本技术条款的规定做好洞室安全的保护工作，防止洞口及洞室发生塌方、掉块、突涌水等危及人员安全。承包人应根据本工程具体情况，采取各种措施及时了解和掌握洞室围岩情况，对不良地质问题应作出预判并采取相应的技术措施和管理措施，以保证施工安全。</w:t>
      </w:r>
    </w:p>
    <w:p w14:paraId="471774FE">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22</w:t>
      </w:r>
      <w:r>
        <w:rPr>
          <w:rFonts w:hint="eastAsia"/>
          <w:color w:val="auto"/>
          <w:highlight w:val="none"/>
          <w:lang w:eastAsia="zh-CN"/>
        </w:rPr>
        <w:t>）本工程面临的主要工程地质问题包括涌水突泥、软岩大变形、高外水压力、硬岩岩爆、围岩坍塌失稳、有毒有害气体、高地温等，承包人应结合本招标文件提供的地质条件，并根据超前地质预报和施工期监测检测结果，制定相应的处理措施，配备好相应的抢险物资和设备，确保工程及人员、设备的安全。</w:t>
      </w:r>
    </w:p>
    <w:p w14:paraId="2298825B">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23</w:t>
      </w:r>
      <w:r>
        <w:rPr>
          <w:rFonts w:hint="eastAsia"/>
          <w:color w:val="auto"/>
          <w:highlight w:val="none"/>
          <w:lang w:eastAsia="zh-CN"/>
        </w:rPr>
        <w:t>）承包人应做好地下工程施工现场的粉尘、振动、噪声、有毒有害气体和高地温的安全防护工作，并应进行必要的施工安全监测检测工作。</w:t>
      </w:r>
    </w:p>
    <w:p w14:paraId="3478DB6A">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val="en-US" w:eastAsia="zh-CN"/>
        </w:rPr>
        <w:t>4</w:t>
      </w:r>
      <w:r>
        <w:rPr>
          <w:rFonts w:hint="eastAsia"/>
          <w:color w:val="auto"/>
          <w:highlight w:val="none"/>
          <w:lang w:eastAsia="zh-CN"/>
        </w:rPr>
        <w:t>）隧洞在与铁路、公路交叉处施工时，承包人应按相关规定的要求和监理人的指示进行施工。</w:t>
      </w:r>
    </w:p>
    <w:p w14:paraId="3A583E4D">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val="en-US" w:eastAsia="zh-CN"/>
        </w:rPr>
        <w:t>5</w:t>
      </w:r>
      <w:r>
        <w:rPr>
          <w:rFonts w:hint="eastAsia"/>
          <w:color w:val="auto"/>
          <w:highlight w:val="none"/>
          <w:lang w:eastAsia="zh-CN"/>
        </w:rPr>
        <w:t>）承包人应按监理人批准的施工措施计划，在监理人指定的地点堆放石渣。</w:t>
      </w:r>
    </w:p>
    <w:p w14:paraId="4B74D231">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val="en-US" w:eastAsia="zh-CN"/>
        </w:rPr>
        <w:t>6</w:t>
      </w:r>
      <w:r>
        <w:rPr>
          <w:rFonts w:hint="eastAsia"/>
          <w:color w:val="auto"/>
          <w:highlight w:val="none"/>
          <w:lang w:eastAsia="zh-CN"/>
        </w:rPr>
        <w:t>）承包人应按发包人和监理人的要求做好施工地质和围岩地质信息采集工作，内容包括但不限于：地层岩性分布及特征、断裂（层）及褶皱构造分布和特征、裂隙发育情况及长大裂隙分布特征、地下水活动状态及特征、地质缺陷分布及特征、隧洞围岩分类等；还应配合设计开展施工地质编录等工作，并提供必要的工作条件，其工作内容包括但不限于地质编录必要的桩号标记、局部清理、岩面冲洗、暂停开挖及照明、通风等。</w:t>
      </w:r>
    </w:p>
    <w:p w14:paraId="49330133">
      <w:pPr>
        <w:suppressAutoHyphens/>
        <w:ind w:firstLine="420"/>
        <w:jc w:val="left"/>
        <w:rPr>
          <w:color w:val="auto"/>
          <w:highlight w:val="none"/>
          <w:lang w:eastAsia="zh-CN"/>
        </w:rPr>
      </w:pPr>
      <w:r>
        <w:rPr>
          <w:rFonts w:hint="eastAsia"/>
          <w:color w:val="auto"/>
          <w:highlight w:val="none"/>
          <w:lang w:eastAsia="zh-CN"/>
        </w:rPr>
        <w:t>（2</w:t>
      </w:r>
      <w:r>
        <w:rPr>
          <w:rFonts w:hint="eastAsia"/>
          <w:color w:val="auto"/>
          <w:highlight w:val="none"/>
          <w:lang w:val="en-US" w:eastAsia="zh-CN"/>
        </w:rPr>
        <w:t>7</w:t>
      </w:r>
      <w:r>
        <w:rPr>
          <w:rFonts w:hint="eastAsia"/>
          <w:color w:val="auto"/>
          <w:highlight w:val="none"/>
          <w:lang w:eastAsia="zh-CN"/>
        </w:rPr>
        <w:t>）承包人应按《水利水电工程地质勘察规范》（GB 50487）相关要求进行地下水腐蚀性检测工作，并将检测结果报送监理人，以便动态指导混凝土耐久性设计。</w:t>
      </w:r>
    </w:p>
    <w:p w14:paraId="72CE1A5C">
      <w:pPr>
        <w:pStyle w:val="5"/>
        <w:jc w:val="left"/>
        <w:rPr>
          <w:rFonts w:hAnsi="楷体" w:cs="楷体"/>
          <w:color w:val="auto"/>
          <w:highlight w:val="none"/>
          <w:lang w:eastAsia="zh-CN"/>
        </w:rPr>
      </w:pPr>
      <w:r>
        <w:rPr>
          <w:rFonts w:hAnsi="Times New Roman" w:cs="Times New Roman"/>
          <w:color w:val="auto"/>
          <w:highlight w:val="none"/>
          <w:lang w:eastAsia="zh-CN"/>
        </w:rPr>
        <w:t>8.1.3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5F3A9F1A">
      <w:pPr>
        <w:suppressAutoHyphens/>
        <w:ind w:firstLine="420"/>
        <w:jc w:val="left"/>
        <w:rPr>
          <w:color w:val="auto"/>
          <w:highlight w:val="none"/>
          <w:lang w:eastAsia="zh-CN"/>
        </w:rPr>
      </w:pPr>
      <w:r>
        <w:rPr>
          <w:rFonts w:hint="eastAsia"/>
          <w:color w:val="auto"/>
          <w:highlight w:val="none"/>
          <w:lang w:eastAsia="zh-CN"/>
        </w:rPr>
        <w:t>（1）地下工程开挖措施计划</w:t>
      </w:r>
    </w:p>
    <w:p w14:paraId="50FE44A5">
      <w:pPr>
        <w:suppressAutoHyphens/>
        <w:ind w:firstLine="420"/>
        <w:jc w:val="left"/>
        <w:rPr>
          <w:color w:val="auto"/>
          <w:highlight w:val="none"/>
          <w:lang w:eastAsia="zh-CN"/>
        </w:rPr>
      </w:pPr>
      <w:r>
        <w:rPr>
          <w:rFonts w:hint="eastAsia"/>
          <w:color w:val="auto"/>
          <w:highlight w:val="none"/>
          <w:lang w:eastAsia="zh-CN"/>
        </w:rPr>
        <w:t>承包人应在地下工程开挖前</w:t>
      </w:r>
      <w:r>
        <w:rPr>
          <w:rFonts w:hint="eastAsia"/>
          <w:color w:val="auto"/>
          <w:highlight w:val="none"/>
          <w:u w:val="single"/>
          <w:lang w:val="en-US" w:eastAsia="zh-CN"/>
        </w:rPr>
        <w:t xml:space="preserve">  </w:t>
      </w:r>
      <w:r>
        <w:rPr>
          <w:rFonts w:hint="eastAsia"/>
          <w:color w:val="auto"/>
          <w:highlight w:val="none"/>
          <w:u w:val="single"/>
          <w:lang w:eastAsia="zh-CN"/>
        </w:rPr>
        <w:t>28</w:t>
      </w:r>
      <w:r>
        <w:rPr>
          <w:rFonts w:hint="eastAsia"/>
          <w:color w:val="auto"/>
          <w:highlight w:val="none"/>
          <w:u w:val="single"/>
          <w:lang w:val="en-US" w:eastAsia="zh-CN"/>
        </w:rPr>
        <w:t xml:space="preserve">  </w:t>
      </w:r>
      <w:r>
        <w:rPr>
          <w:rFonts w:hint="eastAsia"/>
          <w:color w:val="auto"/>
          <w:highlight w:val="none"/>
          <w:lang w:eastAsia="zh-CN"/>
        </w:rPr>
        <w:t>天，按施工图纸要求和本技术条款的规定，编制下述（但不限于）内容的施工措施计划，提交监理人批准。</w:t>
      </w:r>
    </w:p>
    <w:p w14:paraId="097FFB1D">
      <w:pPr>
        <w:suppressAutoHyphens/>
        <w:ind w:firstLine="420"/>
        <w:jc w:val="left"/>
        <w:rPr>
          <w:color w:val="auto"/>
          <w:highlight w:val="none"/>
          <w:lang w:eastAsia="zh-CN"/>
        </w:rPr>
      </w:pPr>
      <w:r>
        <w:rPr>
          <w:rFonts w:hint="eastAsia"/>
          <w:color w:val="auto"/>
          <w:highlight w:val="none"/>
          <w:lang w:eastAsia="zh-CN"/>
        </w:rPr>
        <w:t>1）地下工程开挖出渣、运输等施工布置和开挖程序图；</w:t>
      </w:r>
    </w:p>
    <w:p w14:paraId="49FC921B">
      <w:pPr>
        <w:suppressAutoHyphens/>
        <w:ind w:firstLine="420"/>
        <w:jc w:val="left"/>
        <w:rPr>
          <w:color w:val="auto"/>
          <w:highlight w:val="none"/>
          <w:lang w:eastAsia="zh-CN"/>
        </w:rPr>
      </w:pPr>
      <w:r>
        <w:rPr>
          <w:rFonts w:hint="eastAsia"/>
          <w:color w:val="auto"/>
          <w:highlight w:val="none"/>
          <w:lang w:eastAsia="zh-CN"/>
        </w:rPr>
        <w:t>2）开挖设备、出渣设备和辅助设施的配置；</w:t>
      </w:r>
    </w:p>
    <w:p w14:paraId="6AB50852">
      <w:pPr>
        <w:suppressAutoHyphens/>
        <w:ind w:firstLine="420"/>
        <w:jc w:val="left"/>
        <w:rPr>
          <w:color w:val="auto"/>
          <w:highlight w:val="none"/>
          <w:lang w:eastAsia="zh-CN"/>
        </w:rPr>
      </w:pPr>
      <w:r>
        <w:rPr>
          <w:rFonts w:hint="eastAsia"/>
          <w:color w:val="auto"/>
          <w:highlight w:val="none"/>
          <w:lang w:eastAsia="zh-CN"/>
        </w:rPr>
        <w:t>3）主要建筑物钻爆法施工程序说明；</w:t>
      </w:r>
    </w:p>
    <w:p w14:paraId="5E69876B">
      <w:pPr>
        <w:suppressAutoHyphens/>
        <w:ind w:firstLine="420"/>
        <w:jc w:val="left"/>
        <w:rPr>
          <w:color w:val="auto"/>
          <w:highlight w:val="none"/>
          <w:lang w:eastAsia="zh-CN"/>
        </w:rPr>
      </w:pPr>
      <w:r>
        <w:rPr>
          <w:rFonts w:hint="eastAsia"/>
          <w:color w:val="auto"/>
          <w:highlight w:val="none"/>
          <w:lang w:eastAsia="zh-CN"/>
        </w:rPr>
        <w:t>4）爆破试验计划、钻孔爆破方法与控制超挖措施，以及关键部位（如洞口段、支洞与主洞交叉段、不良地质段等）的控制爆破措施；</w:t>
      </w:r>
    </w:p>
    <w:p w14:paraId="7C88288B">
      <w:pPr>
        <w:suppressAutoHyphens/>
        <w:ind w:firstLine="420"/>
        <w:jc w:val="left"/>
        <w:rPr>
          <w:color w:val="auto"/>
          <w:highlight w:val="none"/>
          <w:lang w:eastAsia="zh-CN"/>
        </w:rPr>
      </w:pPr>
      <w:r>
        <w:rPr>
          <w:rFonts w:hint="eastAsia"/>
          <w:color w:val="auto"/>
          <w:highlight w:val="none"/>
          <w:lang w:eastAsia="zh-CN"/>
        </w:rPr>
        <w:t>5）应对既有铁路、公路进行调查，设置观测标识、标记等，施工前对既有工程的记录（包括摄像、拍照），施工过程中安排人员进行巡视和观察等方案；</w:t>
      </w:r>
    </w:p>
    <w:p w14:paraId="5A4B0230">
      <w:pPr>
        <w:suppressAutoHyphens/>
        <w:ind w:firstLine="420"/>
        <w:jc w:val="left"/>
        <w:rPr>
          <w:color w:val="auto"/>
          <w:highlight w:val="none"/>
          <w:lang w:eastAsia="zh-CN"/>
        </w:rPr>
      </w:pPr>
      <w:r>
        <w:rPr>
          <w:color w:val="auto"/>
          <w:highlight w:val="none"/>
          <w:lang w:eastAsia="zh-CN"/>
        </w:rPr>
        <w:t>6</w:t>
      </w:r>
      <w:r>
        <w:rPr>
          <w:rFonts w:hint="eastAsia"/>
          <w:color w:val="auto"/>
          <w:highlight w:val="none"/>
          <w:lang w:eastAsia="zh-CN"/>
        </w:rPr>
        <w:t>）临时施工支护措施计划（如掌子面喷射混凝土等）；</w:t>
      </w:r>
    </w:p>
    <w:p w14:paraId="4180E174">
      <w:pPr>
        <w:suppressAutoHyphens/>
        <w:ind w:firstLine="420"/>
        <w:jc w:val="left"/>
        <w:rPr>
          <w:color w:val="auto"/>
          <w:highlight w:val="none"/>
          <w:lang w:eastAsia="zh-CN"/>
        </w:rPr>
      </w:pPr>
      <w:r>
        <w:rPr>
          <w:color w:val="auto"/>
          <w:highlight w:val="none"/>
          <w:lang w:eastAsia="zh-CN"/>
        </w:rPr>
        <w:t>7</w:t>
      </w:r>
      <w:r>
        <w:rPr>
          <w:rFonts w:hint="eastAsia"/>
          <w:color w:val="auto"/>
          <w:highlight w:val="none"/>
          <w:lang w:eastAsia="zh-CN"/>
        </w:rPr>
        <w:t>）超前地质预报措施与计划，施工期监测检测措施与计划；</w:t>
      </w:r>
    </w:p>
    <w:p w14:paraId="2663D1FD">
      <w:pPr>
        <w:suppressAutoHyphens/>
        <w:ind w:firstLine="420"/>
        <w:jc w:val="left"/>
        <w:rPr>
          <w:color w:val="auto"/>
          <w:highlight w:val="none"/>
          <w:lang w:eastAsia="zh-CN"/>
        </w:rPr>
      </w:pPr>
      <w:r>
        <w:rPr>
          <w:color w:val="auto"/>
          <w:highlight w:val="none"/>
          <w:lang w:eastAsia="zh-CN"/>
        </w:rPr>
        <w:t>8</w:t>
      </w:r>
      <w:r>
        <w:rPr>
          <w:rFonts w:hint="eastAsia"/>
          <w:color w:val="auto"/>
          <w:highlight w:val="none"/>
          <w:lang w:eastAsia="zh-CN"/>
        </w:rPr>
        <w:t>）超前预处理（超前锚杆、超前小导管、超前管棚、超前灌浆和超前减压孔等）措施与计划；</w:t>
      </w:r>
    </w:p>
    <w:p w14:paraId="5605BF04">
      <w:pPr>
        <w:suppressAutoHyphens/>
        <w:ind w:firstLine="420"/>
        <w:jc w:val="left"/>
        <w:rPr>
          <w:color w:val="auto"/>
          <w:highlight w:val="none"/>
          <w:lang w:eastAsia="zh-CN"/>
        </w:rPr>
      </w:pPr>
      <w:r>
        <w:rPr>
          <w:color w:val="auto"/>
          <w:highlight w:val="none"/>
          <w:lang w:eastAsia="zh-CN"/>
        </w:rPr>
        <w:t>9</w:t>
      </w:r>
      <w:r>
        <w:rPr>
          <w:rFonts w:hint="eastAsia"/>
          <w:color w:val="auto"/>
          <w:highlight w:val="none"/>
          <w:lang w:eastAsia="zh-CN"/>
        </w:rPr>
        <w:t>）地质缺陷部位处理措施；</w:t>
      </w:r>
    </w:p>
    <w:p w14:paraId="5DCCCCA5">
      <w:pPr>
        <w:suppressAutoHyphens/>
        <w:ind w:firstLine="420"/>
        <w:jc w:val="left"/>
        <w:rPr>
          <w:color w:val="auto"/>
          <w:highlight w:val="none"/>
          <w:lang w:eastAsia="zh-CN"/>
        </w:rPr>
      </w:pPr>
      <w:r>
        <w:rPr>
          <w:color w:val="auto"/>
          <w:highlight w:val="none"/>
          <w:lang w:eastAsia="zh-CN"/>
        </w:rPr>
        <w:t>10</w:t>
      </w:r>
      <w:r>
        <w:rPr>
          <w:rFonts w:hint="eastAsia"/>
          <w:color w:val="auto"/>
          <w:highlight w:val="none"/>
          <w:lang w:eastAsia="zh-CN"/>
        </w:rPr>
        <w:t>）出渣、弃渣以及渣料利用措施；</w:t>
      </w:r>
    </w:p>
    <w:p w14:paraId="164D3883">
      <w:pPr>
        <w:suppressAutoHyphens/>
        <w:ind w:firstLine="420"/>
        <w:jc w:val="left"/>
        <w:rPr>
          <w:color w:val="auto"/>
          <w:highlight w:val="none"/>
          <w:lang w:eastAsia="zh-CN"/>
        </w:rPr>
      </w:pPr>
      <w:r>
        <w:rPr>
          <w:color w:val="auto"/>
          <w:highlight w:val="none"/>
          <w:lang w:eastAsia="zh-CN"/>
        </w:rPr>
        <w:t>11</w:t>
      </w:r>
      <w:r>
        <w:rPr>
          <w:rFonts w:hint="eastAsia"/>
          <w:color w:val="auto"/>
          <w:highlight w:val="none"/>
          <w:lang w:eastAsia="zh-CN"/>
        </w:rPr>
        <w:t>）洞口保护和围岩稳定的支护措施以及塌方处理措施；</w:t>
      </w:r>
    </w:p>
    <w:p w14:paraId="76DDD2C3">
      <w:pPr>
        <w:suppressAutoHyphens/>
        <w:ind w:firstLine="420"/>
        <w:jc w:val="left"/>
        <w:rPr>
          <w:color w:val="auto"/>
          <w:highlight w:val="none"/>
          <w:lang w:eastAsia="zh-CN"/>
        </w:rPr>
      </w:pPr>
      <w:r>
        <w:rPr>
          <w:color w:val="auto"/>
          <w:highlight w:val="none"/>
          <w:lang w:eastAsia="zh-CN"/>
        </w:rPr>
        <w:t>12</w:t>
      </w:r>
      <w:r>
        <w:rPr>
          <w:rFonts w:hint="eastAsia"/>
          <w:color w:val="auto"/>
          <w:highlight w:val="none"/>
          <w:lang w:eastAsia="zh-CN"/>
        </w:rPr>
        <w:t>）通风和散烟、除尘及空气监测安全措施；</w:t>
      </w:r>
    </w:p>
    <w:p w14:paraId="5E1E70CC">
      <w:pPr>
        <w:suppressAutoHyphens/>
        <w:ind w:firstLine="420"/>
        <w:jc w:val="left"/>
        <w:rPr>
          <w:color w:val="auto"/>
          <w:highlight w:val="none"/>
          <w:lang w:eastAsia="zh-CN"/>
        </w:rPr>
      </w:pPr>
      <w:r>
        <w:rPr>
          <w:color w:val="auto"/>
          <w:highlight w:val="none"/>
          <w:lang w:eastAsia="zh-CN"/>
        </w:rPr>
        <w:t>13</w:t>
      </w:r>
      <w:r>
        <w:rPr>
          <w:rFonts w:hint="eastAsia"/>
          <w:color w:val="auto"/>
          <w:highlight w:val="none"/>
          <w:lang w:eastAsia="zh-CN"/>
        </w:rPr>
        <w:t>）照明设施；</w:t>
      </w:r>
    </w:p>
    <w:p w14:paraId="4AD13BCC">
      <w:pPr>
        <w:suppressAutoHyphens/>
        <w:ind w:firstLine="420"/>
        <w:jc w:val="left"/>
        <w:rPr>
          <w:color w:val="auto"/>
          <w:highlight w:val="none"/>
          <w:lang w:eastAsia="zh-CN"/>
        </w:rPr>
      </w:pPr>
      <w:r>
        <w:rPr>
          <w:color w:val="auto"/>
          <w:highlight w:val="none"/>
          <w:lang w:eastAsia="zh-CN"/>
        </w:rPr>
        <w:t>14</w:t>
      </w:r>
      <w:r>
        <w:rPr>
          <w:rFonts w:hint="eastAsia"/>
          <w:color w:val="auto"/>
          <w:highlight w:val="none"/>
          <w:lang w:eastAsia="zh-CN"/>
        </w:rPr>
        <w:t>）排水措施；</w:t>
      </w:r>
    </w:p>
    <w:p w14:paraId="7E97836F">
      <w:pPr>
        <w:suppressAutoHyphens/>
        <w:ind w:firstLine="420"/>
        <w:jc w:val="left"/>
        <w:rPr>
          <w:color w:val="auto"/>
          <w:highlight w:val="none"/>
          <w:lang w:eastAsia="zh-CN"/>
        </w:rPr>
      </w:pPr>
      <w:r>
        <w:rPr>
          <w:color w:val="auto"/>
          <w:highlight w:val="none"/>
          <w:lang w:eastAsia="zh-CN"/>
        </w:rPr>
        <w:t>15</w:t>
      </w:r>
      <w:r>
        <w:rPr>
          <w:rFonts w:hint="eastAsia"/>
          <w:color w:val="auto"/>
          <w:highlight w:val="none"/>
          <w:lang w:eastAsia="zh-CN"/>
        </w:rPr>
        <w:t>）通信、信号和报警设施；</w:t>
      </w:r>
    </w:p>
    <w:p w14:paraId="7076264F">
      <w:pPr>
        <w:suppressAutoHyphens/>
        <w:ind w:firstLine="420"/>
        <w:jc w:val="left"/>
        <w:rPr>
          <w:color w:val="auto"/>
          <w:highlight w:val="none"/>
          <w:lang w:eastAsia="zh-CN"/>
        </w:rPr>
      </w:pPr>
      <w:r>
        <w:rPr>
          <w:color w:val="auto"/>
          <w:highlight w:val="none"/>
          <w:lang w:eastAsia="zh-CN"/>
        </w:rPr>
        <w:t>16</w:t>
      </w:r>
      <w:r>
        <w:rPr>
          <w:rFonts w:hint="eastAsia"/>
          <w:color w:val="auto"/>
          <w:highlight w:val="none"/>
          <w:lang w:eastAsia="zh-CN"/>
        </w:rPr>
        <w:t>）施工进度计划、材料供应计划及劳动力安排；</w:t>
      </w:r>
    </w:p>
    <w:p w14:paraId="6BDB5C81">
      <w:pPr>
        <w:suppressAutoHyphens/>
        <w:ind w:firstLine="420"/>
        <w:jc w:val="left"/>
        <w:rPr>
          <w:color w:val="auto"/>
          <w:highlight w:val="none"/>
          <w:lang w:eastAsia="zh-CN"/>
        </w:rPr>
      </w:pPr>
      <w:r>
        <w:rPr>
          <w:color w:val="auto"/>
          <w:highlight w:val="none"/>
          <w:lang w:eastAsia="zh-CN"/>
        </w:rPr>
        <w:t>17</w:t>
      </w:r>
      <w:r>
        <w:rPr>
          <w:rFonts w:hint="eastAsia"/>
          <w:color w:val="auto"/>
          <w:highlight w:val="none"/>
          <w:lang w:eastAsia="zh-CN"/>
        </w:rPr>
        <w:t>）安全保证措施；</w:t>
      </w:r>
    </w:p>
    <w:p w14:paraId="271DD0A6">
      <w:pPr>
        <w:suppressAutoHyphens/>
        <w:ind w:firstLine="420"/>
        <w:jc w:val="left"/>
        <w:rPr>
          <w:rFonts w:hint="eastAsia"/>
          <w:color w:val="auto"/>
          <w:highlight w:val="none"/>
          <w:lang w:eastAsia="zh-CN"/>
        </w:rPr>
      </w:pPr>
      <w:r>
        <w:rPr>
          <w:color w:val="auto"/>
          <w:highlight w:val="none"/>
          <w:lang w:eastAsia="zh-CN"/>
        </w:rPr>
        <w:t>18</w:t>
      </w:r>
      <w:r>
        <w:rPr>
          <w:rFonts w:hint="eastAsia"/>
          <w:color w:val="auto"/>
          <w:highlight w:val="none"/>
          <w:lang w:eastAsia="zh-CN"/>
        </w:rPr>
        <w:t>）监理人要求的其他文件。</w:t>
      </w:r>
    </w:p>
    <w:p w14:paraId="0CB91009">
      <w:pPr>
        <w:suppressAutoHyphens/>
        <w:ind w:firstLine="420"/>
        <w:jc w:val="left"/>
        <w:rPr>
          <w:rFonts w:hint="eastAsia"/>
          <w:color w:val="auto"/>
          <w:highlight w:val="none"/>
          <w:lang w:eastAsia="zh-CN"/>
        </w:rPr>
      </w:pPr>
      <w:r>
        <w:rPr>
          <w:rFonts w:hint="eastAsia"/>
          <w:color w:val="auto"/>
          <w:highlight w:val="none"/>
          <w:lang w:eastAsia="zh-CN"/>
        </w:rPr>
        <w:t>（2）施工记录报表</w:t>
      </w:r>
    </w:p>
    <w:p w14:paraId="4F4CCF17">
      <w:pPr>
        <w:suppressAutoHyphens/>
        <w:ind w:firstLine="420"/>
        <w:jc w:val="left"/>
        <w:rPr>
          <w:color w:val="auto"/>
          <w:highlight w:val="none"/>
          <w:lang w:eastAsia="zh-CN"/>
        </w:rPr>
      </w:pPr>
      <w:r>
        <w:rPr>
          <w:rFonts w:hint="eastAsia"/>
          <w:color w:val="auto"/>
          <w:highlight w:val="none"/>
          <w:lang w:eastAsia="zh-CN"/>
        </w:rPr>
        <w:t>承包人应按监理人指示，每月提交各项地下工程开挖的施工记录报表，其内容应包括（但不限于）：</w:t>
      </w:r>
    </w:p>
    <w:p w14:paraId="0DC091D0">
      <w:pPr>
        <w:suppressAutoHyphens/>
        <w:ind w:firstLine="420"/>
        <w:jc w:val="left"/>
        <w:rPr>
          <w:color w:val="auto"/>
          <w:highlight w:val="none"/>
          <w:lang w:eastAsia="zh-CN"/>
        </w:rPr>
      </w:pPr>
      <w:r>
        <w:rPr>
          <w:rFonts w:hint="eastAsia"/>
          <w:color w:val="auto"/>
          <w:highlight w:val="none"/>
          <w:lang w:eastAsia="zh-CN"/>
        </w:rPr>
        <w:t>1）施工地质编录：洞室地质编录展示图、各项记录卡片、地质描述及评价说明与总结（充分反映本技术条款第8.1.2节第（10）条要求的施工地质编录工作内容）；</w:t>
      </w:r>
    </w:p>
    <w:p w14:paraId="07FCF851">
      <w:pPr>
        <w:suppressAutoHyphens/>
        <w:ind w:firstLine="420"/>
        <w:jc w:val="left"/>
        <w:rPr>
          <w:color w:val="auto"/>
          <w:highlight w:val="none"/>
          <w:lang w:eastAsia="zh-CN"/>
        </w:rPr>
      </w:pPr>
      <w:r>
        <w:rPr>
          <w:rFonts w:hint="eastAsia"/>
          <w:color w:val="auto"/>
          <w:highlight w:val="none"/>
          <w:lang w:eastAsia="zh-CN"/>
        </w:rPr>
        <w:t>2）钻爆施工段开挖工作面进尺及实际作业循环情况，累计开挖工程量；</w:t>
      </w:r>
    </w:p>
    <w:p w14:paraId="492D2E75">
      <w:pPr>
        <w:suppressAutoHyphens/>
        <w:ind w:firstLine="420"/>
        <w:jc w:val="left"/>
        <w:rPr>
          <w:color w:val="auto"/>
          <w:highlight w:val="none"/>
          <w:lang w:eastAsia="zh-CN"/>
        </w:rPr>
      </w:pPr>
      <w:r>
        <w:rPr>
          <w:rFonts w:hint="eastAsia"/>
          <w:color w:val="auto"/>
          <w:highlight w:val="none"/>
          <w:lang w:eastAsia="zh-CN"/>
        </w:rPr>
        <w:t>3）施工前对既有铁路、公路观测标识的记录，施工过程中应定期安排人员对可能存在影响的区段对既有铁路、公路构筑物结构状态进行巡视和观察（是否有变形、开裂及裂缝发展情况等），如发现异常，应及时通知相关单位，以及时处理；</w:t>
      </w:r>
    </w:p>
    <w:p w14:paraId="69CDC03F">
      <w:pPr>
        <w:suppressAutoHyphens/>
        <w:ind w:firstLine="420"/>
        <w:jc w:val="left"/>
        <w:rPr>
          <w:color w:val="auto"/>
          <w:highlight w:val="none"/>
          <w:lang w:eastAsia="zh-CN"/>
        </w:rPr>
      </w:pPr>
      <w:r>
        <w:rPr>
          <w:color w:val="auto"/>
          <w:highlight w:val="none"/>
          <w:lang w:eastAsia="zh-CN"/>
        </w:rPr>
        <w:t>3</w:t>
      </w:r>
      <w:r>
        <w:rPr>
          <w:rFonts w:hint="eastAsia"/>
          <w:color w:val="auto"/>
          <w:highlight w:val="none"/>
          <w:lang w:eastAsia="zh-CN"/>
        </w:rPr>
        <w:t>）开挖断面实测成果；</w:t>
      </w:r>
    </w:p>
    <w:p w14:paraId="52C0D574">
      <w:pPr>
        <w:suppressAutoHyphens/>
        <w:ind w:firstLine="420"/>
        <w:jc w:val="left"/>
        <w:rPr>
          <w:color w:val="auto"/>
          <w:highlight w:val="none"/>
          <w:lang w:eastAsia="zh-CN"/>
        </w:rPr>
      </w:pPr>
      <w:r>
        <w:rPr>
          <w:color w:val="auto"/>
          <w:highlight w:val="none"/>
          <w:lang w:eastAsia="zh-CN"/>
        </w:rPr>
        <w:t>4</w:t>
      </w:r>
      <w:r>
        <w:rPr>
          <w:rFonts w:hint="eastAsia"/>
          <w:color w:val="auto"/>
          <w:highlight w:val="none"/>
          <w:lang w:eastAsia="zh-CN"/>
        </w:rPr>
        <w:t>）围岩坍塌、涌水突泥等特殊事故处理；</w:t>
      </w:r>
    </w:p>
    <w:p w14:paraId="395657D7">
      <w:pPr>
        <w:suppressAutoHyphens/>
        <w:ind w:firstLine="420"/>
        <w:jc w:val="left"/>
        <w:rPr>
          <w:color w:val="auto"/>
          <w:highlight w:val="none"/>
          <w:lang w:eastAsia="zh-CN"/>
        </w:rPr>
      </w:pPr>
      <w:r>
        <w:rPr>
          <w:color w:val="auto"/>
          <w:highlight w:val="none"/>
          <w:lang w:eastAsia="zh-CN"/>
        </w:rPr>
        <w:t>5</w:t>
      </w:r>
      <w:r>
        <w:rPr>
          <w:rFonts w:hint="eastAsia"/>
          <w:color w:val="auto"/>
          <w:highlight w:val="none"/>
          <w:lang w:eastAsia="zh-CN"/>
        </w:rPr>
        <w:t>）地下工作场地定点的空气质量监测资料；</w:t>
      </w:r>
    </w:p>
    <w:p w14:paraId="0635DEE6">
      <w:pPr>
        <w:suppressAutoHyphens/>
        <w:ind w:firstLine="420"/>
        <w:jc w:val="left"/>
        <w:rPr>
          <w:color w:val="auto"/>
          <w:highlight w:val="none"/>
          <w:lang w:eastAsia="zh-CN"/>
        </w:rPr>
      </w:pPr>
      <w:r>
        <w:rPr>
          <w:color w:val="auto"/>
          <w:highlight w:val="none"/>
          <w:lang w:eastAsia="zh-CN"/>
        </w:rPr>
        <w:t>6</w:t>
      </w:r>
      <w:r>
        <w:rPr>
          <w:rFonts w:hint="eastAsia"/>
          <w:color w:val="auto"/>
          <w:highlight w:val="none"/>
          <w:lang w:eastAsia="zh-CN"/>
        </w:rPr>
        <w:t>）设备运行和检修记录；</w:t>
      </w:r>
    </w:p>
    <w:p w14:paraId="4082A72B">
      <w:pPr>
        <w:suppressAutoHyphens/>
        <w:ind w:firstLine="420"/>
        <w:jc w:val="left"/>
        <w:rPr>
          <w:color w:val="auto"/>
          <w:highlight w:val="none"/>
          <w:lang w:eastAsia="zh-CN"/>
        </w:rPr>
      </w:pPr>
      <w:r>
        <w:rPr>
          <w:color w:val="auto"/>
          <w:highlight w:val="none"/>
          <w:lang w:eastAsia="zh-CN"/>
        </w:rPr>
        <w:t>7</w:t>
      </w:r>
      <w:r>
        <w:rPr>
          <w:rFonts w:hint="eastAsia"/>
          <w:color w:val="auto"/>
          <w:highlight w:val="none"/>
          <w:lang w:eastAsia="zh-CN"/>
        </w:rPr>
        <w:t>）钻爆器材等和施工材料消耗记录；</w:t>
      </w:r>
    </w:p>
    <w:p w14:paraId="7FE67EDB">
      <w:pPr>
        <w:suppressAutoHyphens/>
        <w:ind w:firstLine="420"/>
        <w:jc w:val="left"/>
        <w:rPr>
          <w:color w:val="auto"/>
          <w:highlight w:val="none"/>
          <w:lang w:eastAsia="zh-CN"/>
        </w:rPr>
      </w:pPr>
      <w:r>
        <w:rPr>
          <w:color w:val="auto"/>
          <w:highlight w:val="none"/>
          <w:lang w:eastAsia="zh-CN"/>
        </w:rPr>
        <w:t>8</w:t>
      </w:r>
      <w:r>
        <w:rPr>
          <w:rFonts w:hint="eastAsia"/>
          <w:color w:val="auto"/>
          <w:highlight w:val="none"/>
          <w:lang w:eastAsia="zh-CN"/>
        </w:rPr>
        <w:t>）监理人要求提供的质量检查和验收记录。</w:t>
      </w:r>
    </w:p>
    <w:p w14:paraId="1721D987">
      <w:pPr>
        <w:pStyle w:val="7"/>
        <w:ind w:firstLine="420"/>
        <w:jc w:val="left"/>
        <w:rPr>
          <w:color w:val="auto"/>
          <w:highlight w:val="none"/>
          <w:lang w:eastAsia="zh-CN"/>
        </w:rPr>
      </w:pPr>
      <w:r>
        <w:rPr>
          <w:rFonts w:hint="eastAsia"/>
          <w:color w:val="auto"/>
          <w:highlight w:val="none"/>
          <w:lang w:eastAsia="zh-CN"/>
        </w:rPr>
        <w:t>（3）上述措施计划和施工记录报表，经监理人批准或确认后，承包人应报送发包人指定的其他相关方。</w:t>
      </w:r>
    </w:p>
    <w:p w14:paraId="2F73D4ED">
      <w:pPr>
        <w:pStyle w:val="5"/>
        <w:jc w:val="left"/>
        <w:rPr>
          <w:rFonts w:hAnsi="Times New Roman" w:cs="楷体"/>
          <w:color w:val="auto"/>
          <w:highlight w:val="none"/>
          <w:lang w:eastAsia="zh-CN"/>
        </w:rPr>
      </w:pPr>
      <w:r>
        <w:rPr>
          <w:rFonts w:hAnsi="Times New Roman" w:cs="Times New Roman"/>
          <w:color w:val="auto"/>
          <w:highlight w:val="none"/>
          <w:lang w:eastAsia="zh-CN"/>
        </w:rPr>
        <w:t>8.1.4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73F1366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）《爆破安全规程》（</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6722—2014</w:t>
      </w:r>
      <w:r>
        <w:rPr>
          <w:rFonts w:cs="宋体"/>
          <w:color w:val="auto"/>
          <w:highlight w:val="none"/>
          <w:lang w:eastAsia="zh-CN"/>
        </w:rPr>
        <w:t>）。</w:t>
      </w:r>
    </w:p>
    <w:p w14:paraId="0163C17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）《岩土锚杆与喷射混凝土支护工程技术规范》（</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50086—2015</w:t>
      </w:r>
      <w:r>
        <w:rPr>
          <w:rFonts w:cs="宋体"/>
          <w:color w:val="auto"/>
          <w:highlight w:val="none"/>
          <w:lang w:eastAsia="zh-CN"/>
        </w:rPr>
        <w:t>）。</w:t>
      </w:r>
    </w:p>
    <w:p w14:paraId="7A3C1A5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）《水利水电工程地质勘察规范》（</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50487—2008</w:t>
      </w:r>
      <w:r>
        <w:rPr>
          <w:rFonts w:cs="宋体"/>
          <w:color w:val="auto"/>
          <w:highlight w:val="none"/>
          <w:lang w:eastAsia="zh-CN"/>
        </w:rPr>
        <w:t>）。</w:t>
      </w:r>
    </w:p>
    <w:p w14:paraId="59F0B43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）《环境空气质量标准》（</w:t>
      </w:r>
      <w:r>
        <w:rPr>
          <w:rFonts w:hint="eastAsia" w:hAnsi="Times New Roman" w:cs="Times New Roman"/>
          <w:color w:val="auto"/>
          <w:highlight w:val="none"/>
          <w:lang w:eastAsia="zh-CN"/>
        </w:rPr>
        <w:t xml:space="preserve">GB </w:t>
      </w:r>
      <w:r>
        <w:rPr>
          <w:rFonts w:hAnsi="Times New Roman" w:cs="Times New Roman"/>
          <w:color w:val="auto"/>
          <w:highlight w:val="none"/>
          <w:lang w:eastAsia="zh-CN"/>
        </w:rPr>
        <w:t>3095—2012</w:t>
      </w:r>
      <w:r>
        <w:rPr>
          <w:rFonts w:cs="宋体"/>
          <w:color w:val="auto"/>
          <w:highlight w:val="none"/>
          <w:lang w:eastAsia="zh-CN"/>
        </w:rPr>
        <w:t>）。</w:t>
      </w:r>
    </w:p>
    <w:p w14:paraId="2425E0F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）《水利水电建设工程验收规程》（</w:t>
      </w:r>
      <w:r>
        <w:rPr>
          <w:rFonts w:hAnsi="Times New Roman" w:cs="Times New Roman"/>
          <w:color w:val="auto"/>
          <w:highlight w:val="none"/>
          <w:lang w:eastAsia="zh-CN"/>
        </w:rPr>
        <w:t>SL223—2008</w:t>
      </w:r>
      <w:r>
        <w:rPr>
          <w:rFonts w:cs="宋体"/>
          <w:color w:val="auto"/>
          <w:highlight w:val="none"/>
          <w:lang w:eastAsia="zh-CN"/>
        </w:rPr>
        <w:t>）。</w:t>
      </w:r>
    </w:p>
    <w:p w14:paraId="52F7A30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）《水利水电工程施工通用安全技术规程》（</w:t>
      </w:r>
      <w:r>
        <w:rPr>
          <w:rFonts w:hAnsi="Times New Roman" w:cs="Times New Roman"/>
          <w:color w:val="auto"/>
          <w:highlight w:val="none"/>
          <w:lang w:eastAsia="zh-CN"/>
        </w:rPr>
        <w:t>SL398—2007</w:t>
      </w:r>
      <w:r>
        <w:rPr>
          <w:rFonts w:cs="宋体"/>
          <w:color w:val="auto"/>
          <w:highlight w:val="none"/>
          <w:lang w:eastAsia="zh-CN"/>
        </w:rPr>
        <w:t>）。</w:t>
      </w:r>
    </w:p>
    <w:p w14:paraId="695D278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）《水工建筑物地下开挖工程施工规范》（</w:t>
      </w:r>
      <w:r>
        <w:rPr>
          <w:rFonts w:hAnsi="Times New Roman" w:cs="Times New Roman"/>
          <w:color w:val="auto"/>
          <w:highlight w:val="none"/>
          <w:lang w:eastAsia="zh-CN"/>
        </w:rPr>
        <w:t>SL378—2007</w:t>
      </w:r>
      <w:r>
        <w:rPr>
          <w:rFonts w:cs="宋体"/>
          <w:color w:val="auto"/>
          <w:highlight w:val="none"/>
          <w:lang w:eastAsia="zh-CN"/>
        </w:rPr>
        <w:t>）。</w:t>
      </w:r>
    </w:p>
    <w:p w14:paraId="7F0F4BA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）《水工建筑物岩石基础开挖工程施工技术规范》（</w:t>
      </w:r>
      <w:r>
        <w:rPr>
          <w:rFonts w:hAnsi="Times New Roman" w:cs="Times New Roman"/>
          <w:color w:val="auto"/>
          <w:highlight w:val="none"/>
          <w:lang w:eastAsia="zh-CN"/>
        </w:rPr>
        <w:t>DL/T5389-2007</w:t>
      </w:r>
      <w:r>
        <w:rPr>
          <w:rFonts w:cs="宋体"/>
          <w:color w:val="auto"/>
          <w:highlight w:val="none"/>
          <w:lang w:eastAsia="zh-CN"/>
        </w:rPr>
        <w:t>）。</w:t>
      </w:r>
    </w:p>
    <w:p w14:paraId="40D8685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9</w:t>
      </w:r>
      <w:r>
        <w:rPr>
          <w:rFonts w:cs="宋体"/>
          <w:color w:val="auto"/>
          <w:highlight w:val="none"/>
          <w:lang w:eastAsia="zh-CN"/>
        </w:rPr>
        <w:t>）《水利水电工程施工测量规范》（</w:t>
      </w:r>
      <w:r>
        <w:rPr>
          <w:rFonts w:hAnsi="Times New Roman" w:cs="Times New Roman"/>
          <w:color w:val="auto"/>
          <w:highlight w:val="none"/>
          <w:lang w:eastAsia="zh-CN"/>
        </w:rPr>
        <w:t>SL52—2015</w:t>
      </w:r>
      <w:r>
        <w:rPr>
          <w:rFonts w:cs="宋体"/>
          <w:color w:val="auto"/>
          <w:highlight w:val="none"/>
          <w:lang w:eastAsia="zh-CN"/>
        </w:rPr>
        <w:t>）。</w:t>
      </w:r>
    </w:p>
    <w:p w14:paraId="717D7C6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10</w:t>
      </w:r>
      <w:r>
        <w:rPr>
          <w:rFonts w:hint="eastAsia"/>
          <w:color w:val="auto"/>
          <w:highlight w:val="none"/>
          <w:lang w:eastAsia="zh-CN"/>
        </w:rPr>
        <w:t>）《水利水电工程施工地质规程》（</w:t>
      </w:r>
      <w:r>
        <w:rPr>
          <w:rFonts w:hAnsi="Times New Roman"/>
          <w:color w:val="auto"/>
          <w:highlight w:val="none"/>
          <w:lang w:eastAsia="zh-CN"/>
        </w:rPr>
        <w:t>SL/T313-2021</w:t>
      </w:r>
      <w:r>
        <w:rPr>
          <w:rFonts w:hint="eastAsia"/>
          <w:color w:val="auto"/>
          <w:highlight w:val="none"/>
          <w:lang w:eastAsia="zh-CN"/>
        </w:rPr>
        <w:t>）；</w:t>
      </w:r>
    </w:p>
    <w:p w14:paraId="292DAFD3">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11</w:t>
      </w:r>
      <w:r>
        <w:rPr>
          <w:rFonts w:hint="eastAsia"/>
          <w:color w:val="auto"/>
          <w:highlight w:val="none"/>
          <w:lang w:eastAsia="zh-CN"/>
        </w:rPr>
        <w:t>）《水利水电工程地质测绘规程》（</w:t>
      </w:r>
      <w:r>
        <w:rPr>
          <w:rFonts w:hAnsi="Times New Roman"/>
          <w:color w:val="auto"/>
          <w:highlight w:val="none"/>
          <w:lang w:eastAsia="zh-CN"/>
        </w:rPr>
        <w:t>SL299-2020</w:t>
      </w:r>
      <w:r>
        <w:rPr>
          <w:rFonts w:hint="eastAsia"/>
          <w:color w:val="auto"/>
          <w:highlight w:val="none"/>
          <w:lang w:eastAsia="zh-CN"/>
        </w:rPr>
        <w:t>）；</w:t>
      </w:r>
    </w:p>
    <w:p w14:paraId="6621C34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12</w:t>
      </w:r>
      <w:r>
        <w:rPr>
          <w:rFonts w:hint="eastAsia"/>
          <w:color w:val="auto"/>
          <w:highlight w:val="none"/>
          <w:lang w:eastAsia="zh-CN"/>
        </w:rPr>
        <w:t>）《水利水电工程岩石试验规程》（</w:t>
      </w:r>
      <w:r>
        <w:rPr>
          <w:rFonts w:hAnsi="Times New Roman"/>
          <w:color w:val="auto"/>
          <w:highlight w:val="none"/>
          <w:lang w:eastAsia="zh-CN"/>
        </w:rPr>
        <w:t>SL/T264-2020</w:t>
      </w:r>
      <w:r>
        <w:rPr>
          <w:rFonts w:hint="eastAsia"/>
          <w:color w:val="auto"/>
          <w:highlight w:val="none"/>
          <w:lang w:eastAsia="zh-CN"/>
        </w:rPr>
        <w:t>）；</w:t>
      </w:r>
    </w:p>
    <w:p w14:paraId="0D220902">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13</w:t>
      </w:r>
      <w:r>
        <w:rPr>
          <w:rFonts w:hint="eastAsia"/>
          <w:color w:val="auto"/>
          <w:highlight w:val="none"/>
          <w:lang w:eastAsia="zh-CN"/>
        </w:rPr>
        <w:t>）《建筑施工场界环境噪声排放标准》（</w:t>
      </w:r>
      <w:r>
        <w:rPr>
          <w:rFonts w:hint="eastAsia" w:hAnsi="Times New Roman"/>
          <w:color w:val="auto"/>
          <w:highlight w:val="none"/>
          <w:lang w:eastAsia="zh-CN"/>
        </w:rPr>
        <w:t xml:space="preserve">GB </w:t>
      </w:r>
      <w:r>
        <w:rPr>
          <w:rFonts w:hAnsi="Times New Roman"/>
          <w:color w:val="auto"/>
          <w:highlight w:val="none"/>
          <w:lang w:eastAsia="zh-CN"/>
        </w:rPr>
        <w:t>12523-2011</w:t>
      </w:r>
      <w:r>
        <w:rPr>
          <w:rFonts w:hint="eastAsia"/>
          <w:color w:val="auto"/>
          <w:highlight w:val="none"/>
          <w:lang w:eastAsia="zh-CN"/>
        </w:rPr>
        <w:t>）；</w:t>
      </w:r>
    </w:p>
    <w:p w14:paraId="667D7BA8">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14</w:t>
      </w:r>
      <w:r>
        <w:rPr>
          <w:rFonts w:hint="eastAsia"/>
          <w:color w:val="auto"/>
          <w:highlight w:val="none"/>
          <w:lang w:eastAsia="zh-CN"/>
        </w:rPr>
        <w:t>）《水电水利工程施工机械安全操作规程反井钻机》（</w:t>
      </w:r>
      <w:r>
        <w:rPr>
          <w:rFonts w:hAnsi="Times New Roman"/>
          <w:color w:val="auto"/>
          <w:highlight w:val="none"/>
          <w:lang w:eastAsia="zh-CN"/>
        </w:rPr>
        <w:t>DL</w:t>
      </w:r>
      <w:r>
        <w:rPr>
          <w:rFonts w:hint="eastAsia" w:hAnsi="Times New Roman"/>
          <w:color w:val="auto"/>
          <w:highlight w:val="none"/>
          <w:lang w:eastAsia="zh-CN"/>
        </w:rPr>
        <w:t>∕</w:t>
      </w:r>
      <w:r>
        <w:rPr>
          <w:rFonts w:hAnsi="Times New Roman"/>
          <w:color w:val="auto"/>
          <w:highlight w:val="none"/>
          <w:lang w:eastAsia="zh-CN"/>
        </w:rPr>
        <w:t>T5701</w:t>
      </w:r>
      <w:r>
        <w:rPr>
          <w:rFonts w:hint="eastAsia"/>
          <w:color w:val="auto"/>
          <w:highlight w:val="none"/>
          <w:lang w:eastAsia="zh-CN"/>
        </w:rPr>
        <w:t>）；</w:t>
      </w:r>
    </w:p>
    <w:p w14:paraId="4ED320C4">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15</w:t>
      </w:r>
      <w:r>
        <w:rPr>
          <w:rFonts w:hint="eastAsia"/>
          <w:color w:val="auto"/>
          <w:highlight w:val="none"/>
          <w:lang w:eastAsia="zh-CN"/>
        </w:rPr>
        <w:t>）《钻井液材料规范》（</w:t>
      </w:r>
      <w:r>
        <w:rPr>
          <w:rFonts w:hint="eastAsia" w:hAnsi="Times New Roman"/>
          <w:color w:val="auto"/>
          <w:highlight w:val="none"/>
          <w:lang w:eastAsia="zh-CN"/>
        </w:rPr>
        <w:t xml:space="preserve">GB </w:t>
      </w:r>
      <w:r>
        <w:rPr>
          <w:rFonts w:hAnsi="Times New Roman"/>
          <w:color w:val="auto"/>
          <w:highlight w:val="none"/>
          <w:lang w:eastAsia="zh-CN"/>
        </w:rPr>
        <w:t>/T5005-2010</w:t>
      </w:r>
      <w:r>
        <w:rPr>
          <w:rFonts w:hint="eastAsia"/>
          <w:color w:val="auto"/>
          <w:highlight w:val="none"/>
          <w:lang w:eastAsia="zh-CN"/>
        </w:rPr>
        <w:t>）；</w:t>
      </w:r>
    </w:p>
    <w:p w14:paraId="537B71E3">
      <w:pPr>
        <w:ind w:firstLine="420"/>
        <w:jc w:val="left"/>
        <w:rPr>
          <w:rFonts w:hAnsi="Times New Roman"/>
          <w:color w:val="auto"/>
          <w:highlight w:val="none"/>
          <w:lang w:eastAsia="zh-CN"/>
        </w:rPr>
      </w:pPr>
      <w:r>
        <w:rPr>
          <w:rFonts w:hint="eastAsia" w:cs="宋体"/>
          <w:color w:val="auto"/>
          <w:highlight w:val="none"/>
          <w:lang w:eastAsia="zh-CN"/>
        </w:rPr>
        <w:t>（</w:t>
      </w:r>
      <w:r>
        <w:rPr>
          <w:rFonts w:hAnsi="Times New Roman"/>
          <w:color w:val="auto"/>
          <w:highlight w:val="none"/>
          <w:lang w:eastAsia="zh-CN"/>
        </w:rPr>
        <w:t>16</w:t>
      </w:r>
      <w:r>
        <w:rPr>
          <w:rFonts w:hint="eastAsia" w:cs="宋体"/>
          <w:color w:val="auto"/>
          <w:highlight w:val="none"/>
          <w:lang w:eastAsia="zh-CN"/>
        </w:rPr>
        <w:t>）《水电水利地下工程地质超前预报技术规程》（</w:t>
      </w:r>
      <w:r>
        <w:rPr>
          <w:rFonts w:hAnsi="Times New Roman"/>
          <w:color w:val="auto"/>
          <w:highlight w:val="none"/>
          <w:lang w:eastAsia="zh-CN"/>
        </w:rPr>
        <w:t>DL/T5783-2019</w:t>
      </w:r>
      <w:r>
        <w:rPr>
          <w:rFonts w:hint="eastAsia" w:cs="宋体"/>
          <w:color w:val="auto"/>
          <w:highlight w:val="none"/>
          <w:lang w:eastAsia="zh-CN"/>
        </w:rPr>
        <w:t>）。</w:t>
      </w:r>
    </w:p>
    <w:p w14:paraId="43EDFA0C">
      <w:pPr>
        <w:pStyle w:val="4"/>
        <w:spacing w:beforeLines="0" w:afterLines="0"/>
        <w:jc w:val="both"/>
        <w:rPr>
          <w:rFonts w:hint="eastAsia" w:cs="宋体"/>
          <w:bCs/>
          <w:color w:val="auto"/>
          <w:szCs w:val="24"/>
          <w:highlight w:val="none"/>
          <w:lang w:eastAsia="zh-CN"/>
        </w:rPr>
      </w:pPr>
      <w:bookmarkStart w:id="1883" w:name="_Toc26800"/>
      <w:bookmarkStart w:id="1884" w:name="_Toc5237"/>
      <w:bookmarkStart w:id="1885" w:name="_Toc4909"/>
      <w:r>
        <w:rPr>
          <w:rFonts w:hint="eastAsia" w:cs="宋体"/>
          <w:bCs/>
          <w:color w:val="auto"/>
          <w:szCs w:val="24"/>
          <w:highlight w:val="none"/>
          <w:lang w:eastAsia="zh-CN"/>
        </w:rPr>
        <w:t>8.2</w:t>
      </w:r>
      <w:r>
        <w:rPr>
          <w:rFonts w:hint="eastAsia" w:cs="宋体"/>
          <w:bCs/>
          <w:color w:val="auto"/>
          <w:szCs w:val="24"/>
          <w:highlight w:val="none"/>
          <w:lang w:val="en-US" w:eastAsia="zh-CN"/>
        </w:rPr>
        <w:t>　</w:t>
      </w:r>
      <w:r>
        <w:rPr>
          <w:rFonts w:hint="eastAsia" w:cs="宋体"/>
          <w:bCs/>
          <w:color w:val="auto"/>
          <w:szCs w:val="24"/>
          <w:highlight w:val="none"/>
          <w:lang w:eastAsia="zh-CN"/>
        </w:rPr>
        <w:t>施工期补充勘探</w:t>
      </w:r>
      <w:bookmarkEnd w:id="1883"/>
      <w:bookmarkEnd w:id="1884"/>
      <w:bookmarkEnd w:id="1885"/>
    </w:p>
    <w:p w14:paraId="4411A0F1">
      <w:pPr>
        <w:pStyle w:val="5"/>
        <w:jc w:val="left"/>
        <w:rPr>
          <w:rFonts w:hAnsi="楷体" w:cs="楷体"/>
          <w:color w:val="auto"/>
          <w:highlight w:val="none"/>
          <w:lang w:eastAsia="zh-CN"/>
        </w:rPr>
      </w:pPr>
      <w:r>
        <w:rPr>
          <w:rFonts w:hAnsi="Times New Roman" w:cs="Times New Roman"/>
          <w:color w:val="auto"/>
          <w:highlight w:val="none"/>
          <w:lang w:eastAsia="zh-CN"/>
        </w:rPr>
        <w:t>8.2.1</w:t>
      </w:r>
      <w:r>
        <w:rPr>
          <w:rFonts w:hint="eastAsia" w:hAnsi="Times New Roman" w:cs="Times New Roman"/>
          <w:color w:val="auto"/>
          <w:highlight w:val="none"/>
          <w:lang w:eastAsia="zh-CN"/>
        </w:rPr>
        <w:t>　</w:t>
      </w:r>
      <w:r>
        <w:rPr>
          <w:rFonts w:hAnsi="楷体" w:cs="楷体"/>
          <w:color w:val="auto"/>
          <w:highlight w:val="none"/>
          <w:lang w:eastAsia="zh-CN"/>
        </w:rPr>
        <w:t>超前勘探</w:t>
      </w:r>
    </w:p>
    <w:p w14:paraId="2F073AFD">
      <w:pPr>
        <w:pStyle w:val="5"/>
        <w:jc w:val="left"/>
        <w:rPr>
          <w:rFonts w:hAnsi="Times New Roman" w:cs="楷体"/>
          <w:color w:val="auto"/>
          <w:highlight w:val="none"/>
          <w:lang w:eastAsia="zh-CN"/>
        </w:rPr>
      </w:pPr>
      <w:r>
        <w:rPr>
          <w:rFonts w:hAnsi="Times New Roman" w:cs="楷体"/>
          <w:color w:val="auto"/>
          <w:highlight w:val="none"/>
          <w:lang w:eastAsia="zh-CN"/>
        </w:rPr>
        <w:t>8.2.1.1</w:t>
      </w:r>
      <w:r>
        <w:rPr>
          <w:rFonts w:hint="eastAsia" w:hAnsi="Times New Roman" w:cs="楷体"/>
          <w:color w:val="auto"/>
          <w:highlight w:val="none"/>
          <w:lang w:eastAsia="zh-CN"/>
        </w:rPr>
        <w:t>　</w:t>
      </w:r>
      <w:r>
        <w:rPr>
          <w:rFonts w:hint="eastAsia" w:hAnsi="楷体" w:cs="楷体"/>
          <w:color w:val="auto"/>
          <w:highlight w:val="none"/>
          <w:lang w:eastAsia="zh-CN"/>
        </w:rPr>
        <w:t>常规施工地质</w:t>
      </w:r>
    </w:p>
    <w:p w14:paraId="60B4AB5D">
      <w:pPr>
        <w:ind w:firstLine="420"/>
        <w:jc w:val="left"/>
        <w:rPr>
          <w:rFonts w:hAnsi="Times New Roman" w:cs="宋体"/>
          <w:color w:val="auto"/>
          <w:highlight w:val="none"/>
          <w:lang w:eastAsia="zh-CN"/>
        </w:rPr>
      </w:pPr>
      <w:r>
        <w:rPr>
          <w:rFonts w:hint="eastAsia" w:cs="宋体"/>
          <w:color w:val="auto"/>
          <w:highlight w:val="none"/>
          <w:lang w:eastAsia="zh-CN"/>
        </w:rPr>
        <w:t>承包人应及时进行地质编录、测绘、取样、试验及测试，以预报未开挖洞段的地质情况，并以书面形式向监理人报出。施工地质工作要求执行现行</w:t>
      </w:r>
      <w:r>
        <w:rPr>
          <w:rFonts w:hAnsi="Times New Roman" w:cs="宋体"/>
          <w:color w:val="auto"/>
          <w:highlight w:val="none"/>
          <w:lang w:eastAsia="zh-CN"/>
        </w:rPr>
        <w:t>SL/T313</w:t>
      </w:r>
      <w:r>
        <w:rPr>
          <w:rFonts w:hint="eastAsia" w:cs="宋体"/>
          <w:color w:val="auto"/>
          <w:highlight w:val="none"/>
          <w:lang w:eastAsia="zh-CN"/>
        </w:rPr>
        <w:t>、</w:t>
      </w:r>
      <w:r>
        <w:rPr>
          <w:rFonts w:hint="eastAsia" w:hAnsi="Times New Roman" w:cs="宋体"/>
          <w:color w:val="auto"/>
          <w:highlight w:val="none"/>
          <w:lang w:eastAsia="zh-CN"/>
        </w:rPr>
        <w:t xml:space="preserve">GB </w:t>
      </w:r>
      <w:r>
        <w:rPr>
          <w:rFonts w:hAnsi="Times New Roman" w:cs="宋体"/>
          <w:color w:val="auto"/>
          <w:highlight w:val="none"/>
          <w:lang w:eastAsia="zh-CN"/>
        </w:rPr>
        <w:t>50487</w:t>
      </w:r>
      <w:r>
        <w:rPr>
          <w:rFonts w:hint="eastAsia" w:cs="宋体"/>
          <w:color w:val="auto"/>
          <w:highlight w:val="none"/>
          <w:lang w:eastAsia="zh-CN"/>
        </w:rPr>
        <w:t>、</w:t>
      </w:r>
      <w:r>
        <w:rPr>
          <w:rFonts w:hAnsi="Times New Roman" w:cs="宋体"/>
          <w:color w:val="auto"/>
          <w:highlight w:val="none"/>
          <w:lang w:eastAsia="zh-CN"/>
        </w:rPr>
        <w:t>SL/T299</w:t>
      </w:r>
      <w:r>
        <w:rPr>
          <w:rFonts w:hint="eastAsia" w:cs="宋体"/>
          <w:color w:val="auto"/>
          <w:highlight w:val="none"/>
          <w:lang w:eastAsia="zh-CN"/>
        </w:rPr>
        <w:t>、</w:t>
      </w:r>
      <w:r>
        <w:rPr>
          <w:rFonts w:hAnsi="Times New Roman" w:cs="宋体"/>
          <w:color w:val="auto"/>
          <w:highlight w:val="none"/>
          <w:lang w:eastAsia="zh-CN"/>
        </w:rPr>
        <w:t>SL/T291.1</w:t>
      </w:r>
      <w:r>
        <w:rPr>
          <w:rFonts w:hint="eastAsia" w:cs="宋体"/>
          <w:color w:val="auto"/>
          <w:highlight w:val="none"/>
          <w:lang w:eastAsia="zh-CN"/>
        </w:rPr>
        <w:t>和</w:t>
      </w:r>
      <w:r>
        <w:rPr>
          <w:rFonts w:hAnsi="Times New Roman" w:cs="宋体"/>
          <w:color w:val="auto"/>
          <w:highlight w:val="none"/>
          <w:lang w:eastAsia="zh-CN"/>
        </w:rPr>
        <w:t>SL/T264</w:t>
      </w:r>
      <w:r>
        <w:rPr>
          <w:rFonts w:hint="eastAsia" w:cs="宋体"/>
          <w:color w:val="auto"/>
          <w:highlight w:val="none"/>
          <w:lang w:eastAsia="zh-CN"/>
        </w:rPr>
        <w:t>等规程规范。</w:t>
      </w:r>
    </w:p>
    <w:p w14:paraId="16163780">
      <w:pPr>
        <w:pStyle w:val="5"/>
        <w:jc w:val="left"/>
        <w:rPr>
          <w:rFonts w:hAnsi="楷体" w:cs="楷体"/>
          <w:color w:val="auto"/>
          <w:highlight w:val="none"/>
          <w:lang w:eastAsia="zh-CN"/>
        </w:rPr>
      </w:pPr>
      <w:r>
        <w:rPr>
          <w:rFonts w:hAnsi="Times New Roman" w:cs="楷体"/>
          <w:color w:val="auto"/>
          <w:highlight w:val="none"/>
          <w:lang w:eastAsia="zh-CN"/>
        </w:rPr>
        <w:t>8.2.1.2</w:t>
      </w:r>
      <w:r>
        <w:rPr>
          <w:rFonts w:hint="eastAsia" w:hAnsi="Times New Roman" w:cs="楷体"/>
          <w:color w:val="auto"/>
          <w:highlight w:val="none"/>
          <w:lang w:eastAsia="zh-CN"/>
        </w:rPr>
        <w:t>　</w:t>
      </w:r>
      <w:r>
        <w:rPr>
          <w:rFonts w:hint="eastAsia" w:hAnsi="楷体" w:cs="楷体"/>
          <w:color w:val="auto"/>
          <w:highlight w:val="none"/>
          <w:lang w:eastAsia="zh-CN"/>
        </w:rPr>
        <w:t>超前地质预报</w:t>
      </w:r>
    </w:p>
    <w:p w14:paraId="2D91A28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w:t>
      </w:r>
      <w:r>
        <w:rPr>
          <w:rFonts w:hint="eastAsia"/>
          <w:color w:val="auto"/>
          <w:highlight w:val="none"/>
          <w:lang w:eastAsia="zh-CN"/>
        </w:rPr>
        <w:t>承包人应按相关规程规范要求进行施工超前地质预报。根据现场实际工程地质和水文地质情况，承包人应提出施工超前地质预报方案，明确超前预报的范围与方法，经申报监理批准后实施。通过超前地质预报以查清地下洞室中尚未开挖岩体的不良地质情况，根据需要及时调整开挖方案和采取有效的安全措施。或</w:t>
      </w:r>
      <w:r>
        <w:rPr>
          <w:rFonts w:cs="宋体"/>
          <w:color w:val="auto"/>
          <w:highlight w:val="none"/>
          <w:lang w:eastAsia="zh-CN"/>
        </w:rPr>
        <w:t>监理人认为有必要时，承包人应按监理人指定的掌子面钻设勘探孔和（或）开挖勘探洞，以查清地下洞室中尚未开挖岩体的地质情况，及时调整掌子面后的开挖断面尺寸和支护措施。</w:t>
      </w:r>
    </w:p>
    <w:p w14:paraId="5456911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）地下洞室超前勘探孔、洞的各项爆破参数应由监理人与承包人共同商定。承包人应将勘探孔、洞的各项施工参数提交监理人批准。</w:t>
      </w:r>
    </w:p>
    <w:p w14:paraId="0383E59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）承包人完成超前勘探后，应立即通知监理人查看超前勘探孔的钻孔岩芯及钻进记录，以及勘探洞的地质测绘资料，并及时将超前勘探资料提交监理人。</w:t>
      </w:r>
    </w:p>
    <w:p w14:paraId="2F06396C">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）开挖过程中，由于超前预报而推迟开挖作业时间，应由监理人与承包人共同商定，给予合理的进度补偿。</w:t>
      </w:r>
    </w:p>
    <w:p w14:paraId="25B54DD7">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5</w:t>
      </w:r>
      <w:r>
        <w:rPr>
          <w:rFonts w:hint="eastAsia"/>
          <w:color w:val="auto"/>
          <w:highlight w:val="none"/>
          <w:lang w:eastAsia="zh-CN"/>
        </w:rPr>
        <w:t>）超前地质预报应重点针对与施工安全和施工参数选择等有关的地质因素进行预报，包括（但不限于）以下主要内容：</w:t>
      </w:r>
    </w:p>
    <w:p w14:paraId="1D40DD75">
      <w:pPr>
        <w:suppressAutoHyphens/>
        <w:ind w:firstLine="420"/>
        <w:jc w:val="left"/>
        <w:rPr>
          <w:color w:val="auto"/>
          <w:highlight w:val="none"/>
          <w:lang w:eastAsia="zh-CN"/>
        </w:rPr>
      </w:pPr>
      <w:r>
        <w:rPr>
          <w:rFonts w:hint="eastAsia"/>
          <w:color w:val="auto"/>
          <w:highlight w:val="none"/>
          <w:lang w:eastAsia="zh-CN"/>
        </w:rPr>
        <w:t>1）掌子面前方岩士体含水情况。</w:t>
      </w:r>
    </w:p>
    <w:p w14:paraId="6602ADC6">
      <w:pPr>
        <w:suppressAutoHyphens/>
        <w:ind w:firstLine="420"/>
        <w:jc w:val="left"/>
        <w:rPr>
          <w:color w:val="auto"/>
          <w:highlight w:val="none"/>
          <w:lang w:eastAsia="zh-CN"/>
        </w:rPr>
      </w:pPr>
      <w:r>
        <w:rPr>
          <w:rFonts w:hint="eastAsia"/>
          <w:color w:val="auto"/>
          <w:highlight w:val="none"/>
          <w:lang w:eastAsia="zh-CN"/>
        </w:rPr>
        <w:t>2）施工掌子面前方有无暗河或暗沟等不良地质体（带）的分布位置。</w:t>
      </w:r>
    </w:p>
    <w:p w14:paraId="53D75F3F">
      <w:pPr>
        <w:suppressAutoHyphens/>
        <w:ind w:firstLine="420"/>
        <w:jc w:val="left"/>
        <w:rPr>
          <w:color w:val="auto"/>
          <w:highlight w:val="none"/>
          <w:lang w:eastAsia="zh-CN"/>
        </w:rPr>
      </w:pPr>
      <w:r>
        <w:rPr>
          <w:rFonts w:hint="eastAsia"/>
          <w:color w:val="auto"/>
          <w:highlight w:val="none"/>
          <w:lang w:eastAsia="zh-CN"/>
        </w:rPr>
        <w:t>3）断层及其影响带和节理密集带的位置、规模和性质。</w:t>
      </w:r>
    </w:p>
    <w:p w14:paraId="193BEF97">
      <w:pPr>
        <w:suppressAutoHyphens/>
        <w:ind w:firstLine="420"/>
        <w:jc w:val="left"/>
        <w:rPr>
          <w:color w:val="auto"/>
          <w:highlight w:val="none"/>
          <w:lang w:eastAsia="zh-CN"/>
        </w:rPr>
      </w:pPr>
      <w:r>
        <w:rPr>
          <w:rFonts w:hint="eastAsia"/>
          <w:color w:val="auto"/>
          <w:highlight w:val="none"/>
          <w:lang w:eastAsia="zh-CN"/>
        </w:rPr>
        <w:t>4）软弱夹层的位置、规模及其性质。</w:t>
      </w:r>
    </w:p>
    <w:p w14:paraId="5072842A">
      <w:pPr>
        <w:suppressAutoHyphens/>
        <w:ind w:firstLine="420"/>
        <w:jc w:val="left"/>
        <w:rPr>
          <w:color w:val="auto"/>
          <w:highlight w:val="none"/>
          <w:lang w:eastAsia="zh-CN"/>
        </w:rPr>
      </w:pPr>
      <w:r>
        <w:rPr>
          <w:rFonts w:hint="eastAsia"/>
          <w:color w:val="auto"/>
          <w:highlight w:val="none"/>
          <w:lang w:eastAsia="zh-CN"/>
        </w:rPr>
        <w:t>5）岩溶发育位置、规模及其性质。</w:t>
      </w:r>
    </w:p>
    <w:p w14:paraId="1A22C4E1">
      <w:pPr>
        <w:suppressAutoHyphens/>
        <w:ind w:firstLine="420"/>
        <w:jc w:val="left"/>
        <w:rPr>
          <w:color w:val="auto"/>
          <w:highlight w:val="none"/>
          <w:lang w:eastAsia="zh-CN"/>
        </w:rPr>
      </w:pPr>
      <w:r>
        <w:rPr>
          <w:rFonts w:hint="eastAsia"/>
          <w:color w:val="auto"/>
          <w:highlight w:val="none"/>
          <w:lang w:eastAsia="zh-CN"/>
        </w:rPr>
        <w:t>6）岩爆的可能性与区域。</w:t>
      </w:r>
    </w:p>
    <w:p w14:paraId="5B06AE0A">
      <w:pPr>
        <w:ind w:firstLine="420"/>
        <w:jc w:val="left"/>
        <w:rPr>
          <w:color w:val="auto"/>
          <w:highlight w:val="none"/>
          <w:lang w:eastAsia="zh-CN"/>
        </w:rPr>
      </w:pPr>
      <w:r>
        <w:rPr>
          <w:rFonts w:hint="eastAsia"/>
          <w:color w:val="auto"/>
          <w:highlight w:val="none"/>
          <w:lang w:eastAsia="zh-CN"/>
        </w:rPr>
        <w:t>7）其他不良地质体位置。</w:t>
      </w:r>
    </w:p>
    <w:p w14:paraId="1CACEAC4">
      <w:pPr>
        <w:ind w:firstLine="420"/>
        <w:jc w:val="left"/>
        <w:rPr>
          <w:color w:val="auto"/>
          <w:highlight w:val="none"/>
          <w:lang w:eastAsia="zh-CN"/>
        </w:rPr>
      </w:pPr>
      <w:r>
        <w:rPr>
          <w:rFonts w:hint="eastAsia"/>
          <w:color w:val="auto"/>
          <w:highlight w:val="none"/>
          <w:lang w:eastAsia="zh-CN"/>
        </w:rPr>
        <w:t>（</w:t>
      </w:r>
      <w:r>
        <w:rPr>
          <w:color w:val="auto"/>
          <w:highlight w:val="none"/>
          <w:lang w:eastAsia="zh-CN"/>
        </w:rPr>
        <w:t>6</w:t>
      </w:r>
      <w:r>
        <w:rPr>
          <w:rFonts w:hint="eastAsia"/>
          <w:color w:val="auto"/>
          <w:highlight w:val="none"/>
          <w:lang w:eastAsia="zh-CN"/>
        </w:rPr>
        <w:t>）发包人另行委托专业技术单位在洞内平行开展专项超前地质预报相关工作，承包人应予积极配合。</w:t>
      </w:r>
    </w:p>
    <w:p w14:paraId="77312CEA">
      <w:pPr>
        <w:ind w:firstLine="420"/>
        <w:jc w:val="left"/>
        <w:rPr>
          <w:rFonts w:hAnsi="Times New Roman" w:cs="宋体"/>
          <w:color w:val="auto"/>
          <w:highlight w:val="none"/>
          <w:lang w:eastAsia="zh-CN"/>
        </w:rPr>
      </w:pPr>
      <w:r>
        <w:rPr>
          <w:rFonts w:hint="eastAsia" w:cs="宋体"/>
          <w:color w:val="auto"/>
          <w:highlight w:val="none"/>
          <w:lang w:eastAsia="zh-CN"/>
        </w:rPr>
        <w:t>承包人所开展超前地质预报工作应执行《水电水利地下工程地质超前预报技术规程》（</w:t>
      </w:r>
      <w:r>
        <w:rPr>
          <w:rFonts w:hAnsi="Times New Roman"/>
          <w:color w:val="auto"/>
          <w:highlight w:val="none"/>
          <w:lang w:eastAsia="zh-CN"/>
        </w:rPr>
        <w:t>DL/T5783-2019</w:t>
      </w:r>
      <w:r>
        <w:rPr>
          <w:rFonts w:hint="eastAsia" w:cs="宋体"/>
          <w:color w:val="auto"/>
          <w:highlight w:val="none"/>
          <w:lang w:eastAsia="zh-CN"/>
        </w:rPr>
        <w:t>）的规定。一切费用均包含在合同价中，发包人不再另行支付。</w:t>
      </w:r>
    </w:p>
    <w:p w14:paraId="0396AEC5">
      <w:pPr>
        <w:pStyle w:val="5"/>
        <w:jc w:val="left"/>
        <w:rPr>
          <w:rFonts w:hAnsi="Times New Roman" w:cs="楷体"/>
          <w:color w:val="auto"/>
          <w:highlight w:val="none"/>
          <w:lang w:eastAsia="zh-CN"/>
        </w:rPr>
      </w:pPr>
      <w:r>
        <w:rPr>
          <w:rFonts w:hAnsi="Times New Roman" w:cs="Times New Roman"/>
          <w:color w:val="auto"/>
          <w:highlight w:val="none"/>
          <w:lang w:eastAsia="zh-CN"/>
        </w:rPr>
        <w:t>8.2.2</w:t>
      </w:r>
      <w:r>
        <w:rPr>
          <w:rFonts w:hint="eastAsia" w:hAnsi="Times New Roman" w:cs="Times New Roman"/>
          <w:color w:val="auto"/>
          <w:highlight w:val="none"/>
          <w:lang w:eastAsia="zh-CN"/>
        </w:rPr>
        <w:t>　</w:t>
      </w:r>
      <w:r>
        <w:rPr>
          <w:rFonts w:hAnsi="楷体" w:cs="楷体"/>
          <w:color w:val="auto"/>
          <w:highlight w:val="none"/>
          <w:lang w:eastAsia="zh-CN"/>
        </w:rPr>
        <w:t>不良地质洞段的补充勘探</w:t>
      </w:r>
    </w:p>
    <w:p w14:paraId="571A5646">
      <w:pPr>
        <w:suppressAutoHyphens/>
        <w:ind w:firstLine="480"/>
        <w:rPr>
          <w:rFonts w:hAnsi="宋体" w:cs="宋体"/>
          <w:strike/>
          <w:color w:val="auto"/>
          <w:szCs w:val="24"/>
          <w:highlight w:val="none"/>
        </w:rPr>
      </w:pPr>
      <w:r>
        <w:rPr>
          <w:rFonts w:cs="宋体"/>
          <w:color w:val="auto"/>
          <w:highlight w:val="none"/>
          <w:lang w:eastAsia="zh-CN"/>
        </w:rPr>
        <w:t>地下工程开挖过程中遇及岩溶发育、岩性软弱、地质构造复杂、地下水丰富等不良地质与成洞困难的洞段时，承包人应按监理人指示进行补充勘探，补充勘探的地质测绘资料提交监理人。</w:t>
      </w:r>
      <w:r>
        <w:rPr>
          <w:rFonts w:hint="eastAsia" w:cs="宋体"/>
          <w:color w:val="auto"/>
          <w:highlight w:val="none"/>
          <w:lang w:eastAsia="zh-CN"/>
        </w:rPr>
        <w:t>补充勘探工作所产生的费用包含在合同价中，发包人不再另行支付。</w:t>
      </w:r>
    </w:p>
    <w:p w14:paraId="2C73DFE8">
      <w:pPr>
        <w:pStyle w:val="4"/>
        <w:spacing w:beforeLines="0" w:afterLines="0"/>
        <w:jc w:val="both"/>
        <w:rPr>
          <w:rFonts w:hint="eastAsia" w:cs="宋体"/>
          <w:bCs/>
          <w:color w:val="auto"/>
          <w:szCs w:val="24"/>
          <w:highlight w:val="none"/>
          <w:lang w:eastAsia="zh-CN"/>
        </w:rPr>
      </w:pPr>
      <w:bookmarkStart w:id="1886" w:name="_Toc18840"/>
      <w:bookmarkStart w:id="1887" w:name="_Toc6197"/>
      <w:bookmarkStart w:id="1888" w:name="_Toc12536"/>
      <w:r>
        <w:rPr>
          <w:rFonts w:hint="eastAsia" w:cs="宋体"/>
          <w:bCs/>
          <w:color w:val="auto"/>
          <w:szCs w:val="24"/>
          <w:highlight w:val="none"/>
          <w:lang w:eastAsia="zh-CN"/>
        </w:rPr>
        <w:t>8.3　地下洞室与洞群的开挖和支护</w:t>
      </w:r>
      <w:bookmarkEnd w:id="1886"/>
      <w:bookmarkEnd w:id="1887"/>
      <w:bookmarkEnd w:id="1888"/>
    </w:p>
    <w:p w14:paraId="4642B861">
      <w:pPr>
        <w:pStyle w:val="5"/>
        <w:jc w:val="left"/>
        <w:rPr>
          <w:rFonts w:hAnsi="Times New Roman" w:cs="楷体"/>
          <w:color w:val="auto"/>
          <w:highlight w:val="none"/>
          <w:lang w:eastAsia="zh-CN"/>
        </w:rPr>
      </w:pPr>
      <w:r>
        <w:rPr>
          <w:rFonts w:hAnsi="Times New Roman" w:cs="Times New Roman"/>
          <w:color w:val="auto"/>
          <w:highlight w:val="none"/>
          <w:lang w:eastAsia="zh-CN"/>
        </w:rPr>
        <w:t>8.3.1</w:t>
      </w:r>
      <w:r>
        <w:rPr>
          <w:rFonts w:hint="eastAsia" w:hAnsi="Times New Roman" w:cs="Times New Roman"/>
          <w:color w:val="auto"/>
          <w:highlight w:val="none"/>
          <w:lang w:eastAsia="zh-CN"/>
        </w:rPr>
        <w:t>　</w:t>
      </w:r>
      <w:r>
        <w:rPr>
          <w:rFonts w:hAnsi="楷体" w:cs="楷体"/>
          <w:color w:val="auto"/>
          <w:highlight w:val="none"/>
          <w:lang w:eastAsia="zh-CN"/>
        </w:rPr>
        <w:t>开挖和支护程序</w:t>
      </w:r>
    </w:p>
    <w:p w14:paraId="54D9E763">
      <w:pPr>
        <w:ind w:firstLine="420"/>
        <w:jc w:val="left"/>
        <w:rPr>
          <w:rFonts w:hAnsi="Times New Roman" w:cs="宋体"/>
          <w:color w:val="auto"/>
          <w:highlight w:val="none"/>
          <w:lang w:eastAsia="zh-CN"/>
        </w:rPr>
      </w:pPr>
      <w:r>
        <w:rPr>
          <w:rFonts w:cs="宋体"/>
          <w:color w:val="auto"/>
          <w:highlight w:val="none"/>
          <w:lang w:eastAsia="zh-CN"/>
        </w:rPr>
        <w:t>对于大型地下洞室和（或）地下洞群的开挖和支护，承包人应按本合同施工图纸和技术条款的要求，以及批准的施工措施计划，进行地下洞室开挖和支护程序设计，并编制地下洞室和（或）地下洞群的开挖支护程序和施工措施提交监理人批准。其内容包括：</w:t>
      </w:r>
    </w:p>
    <w:p w14:paraId="3593A42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）大型地下洞室的分层开挖和支护程序。</w:t>
      </w:r>
    </w:p>
    <w:p w14:paraId="6E5A569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）地下洞群各洞室分区、分部开挖和支护程序。</w:t>
      </w:r>
    </w:p>
    <w:p w14:paraId="5767D00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）地下洞室和地下洞群的支护设计方案及支护结构类型。</w:t>
      </w:r>
    </w:p>
    <w:p w14:paraId="0B90436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）开挖和支护过程的围岩变形和稳定监测计划及其监测设施。</w:t>
      </w:r>
    </w:p>
    <w:p w14:paraId="44C314C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）质量和安全保证措施。</w:t>
      </w:r>
    </w:p>
    <w:p w14:paraId="21800726">
      <w:pPr>
        <w:pStyle w:val="5"/>
        <w:jc w:val="left"/>
        <w:rPr>
          <w:rFonts w:hAnsi="Times New Roman" w:cs="楷体"/>
          <w:color w:val="auto"/>
          <w:highlight w:val="none"/>
          <w:lang w:eastAsia="zh-CN"/>
        </w:rPr>
      </w:pPr>
      <w:r>
        <w:rPr>
          <w:rFonts w:hAnsi="Times New Roman" w:cs="Times New Roman"/>
          <w:color w:val="auto"/>
          <w:highlight w:val="none"/>
          <w:lang w:eastAsia="zh-CN"/>
        </w:rPr>
        <w:t>8.3.2</w:t>
      </w:r>
      <w:r>
        <w:rPr>
          <w:rFonts w:hint="eastAsia" w:hAnsi="Times New Roman" w:cs="Times New Roman"/>
          <w:color w:val="auto"/>
          <w:highlight w:val="none"/>
          <w:lang w:eastAsia="zh-CN"/>
        </w:rPr>
        <w:t>　</w:t>
      </w:r>
      <w:r>
        <w:rPr>
          <w:rFonts w:hAnsi="楷体" w:cs="楷体"/>
          <w:color w:val="auto"/>
          <w:highlight w:val="none"/>
          <w:lang w:eastAsia="zh-CN"/>
        </w:rPr>
        <w:t>及时支护措施</w:t>
      </w:r>
    </w:p>
    <w:p w14:paraId="5CC59726">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）承包人应严格按监理人批准的地下洞室和（或）地下洞群开挖和支护程序，及时进行各洞室的开挖和支护。</w:t>
      </w:r>
    </w:p>
    <w:p w14:paraId="47E388E1">
      <w:pPr>
        <w:ind w:firstLine="420"/>
        <w:jc w:val="left"/>
        <w:rPr>
          <w:rFonts w:hint="eastAsia"/>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）承包人应根据已揭露或预报的围岩地质信息，按经监理人批准的临时支护措施与计划，及时采取必要的临时支护措施，以保证已挖洞段和掌子面的稳定。</w:t>
      </w:r>
    </w:p>
    <w:p w14:paraId="2E336D8A">
      <w:pPr>
        <w:suppressAutoHyphens/>
        <w:ind w:firstLine="420"/>
        <w:jc w:val="left"/>
        <w:rPr>
          <w:rFonts w:cs="宋体"/>
          <w:color w:val="auto"/>
          <w:highlight w:val="none"/>
          <w:lang w:eastAsia="zh-CN"/>
        </w:rPr>
      </w:pPr>
      <w:r>
        <w:rPr>
          <w:rFonts w:cs="宋体"/>
          <w:color w:val="auto"/>
          <w:highlight w:val="none"/>
          <w:lang w:eastAsia="zh-CN"/>
        </w:rPr>
        <w:t>（3）开挖过程中，承包人应按监理人批准的围岩变形和稳定监测计划，立即埋设监测仪器，进行监测和作好监测记录，并应及时将监测记录和分析资料提交监理人。</w:t>
      </w:r>
    </w:p>
    <w:p w14:paraId="6A130111">
      <w:pPr>
        <w:suppressAutoHyphens/>
        <w:ind w:firstLine="420"/>
        <w:jc w:val="left"/>
        <w:rPr>
          <w:color w:val="auto"/>
          <w:highlight w:val="none"/>
          <w:lang w:eastAsia="zh-CN"/>
        </w:rPr>
      </w:pPr>
      <w:r>
        <w:rPr>
          <w:rFonts w:hint="eastAsia"/>
          <w:color w:val="auto"/>
          <w:highlight w:val="none"/>
          <w:lang w:eastAsia="zh-CN"/>
        </w:rPr>
        <w:t>（4）在遭遇涉及施工安全的紧急情况时，承包人需立即按应急预案措施进行处理，防止情况恶化，同时报告监理人，并按监理人指示进行后继处理。</w:t>
      </w:r>
    </w:p>
    <w:p w14:paraId="3485C74A">
      <w:pPr>
        <w:pStyle w:val="5"/>
        <w:jc w:val="left"/>
        <w:rPr>
          <w:color w:val="auto"/>
          <w:highlight w:val="none"/>
          <w:lang w:eastAsia="zh-CN"/>
        </w:rPr>
      </w:pPr>
      <w:r>
        <w:rPr>
          <w:rFonts w:hAnsi="Times New Roman" w:cs="Times New Roman"/>
          <w:color w:val="auto"/>
          <w:highlight w:val="none"/>
          <w:lang w:eastAsia="zh-CN"/>
        </w:rPr>
        <w:t>8.3.3</w:t>
      </w:r>
      <w:r>
        <w:rPr>
          <w:rFonts w:hint="eastAsia" w:hAnsi="Times New Roman" w:cs="Times New Roman"/>
          <w:color w:val="auto"/>
          <w:highlight w:val="none"/>
          <w:lang w:eastAsia="zh-CN"/>
        </w:rPr>
        <w:t>　</w:t>
      </w:r>
      <w:r>
        <w:rPr>
          <w:rFonts w:hAnsi="楷体" w:cs="楷体"/>
          <w:color w:val="auto"/>
          <w:highlight w:val="none"/>
          <w:lang w:eastAsia="zh-CN"/>
        </w:rPr>
        <w:t>施工期监测和支护参数的调整</w:t>
      </w:r>
    </w:p>
    <w:p w14:paraId="510937A8">
      <w:pPr>
        <w:suppressAutoHyphens/>
        <w:ind w:firstLine="420"/>
        <w:jc w:val="left"/>
        <w:rPr>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w:t>
      </w:r>
      <w:r>
        <w:rPr>
          <w:rFonts w:hint="eastAsia"/>
          <w:color w:val="auto"/>
          <w:highlight w:val="none"/>
          <w:lang w:eastAsia="zh-CN"/>
        </w:rPr>
        <w:t>承包人应根据施工需要和相关规范，实施施工安全监测。</w:t>
      </w:r>
    </w:p>
    <w:p w14:paraId="17E03C40">
      <w:pPr>
        <w:ind w:firstLine="420"/>
        <w:jc w:val="left"/>
        <w:rPr>
          <w:rFonts w:cs="宋体"/>
          <w:color w:val="auto"/>
          <w:highlight w:val="none"/>
          <w:lang w:eastAsia="zh-CN"/>
        </w:rPr>
      </w:pPr>
      <w:r>
        <w:rPr>
          <w:rFonts w:cs="宋体"/>
          <w:color w:val="auto"/>
          <w:highlight w:val="none"/>
          <w:lang w:eastAsia="zh-CN"/>
        </w:rPr>
        <w:t>（2）承包人应根据施工需要和相关规范，实施爆破后围岩松动圈检测。</w:t>
      </w:r>
    </w:p>
    <w:p w14:paraId="7E2ED682">
      <w:pPr>
        <w:ind w:firstLine="420"/>
        <w:jc w:val="left"/>
        <w:rPr>
          <w:rFonts w:cs="宋体"/>
          <w:color w:val="auto"/>
          <w:highlight w:val="none"/>
          <w:lang w:eastAsia="zh-CN"/>
        </w:rPr>
      </w:pPr>
      <w:r>
        <w:rPr>
          <w:rFonts w:cs="宋体"/>
          <w:color w:val="auto"/>
          <w:highlight w:val="none"/>
          <w:lang w:eastAsia="zh-CN"/>
        </w:rPr>
        <w:t>（3）承包人应按监理人指示，根据围岩变形和稳定的监测成果，及时调整作业程序和支护参数，确保地下洞室和（或）地下洞群开挖和支护的质量和施工安全。</w:t>
      </w:r>
    </w:p>
    <w:p w14:paraId="427AA24E">
      <w:pPr>
        <w:ind w:firstLine="420"/>
        <w:jc w:val="left"/>
        <w:rPr>
          <w:rFonts w:cs="宋体"/>
          <w:color w:val="auto"/>
          <w:highlight w:val="none"/>
          <w:lang w:eastAsia="zh-CN"/>
        </w:rPr>
      </w:pPr>
      <w:r>
        <w:rPr>
          <w:rFonts w:cs="宋体"/>
          <w:color w:val="auto"/>
          <w:highlight w:val="none"/>
          <w:lang w:eastAsia="zh-CN"/>
        </w:rPr>
        <w:t>（4）开挖过程中，若承包人根据施工需要，要求变更已批准的开挖和支护程序，应编制专项技术措施，提交监理人批准。未经监理人批准，承包人不得擅自变更。</w:t>
      </w:r>
    </w:p>
    <w:p w14:paraId="2A4433B8">
      <w:pPr>
        <w:pStyle w:val="4"/>
        <w:spacing w:beforeLines="0" w:afterLines="0"/>
        <w:jc w:val="both"/>
        <w:rPr>
          <w:rFonts w:hint="eastAsia" w:cs="宋体"/>
          <w:bCs/>
          <w:color w:val="auto"/>
          <w:szCs w:val="24"/>
          <w:highlight w:val="none"/>
          <w:lang w:eastAsia="zh-CN"/>
        </w:rPr>
      </w:pPr>
      <w:bookmarkStart w:id="1889" w:name="_Toc10234"/>
      <w:bookmarkStart w:id="1890" w:name="_Toc20931"/>
      <w:bookmarkStart w:id="1891" w:name="_Toc786"/>
      <w:r>
        <w:rPr>
          <w:rFonts w:hint="eastAsia" w:cs="宋体"/>
          <w:bCs/>
          <w:color w:val="auto"/>
          <w:szCs w:val="24"/>
          <w:highlight w:val="none"/>
          <w:lang w:eastAsia="zh-CN"/>
        </w:rPr>
        <w:t>8.4　钻爆段施工洞室开挖</w:t>
      </w:r>
      <w:bookmarkEnd w:id="1889"/>
      <w:bookmarkEnd w:id="1890"/>
      <w:bookmarkEnd w:id="1891"/>
    </w:p>
    <w:p w14:paraId="4D7A56F3">
      <w:pPr>
        <w:pStyle w:val="5"/>
        <w:jc w:val="left"/>
        <w:rPr>
          <w:color w:val="auto"/>
          <w:highlight w:val="none"/>
          <w:lang w:eastAsia="zh-CN"/>
        </w:rPr>
      </w:pPr>
      <w:r>
        <w:rPr>
          <w:color w:val="auto"/>
          <w:highlight w:val="none"/>
          <w:lang w:eastAsia="zh-CN"/>
        </w:rPr>
        <w:t>8.4.1</w:t>
      </w:r>
      <w:r>
        <w:rPr>
          <w:rFonts w:hint="eastAsia"/>
          <w:color w:val="auto"/>
          <w:highlight w:val="none"/>
          <w:lang w:eastAsia="zh-CN"/>
        </w:rPr>
        <w:t>　钻孔与爆破</w:t>
      </w:r>
    </w:p>
    <w:p w14:paraId="3972A7EC">
      <w:pPr>
        <w:pStyle w:val="5"/>
        <w:jc w:val="left"/>
        <w:rPr>
          <w:rFonts w:hAnsi="Times New Roman" w:cs="楷体"/>
          <w:color w:val="auto"/>
          <w:highlight w:val="none"/>
          <w:lang w:eastAsia="zh-CN"/>
        </w:rPr>
      </w:pPr>
      <w:r>
        <w:rPr>
          <w:color w:val="auto"/>
          <w:highlight w:val="none"/>
          <w:lang w:eastAsia="zh-CN"/>
        </w:rPr>
        <w:t>8.4.1.1</w:t>
      </w:r>
      <w:r>
        <w:rPr>
          <w:rFonts w:hint="eastAsia"/>
          <w:color w:val="auto"/>
          <w:highlight w:val="none"/>
          <w:lang w:eastAsia="zh-CN"/>
        </w:rPr>
        <w:t>　</w:t>
      </w:r>
      <w:r>
        <w:rPr>
          <w:color w:val="auto"/>
          <w:highlight w:val="none"/>
          <w:lang w:eastAsia="zh-CN"/>
        </w:rPr>
        <w:t>钻孔</w:t>
      </w:r>
      <w:r>
        <w:rPr>
          <w:rFonts w:hAnsi="楷体" w:cs="楷体"/>
          <w:color w:val="auto"/>
          <w:highlight w:val="none"/>
          <w:lang w:eastAsia="zh-CN"/>
        </w:rPr>
        <w:t>和爆破措施</w:t>
      </w:r>
    </w:p>
    <w:p w14:paraId="4D98308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）承包人进行任何洞室的钻孔爆破作业，必须按本技术条款第</w:t>
      </w:r>
      <w:r>
        <w:rPr>
          <w:rFonts w:hAnsi="Times New Roman" w:cs="Times New Roman"/>
          <w:color w:val="auto"/>
          <w:highlight w:val="none"/>
          <w:lang w:eastAsia="zh-CN"/>
        </w:rPr>
        <w:t>8.1.3</w:t>
      </w:r>
      <w:r>
        <w:rPr>
          <w:rFonts w:cs="宋体"/>
          <w:color w:val="auto"/>
          <w:highlight w:val="none"/>
          <w:lang w:eastAsia="zh-CN"/>
        </w:rPr>
        <w:t>项的规定，向监理人提交钻孔和爆破措施，经监理人批准后方可进行施工。</w:t>
      </w:r>
    </w:p>
    <w:p w14:paraId="6021D05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）在开挖过程中，承包人应根据地质情况的变化及时调整钻孔和爆破参数，以保证爆破后的开挖面达到设计要求。调整的钻孔爆破参数，应经监理人批准。</w:t>
      </w:r>
    </w:p>
    <w:p w14:paraId="39BAF9C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）在主洞钻爆法施工段承包人应配备凿岩台车。</w:t>
      </w:r>
    </w:p>
    <w:p w14:paraId="5CDADC4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w:t>
      </w:r>
      <w:r>
        <w:rPr>
          <w:rFonts w:hAnsi="Times New Roman"/>
          <w:color w:val="auto"/>
          <w:highlight w:val="none"/>
          <w:lang w:eastAsia="zh-CN"/>
        </w:rPr>
        <w:t>IV</w:t>
      </w:r>
      <w:r>
        <w:rPr>
          <w:rFonts w:hint="eastAsia"/>
          <w:color w:val="auto"/>
          <w:highlight w:val="none"/>
          <w:lang w:eastAsia="zh-CN"/>
        </w:rPr>
        <w:t>、</w:t>
      </w:r>
      <w:r>
        <w:rPr>
          <w:rFonts w:hAnsi="Times New Roman"/>
          <w:color w:val="auto"/>
          <w:highlight w:val="none"/>
          <w:lang w:eastAsia="zh-CN"/>
        </w:rPr>
        <w:t>V</w:t>
      </w:r>
      <w:r>
        <w:rPr>
          <w:rFonts w:hint="eastAsia"/>
          <w:color w:val="auto"/>
          <w:highlight w:val="none"/>
          <w:lang w:eastAsia="zh-CN"/>
        </w:rPr>
        <w:t>类围岩开挖应考虑预留变形量。</w:t>
      </w:r>
    </w:p>
    <w:p w14:paraId="354F466B">
      <w:pPr>
        <w:pStyle w:val="5"/>
        <w:jc w:val="left"/>
        <w:rPr>
          <w:rFonts w:hAnsi="Times New Roman" w:cs="楷体"/>
          <w:color w:val="auto"/>
          <w:highlight w:val="none"/>
          <w:lang w:eastAsia="zh-CN"/>
        </w:rPr>
      </w:pPr>
      <w:r>
        <w:rPr>
          <w:rFonts w:hAnsi="Times New Roman" w:cs="Times New Roman"/>
          <w:color w:val="auto"/>
          <w:highlight w:val="none"/>
          <w:lang w:eastAsia="zh-CN"/>
        </w:rPr>
        <w:t>8.4.1.2</w:t>
      </w:r>
      <w:r>
        <w:rPr>
          <w:rFonts w:hint="eastAsia" w:hAnsi="Times New Roman" w:cs="Times New Roman"/>
          <w:color w:val="auto"/>
          <w:highlight w:val="none"/>
          <w:lang w:eastAsia="zh-CN"/>
        </w:rPr>
        <w:t>　</w:t>
      </w:r>
      <w:r>
        <w:rPr>
          <w:rFonts w:hAnsi="楷体" w:cs="楷体"/>
          <w:color w:val="auto"/>
          <w:highlight w:val="none"/>
          <w:lang w:eastAsia="zh-CN"/>
        </w:rPr>
        <w:t>钻孔爆破试验</w:t>
      </w:r>
    </w:p>
    <w:p w14:paraId="29A697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）承包人在正式开始洞室开挖作业前，应按监理人批准的开挖和爆破措施，进行必要的现场爆破试验</w:t>
      </w:r>
      <w:r>
        <w:rPr>
          <w:rFonts w:hint="eastAsia"/>
          <w:color w:val="auto"/>
          <w:highlight w:val="none"/>
          <w:lang w:eastAsia="zh-CN"/>
        </w:rPr>
        <w:t>（含预裂爆破和光面爆破），试验和监测内容应符合</w:t>
      </w:r>
      <w:r>
        <w:rPr>
          <w:color w:val="auto"/>
          <w:highlight w:val="none"/>
          <w:lang w:eastAsia="zh-CN"/>
        </w:rPr>
        <w:t>SL378</w:t>
      </w:r>
      <w:r>
        <w:rPr>
          <w:rFonts w:hint="eastAsia"/>
          <w:color w:val="auto"/>
          <w:highlight w:val="none"/>
          <w:lang w:eastAsia="zh-CN"/>
        </w:rPr>
        <w:t>第</w:t>
      </w:r>
      <w:r>
        <w:rPr>
          <w:color w:val="auto"/>
          <w:highlight w:val="none"/>
          <w:lang w:eastAsia="zh-CN"/>
        </w:rPr>
        <w:t>6.3</w:t>
      </w:r>
      <w:r>
        <w:rPr>
          <w:rFonts w:hint="eastAsia"/>
          <w:color w:val="auto"/>
          <w:highlight w:val="none"/>
          <w:lang w:eastAsia="zh-CN"/>
        </w:rPr>
        <w:t>节规定</w:t>
      </w:r>
      <w:r>
        <w:rPr>
          <w:rFonts w:cs="宋体"/>
          <w:color w:val="auto"/>
          <w:highlight w:val="none"/>
          <w:lang w:eastAsia="zh-CN"/>
        </w:rPr>
        <w:t>，爆破参数的试验记录应提交监理人</w:t>
      </w:r>
      <w:r>
        <w:rPr>
          <w:rFonts w:hint="eastAsia" w:cs="宋体"/>
          <w:color w:val="auto"/>
          <w:highlight w:val="none"/>
          <w:lang w:eastAsia="zh-CN"/>
        </w:rPr>
        <w:t>。</w:t>
      </w:r>
      <w:r>
        <w:rPr>
          <w:rFonts w:hint="eastAsia"/>
          <w:color w:val="auto"/>
          <w:highlight w:val="none"/>
          <w:lang w:eastAsia="zh-CN"/>
        </w:rPr>
        <w:t>下穿铁路、公路段的控制爆破试验成果应取得相关主管部门认可</w:t>
      </w:r>
      <w:r>
        <w:rPr>
          <w:rFonts w:cs="宋体"/>
          <w:color w:val="auto"/>
          <w:highlight w:val="none"/>
          <w:lang w:eastAsia="zh-CN"/>
        </w:rPr>
        <w:t>。</w:t>
      </w:r>
    </w:p>
    <w:p w14:paraId="15828EE7">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）地下洞室爆破前，承包人应按《水工建筑物地下开挖工程施工规范》（</w:t>
      </w:r>
      <w:r>
        <w:rPr>
          <w:rFonts w:hAnsi="Times New Roman" w:cs="Times New Roman"/>
          <w:color w:val="auto"/>
          <w:highlight w:val="none"/>
          <w:lang w:eastAsia="zh-CN"/>
        </w:rPr>
        <w:t>SL</w:t>
      </w:r>
    </w:p>
    <w:p w14:paraId="64E77141">
      <w:pPr>
        <w:ind w:firstLine="420"/>
        <w:jc w:val="left"/>
        <w:rPr>
          <w:rFonts w:cs="宋体"/>
          <w:color w:val="auto"/>
          <w:highlight w:val="none"/>
          <w:lang w:eastAsia="zh-CN"/>
        </w:rPr>
      </w:pPr>
      <w:r>
        <w:rPr>
          <w:rFonts w:hAnsi="Times New Roman" w:cs="Times New Roman"/>
          <w:color w:val="auto"/>
          <w:highlight w:val="none"/>
          <w:lang w:eastAsia="zh-CN"/>
        </w:rPr>
        <w:t>378—2007</w:t>
      </w:r>
      <w:r>
        <w:rPr>
          <w:rFonts w:cs="宋体"/>
          <w:color w:val="auto"/>
          <w:highlight w:val="none"/>
          <w:lang w:eastAsia="zh-CN"/>
        </w:rPr>
        <w:t>）第</w:t>
      </w:r>
      <w:r>
        <w:rPr>
          <w:rFonts w:hAnsi="Times New Roman" w:cs="Times New Roman"/>
          <w:color w:val="auto"/>
          <w:highlight w:val="none"/>
          <w:lang w:eastAsia="zh-CN"/>
        </w:rPr>
        <w:t>6.1.4</w:t>
      </w:r>
      <w:r>
        <w:rPr>
          <w:rFonts w:cs="宋体"/>
          <w:color w:val="auto"/>
          <w:highlight w:val="none"/>
          <w:lang w:eastAsia="zh-CN"/>
        </w:rPr>
        <w:t>条的规定，负责进行专门的钻孔爆破设计提交监理人批准。</w:t>
      </w:r>
      <w:r>
        <w:rPr>
          <w:rFonts w:hint="eastAsia" w:cs="宋体"/>
          <w:color w:val="auto"/>
          <w:highlight w:val="none"/>
          <w:lang w:eastAsia="zh-CN"/>
        </w:rPr>
        <w:t>其内容包括（但不限于）：</w:t>
      </w:r>
    </w:p>
    <w:p w14:paraId="659051EB">
      <w:pPr>
        <w:ind w:firstLine="420"/>
        <w:jc w:val="left"/>
        <w:rPr>
          <w:rFonts w:cs="宋体"/>
          <w:color w:val="auto"/>
          <w:highlight w:val="none"/>
          <w:lang w:eastAsia="zh-CN"/>
        </w:rPr>
      </w:pPr>
      <w:r>
        <w:rPr>
          <w:rFonts w:cs="宋体"/>
          <w:color w:val="auto"/>
          <w:highlight w:val="none"/>
          <w:lang w:eastAsia="zh-CN"/>
        </w:rPr>
        <w:t>1</w:t>
      </w:r>
      <w:r>
        <w:rPr>
          <w:rFonts w:hint="eastAsia" w:cs="宋体"/>
          <w:color w:val="auto"/>
          <w:highlight w:val="none"/>
          <w:lang w:eastAsia="zh-CN"/>
        </w:rPr>
        <w:t>）掏槽方式；</w:t>
      </w:r>
    </w:p>
    <w:p w14:paraId="5F82BB15">
      <w:pPr>
        <w:ind w:firstLine="420"/>
        <w:jc w:val="left"/>
        <w:rPr>
          <w:rFonts w:cs="宋体"/>
          <w:color w:val="auto"/>
          <w:highlight w:val="none"/>
          <w:lang w:eastAsia="zh-CN"/>
        </w:rPr>
      </w:pPr>
      <w:r>
        <w:rPr>
          <w:rFonts w:cs="宋体"/>
          <w:color w:val="auto"/>
          <w:highlight w:val="none"/>
          <w:lang w:eastAsia="zh-CN"/>
        </w:rPr>
        <w:t>2</w:t>
      </w:r>
      <w:r>
        <w:rPr>
          <w:rFonts w:hint="eastAsia" w:cs="宋体"/>
          <w:color w:val="auto"/>
          <w:highlight w:val="none"/>
          <w:lang w:eastAsia="zh-CN"/>
        </w:rPr>
        <w:t>）炮孔布置、深度及角度；</w:t>
      </w:r>
    </w:p>
    <w:p w14:paraId="18BF619E">
      <w:pPr>
        <w:ind w:firstLine="420"/>
        <w:jc w:val="left"/>
        <w:rPr>
          <w:rFonts w:cs="宋体"/>
          <w:color w:val="auto"/>
          <w:highlight w:val="none"/>
          <w:lang w:eastAsia="zh-CN"/>
        </w:rPr>
      </w:pPr>
      <w:r>
        <w:rPr>
          <w:rFonts w:cs="宋体"/>
          <w:color w:val="auto"/>
          <w:highlight w:val="none"/>
          <w:lang w:eastAsia="zh-CN"/>
        </w:rPr>
        <w:t>3</w:t>
      </w:r>
      <w:r>
        <w:rPr>
          <w:rFonts w:hint="eastAsia" w:cs="宋体"/>
          <w:color w:val="auto"/>
          <w:highlight w:val="none"/>
          <w:lang w:eastAsia="zh-CN"/>
        </w:rPr>
        <w:t>）装药量；</w:t>
      </w:r>
    </w:p>
    <w:p w14:paraId="1F4D48B8">
      <w:pPr>
        <w:ind w:firstLine="420"/>
        <w:jc w:val="left"/>
        <w:rPr>
          <w:rFonts w:cs="宋体"/>
          <w:color w:val="auto"/>
          <w:highlight w:val="none"/>
          <w:lang w:eastAsia="zh-CN"/>
        </w:rPr>
      </w:pPr>
      <w:r>
        <w:rPr>
          <w:rFonts w:cs="宋体"/>
          <w:color w:val="auto"/>
          <w:highlight w:val="none"/>
          <w:lang w:eastAsia="zh-CN"/>
        </w:rPr>
        <w:t>4</w:t>
      </w:r>
      <w:r>
        <w:rPr>
          <w:rFonts w:hint="eastAsia" w:cs="宋体"/>
          <w:color w:val="auto"/>
          <w:highlight w:val="none"/>
          <w:lang w:eastAsia="zh-CN"/>
        </w:rPr>
        <w:t>）堵塞方式；</w:t>
      </w:r>
    </w:p>
    <w:p w14:paraId="14C63250">
      <w:pPr>
        <w:ind w:firstLine="420"/>
        <w:jc w:val="left"/>
        <w:rPr>
          <w:rFonts w:cs="宋体"/>
          <w:color w:val="auto"/>
          <w:highlight w:val="none"/>
          <w:lang w:eastAsia="zh-CN"/>
        </w:rPr>
      </w:pPr>
      <w:r>
        <w:rPr>
          <w:rFonts w:cs="宋体"/>
          <w:color w:val="auto"/>
          <w:highlight w:val="none"/>
          <w:lang w:eastAsia="zh-CN"/>
        </w:rPr>
        <w:t>5</w:t>
      </w:r>
      <w:r>
        <w:rPr>
          <w:rFonts w:hint="eastAsia" w:cs="宋体"/>
          <w:color w:val="auto"/>
          <w:highlight w:val="none"/>
          <w:lang w:eastAsia="zh-CN"/>
        </w:rPr>
        <w:t>）起爆方式及顺序等；</w:t>
      </w:r>
    </w:p>
    <w:p w14:paraId="7B27FFA7">
      <w:pPr>
        <w:ind w:firstLine="420"/>
        <w:jc w:val="left"/>
        <w:rPr>
          <w:rFonts w:cs="宋体"/>
          <w:color w:val="auto"/>
          <w:highlight w:val="none"/>
          <w:lang w:eastAsia="zh-CN"/>
        </w:rPr>
      </w:pPr>
      <w:r>
        <w:rPr>
          <w:rFonts w:cs="宋体"/>
          <w:color w:val="auto"/>
          <w:highlight w:val="none"/>
          <w:lang w:eastAsia="zh-CN"/>
        </w:rPr>
        <w:t>6</w:t>
      </w:r>
      <w:r>
        <w:rPr>
          <w:rFonts w:hint="eastAsia" w:cs="宋体"/>
          <w:color w:val="auto"/>
          <w:highlight w:val="none"/>
          <w:lang w:eastAsia="zh-CN"/>
        </w:rPr>
        <w:t>）对邻近重要建（构）筑物的振动控制计算及措施；</w:t>
      </w:r>
    </w:p>
    <w:p w14:paraId="6BFE8790">
      <w:pPr>
        <w:ind w:firstLine="420"/>
        <w:jc w:val="left"/>
        <w:rPr>
          <w:rFonts w:hAnsi="Times New Roman" w:cs="宋体"/>
          <w:color w:val="auto"/>
          <w:highlight w:val="none"/>
          <w:lang w:eastAsia="zh-CN"/>
        </w:rPr>
      </w:pPr>
      <w:r>
        <w:rPr>
          <w:rFonts w:cs="宋体"/>
          <w:color w:val="auto"/>
          <w:highlight w:val="none"/>
          <w:lang w:eastAsia="zh-CN"/>
        </w:rPr>
        <w:t>7</w:t>
      </w:r>
      <w:r>
        <w:rPr>
          <w:rFonts w:hint="eastAsia" w:cs="宋体"/>
          <w:color w:val="auto"/>
          <w:highlight w:val="none"/>
          <w:lang w:eastAsia="zh-CN"/>
        </w:rPr>
        <w:t>）炮孔布置图。</w:t>
      </w:r>
    </w:p>
    <w:p w14:paraId="5C56BFC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）地下洞室的开挖应选用岩类相似的试验洞段进行光面爆破和预裂爆破试验，试验采用的参数可参照《水工建筑物地下开挖工程施工规范》（</w:t>
      </w:r>
      <w:r>
        <w:rPr>
          <w:rFonts w:hAnsi="Times New Roman" w:cs="Times New Roman"/>
          <w:color w:val="auto"/>
          <w:highlight w:val="none"/>
          <w:lang w:eastAsia="zh-CN"/>
        </w:rPr>
        <w:t>SL378—2007</w:t>
      </w:r>
      <w:r>
        <w:rPr>
          <w:rFonts w:cs="宋体"/>
          <w:color w:val="auto"/>
          <w:highlight w:val="none"/>
          <w:lang w:eastAsia="zh-CN"/>
        </w:rPr>
        <w:t>）附录</w:t>
      </w:r>
      <w:r>
        <w:rPr>
          <w:rFonts w:hAnsi="Times New Roman" w:cs="Times New Roman"/>
          <w:color w:val="auto"/>
          <w:highlight w:val="none"/>
          <w:lang w:eastAsia="zh-CN"/>
        </w:rPr>
        <w:t>D</w:t>
      </w:r>
      <w:r>
        <w:rPr>
          <w:rFonts w:cs="宋体"/>
          <w:color w:val="auto"/>
          <w:highlight w:val="none"/>
          <w:lang w:eastAsia="zh-CN"/>
        </w:rPr>
        <w:t>选用。试验成果应提交监理人。爆破试验与监测的内容应符合《水工建筑物地下开挖工程施工规范》（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6.3</w:t>
      </w:r>
      <w:r>
        <w:rPr>
          <w:rFonts w:cs="宋体"/>
          <w:color w:val="auto"/>
          <w:highlight w:val="none"/>
          <w:lang w:eastAsia="zh-CN"/>
        </w:rPr>
        <w:t>节规定。</w:t>
      </w:r>
    </w:p>
    <w:p w14:paraId="0D4CB52A">
      <w:pPr>
        <w:pStyle w:val="5"/>
        <w:jc w:val="left"/>
        <w:rPr>
          <w:rFonts w:hAnsi="Times New Roman" w:cs="楷体"/>
          <w:color w:val="auto"/>
          <w:highlight w:val="none"/>
          <w:lang w:eastAsia="zh-CN"/>
        </w:rPr>
      </w:pPr>
      <w:r>
        <w:rPr>
          <w:rFonts w:hAnsi="Times New Roman" w:cs="Times New Roman"/>
          <w:color w:val="auto"/>
          <w:highlight w:val="none"/>
          <w:lang w:eastAsia="zh-CN"/>
        </w:rPr>
        <w:t>8.4.1.3</w:t>
      </w:r>
      <w:r>
        <w:rPr>
          <w:rFonts w:hint="eastAsia" w:hAnsi="Times New Roman" w:cs="Times New Roman"/>
          <w:color w:val="auto"/>
          <w:highlight w:val="none"/>
          <w:lang w:eastAsia="zh-CN"/>
        </w:rPr>
        <w:t>　</w:t>
      </w:r>
      <w:r>
        <w:rPr>
          <w:rFonts w:hAnsi="楷体" w:cs="楷体"/>
          <w:color w:val="auto"/>
          <w:highlight w:val="none"/>
          <w:lang w:eastAsia="zh-CN"/>
        </w:rPr>
        <w:t>钻孔爆破施工</w:t>
      </w:r>
    </w:p>
    <w:p w14:paraId="5C65856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）地下工程的钻孔和爆破作业，应由经考核合格的炮工负责实施。</w:t>
      </w:r>
    </w:p>
    <w:p w14:paraId="45DF64CD">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）钻孔的测定和开孔质量应符合《水工建筑物地下开挖工程施工规范》（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6.2.3</w:t>
      </w:r>
      <w:r>
        <w:rPr>
          <w:rFonts w:cs="宋体"/>
          <w:color w:val="auto"/>
          <w:highlight w:val="none"/>
          <w:lang w:eastAsia="zh-CN"/>
        </w:rPr>
        <w:t>条的规定。</w:t>
      </w:r>
    </w:p>
    <w:p w14:paraId="5C6952AC">
      <w:pPr>
        <w:pStyle w:val="7"/>
        <w:ind w:firstLine="420"/>
        <w:jc w:val="left"/>
        <w:rPr>
          <w:color w:val="auto"/>
          <w:highlight w:val="none"/>
          <w:lang w:eastAsia="zh-CN"/>
        </w:rPr>
      </w:pPr>
      <w:r>
        <w:rPr>
          <w:rFonts w:hint="eastAsia"/>
          <w:color w:val="auto"/>
          <w:highlight w:val="none"/>
          <w:lang w:eastAsia="zh-CN"/>
        </w:rPr>
        <w:t>1）钻孔孔位应根据测量定出的中线、腰线及孔位轮廓线确定。</w:t>
      </w:r>
    </w:p>
    <w:p w14:paraId="796AC408">
      <w:pPr>
        <w:pStyle w:val="7"/>
        <w:ind w:firstLine="420"/>
        <w:jc w:val="left"/>
        <w:rPr>
          <w:color w:val="auto"/>
          <w:highlight w:val="none"/>
          <w:lang w:eastAsia="zh-CN"/>
        </w:rPr>
      </w:pPr>
      <w:r>
        <w:rPr>
          <w:rFonts w:hint="eastAsia"/>
          <w:color w:val="auto"/>
          <w:highlight w:val="none"/>
          <w:lang w:eastAsia="zh-CN"/>
        </w:rPr>
        <w:t>2）周边孔沿轮廓线调整的范围和掏槽孔的孔位偏差不宜大于±50mm，其他炮孔的孔位偏差不宜大于±100mm。</w:t>
      </w:r>
    </w:p>
    <w:p w14:paraId="7242F781">
      <w:pPr>
        <w:pStyle w:val="7"/>
        <w:ind w:firstLine="420"/>
        <w:jc w:val="left"/>
        <w:rPr>
          <w:color w:val="auto"/>
          <w:highlight w:val="none"/>
          <w:lang w:eastAsia="zh-CN"/>
        </w:rPr>
      </w:pPr>
      <w:r>
        <w:rPr>
          <w:rFonts w:hint="eastAsia"/>
          <w:color w:val="auto"/>
          <w:highlight w:val="none"/>
          <w:lang w:eastAsia="zh-CN"/>
        </w:rPr>
        <w:t>3）炮孔的孔底应落在爆破图所规定的平面上。</w:t>
      </w:r>
    </w:p>
    <w:p w14:paraId="25D03717">
      <w:pPr>
        <w:pStyle w:val="7"/>
        <w:ind w:firstLine="420"/>
        <w:jc w:val="left"/>
        <w:rPr>
          <w:color w:val="auto"/>
          <w:highlight w:val="none"/>
          <w:lang w:eastAsia="zh-CN"/>
        </w:rPr>
      </w:pPr>
      <w:r>
        <w:rPr>
          <w:rFonts w:hint="eastAsia"/>
          <w:color w:val="auto"/>
          <w:highlight w:val="none"/>
          <w:lang w:eastAsia="zh-CN"/>
        </w:rPr>
        <w:t>4）炮孔方向应符合设计要求，钻孔过程中，应经常进行检查，对周边孔和预裂爆破孔应控制好钻孔角度。</w:t>
      </w:r>
    </w:p>
    <w:p w14:paraId="43455AE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）炮孔的装药、堵塞和引爆线路的联结，应按监理人批准的钻孔和爆破措施执行。</w:t>
      </w:r>
    </w:p>
    <w:p w14:paraId="7994667B">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）光面爆破和预裂爆破效果应符合《水工建筑物地下开挖工程施工规范》（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6.2.7</w:t>
      </w:r>
      <w:r>
        <w:rPr>
          <w:rFonts w:cs="宋体"/>
          <w:color w:val="auto"/>
          <w:highlight w:val="none"/>
          <w:lang w:eastAsia="zh-CN"/>
        </w:rPr>
        <w:t>条的规定。</w:t>
      </w:r>
    </w:p>
    <w:p w14:paraId="7F95D83B">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）每项钻孔、爆破和支护作业完成，并经监理人检查合格后，方可进行下道工序作业。</w:t>
      </w:r>
    </w:p>
    <w:p w14:paraId="498670D7">
      <w:pPr>
        <w:pStyle w:val="7"/>
        <w:ind w:firstLine="420"/>
        <w:jc w:val="left"/>
        <w:rPr>
          <w:color w:val="auto"/>
          <w:highlight w:val="none"/>
          <w:lang w:eastAsia="zh-CN"/>
        </w:rPr>
      </w:pPr>
      <w:r>
        <w:rPr>
          <w:rFonts w:hint="eastAsia"/>
          <w:color w:val="auto"/>
          <w:highlight w:val="none"/>
          <w:lang w:eastAsia="zh-CN"/>
        </w:rPr>
        <w:t>（</w:t>
      </w:r>
      <w:r>
        <w:rPr>
          <w:color w:val="auto"/>
          <w:highlight w:val="none"/>
          <w:lang w:eastAsia="zh-CN"/>
        </w:rPr>
        <w:t>6</w:t>
      </w:r>
      <w:r>
        <w:rPr>
          <w:rFonts w:hint="eastAsia"/>
          <w:color w:val="auto"/>
          <w:highlight w:val="none"/>
          <w:lang w:eastAsia="zh-CN"/>
        </w:rPr>
        <w:t>）未尽事宜，执行</w:t>
      </w:r>
      <w:r>
        <w:rPr>
          <w:color w:val="auto"/>
          <w:highlight w:val="none"/>
          <w:lang w:eastAsia="zh-CN"/>
        </w:rPr>
        <w:t>SL378</w:t>
      </w:r>
      <w:r>
        <w:rPr>
          <w:rFonts w:hint="eastAsia"/>
          <w:color w:val="auto"/>
          <w:highlight w:val="none"/>
          <w:lang w:eastAsia="zh-CN"/>
        </w:rPr>
        <w:t>相关规定。</w:t>
      </w:r>
    </w:p>
    <w:p w14:paraId="1DE31080">
      <w:pPr>
        <w:pStyle w:val="5"/>
        <w:jc w:val="left"/>
        <w:rPr>
          <w:rFonts w:hAnsi="Times New Roman" w:cs="楷体"/>
          <w:color w:val="auto"/>
          <w:highlight w:val="none"/>
          <w:lang w:eastAsia="zh-CN"/>
        </w:rPr>
      </w:pPr>
      <w:r>
        <w:rPr>
          <w:rFonts w:hAnsi="Times New Roman" w:cs="Times New Roman"/>
          <w:color w:val="auto"/>
          <w:highlight w:val="none"/>
          <w:lang w:eastAsia="zh-CN"/>
        </w:rPr>
        <w:t>8.4.1.4</w:t>
      </w:r>
      <w:r>
        <w:rPr>
          <w:rFonts w:hint="eastAsia" w:hAnsi="Times New Roman" w:cs="Times New Roman"/>
          <w:color w:val="auto"/>
          <w:highlight w:val="none"/>
          <w:lang w:eastAsia="zh-CN"/>
        </w:rPr>
        <w:t>　</w:t>
      </w:r>
      <w:r>
        <w:rPr>
          <w:rFonts w:hAnsi="楷体" w:cs="楷体"/>
          <w:color w:val="auto"/>
          <w:highlight w:val="none"/>
          <w:lang w:eastAsia="zh-CN"/>
        </w:rPr>
        <w:t>爆破振动控制</w:t>
      </w:r>
    </w:p>
    <w:p w14:paraId="641E2BD1">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1）在地下洞室施工中，承包人应保护好已完成混凝土衬砌、压力灌浆和支护结构等部位不受损坏。</w:t>
      </w:r>
      <w:r>
        <w:rPr>
          <w:rFonts w:hint="eastAsia"/>
          <w:color w:val="auto"/>
          <w:highlight w:val="none"/>
          <w:lang w:eastAsia="zh-CN"/>
        </w:rPr>
        <w:t>在已完成的衬砌、灌浆、观测设施和支护结构附近进行爆破时，其爆破技术和爆破参数应进行专门的设计和试验，并应经监理人批准。无试验成果时，</w:t>
      </w:r>
      <w:r>
        <w:rPr>
          <w:rFonts w:cs="宋体"/>
          <w:color w:val="auto"/>
          <w:highlight w:val="none"/>
          <w:lang w:eastAsia="zh-CN"/>
        </w:rPr>
        <w:t>爆破质点振动安全允许标准，应参照《水工建筑物地下开挖工程施工规范》（</w:t>
      </w:r>
      <w:r>
        <w:rPr>
          <w:rFonts w:hAnsi="Times New Roman" w:cs="Times New Roman"/>
          <w:color w:val="auto"/>
          <w:highlight w:val="none"/>
          <w:lang w:eastAsia="zh-CN"/>
        </w:rPr>
        <w:t>SL378—2007</w:t>
      </w:r>
      <w:r>
        <w:rPr>
          <w:rFonts w:cs="宋体"/>
          <w:color w:val="auto"/>
          <w:highlight w:val="none"/>
          <w:lang w:eastAsia="zh-CN"/>
        </w:rPr>
        <w:t>）表</w:t>
      </w:r>
      <w:r>
        <w:rPr>
          <w:rFonts w:hAnsi="Times New Roman" w:cs="Times New Roman"/>
          <w:color w:val="auto"/>
          <w:highlight w:val="none"/>
          <w:lang w:eastAsia="zh-CN"/>
        </w:rPr>
        <w:t>D.0.3-1</w:t>
      </w:r>
      <w:r>
        <w:rPr>
          <w:rFonts w:cs="宋体"/>
          <w:color w:val="auto"/>
          <w:highlight w:val="none"/>
          <w:lang w:eastAsia="zh-CN"/>
        </w:rPr>
        <w:t>的建议值，结合本工程项目的具体要求选定。</w:t>
      </w:r>
    </w:p>
    <w:p w14:paraId="51ED6541">
      <w:pPr>
        <w:suppressAutoHyphens/>
        <w:ind w:firstLine="420"/>
        <w:jc w:val="left"/>
        <w:rPr>
          <w:color w:val="auto"/>
          <w:highlight w:val="none"/>
          <w:lang w:eastAsia="zh-CN"/>
        </w:rPr>
      </w:pPr>
      <w:r>
        <w:rPr>
          <w:rFonts w:hint="eastAsia"/>
          <w:color w:val="auto"/>
          <w:highlight w:val="none"/>
          <w:lang w:eastAsia="zh-CN"/>
        </w:rPr>
        <w:t>（2）由于爆破或其它任何操作原因而造成衬砌、灌浆、观测设施和支护结构的损坏或变形，以及对工程任何部位造成的损坏或损伤，都应由承包人按照监理人的指示进行修复，其费用由承包人承担。</w:t>
      </w:r>
    </w:p>
    <w:p w14:paraId="44F0A778">
      <w:pPr>
        <w:suppressAutoHyphens/>
        <w:ind w:firstLine="420"/>
        <w:jc w:val="left"/>
        <w:rPr>
          <w:color w:val="auto"/>
          <w:highlight w:val="none"/>
          <w:lang w:eastAsia="zh-CN"/>
        </w:rPr>
      </w:pPr>
      <w:r>
        <w:rPr>
          <w:rFonts w:hint="eastAsia"/>
          <w:color w:val="auto"/>
          <w:highlight w:val="none"/>
          <w:lang w:eastAsia="zh-CN"/>
        </w:rPr>
        <w:t>（3）开挖过程中应进行安全监测，内容包括（但不限于）：爆破振动安全监测、变形监（检）测，围岩松动圈检测。监测成果与分析及时书面报告监理工程师。</w:t>
      </w:r>
    </w:p>
    <w:p w14:paraId="7622B6D5">
      <w:pPr>
        <w:pStyle w:val="7"/>
        <w:ind w:firstLine="420"/>
        <w:jc w:val="left"/>
        <w:rPr>
          <w:color w:val="auto"/>
          <w:highlight w:val="none"/>
          <w:lang w:eastAsia="zh-CN"/>
        </w:rPr>
      </w:pPr>
      <w:r>
        <w:rPr>
          <w:rFonts w:hint="eastAsia"/>
          <w:color w:val="auto"/>
          <w:highlight w:val="none"/>
          <w:lang w:eastAsia="zh-CN"/>
        </w:rPr>
        <w:t>（4）爆破施工前承包人应对地面及附近建筑物进行调查，施工过程中采取一定的预防措施，防止造成地面及附近建筑物损坏，造成的损坏或损伤的，一切费用由承包人承担。</w:t>
      </w:r>
    </w:p>
    <w:p w14:paraId="61D4EE16">
      <w:pPr>
        <w:pStyle w:val="5"/>
        <w:jc w:val="left"/>
        <w:rPr>
          <w:rFonts w:hAnsi="Times New Roman" w:cs="楷体"/>
          <w:color w:val="auto"/>
          <w:highlight w:val="none"/>
          <w:lang w:eastAsia="zh-CN" w:bidi="en-US"/>
        </w:rPr>
      </w:pPr>
      <w:r>
        <w:rPr>
          <w:rFonts w:hAnsi="Times New Roman" w:cs="Times New Roman"/>
          <w:color w:val="auto"/>
          <w:highlight w:val="none"/>
          <w:lang w:eastAsia="zh-CN"/>
        </w:rPr>
        <w:t>8.4.1.5</w:t>
      </w:r>
      <w:r>
        <w:rPr>
          <w:rFonts w:hint="eastAsia" w:hAnsi="Times New Roman" w:cs="Times New Roman"/>
          <w:color w:val="auto"/>
          <w:highlight w:val="none"/>
          <w:lang w:eastAsia="zh-CN"/>
        </w:rPr>
        <w:t>　</w:t>
      </w:r>
      <w:r>
        <w:rPr>
          <w:rFonts w:hAnsi="楷体" w:cs="楷体"/>
          <w:color w:val="auto"/>
          <w:highlight w:val="none"/>
          <w:lang w:eastAsia="zh-CN" w:bidi="en-US"/>
        </w:rPr>
        <w:t>爆破专项措施及火工材料库</w:t>
      </w:r>
    </w:p>
    <w:p w14:paraId="2B7694BD">
      <w:pPr>
        <w:pStyle w:val="5"/>
        <w:jc w:val="left"/>
        <w:rPr>
          <w:rFonts w:hAnsi="Times New Roman" w:cs="楷体"/>
          <w:color w:val="auto"/>
          <w:highlight w:val="none"/>
          <w:lang w:eastAsia="zh-CN" w:bidi="en-US"/>
        </w:rPr>
      </w:pPr>
      <w:r>
        <w:rPr>
          <w:rFonts w:hAnsi="Times New Roman" w:cs="楷体"/>
          <w:color w:val="auto"/>
          <w:highlight w:val="none"/>
          <w:lang w:eastAsia="zh-CN"/>
        </w:rPr>
        <w:t>8.4.1.5.1</w:t>
      </w:r>
      <w:r>
        <w:rPr>
          <w:rFonts w:hint="eastAsia" w:hAnsi="Times New Roman" w:cs="楷体"/>
          <w:color w:val="auto"/>
          <w:highlight w:val="none"/>
          <w:lang w:eastAsia="zh-CN"/>
        </w:rPr>
        <w:t>　</w:t>
      </w:r>
      <w:r>
        <w:rPr>
          <w:rFonts w:hAnsi="楷体" w:cs="楷体"/>
          <w:color w:val="auto"/>
          <w:highlight w:val="none"/>
          <w:lang w:eastAsia="zh-CN"/>
        </w:rPr>
        <w:t>爆破专项措施</w:t>
      </w:r>
    </w:p>
    <w:p w14:paraId="15F26E5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）检验试验：爆破材料检验及网路试验。</w:t>
      </w:r>
    </w:p>
    <w:p w14:paraId="1C6B2AA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）特殊工种培训费：爆破员、保管员、安全员、押运员、试验员培训</w:t>
      </w:r>
    </w:p>
    <w:p w14:paraId="7E595663">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）爆破安全评估费、临时断绝交通、设置安全屏障、测振等。</w:t>
      </w:r>
    </w:p>
    <w:p w14:paraId="09E7850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）安全警戒等。</w:t>
      </w:r>
    </w:p>
    <w:p w14:paraId="3C27BF37">
      <w:pPr>
        <w:pStyle w:val="5"/>
        <w:jc w:val="left"/>
        <w:rPr>
          <w:rFonts w:hAnsi="Times New Roman"/>
          <w:color w:val="auto"/>
          <w:highlight w:val="none"/>
          <w:lang w:eastAsia="zh-CN"/>
        </w:rPr>
      </w:pPr>
      <w:r>
        <w:rPr>
          <w:rFonts w:hAnsi="Times New Roman" w:cs="楷体"/>
          <w:color w:val="auto"/>
          <w:highlight w:val="none"/>
          <w:lang w:eastAsia="zh-CN"/>
        </w:rPr>
        <w:t>8.4.1.5.2</w:t>
      </w:r>
      <w:r>
        <w:rPr>
          <w:rFonts w:hint="eastAsia" w:hAnsi="Times New Roman" w:cs="楷体"/>
          <w:color w:val="auto"/>
          <w:highlight w:val="none"/>
          <w:lang w:eastAsia="zh-CN"/>
        </w:rPr>
        <w:t>　</w:t>
      </w:r>
      <w:r>
        <w:rPr>
          <w:rFonts w:hAnsi="楷体" w:cs="楷体"/>
          <w:color w:val="auto"/>
          <w:highlight w:val="none"/>
          <w:lang w:eastAsia="zh-CN"/>
        </w:rPr>
        <w:t>火工材料库</w:t>
      </w:r>
    </w:p>
    <w:p w14:paraId="45CD449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）火工材料库应该与周围的环境进行隔离，平面的布置应该合理，应该设置验收区和发货区。库房必须选在干燥的地方。</w:t>
      </w:r>
    </w:p>
    <w:p w14:paraId="1BDFF9A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）火工材料库应符合防爆、防雷、防火、防潮和防鼠的要求并有良好的通风设施，库内温度应保持在</w:t>
      </w:r>
      <w:r>
        <w:rPr>
          <w:rFonts w:hAnsi="Times New Roman"/>
          <w:color w:val="auto"/>
          <w:highlight w:val="none"/>
          <w:lang w:eastAsia="zh-CN"/>
        </w:rPr>
        <w:t>10</w:t>
      </w:r>
      <w:r>
        <w:rPr>
          <w:rFonts w:hint="eastAsia" w:eastAsia="MS Mincho"/>
          <w:color w:val="auto"/>
          <w:highlight w:val="none"/>
          <w:lang w:eastAsia="zh-CN"/>
        </w:rPr>
        <w:t>〜</w:t>
      </w:r>
      <w:r>
        <w:rPr>
          <w:rFonts w:hAnsi="Times New Roman"/>
          <w:color w:val="auto"/>
          <w:highlight w:val="none"/>
          <w:lang w:eastAsia="zh-CN"/>
        </w:rPr>
        <w:t>30</w:t>
      </w:r>
      <w:r>
        <w:rPr>
          <w:rFonts w:hint="eastAsia" w:hAnsi="Times New Roman"/>
          <w:color w:val="auto"/>
          <w:highlight w:val="none"/>
          <w:lang w:eastAsia="zh-CN"/>
        </w:rPr>
        <w:t>℃</w:t>
      </w:r>
      <w:r>
        <w:rPr>
          <w:rFonts w:hint="eastAsia"/>
          <w:color w:val="auto"/>
          <w:highlight w:val="none"/>
          <w:lang w:eastAsia="zh-CN"/>
        </w:rPr>
        <w:t>之间。库房距村庄或其他建筑物应在</w:t>
      </w:r>
      <w:r>
        <w:rPr>
          <w:rFonts w:hAnsi="Times New Roman"/>
          <w:color w:val="auto"/>
          <w:highlight w:val="none"/>
          <w:lang w:eastAsia="zh-CN"/>
        </w:rPr>
        <w:t>800m</w:t>
      </w:r>
      <w:r>
        <w:rPr>
          <w:rFonts w:hint="eastAsia"/>
          <w:color w:val="auto"/>
          <w:highlight w:val="none"/>
          <w:lang w:eastAsia="zh-CN"/>
        </w:rPr>
        <w:t>以上不足</w:t>
      </w:r>
      <w:r>
        <w:rPr>
          <w:rFonts w:hAnsi="Times New Roman"/>
          <w:color w:val="auto"/>
          <w:highlight w:val="none"/>
          <w:lang w:eastAsia="zh-CN"/>
        </w:rPr>
        <w:t>800m</w:t>
      </w:r>
      <w:r>
        <w:rPr>
          <w:rFonts w:hint="eastAsia"/>
          <w:color w:val="auto"/>
          <w:highlight w:val="none"/>
          <w:lang w:eastAsia="zh-CN"/>
        </w:rPr>
        <w:t>时，仓库四周必须修筑</w:t>
      </w:r>
      <w:r>
        <w:rPr>
          <w:rFonts w:hint="eastAsia"/>
          <w:color w:val="auto"/>
          <w:highlight w:val="none"/>
          <w:lang w:val="en-US" w:eastAsia="zh-CN"/>
        </w:rPr>
        <w:t>高</w:t>
      </w:r>
      <w:r>
        <w:rPr>
          <w:rFonts w:hint="eastAsia"/>
          <w:color w:val="auto"/>
          <w:highlight w:val="none"/>
          <w:lang w:eastAsia="zh-CN"/>
        </w:rPr>
        <w:t>出屋檐</w:t>
      </w:r>
      <w:r>
        <w:rPr>
          <w:rFonts w:hAnsi="Times New Roman"/>
          <w:color w:val="auto"/>
          <w:highlight w:val="none"/>
          <w:lang w:eastAsia="zh-CN"/>
        </w:rPr>
        <w:t>1.5m</w:t>
      </w:r>
      <w:r>
        <w:rPr>
          <w:rFonts w:hint="eastAsia"/>
          <w:color w:val="auto"/>
          <w:highlight w:val="none"/>
          <w:lang w:eastAsia="zh-CN"/>
        </w:rPr>
        <w:t>以上的土堤，或采用半地下库、山洞库，但其距离亦不得小于</w:t>
      </w:r>
      <w:r>
        <w:rPr>
          <w:rFonts w:hAnsi="Times New Roman"/>
          <w:color w:val="auto"/>
          <w:highlight w:val="none"/>
          <w:lang w:eastAsia="zh-CN"/>
        </w:rPr>
        <w:t>400m</w:t>
      </w:r>
      <w:r>
        <w:rPr>
          <w:rFonts w:hint="eastAsia"/>
          <w:color w:val="auto"/>
          <w:highlight w:val="none"/>
          <w:lang w:eastAsia="zh-CN"/>
        </w:rPr>
        <w:t>。</w:t>
      </w:r>
    </w:p>
    <w:p w14:paraId="2D143CC7">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）爆破器材应堆放在垫板上，禁止直接堆放在地上，堆放应整齐，稳固。</w:t>
      </w:r>
    </w:p>
    <w:p w14:paraId="71936F9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）火工材料库建设结构及各种防护措施、库区内外的安全距离等必须符合国家有关规定。</w:t>
      </w:r>
    </w:p>
    <w:p w14:paraId="7B89BE9D">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）火工材料库库周围，必须设围墙或铁刺网，其高度不得低于</w:t>
      </w:r>
      <w:r>
        <w:rPr>
          <w:rFonts w:hAnsi="Times New Roman"/>
          <w:color w:val="auto"/>
          <w:highlight w:val="none"/>
          <w:lang w:eastAsia="zh-CN"/>
        </w:rPr>
        <w:t>2m</w:t>
      </w:r>
      <w:r>
        <w:rPr>
          <w:rFonts w:hint="eastAsia"/>
          <w:color w:val="auto"/>
          <w:highlight w:val="none"/>
          <w:lang w:eastAsia="zh-CN"/>
        </w:rPr>
        <w:t>，围墙或铁刺网距库房的距离不应小于</w:t>
      </w:r>
      <w:r>
        <w:rPr>
          <w:rFonts w:hAnsi="Times New Roman"/>
          <w:color w:val="auto"/>
          <w:highlight w:val="none"/>
          <w:lang w:eastAsia="zh-CN"/>
        </w:rPr>
        <w:t>5m</w:t>
      </w:r>
      <w:r>
        <w:rPr>
          <w:rFonts w:hint="eastAsia"/>
          <w:color w:val="auto"/>
          <w:highlight w:val="none"/>
          <w:lang w:eastAsia="zh-CN"/>
        </w:rPr>
        <w:t>。</w:t>
      </w:r>
    </w:p>
    <w:p w14:paraId="26BA94A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6</w:t>
      </w:r>
      <w:r>
        <w:rPr>
          <w:rFonts w:hint="eastAsia"/>
          <w:color w:val="auto"/>
          <w:highlight w:val="none"/>
          <w:lang w:eastAsia="zh-CN"/>
        </w:rPr>
        <w:t>）各种爆炸材料的每一品种都应专库贮存。</w:t>
      </w:r>
    </w:p>
    <w:p w14:paraId="011F7CF9">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7</w:t>
      </w:r>
      <w:r>
        <w:rPr>
          <w:rFonts w:hint="eastAsia"/>
          <w:color w:val="auto"/>
          <w:highlight w:val="none"/>
          <w:lang w:eastAsia="zh-CN"/>
        </w:rPr>
        <w:t>）火工材料库库应有警卫昼夜看守。</w:t>
      </w:r>
    </w:p>
    <w:p w14:paraId="1EDB6F4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8</w:t>
      </w:r>
      <w:r>
        <w:rPr>
          <w:rFonts w:hint="eastAsia"/>
          <w:color w:val="auto"/>
          <w:highlight w:val="none"/>
          <w:lang w:eastAsia="zh-CN"/>
        </w:rPr>
        <w:t>）爆炸材料发放、使用、警卫人员必须是经过公安机关培训合格，并持证上岗。</w:t>
      </w:r>
    </w:p>
    <w:p w14:paraId="47BCB951">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9</w:t>
      </w:r>
      <w:r>
        <w:rPr>
          <w:rFonts w:hint="eastAsia"/>
          <w:color w:val="auto"/>
          <w:highlight w:val="none"/>
          <w:lang w:eastAsia="zh-CN"/>
        </w:rPr>
        <w:t>）火工材料库内必须有足够的消防器材。爆破材料库的两个出口，必须安设抗冲击波活门和抗冲击波密闭门。</w:t>
      </w:r>
    </w:p>
    <w:p w14:paraId="70B72A90">
      <w:pPr>
        <w:pStyle w:val="5"/>
        <w:jc w:val="left"/>
        <w:rPr>
          <w:color w:val="auto"/>
          <w:highlight w:val="none"/>
          <w:lang w:eastAsia="zh-CN"/>
        </w:rPr>
      </w:pPr>
      <w:r>
        <w:rPr>
          <w:color w:val="auto"/>
          <w:highlight w:val="none"/>
          <w:lang w:eastAsia="zh-CN"/>
        </w:rPr>
        <w:t>8.4.2</w:t>
      </w:r>
      <w:r>
        <w:rPr>
          <w:rFonts w:hint="eastAsia"/>
          <w:color w:val="auto"/>
          <w:highlight w:val="none"/>
          <w:lang w:eastAsia="zh-CN"/>
        </w:rPr>
        <w:t>　特殊部位开挖</w:t>
      </w:r>
    </w:p>
    <w:p w14:paraId="081E986D">
      <w:pPr>
        <w:ind w:firstLine="420"/>
        <w:jc w:val="left"/>
        <w:rPr>
          <w:color w:val="auto"/>
          <w:highlight w:val="none"/>
          <w:lang w:eastAsia="zh-CN"/>
        </w:rPr>
      </w:pPr>
      <w:r>
        <w:rPr>
          <w:rFonts w:hint="eastAsia"/>
          <w:color w:val="auto"/>
          <w:highlight w:val="none"/>
          <w:lang w:eastAsia="zh-CN"/>
        </w:rPr>
        <w:t>在特殊部位开挖施工过程中，应在有代表性的部位布置适当的监测仪器，对其围岩的稳定状况进行监测。</w:t>
      </w:r>
    </w:p>
    <w:p w14:paraId="0F531F53">
      <w:pPr>
        <w:pStyle w:val="5"/>
        <w:jc w:val="left"/>
        <w:rPr>
          <w:color w:val="auto"/>
          <w:highlight w:val="none"/>
          <w:lang w:eastAsia="zh-CN"/>
        </w:rPr>
      </w:pPr>
      <w:r>
        <w:rPr>
          <w:color w:val="auto"/>
          <w:highlight w:val="none"/>
          <w:lang w:eastAsia="zh-CN"/>
        </w:rPr>
        <w:t>8.4.2.1</w:t>
      </w:r>
      <w:r>
        <w:rPr>
          <w:rFonts w:hint="eastAsia"/>
          <w:color w:val="auto"/>
          <w:highlight w:val="none"/>
          <w:lang w:eastAsia="zh-CN"/>
        </w:rPr>
        <w:t>　洞口开挖和处理</w:t>
      </w:r>
    </w:p>
    <w:p w14:paraId="7DE8087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）各地下工程的洞（井）口掘进前，承包人应仔细勘察洞（井）口山坡岩石的稳定性，并将有关地质测绘资料提交监理人，按监理人指示对危险部位进行处理和支护。</w:t>
      </w:r>
    </w:p>
    <w:p w14:paraId="10BB106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）洞（井）口削坡应自上而下进行，严禁上下垂直作业。洞（井）口边坡面的危石清理、支护加固、马道开挖及排水等工作，应在洞脸和洞（井）口段的开挖前完成。</w:t>
      </w:r>
    </w:p>
    <w:p w14:paraId="1CD0E6A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）洞口段开挖应遵守《水工建筑物地下开挖工程施工规范》（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5.2</w:t>
      </w:r>
      <w:r>
        <w:rPr>
          <w:rFonts w:cs="宋体"/>
          <w:color w:val="auto"/>
          <w:highlight w:val="none"/>
          <w:lang w:eastAsia="zh-CN"/>
        </w:rPr>
        <w:t>节的有关规定。</w:t>
      </w:r>
    </w:p>
    <w:p w14:paraId="3400B27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洞（井）口起始洞段的开挖，应采取有效的控制爆破措施，防止爆破震动造成洞顶山坡和洞口岩石发生震裂、松动和塌方，起始洞段的围岩软弱破碎时，承包人应制定边开挖、边支护的施工措施，并报送监理人批准后实施。</w:t>
      </w:r>
    </w:p>
    <w:p w14:paraId="5EDB01A8">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）承包人在进洞前应通知监理人组织有关各方对洞脸边坡岩体进行检查，确认稳定或采取加固措施后，才允许开挖洞口。</w:t>
      </w:r>
    </w:p>
    <w:p w14:paraId="06ED3294">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6</w:t>
      </w:r>
      <w:r>
        <w:rPr>
          <w:rFonts w:hint="eastAsia"/>
          <w:color w:val="auto"/>
          <w:highlight w:val="none"/>
          <w:lang w:eastAsia="zh-CN"/>
        </w:rPr>
        <w:t>）洞口一般应设置防护棚。在地下洞室施工过程中，承包人应经常对洞脸进行检查，发现异常情况，应立即通知监理人及发包人，并采取有效措施防止事故发生。</w:t>
      </w:r>
    </w:p>
    <w:p w14:paraId="337E64D2">
      <w:pPr>
        <w:ind w:firstLine="420"/>
        <w:jc w:val="left"/>
        <w:rPr>
          <w:color w:val="auto"/>
          <w:highlight w:val="none"/>
          <w:lang w:eastAsia="zh-CN"/>
        </w:rPr>
      </w:pPr>
      <w:r>
        <w:rPr>
          <w:rFonts w:hint="eastAsia"/>
          <w:color w:val="auto"/>
          <w:highlight w:val="none"/>
          <w:lang w:eastAsia="zh-CN"/>
        </w:rPr>
        <w:t>（</w:t>
      </w:r>
      <w:r>
        <w:rPr>
          <w:color w:val="auto"/>
          <w:highlight w:val="none"/>
          <w:lang w:eastAsia="zh-CN"/>
        </w:rPr>
        <w:t>7）起始洞段至少30m范围开挖后随开挖循环立即支护，并及时施作锁口衬砌，之后再开挖以后洞段。</w:t>
      </w:r>
    </w:p>
    <w:p w14:paraId="377459E9">
      <w:pPr>
        <w:pStyle w:val="5"/>
        <w:jc w:val="left"/>
        <w:rPr>
          <w:color w:val="auto"/>
          <w:highlight w:val="none"/>
          <w:lang w:eastAsia="zh-CN"/>
        </w:rPr>
      </w:pPr>
      <w:r>
        <w:rPr>
          <w:color w:val="auto"/>
          <w:highlight w:val="none"/>
          <w:lang w:eastAsia="zh-CN"/>
        </w:rPr>
        <w:t>8.4.2.2</w:t>
      </w:r>
      <w:r>
        <w:rPr>
          <w:rFonts w:hint="eastAsia"/>
          <w:color w:val="auto"/>
          <w:highlight w:val="none"/>
          <w:lang w:eastAsia="zh-CN"/>
        </w:rPr>
        <w:t>　</w:t>
      </w:r>
      <w:r>
        <w:rPr>
          <w:rFonts w:hAnsi="楷体" w:cs="楷体"/>
          <w:color w:val="auto"/>
          <w:highlight w:val="none"/>
          <w:lang w:eastAsia="zh-CN"/>
        </w:rPr>
        <w:t>洞室交叉部位及高边墙开挖</w:t>
      </w:r>
    </w:p>
    <w:p w14:paraId="468D19C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）洞与洞、洞与井等交叉部位在掘进前应按施工图纸和监理人指示做好锁口和超前支护以确保安全。必要时，应按监理人指示进行洞室交叉部位围岩的安全监测。</w:t>
      </w:r>
    </w:p>
    <w:p w14:paraId="297B277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）高边墙部位的开挖，其最大允许质点振动安全速度应不超过</w:t>
      </w:r>
      <w:r>
        <w:rPr>
          <w:rFonts w:hAnsi="Times New Roman" w:cs="Times New Roman"/>
          <w:color w:val="auto"/>
          <w:highlight w:val="none"/>
          <w:lang w:eastAsia="zh-CN"/>
        </w:rPr>
        <w:t>7cm/s</w:t>
      </w:r>
      <w:r>
        <w:rPr>
          <w:rFonts w:cs="宋体"/>
          <w:color w:val="auto"/>
          <w:highlight w:val="none"/>
          <w:lang w:eastAsia="zh-CN"/>
        </w:rPr>
        <w:t>；其余洞段应满足《水工建筑物地下开挖工程施工规范》（</w:t>
      </w:r>
      <w:r>
        <w:rPr>
          <w:rFonts w:hAnsi="Times New Roman" w:cs="Times New Roman"/>
          <w:color w:val="auto"/>
          <w:highlight w:val="none"/>
          <w:lang w:eastAsia="zh-CN"/>
        </w:rPr>
        <w:t>SL378—2007</w:t>
      </w:r>
      <w:r>
        <w:rPr>
          <w:rFonts w:cs="宋体"/>
          <w:color w:val="auto"/>
          <w:highlight w:val="none"/>
          <w:lang w:eastAsia="zh-CN"/>
        </w:rPr>
        <w:t>）表</w:t>
      </w:r>
      <w:r>
        <w:rPr>
          <w:rFonts w:hAnsi="Times New Roman" w:cs="Times New Roman"/>
          <w:color w:val="auto"/>
          <w:highlight w:val="none"/>
          <w:lang w:eastAsia="zh-CN"/>
        </w:rPr>
        <w:t>D.0.3-1</w:t>
      </w:r>
      <w:r>
        <w:rPr>
          <w:rFonts w:cs="宋体"/>
          <w:color w:val="auto"/>
          <w:highlight w:val="none"/>
          <w:lang w:eastAsia="zh-CN"/>
        </w:rPr>
        <w:t>的要求。</w:t>
      </w:r>
    </w:p>
    <w:p w14:paraId="34065F4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）相邻两洞室间的岩墙或岩柱，应及时按监理人指示做好支护措施，确保岩体稳定。</w:t>
      </w:r>
    </w:p>
    <w:p w14:paraId="755BD0D7">
      <w:pPr>
        <w:pStyle w:val="16"/>
        <w:wordWrap/>
        <w:snapToGrid w:val="0"/>
        <w:spacing w:before="0" w:beforeAutospacing="0" w:after="0" w:afterAutospacing="0"/>
        <w:ind w:firstLine="420"/>
        <w:jc w:val="left"/>
        <w:rPr>
          <w:rFonts w:hAnsi="Times New Roman"/>
          <w:color w:val="auto"/>
          <w:szCs w:val="21"/>
          <w:highlight w:val="none"/>
        </w:rPr>
      </w:pPr>
      <w:r>
        <w:rPr>
          <w:rFonts w:hint="eastAsia" w:hAnsi="Times New Roman"/>
          <w:color w:val="auto"/>
          <w:szCs w:val="21"/>
          <w:highlight w:val="none"/>
        </w:rPr>
        <w:t>（</w:t>
      </w:r>
      <w:r>
        <w:rPr>
          <w:rFonts w:hAnsi="Times New Roman" w:cs="Times New Roman"/>
          <w:color w:val="auto"/>
          <w:szCs w:val="21"/>
          <w:highlight w:val="none"/>
        </w:rPr>
        <w:t>4</w:t>
      </w:r>
      <w:r>
        <w:rPr>
          <w:rFonts w:hint="eastAsia" w:hAnsi="Times New Roman"/>
          <w:color w:val="auto"/>
          <w:szCs w:val="21"/>
          <w:highlight w:val="none"/>
        </w:rPr>
        <w:t>）在围岩变形显著、偏压、高应力及交叉口部位开挖时，除加强常规检查外，还应布置仪器对围岩进行监测。发现异常情况，应及时通知监理人及发包人，并立即采取有效措施防止事故的发生。</w:t>
      </w:r>
    </w:p>
    <w:p w14:paraId="21BFC4FF">
      <w:pPr>
        <w:pStyle w:val="16"/>
        <w:wordWrap/>
        <w:snapToGrid w:val="0"/>
        <w:spacing w:before="0" w:beforeAutospacing="0" w:after="0" w:afterAutospacing="0"/>
        <w:ind w:firstLine="420"/>
        <w:jc w:val="left"/>
        <w:rPr>
          <w:rFonts w:hAnsi="Times New Roman"/>
          <w:color w:val="auto"/>
          <w:szCs w:val="21"/>
          <w:highlight w:val="none"/>
        </w:rPr>
      </w:pPr>
      <w:r>
        <w:rPr>
          <w:rFonts w:hint="eastAsia" w:hAnsi="Times New Roman"/>
          <w:color w:val="auto"/>
          <w:szCs w:val="21"/>
          <w:highlight w:val="none"/>
        </w:rPr>
        <w:t>（</w:t>
      </w:r>
      <w:r>
        <w:rPr>
          <w:rFonts w:hAnsi="Times New Roman" w:cs="Times New Roman"/>
          <w:color w:val="auto"/>
          <w:szCs w:val="21"/>
          <w:highlight w:val="none"/>
        </w:rPr>
        <w:t>5</w:t>
      </w:r>
      <w:r>
        <w:rPr>
          <w:rFonts w:hint="eastAsia" w:hAnsi="Times New Roman"/>
          <w:color w:val="auto"/>
          <w:szCs w:val="21"/>
          <w:highlight w:val="none"/>
        </w:rPr>
        <w:t>）在软弱、松散、破碎的岩体中开挖洞室，应尽量减少对围岩的扰动。需要时，应采取超前锚杆、预灌浆等预支护方法。</w:t>
      </w:r>
    </w:p>
    <w:p w14:paraId="69944CF5">
      <w:pPr>
        <w:pStyle w:val="16"/>
        <w:wordWrap/>
        <w:snapToGrid w:val="0"/>
        <w:spacing w:before="0" w:beforeAutospacing="0" w:after="0" w:afterAutospacing="0"/>
        <w:ind w:firstLine="420"/>
        <w:jc w:val="left"/>
        <w:rPr>
          <w:rFonts w:hAnsi="Times New Roman"/>
          <w:color w:val="auto"/>
          <w:szCs w:val="21"/>
          <w:highlight w:val="none"/>
        </w:rPr>
      </w:pPr>
      <w:r>
        <w:rPr>
          <w:rFonts w:hint="eastAsia" w:hAnsi="Times New Roman"/>
          <w:color w:val="auto"/>
          <w:szCs w:val="21"/>
          <w:highlight w:val="none"/>
        </w:rPr>
        <w:t>（</w:t>
      </w:r>
      <w:r>
        <w:rPr>
          <w:rFonts w:hAnsi="Times New Roman" w:cs="Times New Roman"/>
          <w:color w:val="auto"/>
          <w:szCs w:val="21"/>
          <w:highlight w:val="none"/>
        </w:rPr>
        <w:t>6</w:t>
      </w:r>
      <w:r>
        <w:rPr>
          <w:rFonts w:hint="eastAsia" w:hAnsi="Times New Roman"/>
          <w:color w:val="auto"/>
          <w:szCs w:val="21"/>
          <w:highlight w:val="none"/>
        </w:rPr>
        <w:t>）地下水活动较严重地段，根据需要，经监理人同意，可采用排、堵、截、引中的单项或综合治理措施。</w:t>
      </w:r>
    </w:p>
    <w:p w14:paraId="5775ACB7">
      <w:pPr>
        <w:pStyle w:val="16"/>
        <w:wordWrap/>
        <w:snapToGrid w:val="0"/>
        <w:spacing w:before="0" w:beforeAutospacing="0" w:after="0" w:afterAutospacing="0"/>
        <w:ind w:firstLine="420"/>
        <w:jc w:val="left"/>
        <w:rPr>
          <w:rFonts w:hAnsi="Times New Roman"/>
          <w:color w:val="auto"/>
          <w:szCs w:val="21"/>
          <w:highlight w:val="none"/>
        </w:rPr>
      </w:pPr>
      <w:r>
        <w:rPr>
          <w:rFonts w:hint="eastAsia" w:hAnsi="Times New Roman"/>
          <w:color w:val="auto"/>
          <w:szCs w:val="21"/>
          <w:highlight w:val="none"/>
        </w:rPr>
        <w:t>（</w:t>
      </w:r>
      <w:r>
        <w:rPr>
          <w:rFonts w:hAnsi="Times New Roman" w:cs="Times New Roman"/>
          <w:color w:val="auto"/>
          <w:szCs w:val="21"/>
          <w:highlight w:val="none"/>
        </w:rPr>
        <w:t>7</w:t>
      </w:r>
      <w:r>
        <w:rPr>
          <w:rFonts w:hint="eastAsia" w:hAnsi="Times New Roman"/>
          <w:color w:val="auto"/>
          <w:szCs w:val="21"/>
          <w:highlight w:val="none"/>
        </w:rPr>
        <w:t>）发生塌方时，承包人应及时查明塌方原因及其规律，并采取措施迅速处理，防止塌方范围的延伸和扩大。</w:t>
      </w:r>
    </w:p>
    <w:p w14:paraId="5EFD5531">
      <w:pPr>
        <w:pStyle w:val="16"/>
        <w:wordWrap/>
        <w:snapToGrid w:val="0"/>
        <w:spacing w:before="0" w:beforeAutospacing="0" w:after="0" w:afterAutospacing="0"/>
        <w:ind w:firstLine="420"/>
        <w:jc w:val="left"/>
        <w:rPr>
          <w:rFonts w:hAnsi="Times New Roman"/>
          <w:color w:val="auto"/>
          <w:szCs w:val="21"/>
          <w:highlight w:val="none"/>
        </w:rPr>
      </w:pPr>
      <w:r>
        <w:rPr>
          <w:rFonts w:hint="eastAsia"/>
          <w:color w:val="auto"/>
          <w:szCs w:val="21"/>
          <w:highlight w:val="none"/>
        </w:rPr>
        <w:t>（</w:t>
      </w:r>
      <w:r>
        <w:rPr>
          <w:color w:val="auto"/>
          <w:szCs w:val="21"/>
          <w:highlight w:val="none"/>
        </w:rPr>
        <w:t>8）当相向开挖的两个工作面相距小于50m距离爆破时，双方人员均应撤离工作面；相距15m时，应停止一方工作，单向开挖贯通。</w:t>
      </w:r>
    </w:p>
    <w:p w14:paraId="1767167C">
      <w:pPr>
        <w:pStyle w:val="5"/>
        <w:jc w:val="left"/>
        <w:rPr>
          <w:color w:val="auto"/>
          <w:highlight w:val="none"/>
          <w:lang w:eastAsia="zh-CN"/>
        </w:rPr>
      </w:pPr>
      <w:r>
        <w:rPr>
          <w:color w:val="auto"/>
          <w:highlight w:val="none"/>
          <w:lang w:eastAsia="zh-CN"/>
        </w:rPr>
        <w:t>8.4.2.3</w:t>
      </w:r>
      <w:r>
        <w:rPr>
          <w:rFonts w:hint="eastAsia"/>
          <w:color w:val="auto"/>
          <w:highlight w:val="none"/>
          <w:lang w:eastAsia="zh-CN"/>
        </w:rPr>
        <w:t>　混凝土衬砌和支护结构的保护</w:t>
      </w:r>
    </w:p>
    <w:p w14:paraId="616EBEDB">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）在开挖过程中，承包人应注意保护地下混凝土衬砌、灌浆和支护结构不受损坏。在已完成的衬砌、灌浆和支护结构附近进行爆破时，应按本技术条款第</w:t>
      </w:r>
      <w:r>
        <w:rPr>
          <w:rFonts w:hAnsi="Times New Roman" w:cs="Times New Roman"/>
          <w:color w:val="auto"/>
          <w:highlight w:val="none"/>
          <w:lang w:eastAsia="zh-CN"/>
        </w:rPr>
        <w:t>8.4.4</w:t>
      </w:r>
      <w:r>
        <w:rPr>
          <w:rFonts w:cs="宋体"/>
          <w:color w:val="auto"/>
          <w:highlight w:val="none"/>
          <w:lang w:eastAsia="zh-CN"/>
        </w:rPr>
        <w:t>条的规定，控制爆破参数及安全爆破距离。</w:t>
      </w:r>
    </w:p>
    <w:p w14:paraId="6B1B0D5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）由于爆破或其它任何操作原因造成衬砌、灌浆和支护结构的损坏或变形，均应由承包人负责修复，其费用由承包人承担。</w:t>
      </w:r>
    </w:p>
    <w:p w14:paraId="700C6D75">
      <w:pPr>
        <w:ind w:firstLine="420"/>
        <w:jc w:val="left"/>
        <w:rPr>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）在洞室锁口衬砌段等重要部位附近进行爆破施工时，其衬砌结构的模板应在开挖作业全部完成后拆除。必要时，还应按监理人指示增加保护措施。</w:t>
      </w:r>
    </w:p>
    <w:p w14:paraId="483F49BF">
      <w:pPr>
        <w:pStyle w:val="5"/>
        <w:jc w:val="left"/>
        <w:rPr>
          <w:color w:val="auto"/>
          <w:highlight w:val="none"/>
          <w:lang w:eastAsia="zh-CN"/>
        </w:rPr>
      </w:pPr>
      <w:r>
        <w:rPr>
          <w:color w:val="auto"/>
          <w:highlight w:val="none"/>
          <w:lang w:eastAsia="zh-CN"/>
        </w:rPr>
        <w:t>8.4.2.4</w:t>
      </w:r>
      <w:r>
        <w:rPr>
          <w:rFonts w:hint="eastAsia"/>
          <w:color w:val="auto"/>
          <w:highlight w:val="none"/>
          <w:lang w:eastAsia="zh-CN"/>
        </w:rPr>
        <w:t>　不良地质洞段和下穿公路施工要求</w:t>
      </w:r>
    </w:p>
    <w:p w14:paraId="7E491281">
      <w:pPr>
        <w:suppressAutoHyphens/>
        <w:ind w:firstLine="420"/>
        <w:jc w:val="left"/>
        <w:rPr>
          <w:color w:val="auto"/>
          <w:highlight w:val="none"/>
          <w:lang w:eastAsia="zh-CN"/>
        </w:rPr>
      </w:pPr>
      <w:r>
        <w:rPr>
          <w:rFonts w:hint="eastAsia"/>
          <w:color w:val="auto"/>
          <w:highlight w:val="none"/>
          <w:lang w:eastAsia="zh-CN"/>
        </w:rPr>
        <w:t>一般要求：</w:t>
      </w:r>
    </w:p>
    <w:p w14:paraId="178DE877">
      <w:pPr>
        <w:suppressAutoHyphens/>
        <w:ind w:firstLine="420"/>
        <w:jc w:val="left"/>
        <w:rPr>
          <w:color w:val="auto"/>
          <w:highlight w:val="none"/>
          <w:lang w:eastAsia="zh-CN"/>
        </w:rPr>
      </w:pPr>
      <w:r>
        <w:rPr>
          <w:rFonts w:hint="eastAsia"/>
          <w:color w:val="auto"/>
          <w:highlight w:val="none"/>
          <w:lang w:eastAsia="zh-CN"/>
        </w:rPr>
        <w:t>（1）施工前应按本标段所列出的不良地质洞段，编制专项施工方案，专项施工方案应包括（但不限于）应急预案、超前地质预报方案、监控量测方案。编制专项施工方案，经专家评审和监理人批准后实施。</w:t>
      </w:r>
    </w:p>
    <w:p w14:paraId="44784EAF">
      <w:pPr>
        <w:suppressAutoHyphens/>
        <w:ind w:firstLine="420"/>
        <w:jc w:val="left"/>
        <w:rPr>
          <w:color w:val="auto"/>
          <w:highlight w:val="none"/>
          <w:lang w:eastAsia="zh-CN"/>
        </w:rPr>
      </w:pPr>
      <w:r>
        <w:rPr>
          <w:rFonts w:hint="eastAsia"/>
          <w:color w:val="auto"/>
          <w:highlight w:val="none"/>
          <w:lang w:eastAsia="zh-CN"/>
        </w:rPr>
        <w:t>（2）应加强监控量测工作，监控量测方案编制内容应包括:量测项目、量测仪器选择、测点布置、量测频率、数据处理、信息反馈、组织机构、管理体系等。量测计划应与施工进度计划相适应，可根据现场量测情况及时调整补充，量测数据应及时分析、处理和反馈，进行动态设计和动态施工。</w:t>
      </w:r>
    </w:p>
    <w:p w14:paraId="0B26C128">
      <w:pPr>
        <w:suppressAutoHyphens/>
        <w:ind w:firstLine="420"/>
        <w:jc w:val="left"/>
        <w:rPr>
          <w:color w:val="auto"/>
          <w:highlight w:val="none"/>
          <w:lang w:eastAsia="zh-CN"/>
        </w:rPr>
      </w:pPr>
      <w:r>
        <w:rPr>
          <w:rFonts w:hint="eastAsia"/>
          <w:color w:val="auto"/>
          <w:highlight w:val="none"/>
          <w:lang w:eastAsia="zh-CN"/>
        </w:rPr>
        <w:t>（3）对不良地质洞段，应采用超前探测手段，了解掌子面前方不良体的分布位置、规模，地下水等情况，对围岩稳定进行分析判断，制定针对性的处理方案，经参建各方共同讨论确定后实施。</w:t>
      </w:r>
    </w:p>
    <w:p w14:paraId="33FB4D59">
      <w:pPr>
        <w:suppressAutoHyphens/>
        <w:ind w:firstLine="420"/>
        <w:jc w:val="left"/>
        <w:rPr>
          <w:color w:val="auto"/>
          <w:highlight w:val="none"/>
          <w:lang w:eastAsia="zh-CN"/>
        </w:rPr>
      </w:pPr>
      <w:r>
        <w:rPr>
          <w:rFonts w:hint="eastAsia"/>
          <w:color w:val="auto"/>
          <w:highlight w:val="none"/>
          <w:lang w:eastAsia="zh-CN"/>
        </w:rPr>
        <w:t>（4）开挖应采用先治水，后超前支护、再开挖、勤监控的施工顺序，二次衬砌应尽早施作。</w:t>
      </w:r>
    </w:p>
    <w:p w14:paraId="44E5252B">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5）如遇下穿公路洞段，应按《公路安全保护条例》第17条规定范围制定专项施工方案，经公路路政管理机构和监理人批准后实施。</w:t>
      </w:r>
    </w:p>
    <w:p w14:paraId="74631281">
      <w:pPr>
        <w:suppressAutoHyphens/>
        <w:ind w:firstLine="420"/>
        <w:jc w:val="left"/>
        <w:rPr>
          <w:color w:val="auto"/>
          <w:highlight w:val="none"/>
          <w:lang w:eastAsia="zh-CN"/>
        </w:rPr>
      </w:pPr>
      <w:r>
        <w:rPr>
          <w:rFonts w:hint="eastAsia"/>
          <w:color w:val="auto"/>
          <w:highlight w:val="none"/>
          <w:lang w:eastAsia="zh-CN"/>
        </w:rPr>
        <w:t>（6）在穿公路采用台阶法施工时，应满足如下要求：</w:t>
      </w:r>
    </w:p>
    <w:p w14:paraId="52C43B45">
      <w:pPr>
        <w:suppressAutoHyphens/>
        <w:ind w:firstLine="420"/>
        <w:jc w:val="left"/>
        <w:rPr>
          <w:color w:val="auto"/>
          <w:highlight w:val="none"/>
          <w:lang w:eastAsia="zh-CN"/>
        </w:rPr>
      </w:pPr>
      <w:r>
        <w:rPr>
          <w:rFonts w:hint="eastAsia"/>
          <w:color w:val="auto"/>
          <w:highlight w:val="none"/>
          <w:lang w:eastAsia="zh-CN"/>
        </w:rPr>
        <w:t>1）上台阶循环开挖进尺IV类围岩不应大于2榀钢拱架间距；</w:t>
      </w:r>
    </w:p>
    <w:p w14:paraId="4623F389">
      <w:pPr>
        <w:suppressAutoHyphens/>
        <w:ind w:firstLine="420"/>
        <w:jc w:val="left"/>
        <w:rPr>
          <w:color w:val="auto"/>
          <w:highlight w:val="none"/>
          <w:lang w:eastAsia="zh-CN"/>
        </w:rPr>
      </w:pPr>
      <w:r>
        <w:rPr>
          <w:rFonts w:hint="eastAsia"/>
          <w:color w:val="auto"/>
          <w:highlight w:val="none"/>
          <w:lang w:eastAsia="zh-CN"/>
        </w:rPr>
        <w:t>2）边墙每循环开挖支护进尺不应大于2榀钢拱架间距；</w:t>
      </w:r>
    </w:p>
    <w:p w14:paraId="3DC8E18C">
      <w:pPr>
        <w:suppressAutoHyphens/>
        <w:ind w:firstLine="420"/>
        <w:jc w:val="left"/>
        <w:rPr>
          <w:color w:val="auto"/>
          <w:highlight w:val="none"/>
          <w:lang w:eastAsia="zh-CN"/>
        </w:rPr>
      </w:pPr>
      <w:r>
        <w:rPr>
          <w:rFonts w:hint="eastAsia"/>
          <w:color w:val="auto"/>
          <w:highlight w:val="none"/>
          <w:lang w:eastAsia="zh-CN"/>
        </w:rPr>
        <w:t>3）仰拱开挖前必须完成钢拱架锁脚锚杆（管），每循环进尺不得大于3m；</w:t>
      </w:r>
    </w:p>
    <w:p w14:paraId="13ACEA03">
      <w:pPr>
        <w:suppressAutoHyphens/>
        <w:ind w:firstLine="420"/>
        <w:jc w:val="left"/>
        <w:rPr>
          <w:color w:val="auto"/>
          <w:highlight w:val="none"/>
          <w:lang w:eastAsia="zh-CN"/>
        </w:rPr>
      </w:pPr>
      <w:r>
        <w:rPr>
          <w:rFonts w:hint="eastAsia"/>
          <w:color w:val="auto"/>
          <w:highlight w:val="none"/>
          <w:lang w:eastAsia="zh-CN"/>
        </w:rPr>
        <w:t>4）隧洞开挖后初期支护应及时施作并封闭成环，IV类围岩封闭成环位置距离掌子面不得大于开挖洞径；</w:t>
      </w:r>
    </w:p>
    <w:p w14:paraId="40887418">
      <w:pPr>
        <w:suppressAutoHyphens/>
        <w:ind w:firstLine="420"/>
        <w:jc w:val="left"/>
        <w:rPr>
          <w:color w:val="auto"/>
          <w:highlight w:val="none"/>
          <w:lang w:eastAsia="zh-CN"/>
        </w:rPr>
      </w:pPr>
      <w:r>
        <w:rPr>
          <w:rFonts w:hint="eastAsia"/>
          <w:color w:val="auto"/>
          <w:highlight w:val="none"/>
          <w:lang w:eastAsia="zh-CN"/>
        </w:rPr>
        <w:t>5）二次衬砌应及时施作，二次衬砌距掌子面的距离IV类围岩不得大于70m。</w:t>
      </w:r>
    </w:p>
    <w:p w14:paraId="1702A65F">
      <w:pPr>
        <w:suppressAutoHyphens/>
        <w:ind w:firstLine="420"/>
        <w:jc w:val="left"/>
        <w:rPr>
          <w:color w:val="auto"/>
          <w:highlight w:val="none"/>
          <w:lang w:eastAsia="zh-CN"/>
        </w:rPr>
      </w:pPr>
      <w:r>
        <w:rPr>
          <w:rFonts w:hint="eastAsia"/>
          <w:color w:val="auto"/>
          <w:highlight w:val="none"/>
          <w:lang w:eastAsia="zh-CN"/>
        </w:rPr>
        <w:t>开挖掌子面出现垮塌、溜坍、掉块涌水、突泥、流沙等危及施工安全生产的迹象时，应在保证作业人员安全的条件下及时封闭掌子面。封闭掌子面应符合下列规定</w:t>
      </w:r>
      <w:r>
        <w:rPr>
          <w:color w:val="auto"/>
          <w:highlight w:val="none"/>
          <w:lang w:eastAsia="zh-CN"/>
        </w:rPr>
        <w:t>:</w:t>
      </w:r>
    </w:p>
    <w:p w14:paraId="3DA99C56">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7</w:t>
      </w:r>
      <w:r>
        <w:rPr>
          <w:rFonts w:hint="eastAsia"/>
          <w:color w:val="auto"/>
          <w:highlight w:val="none"/>
          <w:lang w:eastAsia="zh-CN"/>
        </w:rPr>
        <w:t>）开挖掌子面出现垮塌、溜坍、掉块涌水、突泥、流沙等危及施工安全生产的迹象时，应在保证作业人员安全的条件下及时封闭掌子面。封闭掌子面应符合下列规定</w:t>
      </w:r>
      <w:r>
        <w:rPr>
          <w:color w:val="auto"/>
          <w:highlight w:val="none"/>
          <w:lang w:eastAsia="zh-CN"/>
        </w:rPr>
        <w:t>:</w:t>
      </w:r>
    </w:p>
    <w:p w14:paraId="0408C819">
      <w:pPr>
        <w:suppressAutoHyphens/>
        <w:ind w:firstLine="420"/>
        <w:jc w:val="left"/>
        <w:rPr>
          <w:color w:val="auto"/>
          <w:highlight w:val="none"/>
          <w:lang w:eastAsia="zh-CN"/>
        </w:rPr>
      </w:pPr>
      <w:r>
        <w:rPr>
          <w:color w:val="auto"/>
          <w:highlight w:val="none"/>
          <w:lang w:eastAsia="zh-CN"/>
        </w:rPr>
        <w:t>1</w:t>
      </w:r>
      <w:r>
        <w:rPr>
          <w:rFonts w:hint="eastAsia"/>
          <w:color w:val="auto"/>
          <w:highlight w:val="none"/>
          <w:lang w:eastAsia="zh-CN"/>
        </w:rPr>
        <w:t>）在软弱围岩、破碎围岩地段、掌子面容易出现掉块时，可采用喷射混凝土封闭围岩，喷射混凝土厚度不宜小于80mm，且封闭期间喷射混凝土不应起层、剥落，必要时可设钢筋网。</w:t>
      </w:r>
    </w:p>
    <w:p w14:paraId="43C11CE5">
      <w:pPr>
        <w:suppressAutoHyphens/>
        <w:ind w:firstLine="420"/>
        <w:jc w:val="left"/>
        <w:rPr>
          <w:color w:val="auto"/>
          <w:highlight w:val="none"/>
          <w:lang w:eastAsia="zh-CN"/>
        </w:rPr>
      </w:pPr>
      <w:r>
        <w:rPr>
          <w:rFonts w:hint="eastAsia"/>
          <w:color w:val="auto"/>
          <w:highlight w:val="none"/>
          <w:lang w:eastAsia="zh-CN"/>
        </w:rPr>
        <w:t>2）在掌子面出现较大涌水、涌泥时，可采用混凝土封堵墙封堵，封堵墙厚度应根据封堵范围大小、涌出压力、涌泥规模、需封堵时间确定，封堵墙厚度应不小于50cm，并应采用早强混凝土，必要时可设钢筋网。</w:t>
      </w:r>
    </w:p>
    <w:p w14:paraId="5668E883">
      <w:pPr>
        <w:pStyle w:val="7"/>
        <w:ind w:firstLine="420"/>
        <w:jc w:val="left"/>
        <w:rPr>
          <w:color w:val="auto"/>
          <w:highlight w:val="none"/>
          <w:lang w:eastAsia="zh-CN"/>
        </w:rPr>
      </w:pPr>
      <w:r>
        <w:rPr>
          <w:rFonts w:hint="eastAsia"/>
          <w:color w:val="auto"/>
          <w:highlight w:val="none"/>
          <w:lang w:eastAsia="zh-CN"/>
        </w:rPr>
        <w:t>3）当掌子面出现流沙、涌泥及掌子面溜坍时，可采用洞渣加沙袋反压封堵。</w:t>
      </w:r>
    </w:p>
    <w:p w14:paraId="70CF2FC6">
      <w:pPr>
        <w:pStyle w:val="5"/>
        <w:jc w:val="left"/>
        <w:rPr>
          <w:color w:val="auto"/>
          <w:highlight w:val="none"/>
          <w:lang w:eastAsia="zh-CN"/>
        </w:rPr>
      </w:pPr>
      <w:r>
        <w:rPr>
          <w:color w:val="auto"/>
          <w:highlight w:val="none"/>
          <w:lang w:eastAsia="zh-CN"/>
        </w:rPr>
        <w:t>8.4.2.5</w:t>
      </w:r>
      <w:r>
        <w:rPr>
          <w:rFonts w:hint="eastAsia"/>
          <w:color w:val="auto"/>
          <w:highlight w:val="none"/>
          <w:lang w:eastAsia="zh-CN"/>
        </w:rPr>
        <w:t>　地质缺陷处理</w:t>
      </w:r>
    </w:p>
    <w:p w14:paraId="411F21CA">
      <w:pPr>
        <w:pStyle w:val="5"/>
        <w:jc w:val="left"/>
        <w:rPr>
          <w:rFonts w:hAnsi="Times New Roman" w:cs="楷体"/>
          <w:color w:val="auto"/>
          <w:highlight w:val="none"/>
          <w:lang w:eastAsia="zh-CN"/>
        </w:rPr>
      </w:pPr>
      <w:r>
        <w:rPr>
          <w:color w:val="auto"/>
          <w:highlight w:val="none"/>
          <w:lang w:eastAsia="zh-CN"/>
        </w:rPr>
        <w:t>8.4.2.</w:t>
      </w:r>
      <w:r>
        <w:rPr>
          <w:rFonts w:hAnsi="Times New Roman" w:cs="Times New Roman"/>
          <w:color w:val="auto"/>
          <w:highlight w:val="none"/>
          <w:lang w:eastAsia="zh-CN"/>
        </w:rPr>
        <w:t>5.1</w:t>
      </w:r>
      <w:r>
        <w:rPr>
          <w:rFonts w:hint="eastAsia" w:hAnsi="Times New Roman" w:cs="Times New Roman"/>
          <w:color w:val="auto"/>
          <w:highlight w:val="none"/>
          <w:lang w:eastAsia="zh-CN"/>
        </w:rPr>
        <w:t>　说明</w:t>
      </w:r>
    </w:p>
    <w:p w14:paraId="03EC7492">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本条规定适用于本章范围内施工过程中遇到的层间错动、断层、软弱夹层、蚀变风化破碎带、地下水、岩溶等不利地质条件的处理；影响建筑物结构和施工安全的危岩体的处理及其他不稳定岩体等地质缺陷的处理。承包人应按技术规范和图纸要求提供一切劳务、管理人员、施工机械设备和材料以及必须实施的各项工作。</w:t>
      </w:r>
    </w:p>
    <w:p w14:paraId="5A8D3E83">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）承包人对其实施项目的施工质量、进度及施工安全，负全部责任。不能以发包人和监理人批准或提出的修改意见为理由而推卸责任或向发包人要求额外支付。</w:t>
      </w:r>
    </w:p>
    <w:p w14:paraId="2D2A5F5C">
      <w:pPr>
        <w:pStyle w:val="5"/>
        <w:jc w:val="left"/>
        <w:rPr>
          <w:rFonts w:hAnsi="Times New Roman"/>
          <w:color w:val="auto"/>
          <w:highlight w:val="none"/>
          <w:lang w:eastAsia="zh-CN"/>
        </w:rPr>
      </w:pPr>
      <w:r>
        <w:rPr>
          <w:rFonts w:hAnsi="Times New Roman" w:cs="Times New Roman"/>
          <w:color w:val="auto"/>
          <w:highlight w:val="none"/>
          <w:lang w:eastAsia="zh-CN"/>
        </w:rPr>
        <w:t>8.4.2.5.2</w:t>
      </w:r>
      <w:r>
        <w:rPr>
          <w:rFonts w:hint="eastAsia" w:hAnsi="Times New Roman" w:cs="Times New Roman"/>
          <w:color w:val="auto"/>
          <w:highlight w:val="none"/>
          <w:lang w:eastAsia="zh-CN"/>
        </w:rPr>
        <w:t>　缺陷清理</w:t>
      </w:r>
    </w:p>
    <w:p w14:paraId="3E48C2E5">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）洞室开挖至设计开挖高程及轮廓线后，承包人应认真进行检查和清理，清除基岩面上的松动岩块及监理人认为应清除的有碍物。</w:t>
      </w:r>
    </w:p>
    <w:p w14:paraId="4B39D4B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）对于开挖揭示的层间错动、断层、软弱夹层及其它地质缺陷应按设计文件要求和监理人的指示进行清理。</w:t>
      </w:r>
    </w:p>
    <w:p w14:paraId="4D663805">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为了便于监理人和设计人进行检查与测绘地质特征，承包人必须提供有关的工作条件，如清洗岩石、排除积水、提供纵横断面图、照明及必需的测绘时间等，不得借故拒不执行，不得要求增加额外费用，也不得要求延迟工程进度。</w:t>
      </w:r>
    </w:p>
    <w:p w14:paraId="69355B6C">
      <w:pPr>
        <w:pStyle w:val="5"/>
        <w:jc w:val="left"/>
        <w:rPr>
          <w:rFonts w:hAnsi="Times New Roman"/>
          <w:color w:val="auto"/>
          <w:highlight w:val="none"/>
          <w:lang w:eastAsia="zh-CN"/>
        </w:rPr>
      </w:pPr>
      <w:r>
        <w:rPr>
          <w:rFonts w:hAnsi="Times New Roman" w:cs="Times New Roman"/>
          <w:color w:val="auto"/>
          <w:highlight w:val="none"/>
          <w:lang w:eastAsia="zh-CN"/>
        </w:rPr>
        <w:t>8.4.2.5.3</w:t>
      </w:r>
      <w:r>
        <w:rPr>
          <w:rFonts w:hint="eastAsia" w:hAnsi="Times New Roman" w:cs="Times New Roman"/>
          <w:color w:val="auto"/>
          <w:highlight w:val="none"/>
          <w:lang w:eastAsia="zh-CN"/>
        </w:rPr>
        <w:t>　</w:t>
      </w:r>
      <w:r>
        <w:rPr>
          <w:rFonts w:hint="eastAsia"/>
          <w:color w:val="auto"/>
          <w:highlight w:val="none"/>
          <w:lang w:eastAsia="zh-CN"/>
        </w:rPr>
        <w:t>缺陷处理</w:t>
      </w:r>
    </w:p>
    <w:p w14:paraId="1E5454CE">
      <w:pPr>
        <w:ind w:firstLine="420"/>
        <w:jc w:val="left"/>
        <w:rPr>
          <w:color w:val="auto"/>
          <w:highlight w:val="none"/>
          <w:lang w:eastAsia="zh-CN"/>
        </w:rPr>
      </w:pPr>
      <w:r>
        <w:rPr>
          <w:rFonts w:hint="eastAsia"/>
          <w:color w:val="auto"/>
          <w:highlight w:val="none"/>
          <w:lang w:eastAsia="zh-CN"/>
        </w:rPr>
        <w:t>在隧洞开挖中对有可能出现的其他断层、层间错动、软弱夹层等不利地质条件，承包人应及时通知监理人及发包人，并严格按发包人和监理人的指令进行处理，无论发包人采取何种工程措施，承包人均不得拒绝。</w:t>
      </w:r>
    </w:p>
    <w:p w14:paraId="38D2E07A">
      <w:pPr>
        <w:pStyle w:val="5"/>
        <w:jc w:val="left"/>
        <w:rPr>
          <w:color w:val="auto"/>
          <w:highlight w:val="none"/>
          <w:lang w:eastAsia="zh-CN"/>
        </w:rPr>
      </w:pPr>
      <w:r>
        <w:rPr>
          <w:color w:val="auto"/>
          <w:highlight w:val="none"/>
          <w:lang w:eastAsia="zh-CN"/>
        </w:rPr>
        <w:t>8.4.3</w:t>
      </w:r>
      <w:r>
        <w:rPr>
          <w:rFonts w:hint="eastAsia"/>
          <w:color w:val="auto"/>
          <w:highlight w:val="none"/>
          <w:lang w:eastAsia="zh-CN"/>
        </w:rPr>
        <w:t>　钻爆法不良地质洞段的开挖</w:t>
      </w:r>
    </w:p>
    <w:p w14:paraId="76AE3A7F">
      <w:pPr>
        <w:pStyle w:val="5"/>
        <w:jc w:val="left"/>
        <w:rPr>
          <w:color w:val="auto"/>
          <w:highlight w:val="none"/>
          <w:lang w:eastAsia="zh-CN"/>
        </w:rPr>
      </w:pPr>
      <w:r>
        <w:rPr>
          <w:color w:val="auto"/>
          <w:highlight w:val="none"/>
          <w:lang w:eastAsia="zh-CN"/>
        </w:rPr>
        <w:t>8.4.3.1</w:t>
      </w:r>
      <w:r>
        <w:rPr>
          <w:rFonts w:hint="eastAsia"/>
          <w:color w:val="auto"/>
          <w:highlight w:val="none"/>
          <w:lang w:eastAsia="zh-CN"/>
        </w:rPr>
        <w:t>　一般规定</w:t>
      </w:r>
    </w:p>
    <w:p w14:paraId="57F0C203">
      <w:pPr>
        <w:suppressAutoHyphens/>
        <w:ind w:firstLine="420"/>
        <w:jc w:val="left"/>
        <w:rPr>
          <w:rFonts w:hAnsi="Calibri" w:cs="Times New Roman"/>
          <w:color w:val="auto"/>
          <w:highlight w:val="none"/>
          <w:lang w:eastAsia="zh-CN"/>
        </w:rPr>
      </w:pPr>
      <w:r>
        <w:rPr>
          <w:rFonts w:hint="eastAsia" w:hAnsi="Calibri" w:cs="Times New Roman"/>
          <w:color w:val="auto"/>
          <w:highlight w:val="none"/>
          <w:lang w:eastAsia="zh-CN"/>
        </w:rPr>
        <w:t>（1）输水线路和施工支洞可能存在断裂断层带、涌水突泥、高外水压力、岩溶、岩爆、软岩大变形、高地温、有毒有害气体及放射性等工程地质问题。这些工程地质问题可能会对施工安全、施工效率和环境安全造成影响。承包人根据本招标文件中列举的不良地质类型，选择安全合理的措施项目。</w:t>
      </w:r>
    </w:p>
    <w:p w14:paraId="6373CA13">
      <w:pPr>
        <w:ind w:firstLine="420"/>
        <w:jc w:val="left"/>
        <w:rPr>
          <w:rFonts w:hAnsi="Calibri" w:cs="Times New Roman"/>
          <w:color w:val="auto"/>
          <w:highlight w:val="none"/>
          <w:lang w:eastAsia="zh-CN"/>
        </w:rPr>
      </w:pPr>
      <w:r>
        <w:rPr>
          <w:rFonts w:hint="eastAsia" w:hAnsi="Calibri" w:cs="Times New Roman"/>
          <w:color w:val="auto"/>
          <w:highlight w:val="none"/>
          <w:lang w:eastAsia="zh-CN"/>
        </w:rPr>
        <w:t>（2）不良地质洞段输水隧洞和施工平洞施工前应编制专项施工方案，专项施工方案应包括:应急预案、地质预报方案、监控量测方案。施工过程中实际与设计不符时，应及时调整。专项施工方案应经专家评审和监理人批准后实施。</w:t>
      </w:r>
    </w:p>
    <w:p w14:paraId="2DC05DC6">
      <w:pPr>
        <w:ind w:firstLine="420"/>
        <w:jc w:val="left"/>
        <w:rPr>
          <w:rFonts w:hAnsi="Calibri" w:cs="Times New Roman"/>
          <w:color w:val="auto"/>
          <w:highlight w:val="none"/>
          <w:lang w:eastAsia="zh-CN"/>
        </w:rPr>
      </w:pPr>
      <w:r>
        <w:rPr>
          <w:rFonts w:hint="eastAsia" w:hAnsi="Calibri" w:cs="Times New Roman"/>
          <w:color w:val="auto"/>
          <w:highlight w:val="none"/>
          <w:lang w:eastAsia="zh-CN"/>
        </w:rPr>
        <w:t>（3）应结合应急预案，提前做好技术、物资、机械的储备和应急演练。</w:t>
      </w:r>
    </w:p>
    <w:p w14:paraId="1273E838">
      <w:pPr>
        <w:ind w:firstLine="420"/>
        <w:jc w:val="left"/>
        <w:rPr>
          <w:color w:val="auto"/>
          <w:highlight w:val="none"/>
          <w:lang w:eastAsia="zh-CN"/>
        </w:rPr>
      </w:pPr>
      <w:r>
        <w:rPr>
          <w:rFonts w:hint="eastAsia" w:hAnsi="Calibri" w:cs="Times New Roman"/>
          <w:color w:val="auto"/>
          <w:highlight w:val="none"/>
          <w:lang w:eastAsia="zh-CN"/>
        </w:rPr>
        <w:t>（4）应加强监控量测工作，及时反馈量测结果，进行动态设计和动态施工。</w:t>
      </w:r>
    </w:p>
    <w:p w14:paraId="234DF9E8">
      <w:pPr>
        <w:pStyle w:val="5"/>
        <w:jc w:val="left"/>
        <w:rPr>
          <w:color w:val="auto"/>
          <w:highlight w:val="none"/>
          <w:lang w:eastAsia="zh-CN"/>
        </w:rPr>
      </w:pPr>
      <w:r>
        <w:rPr>
          <w:color w:val="auto"/>
          <w:highlight w:val="none"/>
          <w:lang w:eastAsia="zh-CN"/>
        </w:rPr>
        <w:t>8.4.3.2</w:t>
      </w:r>
      <w:r>
        <w:rPr>
          <w:rFonts w:hint="eastAsia"/>
          <w:color w:val="auto"/>
          <w:highlight w:val="none"/>
          <w:lang w:eastAsia="zh-CN"/>
        </w:rPr>
        <w:t>　断层带洞段开挖</w:t>
      </w:r>
    </w:p>
    <w:p w14:paraId="3B7CF940">
      <w:pPr>
        <w:ind w:firstLine="420"/>
        <w:jc w:val="left"/>
        <w:rPr>
          <w:rFonts w:hAnsi="Calibri" w:cs="Times New Roman"/>
          <w:color w:val="auto"/>
          <w:highlight w:val="none"/>
          <w:lang w:eastAsia="zh-CN"/>
        </w:rPr>
      </w:pPr>
      <w:r>
        <w:rPr>
          <w:rFonts w:hint="eastAsia" w:hAnsi="Calibri" w:cs="Times New Roman"/>
          <w:color w:val="auto"/>
          <w:highlight w:val="none"/>
          <w:lang w:eastAsia="zh-CN"/>
        </w:rPr>
        <w:t>（1）断层带洞段一般分为断层影响带和主断带，开挖前应结合超前地质预报结果并根据地质变化情况及时调整开挖方法，做好工序衔接，工序衔接期间应加强监控量测，必要时做好掌子面的加固。</w:t>
      </w:r>
    </w:p>
    <w:p w14:paraId="46081B92">
      <w:pPr>
        <w:ind w:firstLine="420"/>
        <w:jc w:val="left"/>
        <w:rPr>
          <w:rFonts w:hAnsi="Calibri" w:cs="Times New Roman"/>
          <w:color w:val="auto"/>
          <w:highlight w:val="none"/>
          <w:lang w:eastAsia="zh-CN"/>
        </w:rPr>
      </w:pPr>
      <w:r>
        <w:rPr>
          <w:rFonts w:hint="eastAsia" w:hAnsi="Calibri" w:cs="Times New Roman"/>
          <w:color w:val="auto"/>
          <w:highlight w:val="none"/>
          <w:lang w:eastAsia="zh-CN"/>
        </w:rPr>
        <w:t>（2）断裂断层带洞段开挖方法转换应符合下列规定:</w:t>
      </w:r>
    </w:p>
    <w:p w14:paraId="6E3FFC98">
      <w:pPr>
        <w:ind w:firstLine="420"/>
        <w:jc w:val="left"/>
        <w:rPr>
          <w:rFonts w:hAnsi="Calibri" w:cs="Times New Roman"/>
          <w:color w:val="auto"/>
          <w:highlight w:val="none"/>
          <w:lang w:eastAsia="zh-CN"/>
        </w:rPr>
      </w:pPr>
      <w:r>
        <w:rPr>
          <w:rFonts w:hint="eastAsia" w:hAnsi="Calibri" w:cs="Times New Roman"/>
          <w:color w:val="auto"/>
          <w:highlight w:val="none"/>
          <w:lang w:eastAsia="zh-CN"/>
        </w:rPr>
        <w:t>1）转换前应进行围岩级别核对，确认开挖方法和支护参数适用于前方围岩。</w:t>
      </w:r>
    </w:p>
    <w:p w14:paraId="4915025B">
      <w:pPr>
        <w:ind w:firstLine="420"/>
        <w:jc w:val="left"/>
        <w:rPr>
          <w:rFonts w:hAnsi="Calibri" w:cs="Times New Roman"/>
          <w:color w:val="auto"/>
          <w:highlight w:val="none"/>
          <w:lang w:eastAsia="zh-CN"/>
        </w:rPr>
      </w:pPr>
      <w:r>
        <w:rPr>
          <w:rFonts w:hint="eastAsia" w:hAnsi="Calibri" w:cs="Times New Roman"/>
          <w:color w:val="auto"/>
          <w:highlight w:val="none"/>
          <w:lang w:eastAsia="zh-CN"/>
        </w:rPr>
        <w:t>2）分部断面变大、支护变弱应在较好的围岩段中进行。</w:t>
      </w:r>
    </w:p>
    <w:p w14:paraId="6121C346">
      <w:pPr>
        <w:ind w:firstLine="420"/>
        <w:jc w:val="left"/>
        <w:rPr>
          <w:rFonts w:hAnsi="Calibri" w:cs="Times New Roman"/>
          <w:color w:val="auto"/>
          <w:highlight w:val="none"/>
          <w:lang w:eastAsia="zh-CN"/>
        </w:rPr>
      </w:pPr>
      <w:r>
        <w:rPr>
          <w:rFonts w:hint="eastAsia" w:hAnsi="Calibri" w:cs="Times New Roman"/>
          <w:color w:val="auto"/>
          <w:highlight w:val="none"/>
          <w:lang w:eastAsia="zh-CN"/>
        </w:rPr>
        <w:t>3）转换前应进行技术交底。</w:t>
      </w:r>
    </w:p>
    <w:p w14:paraId="56B0D1F2">
      <w:pPr>
        <w:ind w:firstLine="420"/>
        <w:jc w:val="left"/>
        <w:rPr>
          <w:rFonts w:hAnsi="Calibri" w:cs="Times New Roman"/>
          <w:color w:val="auto"/>
          <w:highlight w:val="none"/>
          <w:lang w:eastAsia="zh-CN"/>
        </w:rPr>
      </w:pPr>
      <w:r>
        <w:rPr>
          <w:rFonts w:hint="eastAsia" w:hAnsi="Calibri" w:cs="Times New Roman"/>
          <w:color w:val="auto"/>
          <w:highlight w:val="none"/>
          <w:lang w:eastAsia="zh-CN"/>
        </w:rPr>
        <w:t>4）转换应逐渐过渡。</w:t>
      </w:r>
    </w:p>
    <w:p w14:paraId="3BFFDEA7">
      <w:pPr>
        <w:ind w:firstLine="420"/>
        <w:jc w:val="left"/>
        <w:rPr>
          <w:rFonts w:hAnsi="Calibri" w:cs="Times New Roman"/>
          <w:color w:val="auto"/>
          <w:highlight w:val="none"/>
          <w:lang w:eastAsia="zh-CN"/>
        </w:rPr>
      </w:pPr>
      <w:r>
        <w:rPr>
          <w:rFonts w:hint="eastAsia" w:hAnsi="Calibri" w:cs="Times New Roman"/>
          <w:color w:val="auto"/>
          <w:highlight w:val="none"/>
          <w:lang w:eastAsia="zh-CN"/>
        </w:rPr>
        <w:t>5）转换过程中各开挖分部应及时支护、及时闭合。</w:t>
      </w:r>
    </w:p>
    <w:p w14:paraId="4E89F40A">
      <w:pPr>
        <w:ind w:firstLine="420"/>
        <w:jc w:val="left"/>
        <w:rPr>
          <w:rFonts w:hAnsi="Calibri" w:cs="Times New Roman"/>
          <w:color w:val="auto"/>
          <w:highlight w:val="none"/>
          <w:lang w:eastAsia="zh-CN"/>
        </w:rPr>
      </w:pPr>
      <w:r>
        <w:rPr>
          <w:rFonts w:hint="eastAsia" w:hAnsi="Calibri" w:cs="Times New Roman"/>
          <w:color w:val="auto"/>
          <w:highlight w:val="none"/>
          <w:lang w:eastAsia="zh-CN"/>
        </w:rPr>
        <w:t>（3）断层带的开挖方法根据现场地质条件和批准的专项施工方案，可选择台阶法、环形开挖留核心土法、中隔法施工、交叉中隔壁法和双侧壁导坑法。</w:t>
      </w:r>
    </w:p>
    <w:p w14:paraId="19F295D8">
      <w:pPr>
        <w:ind w:firstLine="420"/>
        <w:jc w:val="left"/>
        <w:rPr>
          <w:rFonts w:hAnsi="Calibri" w:cs="Times New Roman"/>
          <w:color w:val="auto"/>
          <w:highlight w:val="none"/>
          <w:lang w:eastAsia="zh-CN"/>
        </w:rPr>
      </w:pPr>
      <w:r>
        <w:rPr>
          <w:rFonts w:hint="eastAsia" w:hAnsi="Calibri" w:cs="Times New Roman"/>
          <w:color w:val="auto"/>
          <w:highlight w:val="none"/>
          <w:lang w:eastAsia="zh-CN"/>
        </w:rPr>
        <w:t>（4）台阶法施工应符合下列规定:</w:t>
      </w:r>
    </w:p>
    <w:p w14:paraId="247643F4">
      <w:pPr>
        <w:ind w:firstLine="420"/>
        <w:jc w:val="left"/>
        <w:rPr>
          <w:rFonts w:hAnsi="Calibri" w:cs="Times New Roman"/>
          <w:color w:val="auto"/>
          <w:highlight w:val="none"/>
          <w:lang w:eastAsia="zh-CN"/>
        </w:rPr>
      </w:pPr>
      <w:r>
        <w:rPr>
          <w:rFonts w:hint="eastAsia" w:hAnsi="Calibri" w:cs="Times New Roman"/>
          <w:color w:val="auto"/>
          <w:highlight w:val="none"/>
          <w:lang w:eastAsia="zh-CN"/>
        </w:rPr>
        <w:t>1）台阶数量和台阶高度应综合考虑洞段断面高度、机械设备及围岩稳定性等因素确定。台阶开挖高度宜为2.5-3.5m。可采用二台阶法或者三台阶法，台阶数量不宜多于三个。</w:t>
      </w:r>
    </w:p>
    <w:p w14:paraId="11D3878F">
      <w:pPr>
        <w:ind w:firstLine="420"/>
        <w:jc w:val="left"/>
        <w:rPr>
          <w:rFonts w:hAnsi="Calibri" w:cs="Times New Roman"/>
          <w:color w:val="auto"/>
          <w:highlight w:val="none"/>
          <w:lang w:eastAsia="zh-CN"/>
        </w:rPr>
      </w:pPr>
      <w:r>
        <w:rPr>
          <w:rFonts w:hint="eastAsia" w:hAnsi="Calibri" w:cs="Times New Roman"/>
          <w:color w:val="auto"/>
          <w:highlight w:val="none"/>
          <w:lang w:eastAsia="zh-CN"/>
        </w:rPr>
        <w:t>2）下台阶左、右侧开挖宜前后错开3-5m，同一榀钢架两侧不得同时悬空。</w:t>
      </w:r>
    </w:p>
    <w:p w14:paraId="36C79196">
      <w:pPr>
        <w:ind w:firstLine="420"/>
        <w:jc w:val="left"/>
        <w:rPr>
          <w:rFonts w:hAnsi="Calibri" w:cs="Times New Roman"/>
          <w:color w:val="auto"/>
          <w:highlight w:val="none"/>
          <w:lang w:eastAsia="zh-CN"/>
        </w:rPr>
      </w:pPr>
      <w:r>
        <w:rPr>
          <w:rFonts w:hint="eastAsia" w:hAnsi="Calibri" w:cs="Times New Roman"/>
          <w:color w:val="auto"/>
          <w:highlight w:val="none"/>
          <w:lang w:eastAsia="zh-CN"/>
        </w:rPr>
        <w:t>3）下部施工应减少对上部围岩、支护的干扰和破坏。</w:t>
      </w:r>
    </w:p>
    <w:p w14:paraId="61F9CD2E">
      <w:pPr>
        <w:ind w:firstLine="420"/>
        <w:jc w:val="left"/>
        <w:rPr>
          <w:rFonts w:hAnsi="Calibri" w:cs="Times New Roman"/>
          <w:color w:val="auto"/>
          <w:highlight w:val="none"/>
          <w:lang w:eastAsia="zh-CN"/>
        </w:rPr>
      </w:pPr>
      <w:r>
        <w:rPr>
          <w:rFonts w:hint="eastAsia" w:hAnsi="Calibri" w:cs="Times New Roman"/>
          <w:color w:val="auto"/>
          <w:highlight w:val="none"/>
          <w:lang w:eastAsia="zh-CN"/>
        </w:rPr>
        <w:t>4）下台阶应在上台阶喷射混凝土强度达到设计强度的</w:t>
      </w:r>
      <w:r>
        <w:rPr>
          <w:rFonts w:hAnsi="Calibri" w:cs="Times New Roman"/>
          <w:color w:val="auto"/>
          <w:highlight w:val="none"/>
          <w:lang w:eastAsia="zh-CN"/>
        </w:rPr>
        <w:t>70%</w:t>
      </w:r>
      <w:r>
        <w:rPr>
          <w:rFonts w:hint="eastAsia" w:hAnsi="Calibri" w:cs="Times New Roman"/>
          <w:color w:val="auto"/>
          <w:highlight w:val="none"/>
          <w:lang w:eastAsia="zh-CN"/>
        </w:rPr>
        <w:t>以后开挖。</w:t>
      </w:r>
    </w:p>
    <w:p w14:paraId="32074145">
      <w:pPr>
        <w:ind w:firstLine="420"/>
        <w:jc w:val="left"/>
        <w:rPr>
          <w:rFonts w:hAnsi="Calibri" w:cs="Times New Roman"/>
          <w:color w:val="auto"/>
          <w:highlight w:val="none"/>
          <w:lang w:eastAsia="zh-CN"/>
        </w:rPr>
      </w:pPr>
      <w:r>
        <w:rPr>
          <w:rFonts w:hint="eastAsia" w:hAnsi="Calibri" w:cs="Times New Roman"/>
          <w:color w:val="auto"/>
          <w:highlight w:val="none"/>
          <w:lang w:eastAsia="zh-CN"/>
        </w:rPr>
        <w:t>（5）环形开挖留核心土法施工应符合下列规定:</w:t>
      </w:r>
    </w:p>
    <w:p w14:paraId="5C6D95E0">
      <w:pPr>
        <w:ind w:firstLine="420"/>
        <w:jc w:val="left"/>
        <w:rPr>
          <w:rFonts w:hAnsi="Calibri" w:cs="Times New Roman"/>
          <w:color w:val="auto"/>
          <w:highlight w:val="none"/>
          <w:lang w:eastAsia="zh-CN"/>
        </w:rPr>
      </w:pPr>
      <w:r>
        <w:rPr>
          <w:rFonts w:hint="eastAsia" w:hAnsi="Calibri" w:cs="Times New Roman"/>
          <w:color w:val="auto"/>
          <w:highlight w:val="none"/>
          <w:lang w:eastAsia="zh-CN"/>
        </w:rPr>
        <w:t>1）台阶开挖高度宜为2.5-3.5m。</w:t>
      </w:r>
    </w:p>
    <w:p w14:paraId="4AF4F3B4">
      <w:pPr>
        <w:ind w:firstLine="420"/>
        <w:jc w:val="left"/>
        <w:rPr>
          <w:rFonts w:hAnsi="Calibri" w:cs="Times New Roman"/>
          <w:color w:val="auto"/>
          <w:highlight w:val="none"/>
          <w:lang w:eastAsia="zh-CN"/>
        </w:rPr>
      </w:pPr>
      <w:r>
        <w:rPr>
          <w:rFonts w:hint="eastAsia" w:hAnsi="Calibri" w:cs="Times New Roman"/>
          <w:color w:val="auto"/>
          <w:highlight w:val="none"/>
          <w:lang w:eastAsia="zh-CN"/>
        </w:rPr>
        <w:t>2）环形开挖每循环进尺，V级围岩宜不大于1榀钢架间距，IV级围岩宜不大于2榀钢架间距。中下台阶每循环进尺，不得大于2榀钢架间距。核心土面积宜不小于断面面积的50%。</w:t>
      </w:r>
    </w:p>
    <w:p w14:paraId="2768E53C">
      <w:pPr>
        <w:ind w:firstLine="420"/>
        <w:jc w:val="left"/>
        <w:rPr>
          <w:rFonts w:hAnsi="Calibri" w:cs="Times New Roman"/>
          <w:color w:val="auto"/>
          <w:highlight w:val="none"/>
          <w:lang w:eastAsia="zh-CN"/>
        </w:rPr>
      </w:pPr>
      <w:r>
        <w:rPr>
          <w:rFonts w:hint="eastAsia" w:hAnsi="Calibri" w:cs="Times New Roman"/>
          <w:color w:val="auto"/>
          <w:highlight w:val="none"/>
          <w:lang w:eastAsia="zh-CN"/>
        </w:rPr>
        <w:t>3）上台阶钢架施工时，应采取有效措施控制其下沉和变形。</w:t>
      </w:r>
    </w:p>
    <w:p w14:paraId="07E1A985">
      <w:pPr>
        <w:ind w:firstLine="420"/>
        <w:jc w:val="left"/>
        <w:rPr>
          <w:rFonts w:hAnsi="Calibri" w:cs="Times New Roman"/>
          <w:color w:val="auto"/>
          <w:highlight w:val="none"/>
          <w:lang w:eastAsia="zh-CN"/>
        </w:rPr>
      </w:pPr>
      <w:r>
        <w:rPr>
          <w:rFonts w:hint="eastAsia" w:hAnsi="Calibri" w:cs="Times New Roman"/>
          <w:color w:val="auto"/>
          <w:highlight w:val="none"/>
          <w:lang w:eastAsia="zh-CN"/>
        </w:rPr>
        <w:t>4）拱部超前支护完成后，方可开挖上台阶环形导坑;留核心土长度宜为3-5m宽度宜为洞段开挖宽度的1/3-1/2。</w:t>
      </w:r>
    </w:p>
    <w:p w14:paraId="72092D09">
      <w:pPr>
        <w:ind w:firstLine="420"/>
        <w:jc w:val="left"/>
        <w:rPr>
          <w:rFonts w:hAnsi="Calibri" w:cs="Times New Roman"/>
          <w:color w:val="auto"/>
          <w:highlight w:val="none"/>
          <w:lang w:eastAsia="zh-CN"/>
        </w:rPr>
      </w:pPr>
      <w:r>
        <w:rPr>
          <w:rFonts w:hint="eastAsia" w:hAnsi="Calibri" w:cs="Times New Roman"/>
          <w:color w:val="auto"/>
          <w:highlight w:val="none"/>
          <w:lang w:eastAsia="zh-CN"/>
        </w:rPr>
        <w:t>5）各台阶留核心土开挖每循环进尺宜与其他分部循环进尺相一致。</w:t>
      </w:r>
    </w:p>
    <w:p w14:paraId="08E9F520">
      <w:pPr>
        <w:ind w:firstLine="420"/>
        <w:jc w:val="left"/>
        <w:rPr>
          <w:rFonts w:hAnsi="Calibri" w:cs="Times New Roman"/>
          <w:color w:val="auto"/>
          <w:highlight w:val="none"/>
          <w:lang w:eastAsia="zh-CN"/>
        </w:rPr>
      </w:pPr>
      <w:r>
        <w:rPr>
          <w:rFonts w:hint="eastAsia" w:hAnsi="Calibri" w:cs="Times New Roman"/>
          <w:color w:val="auto"/>
          <w:highlight w:val="none"/>
          <w:lang w:eastAsia="zh-CN"/>
        </w:rPr>
        <w:t>6）核心土与下台阶开挖应在上台阶支护完成且喷射混凝土强度达到设计强度的70%后进行。下台阶左、右侧开挖应错开3-5m，同一榀钢架两侧不得同时悬空。</w:t>
      </w:r>
    </w:p>
    <w:p w14:paraId="175A8090">
      <w:pPr>
        <w:ind w:firstLine="420"/>
        <w:jc w:val="left"/>
        <w:rPr>
          <w:rFonts w:hAnsi="Calibri" w:cs="Times New Roman"/>
          <w:color w:val="auto"/>
          <w:highlight w:val="none"/>
          <w:lang w:eastAsia="zh-CN"/>
        </w:rPr>
      </w:pPr>
      <w:r>
        <w:rPr>
          <w:rFonts w:hint="eastAsia" w:hAnsi="Calibri" w:cs="Times New Roman"/>
          <w:color w:val="auto"/>
          <w:highlight w:val="none"/>
          <w:lang w:eastAsia="zh-CN"/>
        </w:rPr>
        <w:t>7）仰拱施作应紧跟下台阶，以及时闭合成稳固的支护体系。</w:t>
      </w:r>
    </w:p>
    <w:p w14:paraId="204F4DE8">
      <w:pPr>
        <w:ind w:firstLine="420"/>
        <w:jc w:val="left"/>
        <w:rPr>
          <w:rFonts w:hAnsi="Calibri" w:cs="Times New Roman"/>
          <w:color w:val="auto"/>
          <w:highlight w:val="none"/>
          <w:lang w:eastAsia="zh-CN"/>
        </w:rPr>
      </w:pPr>
      <w:r>
        <w:rPr>
          <w:rFonts w:hint="eastAsia" w:hAnsi="Calibri" w:cs="Times New Roman"/>
          <w:color w:val="auto"/>
          <w:highlight w:val="none"/>
          <w:lang w:eastAsia="zh-CN"/>
        </w:rPr>
        <w:t>（6）中隔壁法施工应符合下列规定：</w:t>
      </w:r>
    </w:p>
    <w:p w14:paraId="160C8A11">
      <w:pPr>
        <w:ind w:firstLine="420"/>
        <w:jc w:val="left"/>
        <w:rPr>
          <w:rFonts w:hAnsi="Calibri" w:cs="Times New Roman"/>
          <w:color w:val="auto"/>
          <w:highlight w:val="none"/>
          <w:lang w:eastAsia="zh-CN"/>
        </w:rPr>
      </w:pPr>
      <w:r>
        <w:rPr>
          <w:rFonts w:hint="eastAsia" w:hAnsi="Calibri" w:cs="Times New Roman"/>
          <w:color w:val="auto"/>
          <w:highlight w:val="none"/>
          <w:lang w:eastAsia="zh-CN"/>
        </w:rPr>
        <w:t>1）各分部开挖时，周边轮廓应圆顺。开挖进尺不得大于1榀钢架间距</w:t>
      </w:r>
    </w:p>
    <w:p w14:paraId="662CD682">
      <w:pPr>
        <w:ind w:firstLine="420"/>
        <w:jc w:val="left"/>
        <w:rPr>
          <w:rFonts w:hAnsi="Calibri" w:cs="Times New Roman"/>
          <w:color w:val="auto"/>
          <w:highlight w:val="none"/>
          <w:lang w:eastAsia="zh-CN"/>
        </w:rPr>
      </w:pPr>
      <w:r>
        <w:rPr>
          <w:rFonts w:hint="eastAsia" w:hAnsi="Calibri" w:cs="Times New Roman"/>
          <w:color w:val="auto"/>
          <w:highlight w:val="none"/>
          <w:lang w:eastAsia="zh-CN"/>
        </w:rPr>
        <w:t>2）初期支护完成、强度达到设计规定后方可进行下一分部开挖。</w:t>
      </w:r>
    </w:p>
    <w:p w14:paraId="32441F18">
      <w:pPr>
        <w:ind w:firstLine="420"/>
        <w:jc w:val="left"/>
        <w:rPr>
          <w:rFonts w:hAnsi="Calibri" w:cs="Times New Roman"/>
          <w:color w:val="auto"/>
          <w:highlight w:val="none"/>
          <w:lang w:eastAsia="zh-CN"/>
        </w:rPr>
      </w:pPr>
      <w:r>
        <w:rPr>
          <w:rFonts w:hint="eastAsia" w:hAnsi="Calibri" w:cs="Times New Roman"/>
          <w:color w:val="auto"/>
          <w:highlight w:val="none"/>
          <w:lang w:eastAsia="zh-CN"/>
        </w:rPr>
        <w:t>3）当开挖形成全断面时，应及时完成全断面初期支护闭合。</w:t>
      </w:r>
    </w:p>
    <w:p w14:paraId="2D7CFDCA">
      <w:pPr>
        <w:ind w:firstLine="420"/>
        <w:jc w:val="left"/>
        <w:rPr>
          <w:rFonts w:hAnsi="Calibri" w:cs="Times New Roman"/>
          <w:color w:val="auto"/>
          <w:highlight w:val="none"/>
          <w:lang w:eastAsia="zh-CN"/>
        </w:rPr>
      </w:pPr>
      <w:r>
        <w:rPr>
          <w:rFonts w:hint="eastAsia" w:hAnsi="Calibri" w:cs="Times New Roman"/>
          <w:color w:val="auto"/>
          <w:highlight w:val="none"/>
          <w:lang w:eastAsia="zh-CN"/>
        </w:rPr>
        <w:t>4）临时支护拆除宜在仰拱施工前进行，一次拆除长度应与仰拱浇筑长度相适应临时支护拆除后，应及时浇筑仰拱和仰拱填充、施作拱墙二次衬砌。</w:t>
      </w:r>
    </w:p>
    <w:p w14:paraId="66035262">
      <w:pPr>
        <w:ind w:firstLine="420"/>
        <w:jc w:val="left"/>
        <w:rPr>
          <w:rFonts w:hAnsi="Calibri" w:cs="Times New Roman"/>
          <w:color w:val="auto"/>
          <w:highlight w:val="none"/>
          <w:lang w:eastAsia="zh-CN"/>
        </w:rPr>
      </w:pPr>
      <w:r>
        <w:rPr>
          <w:rFonts w:hint="eastAsia" w:hAnsi="Calibri" w:cs="Times New Roman"/>
          <w:color w:val="auto"/>
          <w:highlight w:val="none"/>
          <w:lang w:eastAsia="zh-CN"/>
        </w:rPr>
        <w:t>5）临时支护拆除前后，应进行变形量测。</w:t>
      </w:r>
    </w:p>
    <w:p w14:paraId="2BAC52E9">
      <w:pPr>
        <w:ind w:firstLine="420"/>
        <w:jc w:val="left"/>
        <w:rPr>
          <w:rFonts w:hAnsi="Calibri" w:cs="Times New Roman"/>
          <w:color w:val="auto"/>
          <w:highlight w:val="none"/>
          <w:lang w:eastAsia="zh-CN"/>
        </w:rPr>
      </w:pPr>
      <w:r>
        <w:rPr>
          <w:rFonts w:hint="eastAsia" w:hAnsi="Calibri" w:cs="Times New Roman"/>
          <w:color w:val="auto"/>
          <w:highlight w:val="none"/>
          <w:lang w:eastAsia="zh-CN"/>
        </w:rPr>
        <w:t>（7）交叉中隔壁法施工应符合下列规定:</w:t>
      </w:r>
    </w:p>
    <w:p w14:paraId="6550C6FF">
      <w:pPr>
        <w:ind w:firstLine="420"/>
        <w:jc w:val="left"/>
        <w:rPr>
          <w:rFonts w:hAnsi="Calibri" w:cs="Times New Roman"/>
          <w:color w:val="auto"/>
          <w:highlight w:val="none"/>
          <w:lang w:eastAsia="zh-CN"/>
        </w:rPr>
      </w:pPr>
      <w:r>
        <w:rPr>
          <w:rFonts w:hint="eastAsia" w:hAnsi="Calibri" w:cs="Times New Roman"/>
          <w:color w:val="auto"/>
          <w:highlight w:val="none"/>
          <w:lang w:eastAsia="zh-CN"/>
        </w:rPr>
        <w:t>1）各分部开挖时，周边轮廓应圆顺。开挖进尺不得大于1榀钢架间距。</w:t>
      </w:r>
    </w:p>
    <w:p w14:paraId="51260F6E">
      <w:pPr>
        <w:ind w:firstLine="420"/>
        <w:jc w:val="left"/>
        <w:rPr>
          <w:rFonts w:hAnsi="Calibri" w:cs="Times New Roman"/>
          <w:color w:val="auto"/>
          <w:highlight w:val="none"/>
          <w:lang w:eastAsia="zh-CN"/>
        </w:rPr>
      </w:pPr>
      <w:r>
        <w:rPr>
          <w:rFonts w:hint="eastAsia" w:hAnsi="Calibri" w:cs="Times New Roman"/>
          <w:color w:val="auto"/>
          <w:highlight w:val="none"/>
          <w:lang w:eastAsia="zh-CN"/>
        </w:rPr>
        <w:t>2）初期支护完成、强度达到设计规定后方可进行下一分部开挖。每个台阶底部均应按设计规定及时施工临时钢架或临时仰拱。</w:t>
      </w:r>
    </w:p>
    <w:p w14:paraId="0C5108C8">
      <w:pPr>
        <w:ind w:firstLine="420"/>
        <w:jc w:val="left"/>
        <w:rPr>
          <w:rFonts w:hAnsi="Calibri" w:cs="Times New Roman"/>
          <w:color w:val="auto"/>
          <w:highlight w:val="none"/>
          <w:lang w:eastAsia="zh-CN"/>
        </w:rPr>
      </w:pPr>
      <w:r>
        <w:rPr>
          <w:rFonts w:hint="eastAsia" w:hAnsi="Calibri" w:cs="Times New Roman"/>
          <w:color w:val="auto"/>
          <w:highlight w:val="none"/>
          <w:lang w:eastAsia="zh-CN"/>
        </w:rPr>
        <w:t>3）当开挖形成全断面时，应及时完成全断面初期支护闭合。</w:t>
      </w:r>
    </w:p>
    <w:p w14:paraId="19967CAA">
      <w:pPr>
        <w:ind w:firstLine="420"/>
        <w:jc w:val="left"/>
        <w:rPr>
          <w:rFonts w:hAnsi="Calibri" w:cs="Times New Roman"/>
          <w:color w:val="auto"/>
          <w:highlight w:val="none"/>
          <w:lang w:eastAsia="zh-CN"/>
        </w:rPr>
      </w:pPr>
      <w:r>
        <w:rPr>
          <w:rFonts w:hint="eastAsia" w:hAnsi="Calibri" w:cs="Times New Roman"/>
          <w:color w:val="auto"/>
          <w:highlight w:val="none"/>
          <w:lang w:eastAsia="zh-CN"/>
        </w:rPr>
        <w:t>4）临时支护拆除宜在仰拱施工前进行，一次拆除长度宜与仰拱浇筑长度相适应临时支护拆除后，应及时浇筑仰拱和仰拱填充、施作拱墙二次衬砌。</w:t>
      </w:r>
    </w:p>
    <w:p w14:paraId="43EA4690">
      <w:pPr>
        <w:ind w:firstLine="420"/>
        <w:jc w:val="left"/>
        <w:rPr>
          <w:rFonts w:hAnsi="Calibri" w:cs="Times New Roman"/>
          <w:color w:val="auto"/>
          <w:highlight w:val="none"/>
          <w:lang w:eastAsia="zh-CN"/>
        </w:rPr>
      </w:pPr>
      <w:r>
        <w:rPr>
          <w:rFonts w:hint="eastAsia" w:hAnsi="Calibri" w:cs="Times New Roman"/>
          <w:color w:val="auto"/>
          <w:highlight w:val="none"/>
          <w:lang w:eastAsia="zh-CN"/>
        </w:rPr>
        <w:t>5）临时支护拆除前后，应进行变形量测。</w:t>
      </w:r>
    </w:p>
    <w:p w14:paraId="0DB87213">
      <w:pPr>
        <w:ind w:firstLine="420"/>
        <w:jc w:val="left"/>
        <w:rPr>
          <w:rFonts w:hAnsi="Calibri" w:cs="Times New Roman"/>
          <w:color w:val="auto"/>
          <w:highlight w:val="none"/>
          <w:lang w:eastAsia="zh-CN"/>
        </w:rPr>
      </w:pPr>
      <w:r>
        <w:rPr>
          <w:rFonts w:hint="eastAsia" w:hAnsi="Calibri" w:cs="Times New Roman"/>
          <w:color w:val="auto"/>
          <w:highlight w:val="none"/>
          <w:lang w:eastAsia="zh-CN"/>
        </w:rPr>
        <w:t>（8）双侧壁导坑法施工应符合下列规定:</w:t>
      </w:r>
    </w:p>
    <w:p w14:paraId="09CD8E09">
      <w:pPr>
        <w:ind w:firstLine="420"/>
        <w:jc w:val="left"/>
        <w:rPr>
          <w:rFonts w:hAnsi="Calibri" w:cs="Times New Roman"/>
          <w:color w:val="auto"/>
          <w:highlight w:val="none"/>
          <w:lang w:eastAsia="zh-CN"/>
        </w:rPr>
      </w:pPr>
      <w:r>
        <w:rPr>
          <w:rFonts w:hint="eastAsia" w:hAnsi="Calibri" w:cs="Times New Roman"/>
          <w:color w:val="auto"/>
          <w:highlight w:val="none"/>
          <w:lang w:eastAsia="zh-CN"/>
        </w:rPr>
        <w:t>1）侧壁导坑开挖时，周边轮廓应圆顺。导坑跨度宜为整个洞段开挖宽度的三分之一。</w:t>
      </w:r>
    </w:p>
    <w:p w14:paraId="59FEA40A">
      <w:pPr>
        <w:ind w:firstLine="420"/>
        <w:jc w:val="left"/>
        <w:rPr>
          <w:rFonts w:hAnsi="Calibri" w:cs="Times New Roman"/>
          <w:color w:val="auto"/>
          <w:highlight w:val="none"/>
          <w:lang w:eastAsia="zh-CN"/>
        </w:rPr>
      </w:pPr>
      <w:r>
        <w:rPr>
          <w:rFonts w:hint="eastAsia" w:hAnsi="Calibri" w:cs="Times New Roman"/>
          <w:color w:val="auto"/>
          <w:highlight w:val="none"/>
          <w:lang w:eastAsia="zh-CN"/>
        </w:rPr>
        <w:t>2）导坑与中间土体同时施工时，导坑应超前30-50m。</w:t>
      </w:r>
    </w:p>
    <w:p w14:paraId="2F1301CF">
      <w:pPr>
        <w:ind w:firstLine="420"/>
        <w:jc w:val="left"/>
        <w:rPr>
          <w:rFonts w:hAnsi="Calibri" w:cs="Times New Roman"/>
          <w:color w:val="auto"/>
          <w:highlight w:val="none"/>
          <w:lang w:eastAsia="zh-CN"/>
        </w:rPr>
      </w:pPr>
      <w:r>
        <w:rPr>
          <w:rFonts w:hint="eastAsia" w:hAnsi="Calibri" w:cs="Times New Roman"/>
          <w:color w:val="auto"/>
          <w:highlight w:val="none"/>
          <w:lang w:eastAsia="zh-CN"/>
        </w:rPr>
        <w:t>3）侧壁导坑开挖后，应及时施工初期支护并尽早形成封闭环。</w:t>
      </w:r>
    </w:p>
    <w:p w14:paraId="5D058113">
      <w:pPr>
        <w:ind w:firstLine="420"/>
        <w:jc w:val="left"/>
        <w:rPr>
          <w:rFonts w:hAnsi="Calibri" w:cs="Times New Roman"/>
          <w:color w:val="auto"/>
          <w:highlight w:val="none"/>
          <w:lang w:eastAsia="zh-CN"/>
        </w:rPr>
      </w:pPr>
      <w:r>
        <w:rPr>
          <w:rFonts w:hint="eastAsia" w:hAnsi="Calibri" w:cs="Times New Roman"/>
          <w:color w:val="auto"/>
          <w:highlight w:val="none"/>
          <w:lang w:eastAsia="zh-CN"/>
        </w:rPr>
        <w:t>4）临时支护拆除宜在仰拱施工前进行，一次拆除长度宜与仰拱浇筑长度相适应。临时支护拆除后，应及时浇筑仰拱和仰拱填充、施作拱墙二次衬砌。</w:t>
      </w:r>
    </w:p>
    <w:p w14:paraId="4BD5A8DE">
      <w:pPr>
        <w:ind w:firstLine="420"/>
        <w:jc w:val="left"/>
        <w:rPr>
          <w:rFonts w:hAnsi="Calibri" w:cs="Times New Roman"/>
          <w:color w:val="auto"/>
          <w:highlight w:val="none"/>
          <w:lang w:eastAsia="zh-CN"/>
        </w:rPr>
      </w:pPr>
      <w:r>
        <w:rPr>
          <w:rFonts w:hint="eastAsia" w:hAnsi="Calibri" w:cs="Times New Roman"/>
          <w:color w:val="auto"/>
          <w:highlight w:val="none"/>
          <w:lang w:eastAsia="zh-CN"/>
        </w:rPr>
        <w:t>5）临时支护拆除前后，应进行变形量测。</w:t>
      </w:r>
    </w:p>
    <w:p w14:paraId="7FD5DE97">
      <w:pPr>
        <w:ind w:firstLine="420"/>
        <w:jc w:val="left"/>
        <w:rPr>
          <w:rFonts w:hAnsi="Calibri" w:cs="Times New Roman"/>
          <w:color w:val="auto"/>
          <w:highlight w:val="none"/>
          <w:lang w:eastAsia="zh-CN"/>
        </w:rPr>
      </w:pPr>
      <w:r>
        <w:rPr>
          <w:rFonts w:hint="eastAsia" w:hAnsi="Calibri" w:cs="Times New Roman"/>
          <w:color w:val="auto"/>
          <w:highlight w:val="none"/>
          <w:lang w:eastAsia="zh-CN"/>
        </w:rPr>
        <w:t>（9）仰拱部位开挖应符合下列规定:</w:t>
      </w:r>
    </w:p>
    <w:p w14:paraId="33F00FE2">
      <w:pPr>
        <w:ind w:firstLine="420"/>
        <w:jc w:val="left"/>
        <w:rPr>
          <w:rFonts w:hAnsi="Calibri" w:cs="Times New Roman"/>
          <w:color w:val="auto"/>
          <w:highlight w:val="none"/>
          <w:lang w:eastAsia="zh-CN"/>
        </w:rPr>
      </w:pPr>
      <w:r>
        <w:rPr>
          <w:rFonts w:hint="eastAsia" w:hAnsi="Calibri" w:cs="Times New Roman"/>
          <w:color w:val="auto"/>
          <w:highlight w:val="none"/>
          <w:lang w:eastAsia="zh-CN"/>
        </w:rPr>
        <w:t>1）应控制仰拱到掌子面的距离。必要时，仰拱应紧跟掌子面。</w:t>
      </w:r>
    </w:p>
    <w:p w14:paraId="59E7A6B9">
      <w:pPr>
        <w:ind w:firstLine="420"/>
        <w:jc w:val="left"/>
        <w:rPr>
          <w:rFonts w:hAnsi="Calibri" w:cs="Times New Roman"/>
          <w:color w:val="auto"/>
          <w:highlight w:val="none"/>
          <w:lang w:eastAsia="zh-CN"/>
        </w:rPr>
      </w:pPr>
      <w:r>
        <w:rPr>
          <w:rFonts w:hint="eastAsia" w:hAnsi="Calibri" w:cs="Times New Roman"/>
          <w:color w:val="auto"/>
          <w:highlight w:val="none"/>
          <w:lang w:eastAsia="zh-CN"/>
        </w:rPr>
        <w:t>2）仰拱开挖时，应采取交通安全措施。</w:t>
      </w:r>
    </w:p>
    <w:p w14:paraId="1B5CE9E5">
      <w:pPr>
        <w:ind w:firstLine="420"/>
        <w:jc w:val="left"/>
        <w:rPr>
          <w:rFonts w:hAnsi="Calibri" w:cs="Times New Roman"/>
          <w:color w:val="auto"/>
          <w:highlight w:val="none"/>
          <w:lang w:eastAsia="zh-CN"/>
        </w:rPr>
      </w:pPr>
      <w:r>
        <w:rPr>
          <w:rFonts w:hint="eastAsia" w:hAnsi="Calibri" w:cs="Times New Roman"/>
          <w:color w:val="auto"/>
          <w:highlight w:val="none"/>
          <w:lang w:eastAsia="zh-CN"/>
        </w:rPr>
        <w:t>3）仰拱开挖长度:土和软岩应不大于3m，硬岩应不大于5m。开挖后应及时施作仰拱初期支护、二次衬砌及填充。</w:t>
      </w:r>
    </w:p>
    <w:p w14:paraId="247D81D7">
      <w:pPr>
        <w:ind w:firstLine="420"/>
        <w:jc w:val="left"/>
        <w:rPr>
          <w:color w:val="auto"/>
          <w:highlight w:val="none"/>
          <w:lang w:eastAsia="zh-CN"/>
        </w:rPr>
      </w:pPr>
      <w:r>
        <w:rPr>
          <w:rFonts w:hint="eastAsia" w:hAnsi="Calibri" w:cs="Times New Roman"/>
          <w:color w:val="auto"/>
          <w:highlight w:val="none"/>
          <w:lang w:eastAsia="zh-CN"/>
        </w:rPr>
        <w:t>4）应做好排水设施，清除底面积水和松渣，严禁松渣回填。</w:t>
      </w:r>
    </w:p>
    <w:p w14:paraId="545CF185">
      <w:pPr>
        <w:pStyle w:val="5"/>
        <w:jc w:val="left"/>
        <w:rPr>
          <w:color w:val="auto"/>
          <w:highlight w:val="none"/>
          <w:lang w:eastAsia="zh-CN"/>
        </w:rPr>
      </w:pPr>
      <w:r>
        <w:rPr>
          <w:color w:val="auto"/>
          <w:highlight w:val="none"/>
          <w:lang w:eastAsia="zh-CN"/>
        </w:rPr>
        <w:t>8.4.3.3</w:t>
      </w:r>
      <w:r>
        <w:rPr>
          <w:rFonts w:hint="eastAsia"/>
          <w:color w:val="auto"/>
          <w:highlight w:val="none"/>
          <w:lang w:eastAsia="zh-CN"/>
        </w:rPr>
        <w:t>　富水软弱破碎围岩洞段（涌水突泥、高外水压力）开挖</w:t>
      </w:r>
    </w:p>
    <w:p w14:paraId="570C72D1">
      <w:pPr>
        <w:ind w:firstLine="420"/>
        <w:jc w:val="left"/>
        <w:rPr>
          <w:rFonts w:hAnsi="Calibri" w:cs="Times New Roman"/>
          <w:color w:val="auto"/>
          <w:highlight w:val="none"/>
          <w:lang w:eastAsia="zh-CN"/>
        </w:rPr>
      </w:pPr>
      <w:r>
        <w:rPr>
          <w:rFonts w:hint="eastAsia" w:hAnsi="Calibri" w:cs="Times New Roman"/>
          <w:color w:val="auto"/>
          <w:highlight w:val="none"/>
          <w:lang w:eastAsia="zh-CN"/>
        </w:rPr>
        <w:t>（1）洞段涌水处理应符合“预防为主、疏堵结合、注重保护环境”的原则。</w:t>
      </w:r>
    </w:p>
    <w:p w14:paraId="645A0A6C">
      <w:pPr>
        <w:ind w:firstLine="420"/>
        <w:jc w:val="left"/>
        <w:rPr>
          <w:rFonts w:hAnsi="Calibri" w:cs="Times New Roman"/>
          <w:color w:val="auto"/>
          <w:highlight w:val="none"/>
          <w:lang w:eastAsia="zh-CN"/>
        </w:rPr>
      </w:pPr>
      <w:r>
        <w:rPr>
          <w:rFonts w:hint="eastAsia" w:hAnsi="Calibri" w:cs="Times New Roman"/>
          <w:color w:val="auto"/>
          <w:highlight w:val="none"/>
          <w:lang w:eastAsia="zh-CN"/>
        </w:rPr>
        <w:t>（2）洞段涌水处理应根据现场情况，采取适宜灌浆措施和开挖坑道排水等措施。</w:t>
      </w:r>
    </w:p>
    <w:p w14:paraId="419E6DD5">
      <w:pPr>
        <w:ind w:firstLine="420"/>
        <w:jc w:val="left"/>
        <w:rPr>
          <w:rFonts w:hAnsi="Calibri" w:cs="Times New Roman"/>
          <w:color w:val="auto"/>
          <w:highlight w:val="none"/>
          <w:lang w:eastAsia="zh-CN"/>
        </w:rPr>
      </w:pPr>
      <w:r>
        <w:rPr>
          <w:rFonts w:hint="eastAsia" w:hAnsi="Calibri" w:cs="Times New Roman"/>
          <w:color w:val="auto"/>
          <w:highlight w:val="none"/>
          <w:lang w:eastAsia="zh-CN"/>
        </w:rPr>
        <w:t>（3）在特殊部位开挖施工过程中，应在有代表性的部位布置适当的监测仪器，对其围岩的稳定状况进行监测。</w:t>
      </w:r>
    </w:p>
    <w:p w14:paraId="46E26642">
      <w:pPr>
        <w:ind w:firstLine="420"/>
        <w:jc w:val="left"/>
        <w:rPr>
          <w:color w:val="auto"/>
          <w:highlight w:val="none"/>
          <w:lang w:eastAsia="zh-CN"/>
        </w:rPr>
      </w:pPr>
      <w:r>
        <w:rPr>
          <w:rFonts w:hint="eastAsia" w:hAnsi="Calibri" w:cs="Times New Roman"/>
          <w:color w:val="auto"/>
          <w:highlight w:val="none"/>
          <w:lang w:eastAsia="zh-CN"/>
        </w:rPr>
        <w:t>（4）输水隧洞宜采用中隔壁法或双侧壁导坑法开挖。初期支护应尽早封闭成环。</w:t>
      </w:r>
    </w:p>
    <w:p w14:paraId="480027E2">
      <w:pPr>
        <w:pStyle w:val="5"/>
        <w:jc w:val="left"/>
        <w:rPr>
          <w:color w:val="auto"/>
          <w:highlight w:val="none"/>
          <w:lang w:eastAsia="zh-CN"/>
        </w:rPr>
      </w:pPr>
      <w:r>
        <w:rPr>
          <w:color w:val="auto"/>
          <w:highlight w:val="none"/>
          <w:lang w:eastAsia="zh-CN"/>
        </w:rPr>
        <w:t>8.4.3.4</w:t>
      </w:r>
      <w:r>
        <w:rPr>
          <w:rFonts w:hint="eastAsia"/>
          <w:color w:val="auto"/>
          <w:highlight w:val="none"/>
          <w:lang w:eastAsia="zh-CN"/>
        </w:rPr>
        <w:t>　岩溶</w:t>
      </w:r>
    </w:p>
    <w:p w14:paraId="5C142402">
      <w:pPr>
        <w:ind w:firstLine="420"/>
        <w:jc w:val="left"/>
        <w:rPr>
          <w:rFonts w:hAnsi="Calibri" w:cs="Times New Roman"/>
          <w:color w:val="auto"/>
          <w:highlight w:val="none"/>
          <w:lang w:eastAsia="zh-CN"/>
        </w:rPr>
      </w:pPr>
      <w:r>
        <w:rPr>
          <w:rFonts w:hint="eastAsia" w:hAnsi="Calibri" w:cs="Times New Roman"/>
          <w:color w:val="auto"/>
          <w:highlight w:val="none"/>
          <w:lang w:eastAsia="zh-CN"/>
        </w:rPr>
        <w:t>（1）岩溶洞段施工应符合下列要求：</w:t>
      </w:r>
    </w:p>
    <w:p w14:paraId="3CE7D64A">
      <w:pPr>
        <w:ind w:firstLine="420"/>
        <w:jc w:val="left"/>
        <w:rPr>
          <w:rFonts w:hAnsi="Calibri" w:cs="Times New Roman"/>
          <w:color w:val="auto"/>
          <w:highlight w:val="none"/>
          <w:lang w:eastAsia="zh-CN"/>
        </w:rPr>
      </w:pPr>
      <w:r>
        <w:rPr>
          <w:rFonts w:hint="eastAsia" w:hAnsi="Calibri" w:cs="Times New Roman"/>
          <w:color w:val="auto"/>
          <w:highlight w:val="none"/>
          <w:lang w:eastAsia="zh-CN"/>
        </w:rPr>
        <w:t>1）岩道施工宜采用动态设计优化</w:t>
      </w:r>
      <w:r>
        <w:rPr>
          <w:rFonts w:hint="eastAsia" w:hAnsi="Calibri" w:cs="Times New Roman"/>
          <w:color w:val="auto"/>
          <w:highlight w:val="none"/>
          <w:lang w:val="en-US" w:eastAsia="zh-CN"/>
        </w:rPr>
        <w:t>调整</w:t>
      </w:r>
      <w:r>
        <w:rPr>
          <w:rFonts w:hint="eastAsia" w:hAnsi="Calibri" w:cs="Times New Roman"/>
          <w:color w:val="auto"/>
          <w:highlight w:val="none"/>
          <w:lang w:eastAsia="zh-CN"/>
        </w:rPr>
        <w:t>设计施工方案。</w:t>
      </w:r>
    </w:p>
    <w:p w14:paraId="000DFCB8">
      <w:pPr>
        <w:ind w:firstLine="420"/>
        <w:jc w:val="left"/>
        <w:rPr>
          <w:rFonts w:hAnsi="Calibri" w:cs="Times New Roman"/>
          <w:color w:val="auto"/>
          <w:highlight w:val="none"/>
          <w:lang w:eastAsia="zh-CN"/>
        </w:rPr>
      </w:pPr>
      <w:r>
        <w:rPr>
          <w:rFonts w:hint="eastAsia" w:hAnsi="Calibri" w:cs="Times New Roman"/>
          <w:color w:val="auto"/>
          <w:highlight w:val="none"/>
          <w:lang w:eastAsia="zh-CN"/>
        </w:rPr>
        <w:t>2）岩溶洞段施工应加强洞内外观察及围岩变形外水压力等监测，必要时对支护结构应力、应变以及地应力进行监测，及时反馈监测信息，实施信息化施工,确保施工安全。</w:t>
      </w:r>
    </w:p>
    <w:p w14:paraId="64571FE3">
      <w:pPr>
        <w:ind w:firstLine="420"/>
        <w:jc w:val="left"/>
        <w:rPr>
          <w:rFonts w:hAnsi="Calibri" w:cs="Times New Roman"/>
          <w:color w:val="auto"/>
          <w:highlight w:val="none"/>
          <w:lang w:eastAsia="zh-CN"/>
        </w:rPr>
      </w:pPr>
      <w:r>
        <w:rPr>
          <w:rFonts w:hint="eastAsia" w:hAnsi="Calibri" w:cs="Times New Roman"/>
          <w:color w:val="auto"/>
          <w:highlight w:val="none"/>
          <w:lang w:eastAsia="zh-CN"/>
        </w:rPr>
        <w:t>3）岩溶发育洞段，地质预报应建立以长</w:t>
      </w:r>
      <w:r>
        <w:rPr>
          <w:rFonts w:hint="eastAsia" w:hAnsi="Calibri" w:cs="Times New Roman"/>
          <w:color w:val="auto"/>
          <w:highlight w:val="none"/>
          <w:lang w:val="en-US" w:eastAsia="zh-CN"/>
        </w:rPr>
        <w:t>距离</w:t>
      </w:r>
      <w:r>
        <w:rPr>
          <w:rFonts w:hint="eastAsia" w:hAnsi="Calibri" w:cs="Times New Roman"/>
          <w:color w:val="auto"/>
          <w:highlight w:val="none"/>
          <w:lang w:eastAsia="zh-CN"/>
        </w:rPr>
        <w:t>物探和钻探为主,其他物探方式为辅,红外线探测连续施测的综合预报体系。</w:t>
      </w:r>
    </w:p>
    <w:p w14:paraId="75857309">
      <w:pPr>
        <w:ind w:firstLine="420"/>
        <w:jc w:val="left"/>
        <w:rPr>
          <w:rFonts w:hAnsi="Calibri" w:cs="Times New Roman"/>
          <w:color w:val="auto"/>
          <w:highlight w:val="none"/>
          <w:lang w:eastAsia="zh-CN"/>
        </w:rPr>
      </w:pPr>
      <w:r>
        <w:rPr>
          <w:rFonts w:hint="eastAsia" w:hAnsi="Calibri" w:cs="Times New Roman"/>
          <w:color w:val="auto"/>
          <w:highlight w:val="none"/>
          <w:lang w:eastAsia="zh-CN"/>
        </w:rPr>
        <w:t>4）岩地段施工应采取合理可</w:t>
      </w:r>
      <w:r>
        <w:rPr>
          <w:rFonts w:hint="eastAsia" w:hAnsi="Calibri" w:cs="Times New Roman"/>
          <w:color w:val="auto"/>
          <w:highlight w:val="none"/>
          <w:lang w:val="en-US" w:eastAsia="zh-CN"/>
        </w:rPr>
        <w:t>行</w:t>
      </w:r>
      <w:r>
        <w:rPr>
          <w:rFonts w:hint="eastAsia" w:hAnsi="Calibri" w:cs="Times New Roman"/>
          <w:color w:val="auto"/>
          <w:highlight w:val="none"/>
          <w:lang w:eastAsia="zh-CN"/>
        </w:rPr>
        <w:t>的超前支护体系,降低围岩的渗水量及变形量。</w:t>
      </w:r>
    </w:p>
    <w:p w14:paraId="43CEF9E9">
      <w:pPr>
        <w:ind w:firstLine="420"/>
        <w:jc w:val="left"/>
        <w:rPr>
          <w:rFonts w:hAnsi="Calibri" w:cs="Times New Roman"/>
          <w:color w:val="auto"/>
          <w:highlight w:val="none"/>
          <w:lang w:eastAsia="zh-CN"/>
        </w:rPr>
      </w:pPr>
      <w:r>
        <w:rPr>
          <w:rFonts w:hint="eastAsia" w:hAnsi="Calibri" w:cs="Times New Roman"/>
          <w:color w:val="auto"/>
          <w:highlight w:val="none"/>
          <w:lang w:eastAsia="zh-CN"/>
        </w:rPr>
        <w:t>5）开挖宜采用台阶法，必要时采用中隔壁法。爆破开挖应密布眼、少装药,渗漏水时加强观察。</w:t>
      </w:r>
    </w:p>
    <w:p w14:paraId="5FC50422">
      <w:pPr>
        <w:ind w:firstLine="420"/>
        <w:jc w:val="left"/>
        <w:rPr>
          <w:rFonts w:hAnsi="Calibri" w:cs="Times New Roman"/>
          <w:color w:val="auto"/>
          <w:highlight w:val="none"/>
          <w:lang w:eastAsia="zh-CN"/>
        </w:rPr>
      </w:pPr>
      <w:r>
        <w:rPr>
          <w:rFonts w:hint="eastAsia" w:hAnsi="Calibri" w:cs="Times New Roman"/>
          <w:color w:val="auto"/>
          <w:highlight w:val="none"/>
          <w:lang w:eastAsia="zh-CN"/>
        </w:rPr>
        <w:t>7）溶洞位于洞段一侧时，应先开挖该侧，待支护完成后再开挖另一侧。</w:t>
      </w:r>
    </w:p>
    <w:p w14:paraId="3590457B">
      <w:pPr>
        <w:ind w:firstLine="420"/>
        <w:jc w:val="left"/>
        <w:rPr>
          <w:rFonts w:hAnsi="Calibri" w:cs="Times New Roman"/>
          <w:color w:val="auto"/>
          <w:highlight w:val="none"/>
          <w:lang w:eastAsia="zh-CN"/>
        </w:rPr>
      </w:pPr>
      <w:r>
        <w:rPr>
          <w:rFonts w:hint="eastAsia" w:hAnsi="Calibri" w:cs="Times New Roman"/>
          <w:color w:val="auto"/>
          <w:highlight w:val="none"/>
          <w:lang w:eastAsia="zh-CN"/>
        </w:rPr>
        <w:t>8）洞段岩溶水较大时,应采用泄水洞宣泄岩溶水,泄水洞应位于地下水来向一侧;涌水量大、涌水点多分散排泄通道不明显的岩溶发育地段，宜先汇集、再引排采取辅助导坑集水廊道结合泄水洞、行洪通道等措施处理。</w:t>
      </w:r>
    </w:p>
    <w:p w14:paraId="717620C4">
      <w:pPr>
        <w:ind w:firstLine="420"/>
        <w:jc w:val="left"/>
        <w:rPr>
          <w:rFonts w:hAnsi="Calibri" w:cs="Times New Roman"/>
          <w:color w:val="auto"/>
          <w:highlight w:val="none"/>
          <w:lang w:eastAsia="zh-CN"/>
        </w:rPr>
      </w:pPr>
      <w:r>
        <w:rPr>
          <w:rFonts w:hint="eastAsia" w:hAnsi="Calibri" w:cs="Times New Roman"/>
          <w:color w:val="auto"/>
          <w:highlight w:val="none"/>
          <w:lang w:eastAsia="zh-CN"/>
        </w:rPr>
        <w:t>（2）溶蚀裂隙处理应符合下列要求：</w:t>
      </w:r>
    </w:p>
    <w:p w14:paraId="24FCC63A">
      <w:pPr>
        <w:ind w:firstLine="420"/>
        <w:jc w:val="left"/>
        <w:rPr>
          <w:rFonts w:hAnsi="Calibri" w:cs="Times New Roman"/>
          <w:color w:val="auto"/>
          <w:highlight w:val="none"/>
          <w:lang w:eastAsia="zh-CN"/>
        </w:rPr>
      </w:pPr>
      <w:r>
        <w:rPr>
          <w:rFonts w:hint="eastAsia" w:hAnsi="Calibri" w:cs="Times New Roman"/>
          <w:color w:val="auto"/>
          <w:highlight w:val="none"/>
          <w:lang w:eastAsia="zh-CN"/>
        </w:rPr>
        <w:t>1）无填充蚀地段地下水不发育时宜用超前小导管、超前锚杆通过，施作初期支护后做灌浆预处理;水量较小时,宜先排水后采用超前小导管通过;水量较大时，应先注浆堵水再开挖施工。</w:t>
      </w:r>
    </w:p>
    <w:p w14:paraId="009FD518">
      <w:pPr>
        <w:ind w:firstLine="420"/>
        <w:jc w:val="left"/>
        <w:rPr>
          <w:rFonts w:hAnsi="Calibri" w:cs="Times New Roman"/>
          <w:color w:val="auto"/>
          <w:highlight w:val="none"/>
          <w:lang w:eastAsia="zh-CN"/>
        </w:rPr>
      </w:pPr>
      <w:r>
        <w:rPr>
          <w:rFonts w:hint="eastAsia" w:hAnsi="Calibri" w:cs="Times New Roman"/>
          <w:color w:val="auto"/>
          <w:highlight w:val="none"/>
          <w:lang w:eastAsia="zh-CN"/>
        </w:rPr>
        <w:t>2）填充溶蚀裂隙地段地下水不发育或水量较小时，可采用超前小导管处理,较大裂隙充填泥沙，浅埋裂隙发育地段，宜采用管棚法施工;水量较大时，应采用以疏为主堵排结合的处理方法排水可采用超前钻孔或辅助坑道排水,堵水宜采用管棚注浆堵水。</w:t>
      </w:r>
    </w:p>
    <w:p w14:paraId="33A82BE9">
      <w:pPr>
        <w:ind w:firstLine="420"/>
        <w:jc w:val="left"/>
        <w:rPr>
          <w:rFonts w:hAnsi="Calibri" w:cs="Times New Roman"/>
          <w:color w:val="auto"/>
          <w:highlight w:val="none"/>
          <w:lang w:eastAsia="zh-CN"/>
        </w:rPr>
      </w:pPr>
      <w:r>
        <w:rPr>
          <w:rFonts w:hint="eastAsia" w:hAnsi="Calibri" w:cs="Times New Roman"/>
          <w:color w:val="auto"/>
          <w:highlight w:val="none"/>
          <w:lang w:eastAsia="zh-CN"/>
        </w:rPr>
        <w:t>3）开挖后洞段周边存在大面积渗漏水时，应用径向注浆进行封堵,径向注浆的范围应为洞段开挖轮廓线外0.5-1.0倍洞径;溶蚀局部有股状涌水时,可采用注浆封堵进行处理。</w:t>
      </w:r>
    </w:p>
    <w:p w14:paraId="2EE86912">
      <w:pPr>
        <w:ind w:firstLine="420"/>
        <w:jc w:val="left"/>
        <w:rPr>
          <w:rFonts w:hAnsi="Calibri" w:cs="Times New Roman"/>
          <w:color w:val="auto"/>
          <w:highlight w:val="none"/>
          <w:lang w:eastAsia="zh-CN"/>
        </w:rPr>
      </w:pPr>
      <w:r>
        <w:rPr>
          <w:rFonts w:hint="eastAsia" w:hAnsi="Calibri" w:cs="Times New Roman"/>
          <w:color w:val="auto"/>
          <w:highlight w:val="none"/>
          <w:lang w:eastAsia="zh-CN"/>
        </w:rPr>
        <w:t>（3）溶洞处理应符合下列要求：</w:t>
      </w:r>
    </w:p>
    <w:p w14:paraId="09E01B04">
      <w:pPr>
        <w:ind w:firstLine="420"/>
        <w:jc w:val="left"/>
        <w:rPr>
          <w:rFonts w:hAnsi="Calibri" w:cs="Times New Roman"/>
          <w:color w:val="auto"/>
          <w:highlight w:val="none"/>
          <w:lang w:eastAsia="zh-CN"/>
        </w:rPr>
      </w:pPr>
      <w:r>
        <w:rPr>
          <w:rFonts w:hint="eastAsia" w:hAnsi="Calibri" w:cs="Times New Roman"/>
          <w:color w:val="auto"/>
          <w:highlight w:val="none"/>
          <w:lang w:eastAsia="zh-CN"/>
        </w:rPr>
        <w:t>1）水流路径明确的溶管溶槽,应选择疏导、连通方案，不得改变地下水总的流动趋势,新建的排水暗管不应淤积泥砂。洞段边墙或底板处的小体积溶槽溶管,可在洞段边墙及底部设置盲沟、暗管、涵洞、倒虹吸、钢管疏导或小型过桥跨越;洞段顶部的溶槽溶管，可在顶部设置暗管将水引</w:t>
      </w:r>
      <w:r>
        <w:rPr>
          <w:rFonts w:hint="eastAsia" w:hAnsi="Calibri" w:cs="Times New Roman"/>
          <w:color w:val="auto"/>
          <w:highlight w:val="none"/>
          <w:lang w:val="en-US" w:eastAsia="zh-CN"/>
        </w:rPr>
        <w:t>入</w:t>
      </w:r>
      <w:r>
        <w:rPr>
          <w:rFonts w:hint="eastAsia" w:hAnsi="Calibri" w:cs="Times New Roman"/>
          <w:color w:val="auto"/>
          <w:highlight w:val="none"/>
          <w:lang w:eastAsia="zh-CN"/>
        </w:rPr>
        <w:t>洞段底部或采用倒虹吸跨越。</w:t>
      </w:r>
    </w:p>
    <w:p w14:paraId="15B582AF">
      <w:pPr>
        <w:ind w:firstLine="420"/>
        <w:jc w:val="left"/>
        <w:rPr>
          <w:rFonts w:hAnsi="Calibri" w:cs="Times New Roman"/>
          <w:color w:val="auto"/>
          <w:highlight w:val="none"/>
          <w:lang w:eastAsia="zh-CN"/>
        </w:rPr>
      </w:pPr>
      <w:r>
        <w:rPr>
          <w:rFonts w:hint="eastAsia" w:hAnsi="Calibri" w:cs="Times New Roman"/>
          <w:color w:val="auto"/>
          <w:highlight w:val="none"/>
          <w:lang w:eastAsia="zh-CN"/>
        </w:rPr>
        <w:t>2）掌子面前方溶槽溶管比较发育探水孔出水量和水压较大时，应根据溶槽溶管发育位置和方向,采用局部预注浆截流和全断面预注浆封堵。</w:t>
      </w:r>
    </w:p>
    <w:p w14:paraId="78CFBE58">
      <w:pPr>
        <w:ind w:firstLine="420"/>
        <w:jc w:val="left"/>
        <w:rPr>
          <w:rFonts w:hAnsi="Calibri" w:cs="Times New Roman"/>
          <w:color w:val="auto"/>
          <w:highlight w:val="none"/>
          <w:lang w:eastAsia="zh-CN"/>
        </w:rPr>
      </w:pPr>
      <w:r>
        <w:rPr>
          <w:rFonts w:hint="eastAsia" w:hAnsi="Calibri" w:cs="Times New Roman"/>
          <w:color w:val="auto"/>
          <w:highlight w:val="none"/>
          <w:lang w:eastAsia="zh-CN"/>
        </w:rPr>
        <w:t>（4）溶洞处理应符合下列要求：</w:t>
      </w:r>
    </w:p>
    <w:p w14:paraId="19CE1CAA">
      <w:pPr>
        <w:ind w:firstLine="420"/>
        <w:jc w:val="left"/>
        <w:rPr>
          <w:rFonts w:hAnsi="Calibri" w:cs="Times New Roman"/>
          <w:color w:val="auto"/>
          <w:highlight w:val="none"/>
          <w:lang w:eastAsia="zh-CN"/>
        </w:rPr>
      </w:pPr>
      <w:r>
        <w:rPr>
          <w:rFonts w:hint="eastAsia" w:hAnsi="Calibri" w:cs="Times New Roman"/>
          <w:color w:val="auto"/>
          <w:highlight w:val="none"/>
          <w:lang w:eastAsia="zh-CN"/>
        </w:rPr>
        <w:t>1）溶洞规模较大,内部充填大量泥砂,并富含地下水，揭穿后可能发生突泥、涌水，应采用封闭注浆加固处理。</w:t>
      </w:r>
    </w:p>
    <w:p w14:paraId="7A8D70BF">
      <w:pPr>
        <w:ind w:firstLine="420"/>
        <w:jc w:val="left"/>
        <w:rPr>
          <w:rFonts w:hAnsi="Calibri" w:cs="Times New Roman"/>
          <w:color w:val="auto"/>
          <w:highlight w:val="none"/>
          <w:lang w:eastAsia="zh-CN"/>
        </w:rPr>
      </w:pPr>
      <w:r>
        <w:rPr>
          <w:rFonts w:hint="eastAsia" w:hAnsi="Calibri" w:cs="Times New Roman"/>
          <w:color w:val="auto"/>
          <w:highlight w:val="none"/>
          <w:lang w:eastAsia="zh-CN"/>
        </w:rPr>
        <w:t>2）溶洞内充填含水的粉细砂或致密的黏土,采用渗透、挤密、劈裂等注浆方法困难时,可采用置换注浆法。</w:t>
      </w:r>
    </w:p>
    <w:p w14:paraId="41025021">
      <w:pPr>
        <w:ind w:firstLine="420"/>
        <w:jc w:val="left"/>
        <w:rPr>
          <w:rFonts w:hAnsi="Calibri" w:cs="Times New Roman"/>
          <w:color w:val="auto"/>
          <w:highlight w:val="none"/>
          <w:lang w:eastAsia="zh-CN"/>
        </w:rPr>
      </w:pPr>
      <w:r>
        <w:rPr>
          <w:rFonts w:hint="eastAsia" w:hAnsi="Calibri" w:cs="Times New Roman"/>
          <w:color w:val="auto"/>
          <w:highlight w:val="none"/>
          <w:lang w:eastAsia="zh-CN"/>
        </w:rPr>
        <w:t>3）已停止发育跨径较小无水的溶洞可根据其与洞段相交的位置及其充填情况，采用混凝土等予以回填封闭,并应加深、加强边墙基础。拱部以上干、空溶洞,视溶洞的岩石破碎程度可采用喷锚支护加固、注浆、加设护拱及拱顶回填等方法处理。底板下发育的溶洞应挖除充填物，回填混凝土等;有水流动的空腔，回填不得阻断过水通道。</w:t>
      </w:r>
    </w:p>
    <w:p w14:paraId="1FA25AD5">
      <w:pPr>
        <w:ind w:firstLine="420"/>
        <w:jc w:val="left"/>
        <w:rPr>
          <w:rFonts w:hAnsi="Calibri" w:cs="Times New Roman"/>
          <w:color w:val="auto"/>
          <w:highlight w:val="none"/>
          <w:lang w:eastAsia="zh-CN"/>
        </w:rPr>
      </w:pPr>
      <w:r>
        <w:rPr>
          <w:rFonts w:hint="eastAsia" w:hAnsi="Calibri" w:cs="Times New Roman"/>
          <w:color w:val="auto"/>
          <w:highlight w:val="none"/>
          <w:lang w:eastAsia="zh-CN"/>
        </w:rPr>
        <w:t>4）溶洞空腔仅在洞段底部且较大较深，或者填充物松软不能承载结构物时，应加强对基底的处理,基底处理可采用跨越、注浆加固、换填、桩基等措施。</w:t>
      </w:r>
    </w:p>
    <w:p w14:paraId="2AC38A45">
      <w:pPr>
        <w:ind w:firstLine="420"/>
        <w:jc w:val="left"/>
        <w:rPr>
          <w:rFonts w:hAnsi="Calibri" w:cs="Times New Roman"/>
          <w:color w:val="auto"/>
          <w:highlight w:val="none"/>
          <w:lang w:eastAsia="zh-CN"/>
        </w:rPr>
      </w:pPr>
      <w:r>
        <w:rPr>
          <w:rFonts w:hint="eastAsia" w:hAnsi="Calibri" w:cs="Times New Roman"/>
          <w:color w:val="auto"/>
          <w:highlight w:val="none"/>
          <w:lang w:eastAsia="zh-CN"/>
        </w:rPr>
        <w:t>5）洞段一侧遇狭长而较深的溶洞,应加深、加强该侧的边墙基础。</w:t>
      </w:r>
    </w:p>
    <w:p w14:paraId="72A4081D">
      <w:pPr>
        <w:ind w:firstLine="420"/>
        <w:jc w:val="left"/>
        <w:rPr>
          <w:rFonts w:hAnsi="Calibri" w:cs="Times New Roman"/>
          <w:color w:val="auto"/>
          <w:highlight w:val="none"/>
          <w:lang w:eastAsia="zh-CN"/>
        </w:rPr>
      </w:pPr>
      <w:r>
        <w:rPr>
          <w:rFonts w:hint="eastAsia" w:hAnsi="Calibri" w:cs="Times New Roman"/>
          <w:color w:val="auto"/>
          <w:highlight w:val="none"/>
          <w:lang w:eastAsia="zh-CN"/>
        </w:rPr>
        <w:t>6）溶洞在洞段上方通过,溶洞内的充填物无水或少量含水应采用支顶加固进行处理,支顶加固可采用支撑墙、柱、拱及嵌补等措施。</w:t>
      </w:r>
    </w:p>
    <w:p w14:paraId="5561CCE1">
      <w:pPr>
        <w:ind w:firstLine="420"/>
        <w:jc w:val="left"/>
        <w:rPr>
          <w:rFonts w:hAnsi="Calibri" w:cs="Times New Roman"/>
          <w:color w:val="auto"/>
          <w:highlight w:val="none"/>
          <w:lang w:eastAsia="zh-CN"/>
        </w:rPr>
      </w:pPr>
      <w:r>
        <w:rPr>
          <w:rFonts w:hint="eastAsia" w:hAnsi="Calibri" w:cs="Times New Roman"/>
          <w:color w:val="auto"/>
          <w:highlight w:val="none"/>
          <w:lang w:eastAsia="zh-CN"/>
        </w:rPr>
        <w:t>7）勘察确定了溶洞位置和方向的隧洞,有条件时可通过地表注浆阻断岩溶水通道并加固周边地层的方式处理。</w:t>
      </w:r>
    </w:p>
    <w:p w14:paraId="02FD5C9E">
      <w:pPr>
        <w:ind w:firstLine="420"/>
        <w:jc w:val="left"/>
        <w:rPr>
          <w:rFonts w:hAnsi="Calibri" w:cs="Times New Roman"/>
          <w:color w:val="auto"/>
          <w:highlight w:val="none"/>
          <w:lang w:eastAsia="zh-CN"/>
        </w:rPr>
      </w:pPr>
      <w:r>
        <w:rPr>
          <w:rFonts w:hint="eastAsia" w:hAnsi="Calibri" w:cs="Times New Roman"/>
          <w:color w:val="auto"/>
          <w:highlight w:val="none"/>
          <w:lang w:eastAsia="zh-CN"/>
        </w:rPr>
        <w:t>8）穿越清理会造成随清随塌的大型堆积物，应采用超前预注浆加固堆积物。</w:t>
      </w:r>
    </w:p>
    <w:p w14:paraId="087816D6">
      <w:pPr>
        <w:ind w:firstLine="420"/>
        <w:jc w:val="left"/>
        <w:rPr>
          <w:rFonts w:hAnsi="Calibri" w:cs="Times New Roman"/>
          <w:color w:val="auto"/>
          <w:highlight w:val="none"/>
          <w:lang w:eastAsia="zh-CN"/>
        </w:rPr>
      </w:pPr>
      <w:r>
        <w:rPr>
          <w:rFonts w:hint="eastAsia" w:hAnsi="Calibri" w:cs="Times New Roman"/>
          <w:color w:val="auto"/>
          <w:highlight w:val="none"/>
          <w:lang w:eastAsia="zh-CN"/>
        </w:rPr>
        <w:t>9）洞段结构完工后发现拱部存在较大溶腔，应压浆回填，并检查地表，必要时封填处理。</w:t>
      </w:r>
    </w:p>
    <w:p w14:paraId="688F392C">
      <w:pPr>
        <w:ind w:firstLine="420"/>
        <w:jc w:val="left"/>
        <w:rPr>
          <w:color w:val="auto"/>
          <w:highlight w:val="none"/>
          <w:lang w:eastAsia="zh-CN"/>
        </w:rPr>
      </w:pPr>
      <w:r>
        <w:rPr>
          <w:rFonts w:hint="eastAsia" w:hAnsi="Calibri" w:cs="Times New Roman"/>
          <w:color w:val="auto"/>
          <w:highlight w:val="none"/>
          <w:lang w:eastAsia="zh-CN"/>
        </w:rPr>
        <w:t>10）为保证总体进度，一时难以处理的溶洞，可采用迁回导坑绕过,继续洞段施工,再行溶洞处理。</w:t>
      </w:r>
    </w:p>
    <w:p w14:paraId="48949462">
      <w:pPr>
        <w:pStyle w:val="5"/>
        <w:jc w:val="left"/>
        <w:rPr>
          <w:color w:val="auto"/>
          <w:highlight w:val="none"/>
          <w:lang w:eastAsia="zh-CN"/>
        </w:rPr>
      </w:pPr>
      <w:r>
        <w:rPr>
          <w:color w:val="auto"/>
          <w:highlight w:val="none"/>
          <w:lang w:eastAsia="zh-CN"/>
        </w:rPr>
        <w:t>8.4.3.5</w:t>
      </w:r>
      <w:r>
        <w:rPr>
          <w:rFonts w:hint="eastAsia"/>
          <w:color w:val="auto"/>
          <w:highlight w:val="none"/>
          <w:lang w:eastAsia="zh-CN"/>
        </w:rPr>
        <w:t>　岩爆</w:t>
      </w:r>
    </w:p>
    <w:p w14:paraId="4B456466">
      <w:pPr>
        <w:ind w:firstLine="420"/>
        <w:jc w:val="left"/>
        <w:rPr>
          <w:rFonts w:hAnsi="Calibri" w:cs="Times New Roman"/>
          <w:color w:val="auto"/>
          <w:highlight w:val="none"/>
          <w:lang w:eastAsia="zh-CN"/>
        </w:rPr>
      </w:pPr>
      <w:r>
        <w:rPr>
          <w:rFonts w:hint="eastAsia" w:hAnsi="Calibri" w:cs="Times New Roman"/>
          <w:color w:val="auto"/>
          <w:highlight w:val="none"/>
          <w:lang w:eastAsia="zh-CN"/>
        </w:rPr>
        <w:t>（1）不同强度等级的岩爆洞段结合地质条件，可采取下列技术措施：</w:t>
      </w:r>
    </w:p>
    <w:p w14:paraId="3BF28011">
      <w:pPr>
        <w:ind w:firstLine="420"/>
        <w:jc w:val="left"/>
        <w:rPr>
          <w:rFonts w:hAnsi="Calibri" w:cs="Times New Roman"/>
          <w:color w:val="auto"/>
          <w:highlight w:val="none"/>
          <w:lang w:eastAsia="zh-CN"/>
        </w:rPr>
      </w:pPr>
      <w:r>
        <w:rPr>
          <w:rFonts w:hint="eastAsia" w:hAnsi="Calibri" w:cs="Times New Roman"/>
          <w:color w:val="auto"/>
          <w:highlight w:val="none"/>
          <w:lang w:eastAsia="zh-CN"/>
        </w:rPr>
        <w:t>1）轻微岩爆地段开挖可正常掘进,并采用局部锚杆+应力释放孔等措施。</w:t>
      </w:r>
    </w:p>
    <w:p w14:paraId="2CCA664E">
      <w:pPr>
        <w:ind w:firstLine="420"/>
        <w:jc w:val="left"/>
        <w:rPr>
          <w:rFonts w:hAnsi="Calibri" w:cs="Times New Roman"/>
          <w:color w:val="auto"/>
          <w:highlight w:val="none"/>
          <w:lang w:eastAsia="zh-CN"/>
        </w:rPr>
      </w:pPr>
      <w:r>
        <w:rPr>
          <w:rFonts w:hint="eastAsia" w:hAnsi="Calibri" w:cs="Times New Roman"/>
          <w:color w:val="auto"/>
          <w:highlight w:val="none"/>
          <w:lang w:eastAsia="zh-CN"/>
        </w:rPr>
        <w:t>2）中等岩爆地段，除可采用轻微岩爆地段的措施外,还可采用超前注水、涨壳式中空注浆锚杆等措施。</w:t>
      </w:r>
    </w:p>
    <w:p w14:paraId="64C1E2D4">
      <w:pPr>
        <w:ind w:firstLine="420"/>
        <w:jc w:val="left"/>
        <w:rPr>
          <w:rFonts w:hAnsi="Calibri" w:cs="Times New Roman"/>
          <w:color w:val="auto"/>
          <w:highlight w:val="none"/>
          <w:lang w:eastAsia="zh-CN"/>
        </w:rPr>
      </w:pPr>
      <w:r>
        <w:rPr>
          <w:rFonts w:hint="eastAsia" w:hAnsi="Calibri" w:cs="Times New Roman"/>
          <w:color w:val="auto"/>
          <w:highlight w:val="none"/>
          <w:lang w:eastAsia="zh-CN"/>
        </w:rPr>
        <w:t>3）强烈岩爆地段,除可采用中等岩爆地段的措施外,还可采用超前注水、超前应力解除爆破、小导洞超前、超前锚杆和钢支撑联合支护等措施。</w:t>
      </w:r>
    </w:p>
    <w:p w14:paraId="34030F0F">
      <w:pPr>
        <w:ind w:firstLine="420"/>
        <w:jc w:val="left"/>
        <w:rPr>
          <w:rFonts w:hAnsi="Calibri" w:cs="Times New Roman"/>
          <w:color w:val="auto"/>
          <w:highlight w:val="none"/>
          <w:lang w:eastAsia="zh-CN"/>
        </w:rPr>
      </w:pPr>
      <w:r>
        <w:rPr>
          <w:rFonts w:hint="eastAsia" w:hAnsi="Calibri" w:cs="Times New Roman"/>
          <w:color w:val="auto"/>
          <w:highlight w:val="none"/>
          <w:lang w:eastAsia="zh-CN"/>
        </w:rPr>
        <w:t>（2）岩爆洞段的施工应符合下列要求：</w:t>
      </w:r>
    </w:p>
    <w:p w14:paraId="2460ACDB">
      <w:pPr>
        <w:ind w:firstLine="420"/>
        <w:jc w:val="left"/>
        <w:rPr>
          <w:rFonts w:hAnsi="Calibri" w:cs="Times New Roman"/>
          <w:color w:val="auto"/>
          <w:highlight w:val="none"/>
          <w:lang w:eastAsia="zh-CN"/>
        </w:rPr>
      </w:pPr>
      <w:r>
        <w:rPr>
          <w:rFonts w:hint="eastAsia" w:hAnsi="Calibri" w:cs="Times New Roman"/>
          <w:color w:val="auto"/>
          <w:highlight w:val="none"/>
          <w:lang w:eastAsia="zh-CN"/>
        </w:rPr>
        <w:t>1）应做好发生岩爆的时间、位置、强度类型及数量等记录总结岩爆规律。</w:t>
      </w:r>
    </w:p>
    <w:p w14:paraId="66696ED8">
      <w:pPr>
        <w:ind w:firstLine="420"/>
        <w:jc w:val="left"/>
        <w:rPr>
          <w:rFonts w:hAnsi="Calibri" w:cs="Times New Roman"/>
          <w:color w:val="auto"/>
          <w:highlight w:val="none"/>
          <w:lang w:eastAsia="zh-CN"/>
        </w:rPr>
      </w:pPr>
      <w:r>
        <w:rPr>
          <w:rFonts w:hint="eastAsia" w:hAnsi="Calibri" w:cs="Times New Roman"/>
          <w:color w:val="auto"/>
          <w:highlight w:val="none"/>
          <w:lang w:eastAsia="zh-CN"/>
        </w:rPr>
        <w:t>2）应采用光面爆破技术,使道周边圆顺，减少应力集中;严格控制装药量，减少对围岩的扰动。</w:t>
      </w:r>
    </w:p>
    <w:p w14:paraId="5841E2AF">
      <w:pPr>
        <w:ind w:firstLine="420"/>
        <w:jc w:val="left"/>
        <w:rPr>
          <w:rFonts w:hAnsi="Calibri" w:cs="Times New Roman"/>
          <w:color w:val="auto"/>
          <w:highlight w:val="none"/>
          <w:lang w:eastAsia="zh-CN"/>
        </w:rPr>
      </w:pPr>
      <w:r>
        <w:rPr>
          <w:rFonts w:hint="eastAsia" w:hAnsi="Calibri" w:cs="Times New Roman"/>
          <w:color w:val="auto"/>
          <w:highlight w:val="none"/>
          <w:lang w:eastAsia="zh-CN"/>
        </w:rPr>
        <w:t>3）控制循环进尺,循环进尺不宜大于3m。</w:t>
      </w:r>
    </w:p>
    <w:p w14:paraId="6FC31F70">
      <w:pPr>
        <w:ind w:firstLine="420"/>
        <w:jc w:val="left"/>
        <w:rPr>
          <w:rFonts w:hAnsi="Calibri" w:cs="Times New Roman"/>
          <w:color w:val="auto"/>
          <w:highlight w:val="none"/>
          <w:lang w:eastAsia="zh-CN"/>
        </w:rPr>
      </w:pPr>
      <w:r>
        <w:rPr>
          <w:rFonts w:hint="eastAsia" w:hAnsi="Calibri" w:cs="Times New Roman"/>
          <w:color w:val="auto"/>
          <w:highlight w:val="none"/>
          <w:lang w:eastAsia="zh-CN"/>
        </w:rPr>
        <w:t>4）中等强度以上岩爆地段宜采用凿岩台车及喷混凝土台车施工。台车及装渣机械、运输车辆上宜加装防护钢板，避免岩爆弹射块体伤及操作人员和砸坏施工设备。</w:t>
      </w:r>
    </w:p>
    <w:p w14:paraId="5A9068A1">
      <w:pPr>
        <w:ind w:firstLine="420"/>
        <w:jc w:val="left"/>
        <w:rPr>
          <w:rFonts w:hAnsi="Calibri" w:cs="Times New Roman"/>
          <w:color w:val="auto"/>
          <w:highlight w:val="none"/>
          <w:lang w:eastAsia="zh-CN"/>
        </w:rPr>
      </w:pPr>
      <w:r>
        <w:rPr>
          <w:rFonts w:hint="eastAsia" w:hAnsi="Calibri" w:cs="Times New Roman"/>
          <w:color w:val="auto"/>
          <w:highlight w:val="none"/>
          <w:lang w:eastAsia="zh-CN"/>
        </w:rPr>
        <w:t>5）超前注水孔宜布置在道边墙及拱部开挖断面轮廓线外10cm-15cm范围内并向孔内灌高压水软化围岩加快围岩内部的应力释放。</w:t>
      </w:r>
    </w:p>
    <w:p w14:paraId="4A08E5AD">
      <w:pPr>
        <w:ind w:firstLine="420"/>
        <w:jc w:val="left"/>
        <w:rPr>
          <w:rFonts w:hAnsi="Calibri" w:cs="Times New Roman"/>
          <w:color w:val="auto"/>
          <w:highlight w:val="none"/>
          <w:lang w:eastAsia="zh-CN"/>
        </w:rPr>
      </w:pPr>
      <w:r>
        <w:rPr>
          <w:rFonts w:hint="eastAsia" w:hAnsi="Calibri" w:cs="Times New Roman"/>
          <w:color w:val="auto"/>
          <w:highlight w:val="none"/>
          <w:lang w:eastAsia="zh-CN"/>
        </w:rPr>
        <w:t>6）开挖后应及时喷射钢纤维混凝封闭，度宜为6-8cm。</w:t>
      </w:r>
    </w:p>
    <w:p w14:paraId="41411ECC">
      <w:pPr>
        <w:ind w:firstLine="420"/>
        <w:jc w:val="left"/>
        <w:rPr>
          <w:rFonts w:hAnsi="Calibri" w:cs="Times New Roman"/>
          <w:color w:val="auto"/>
          <w:highlight w:val="none"/>
          <w:lang w:eastAsia="zh-CN"/>
        </w:rPr>
      </w:pPr>
      <w:r>
        <w:rPr>
          <w:rFonts w:hint="eastAsia" w:hAnsi="Calibri" w:cs="Times New Roman"/>
          <w:color w:val="auto"/>
          <w:highlight w:val="none"/>
          <w:lang w:eastAsia="zh-CN"/>
        </w:rPr>
        <w:t>7）应力释放孔直径不宜小于</w:t>
      </w:r>
      <w:r>
        <w:rPr>
          <w:rFonts w:hint="eastAsia" w:hAnsi="Calibri" w:cs="Times New Roman"/>
          <w:color w:val="auto"/>
          <w:highlight w:val="none"/>
        </w:rPr>
        <w:t>φ</w:t>
      </w:r>
      <w:r>
        <w:rPr>
          <w:rFonts w:hint="eastAsia" w:hAnsi="Calibri" w:cs="Times New Roman"/>
          <w:color w:val="auto"/>
          <w:highlight w:val="none"/>
          <w:lang w:eastAsia="zh-CN"/>
        </w:rPr>
        <w:t>70mm。</w:t>
      </w:r>
    </w:p>
    <w:p w14:paraId="1816167B">
      <w:pPr>
        <w:ind w:firstLine="420"/>
        <w:jc w:val="left"/>
        <w:rPr>
          <w:rFonts w:hAnsi="Calibri" w:cs="Times New Roman"/>
          <w:color w:val="auto"/>
          <w:highlight w:val="none"/>
          <w:lang w:eastAsia="zh-CN"/>
        </w:rPr>
      </w:pPr>
      <w:r>
        <w:rPr>
          <w:rFonts w:hint="eastAsia" w:hAnsi="Calibri" w:cs="Times New Roman"/>
          <w:color w:val="auto"/>
          <w:highlight w:val="none"/>
          <w:lang w:eastAsia="zh-CN"/>
        </w:rPr>
        <w:t>8）防岩爆锚杆可采用涨壳式中空注浆锚杆等能及时受力的错杆，以调整围岩应力分布及加固围岩。</w:t>
      </w:r>
    </w:p>
    <w:p w14:paraId="55D5A52B">
      <w:pPr>
        <w:ind w:firstLine="420"/>
        <w:jc w:val="left"/>
        <w:rPr>
          <w:color w:val="auto"/>
          <w:highlight w:val="none"/>
          <w:lang w:eastAsia="zh-CN"/>
        </w:rPr>
      </w:pPr>
      <w:r>
        <w:rPr>
          <w:rFonts w:hint="eastAsia" w:hAnsi="Calibri" w:cs="Times New Roman"/>
          <w:color w:val="auto"/>
          <w:highlight w:val="none"/>
          <w:lang w:eastAsia="zh-CN"/>
        </w:rPr>
        <w:t>9）施工中发生岩爆,应停机待避,处理应利用岩爆间隙时间进行。</w:t>
      </w:r>
    </w:p>
    <w:p w14:paraId="07D5B3F2">
      <w:pPr>
        <w:pStyle w:val="5"/>
        <w:jc w:val="left"/>
        <w:rPr>
          <w:color w:val="auto"/>
          <w:highlight w:val="none"/>
          <w:lang w:eastAsia="zh-CN"/>
        </w:rPr>
      </w:pPr>
      <w:r>
        <w:rPr>
          <w:color w:val="auto"/>
          <w:highlight w:val="none"/>
          <w:lang w:eastAsia="zh-CN"/>
        </w:rPr>
        <w:t>8.4.3.6</w:t>
      </w:r>
      <w:r>
        <w:rPr>
          <w:rFonts w:hint="eastAsia"/>
          <w:color w:val="auto"/>
          <w:highlight w:val="none"/>
          <w:lang w:eastAsia="zh-CN"/>
        </w:rPr>
        <w:t>　软岩大变形</w:t>
      </w:r>
    </w:p>
    <w:p w14:paraId="4CFCC827">
      <w:pPr>
        <w:ind w:firstLine="420"/>
        <w:jc w:val="left"/>
        <w:rPr>
          <w:rFonts w:hAnsi="Calibri" w:cs="Times New Roman"/>
          <w:color w:val="auto"/>
          <w:highlight w:val="none"/>
          <w:lang w:eastAsia="zh-CN"/>
        </w:rPr>
      </w:pPr>
      <w:r>
        <w:rPr>
          <w:rFonts w:hint="eastAsia" w:hAnsi="Calibri" w:cs="Times New Roman"/>
          <w:color w:val="auto"/>
          <w:highlight w:val="none"/>
          <w:lang w:eastAsia="zh-CN"/>
        </w:rPr>
        <w:t>（1）软岩大变形洞段施工应符合下列规定：</w:t>
      </w:r>
    </w:p>
    <w:p w14:paraId="33708541">
      <w:pPr>
        <w:ind w:firstLine="420"/>
        <w:jc w:val="left"/>
        <w:rPr>
          <w:rFonts w:hAnsi="Calibri" w:cs="Times New Roman"/>
          <w:color w:val="auto"/>
          <w:highlight w:val="none"/>
          <w:lang w:eastAsia="zh-CN"/>
        </w:rPr>
      </w:pPr>
      <w:r>
        <w:rPr>
          <w:rFonts w:hint="eastAsia" w:hAnsi="Calibri" w:cs="Times New Roman"/>
          <w:color w:val="auto"/>
          <w:highlight w:val="none"/>
          <w:lang w:eastAsia="zh-CN"/>
        </w:rPr>
        <w:t>1）根据监测结果和岩层结构特点，及时调整预留变形量，合理预留补强空间,防止侵限;</w:t>
      </w:r>
    </w:p>
    <w:p w14:paraId="17B57219">
      <w:pPr>
        <w:ind w:firstLine="420"/>
        <w:jc w:val="left"/>
        <w:rPr>
          <w:rFonts w:hAnsi="Calibri" w:cs="Times New Roman"/>
          <w:color w:val="auto"/>
          <w:highlight w:val="none"/>
          <w:lang w:eastAsia="zh-CN"/>
        </w:rPr>
      </w:pPr>
      <w:r>
        <w:rPr>
          <w:rFonts w:hint="eastAsia" w:hAnsi="Calibri" w:cs="Times New Roman"/>
          <w:color w:val="auto"/>
          <w:highlight w:val="none"/>
          <w:lang w:eastAsia="zh-CN"/>
        </w:rPr>
        <w:t>2）开挖后应及时支护,封闭暴露岩体,支护应尽早封闭成环，钢支撑结构应加强锁脚;</w:t>
      </w:r>
    </w:p>
    <w:p w14:paraId="07EA3F45">
      <w:pPr>
        <w:ind w:firstLine="420"/>
        <w:jc w:val="left"/>
        <w:rPr>
          <w:rFonts w:hAnsi="Calibri" w:cs="Times New Roman"/>
          <w:color w:val="auto"/>
          <w:highlight w:val="none"/>
          <w:lang w:eastAsia="zh-CN"/>
        </w:rPr>
      </w:pPr>
      <w:r>
        <w:rPr>
          <w:rFonts w:hint="eastAsia" w:hAnsi="Calibri" w:cs="Times New Roman"/>
          <w:color w:val="auto"/>
          <w:highlight w:val="none"/>
          <w:lang w:eastAsia="zh-CN"/>
        </w:rPr>
        <w:t>3）应根据大变形等级采取相应的支护或让压联合加固措施，并针对典型地层开展现场试验，动态调整支护强度;</w:t>
      </w:r>
    </w:p>
    <w:p w14:paraId="1C154609">
      <w:pPr>
        <w:ind w:firstLine="420"/>
        <w:jc w:val="left"/>
        <w:rPr>
          <w:color w:val="auto"/>
          <w:highlight w:val="none"/>
          <w:lang w:eastAsia="zh-CN"/>
        </w:rPr>
      </w:pPr>
      <w:r>
        <w:rPr>
          <w:rFonts w:hint="eastAsia" w:hAnsi="Calibri" w:cs="Times New Roman"/>
          <w:color w:val="auto"/>
          <w:highlight w:val="none"/>
          <w:lang w:eastAsia="zh-CN"/>
        </w:rPr>
        <w:t>4）钢筋混凝土衬砌施作时机应根据监测结果分析确定，待变形趋缓后经监理人批准方可实施，并应适当延长衬砌拆模时间。</w:t>
      </w:r>
    </w:p>
    <w:p w14:paraId="2A88178A">
      <w:pPr>
        <w:ind w:firstLine="420"/>
        <w:jc w:val="left"/>
        <w:rPr>
          <w:color w:val="auto"/>
          <w:highlight w:val="none"/>
          <w:lang w:eastAsia="zh-CN"/>
        </w:rPr>
      </w:pPr>
      <w:r>
        <w:rPr>
          <w:color w:val="auto"/>
          <w:highlight w:val="none"/>
          <w:lang w:eastAsia="zh-CN"/>
        </w:rPr>
        <w:t>8.4.3.7</w:t>
      </w:r>
      <w:r>
        <w:rPr>
          <w:rFonts w:hint="eastAsia"/>
          <w:color w:val="auto"/>
          <w:highlight w:val="none"/>
          <w:lang w:eastAsia="zh-CN"/>
        </w:rPr>
        <w:t>高地温、有毒有害气体及放射性等工程地质问题</w:t>
      </w:r>
    </w:p>
    <w:p w14:paraId="4D83FB21">
      <w:pPr>
        <w:ind w:firstLine="420"/>
        <w:jc w:val="left"/>
        <w:rPr>
          <w:rFonts w:hAnsi="Calibri" w:cs="Times New Roman"/>
          <w:color w:val="auto"/>
          <w:highlight w:val="none"/>
          <w:lang w:eastAsia="zh-CN"/>
        </w:rPr>
      </w:pPr>
      <w:r>
        <w:rPr>
          <w:rFonts w:hint="eastAsia" w:hAnsi="Calibri" w:cs="Times New Roman"/>
          <w:color w:val="auto"/>
          <w:highlight w:val="none"/>
          <w:lang w:eastAsia="zh-CN"/>
        </w:rPr>
        <w:t>（1）高地温隧洞施工应加强探测和超前地质预报，探明热源，并进行风温预测，超温地点应采取加强通风、放置冰块、洒水等降温措施，并制定相应的安全防护措施。</w:t>
      </w:r>
    </w:p>
    <w:p w14:paraId="0311D8A0">
      <w:pPr>
        <w:ind w:firstLine="420"/>
        <w:jc w:val="left"/>
        <w:rPr>
          <w:rFonts w:hAnsi="Calibri" w:cs="Times New Roman"/>
          <w:color w:val="auto"/>
          <w:highlight w:val="none"/>
          <w:lang w:eastAsia="zh-CN"/>
        </w:rPr>
      </w:pPr>
      <w:r>
        <w:rPr>
          <w:rFonts w:hint="eastAsia" w:hAnsi="Calibri" w:cs="Times New Roman"/>
          <w:color w:val="auto"/>
          <w:highlight w:val="none"/>
          <w:lang w:eastAsia="zh-CN"/>
        </w:rPr>
        <w:t>（2）钻爆作业时，孔内岩体温度应低于爆破器材安全使用温度。</w:t>
      </w:r>
    </w:p>
    <w:p w14:paraId="21FF18B6">
      <w:pPr>
        <w:ind w:firstLine="420"/>
        <w:jc w:val="left"/>
        <w:rPr>
          <w:rFonts w:hAnsi="Calibri" w:cs="Times New Roman"/>
          <w:color w:val="auto"/>
          <w:highlight w:val="none"/>
          <w:lang w:eastAsia="zh-CN"/>
        </w:rPr>
      </w:pPr>
      <w:r>
        <w:rPr>
          <w:rFonts w:hint="eastAsia" w:hAnsi="Calibri" w:cs="Times New Roman"/>
          <w:color w:val="auto"/>
          <w:highlight w:val="none"/>
          <w:lang w:eastAsia="zh-CN"/>
        </w:rPr>
        <w:t>（3）高地温隧洞应通过施工风温计算，确定散热所需的通风量;通风软管出风口距掌子面距离不应大于10m。</w:t>
      </w:r>
    </w:p>
    <w:p w14:paraId="359E35A6">
      <w:pPr>
        <w:ind w:firstLine="420"/>
        <w:jc w:val="left"/>
        <w:rPr>
          <w:rFonts w:hAnsi="Calibri" w:cs="Times New Roman"/>
          <w:color w:val="auto"/>
          <w:highlight w:val="none"/>
          <w:lang w:eastAsia="zh-CN"/>
        </w:rPr>
      </w:pPr>
      <w:r>
        <w:rPr>
          <w:rFonts w:hint="eastAsia" w:hAnsi="Calibri" w:cs="Times New Roman"/>
          <w:color w:val="auto"/>
          <w:highlight w:val="none"/>
          <w:lang w:eastAsia="zh-CN"/>
        </w:rPr>
        <w:t>（4）高地温隧洞施工应采取措施降低高地温隧洞作业面温度，当采用隔绝热源、加强通风、喷雾洒水等制冷措施不足以消除热害时，应采用空调系统、冰块等人工制冷措施降低温度。</w:t>
      </w:r>
    </w:p>
    <w:p w14:paraId="1649346B">
      <w:pPr>
        <w:ind w:firstLine="420"/>
        <w:jc w:val="left"/>
        <w:rPr>
          <w:rFonts w:hAnsi="Calibri" w:cs="Times New Roman"/>
          <w:color w:val="auto"/>
          <w:highlight w:val="none"/>
          <w:lang w:eastAsia="zh-CN"/>
        </w:rPr>
      </w:pPr>
      <w:r>
        <w:rPr>
          <w:rFonts w:hint="eastAsia" w:hAnsi="Calibri" w:cs="Times New Roman"/>
          <w:color w:val="auto"/>
          <w:highlight w:val="none"/>
          <w:lang w:eastAsia="zh-CN"/>
        </w:rPr>
        <w:t>（5）高地温隧洞施工应根据隧洞内高温程度、劳动强度和劳动效率，确定合理的劳动工作时间;禁止高血压、心脏病患者及循环器官有异常的人员参加劳动。</w:t>
      </w:r>
    </w:p>
    <w:p w14:paraId="5264C8A0">
      <w:pPr>
        <w:ind w:firstLine="420"/>
        <w:jc w:val="left"/>
        <w:rPr>
          <w:rFonts w:hAnsi="Calibri" w:cs="Times New Roman"/>
          <w:color w:val="auto"/>
          <w:highlight w:val="none"/>
          <w:lang w:eastAsia="zh-CN"/>
        </w:rPr>
      </w:pPr>
      <w:r>
        <w:rPr>
          <w:rFonts w:hint="eastAsia" w:hAnsi="Calibri" w:cs="Times New Roman"/>
          <w:color w:val="auto"/>
          <w:highlight w:val="none"/>
          <w:lang w:eastAsia="zh-CN"/>
        </w:rPr>
        <w:t>（6）高地温隧洞施工应加强对施工机具的保养和维护，采取喷雾洒水、水箱内注入冷水等降温措施，防止施工机具因高温造成制动性能减弱、爆胎等故障。</w:t>
      </w:r>
    </w:p>
    <w:p w14:paraId="640EE9FA">
      <w:pPr>
        <w:ind w:firstLine="420"/>
        <w:jc w:val="left"/>
        <w:rPr>
          <w:rFonts w:hAnsi="Calibri" w:cs="Times New Roman"/>
          <w:color w:val="auto"/>
          <w:highlight w:val="none"/>
          <w:lang w:eastAsia="zh-CN"/>
        </w:rPr>
      </w:pPr>
      <w:r>
        <w:rPr>
          <w:rFonts w:hint="eastAsia" w:hAnsi="Calibri" w:cs="Times New Roman"/>
          <w:color w:val="auto"/>
          <w:highlight w:val="none"/>
          <w:lang w:eastAsia="zh-CN"/>
        </w:rPr>
        <w:t>（7）有毒有害气体隧洞施工应配备相应的气体检测设备。建立气体检测、监控和预警预报体系。有毒有害气体隧洞应加强通风，按劳动安全与防护要求采取相应措施。</w:t>
      </w:r>
    </w:p>
    <w:p w14:paraId="54966AA7">
      <w:pPr>
        <w:ind w:firstLine="420"/>
        <w:jc w:val="left"/>
        <w:rPr>
          <w:rFonts w:hAnsi="Calibri" w:cs="Times New Roman"/>
          <w:color w:val="auto"/>
          <w:highlight w:val="none"/>
          <w:lang w:eastAsia="zh-CN"/>
        </w:rPr>
      </w:pPr>
      <w:r>
        <w:rPr>
          <w:rFonts w:hint="eastAsia" w:hAnsi="Calibri" w:cs="Times New Roman"/>
          <w:color w:val="auto"/>
          <w:highlight w:val="none"/>
          <w:lang w:eastAsia="zh-CN"/>
        </w:rPr>
        <w:t>（8）隧洞施工应加强对可能的放射性物质的监测，对隧洞内氡气、氡子体浓度、粉尘、射线辐射剂量率、作业人员吸收的剂量、水及弃渣辐射性物质含量等定期进行监测。</w:t>
      </w:r>
    </w:p>
    <w:p w14:paraId="6C99BD00">
      <w:pPr>
        <w:pStyle w:val="7"/>
        <w:ind w:firstLine="420"/>
        <w:jc w:val="left"/>
        <w:rPr>
          <w:color w:val="auto"/>
          <w:highlight w:val="none"/>
          <w:lang w:eastAsia="zh-CN"/>
        </w:rPr>
      </w:pPr>
      <w:r>
        <w:rPr>
          <w:rFonts w:hint="eastAsia" w:hAnsi="Calibri" w:cs="Times New Roman"/>
          <w:color w:val="auto"/>
          <w:highlight w:val="none"/>
          <w:lang w:eastAsia="zh-CN"/>
        </w:rPr>
        <w:t>（9）隧洞作业人员可能接触放射性场所的时间、距离、剂量限值应控制在国家标准规定的范围内。作业人员应定期进行职业健康检查。经检测存在放射性地层时，应按辐射防护要求采取相应的防治措施。</w:t>
      </w:r>
    </w:p>
    <w:p w14:paraId="68EEA8F4">
      <w:pPr>
        <w:pStyle w:val="4"/>
        <w:spacing w:beforeLines="0" w:afterLines="0"/>
        <w:jc w:val="both"/>
        <w:rPr>
          <w:rFonts w:hint="eastAsia" w:cs="宋体"/>
          <w:bCs/>
          <w:color w:val="auto"/>
          <w:szCs w:val="24"/>
          <w:highlight w:val="none"/>
          <w:lang w:eastAsia="zh-CN"/>
        </w:rPr>
      </w:pPr>
      <w:bookmarkStart w:id="1892" w:name="_Toc2193"/>
      <w:bookmarkStart w:id="1893" w:name="_Toc23240"/>
      <w:bookmarkStart w:id="1894" w:name="_Toc14540"/>
      <w:r>
        <w:rPr>
          <w:rFonts w:hint="eastAsia" w:cs="宋体"/>
          <w:bCs/>
          <w:color w:val="auto"/>
          <w:szCs w:val="24"/>
          <w:highlight w:val="none"/>
          <w:lang w:eastAsia="zh-CN"/>
        </w:rPr>
        <w:t>8.5　TBM施工洞段开挖</w:t>
      </w:r>
      <w:bookmarkEnd w:id="1892"/>
      <w:bookmarkEnd w:id="1893"/>
      <w:bookmarkEnd w:id="1894"/>
    </w:p>
    <w:p w14:paraId="10764491">
      <w:pPr>
        <w:pStyle w:val="7"/>
        <w:ind w:firstLine="420"/>
        <w:jc w:val="left"/>
        <w:rPr>
          <w:color w:val="auto"/>
          <w:highlight w:val="none"/>
          <w:lang w:eastAsia="zh-CN"/>
        </w:rPr>
      </w:pPr>
      <w:r>
        <w:rPr>
          <w:rFonts w:hint="eastAsia"/>
          <w:color w:val="auto"/>
          <w:highlight w:val="none"/>
          <w:lang w:eastAsia="zh-CN"/>
        </w:rPr>
        <w:t>本标段不涉及。</w:t>
      </w:r>
    </w:p>
    <w:p w14:paraId="237CFFC0">
      <w:pPr>
        <w:pStyle w:val="4"/>
        <w:spacing w:beforeLines="0" w:afterLines="0"/>
        <w:jc w:val="both"/>
        <w:rPr>
          <w:rFonts w:hint="eastAsia" w:cs="宋体"/>
          <w:bCs/>
          <w:color w:val="auto"/>
          <w:szCs w:val="24"/>
          <w:highlight w:val="none"/>
          <w:lang w:eastAsia="zh-CN"/>
        </w:rPr>
      </w:pPr>
      <w:bookmarkStart w:id="1895" w:name="_Toc21579"/>
      <w:bookmarkStart w:id="1896" w:name="_Toc14410"/>
      <w:bookmarkStart w:id="1897" w:name="_Toc17542"/>
      <w:r>
        <w:rPr>
          <w:rFonts w:hint="eastAsia" w:cs="宋体"/>
          <w:bCs/>
          <w:color w:val="auto"/>
          <w:szCs w:val="24"/>
          <w:highlight w:val="none"/>
          <w:lang w:eastAsia="zh-CN"/>
        </w:rPr>
        <w:t>8.6　开挖面的规格</w:t>
      </w:r>
      <w:bookmarkEnd w:id="1895"/>
      <w:bookmarkEnd w:id="1896"/>
      <w:bookmarkEnd w:id="1897"/>
    </w:p>
    <w:p w14:paraId="2988A42A">
      <w:pPr>
        <w:pStyle w:val="5"/>
        <w:jc w:val="left"/>
        <w:rPr>
          <w:rFonts w:hAnsi="Times New Roman" w:cs="楷体"/>
          <w:color w:val="auto"/>
          <w:highlight w:val="none"/>
          <w:lang w:eastAsia="zh-CN"/>
        </w:rPr>
      </w:pPr>
      <w:r>
        <w:rPr>
          <w:rFonts w:hAnsi="Times New Roman" w:cs="Times New Roman"/>
          <w:color w:val="auto"/>
          <w:highlight w:val="none"/>
          <w:lang w:eastAsia="zh-CN"/>
        </w:rPr>
        <w:t>8.6.1</w:t>
      </w:r>
      <w:r>
        <w:rPr>
          <w:rFonts w:hint="eastAsia" w:hAnsi="Times New Roman" w:cs="Times New Roman"/>
          <w:color w:val="auto"/>
          <w:highlight w:val="none"/>
          <w:lang w:eastAsia="zh-CN"/>
        </w:rPr>
        <w:t>　</w:t>
      </w:r>
      <w:r>
        <w:rPr>
          <w:rFonts w:hAnsi="楷体" w:cs="楷体"/>
          <w:color w:val="auto"/>
          <w:highlight w:val="none"/>
          <w:lang w:eastAsia="zh-CN"/>
        </w:rPr>
        <w:t>开挖支付线的规定</w:t>
      </w:r>
    </w:p>
    <w:p w14:paraId="18B141D9">
      <w:pPr>
        <w:ind w:firstLine="420"/>
        <w:jc w:val="left"/>
        <w:rPr>
          <w:rFonts w:hAnsi="Times New Roman" w:cs="宋体"/>
          <w:color w:val="auto"/>
          <w:highlight w:val="none"/>
          <w:lang w:eastAsia="zh-CN"/>
        </w:rPr>
      </w:pPr>
      <w:r>
        <w:rPr>
          <w:rFonts w:cs="宋体"/>
          <w:color w:val="auto"/>
          <w:highlight w:val="none"/>
          <w:lang w:eastAsia="zh-CN"/>
        </w:rPr>
        <w:t>施工图纸中标明的开挖线为付款的依据，超出开挖线以外的超挖，及其在超挖空间内回填混凝土或其它回填物所发生的费用，均由承包人承担。</w:t>
      </w:r>
    </w:p>
    <w:p w14:paraId="38ACE7B6">
      <w:pPr>
        <w:ind w:firstLine="420"/>
        <w:jc w:val="left"/>
        <w:rPr>
          <w:color w:val="auto"/>
          <w:highlight w:val="none"/>
          <w:lang w:eastAsia="zh-CN"/>
        </w:rPr>
      </w:pPr>
      <w:r>
        <w:rPr>
          <w:rFonts w:hint="eastAsia"/>
          <w:color w:val="auto"/>
          <w:highlight w:val="none"/>
          <w:lang w:eastAsia="zh-CN"/>
        </w:rPr>
        <w:t>对钻爆法施工洞段，以施工图纸中标明的设计开挖线为付款的依据，超出设计开挖线以外的超挖，以及由于超挖所发生的其它费用，除特别注明者之外，均应包括在《工程量清单》该项目的单价中，发包人不再另行支付。</w:t>
      </w:r>
    </w:p>
    <w:p w14:paraId="00F501E8">
      <w:pPr>
        <w:pStyle w:val="5"/>
        <w:jc w:val="left"/>
        <w:rPr>
          <w:rFonts w:hAnsi="Times New Roman" w:cs="楷体"/>
          <w:color w:val="auto"/>
          <w:highlight w:val="none"/>
          <w:lang w:eastAsia="zh-CN"/>
        </w:rPr>
      </w:pPr>
      <w:r>
        <w:rPr>
          <w:rFonts w:hAnsi="Times New Roman" w:cs="Times New Roman"/>
          <w:color w:val="auto"/>
          <w:highlight w:val="none"/>
          <w:lang w:eastAsia="zh-CN"/>
        </w:rPr>
        <w:t>8.6.2</w:t>
      </w:r>
      <w:r>
        <w:rPr>
          <w:rFonts w:hint="eastAsia" w:hAnsi="Times New Roman" w:cs="Times New Roman"/>
          <w:color w:val="auto"/>
          <w:highlight w:val="none"/>
          <w:lang w:eastAsia="zh-CN"/>
        </w:rPr>
        <w:t>　</w:t>
      </w:r>
      <w:r>
        <w:rPr>
          <w:rFonts w:hAnsi="楷体" w:cs="楷体"/>
          <w:color w:val="auto"/>
          <w:highlight w:val="none"/>
          <w:lang w:eastAsia="zh-CN"/>
        </w:rPr>
        <w:t>开挖面欠挖清理</w:t>
      </w:r>
    </w:p>
    <w:p w14:paraId="62C0AD81">
      <w:pPr>
        <w:ind w:firstLine="420"/>
        <w:jc w:val="left"/>
        <w:rPr>
          <w:rFonts w:cs="宋体"/>
          <w:color w:val="auto"/>
          <w:highlight w:val="none"/>
          <w:lang w:eastAsia="zh-CN"/>
        </w:rPr>
      </w:pPr>
      <w:r>
        <w:rPr>
          <w:rFonts w:cs="宋体"/>
          <w:color w:val="auto"/>
          <w:highlight w:val="none"/>
          <w:lang w:eastAsia="zh-CN"/>
        </w:rPr>
        <w:t>对于所有洞室，应严格按照施工图纸所标明的设计开挖线进行放线，不允许有任何形式的欠挖，伸入设计开挖线以内的欠挖，均应由承包人按监理人指示负责清除，其费用由承包人承担。</w:t>
      </w:r>
    </w:p>
    <w:p w14:paraId="683CD458">
      <w:pPr>
        <w:pStyle w:val="5"/>
        <w:jc w:val="left"/>
        <w:rPr>
          <w:rFonts w:hAnsi="Times New Roman" w:cs="楷体"/>
          <w:color w:val="auto"/>
          <w:highlight w:val="none"/>
          <w:lang w:eastAsia="zh-CN"/>
        </w:rPr>
      </w:pPr>
      <w:r>
        <w:rPr>
          <w:rFonts w:hAnsi="Times New Roman" w:cs="Times New Roman"/>
          <w:color w:val="auto"/>
          <w:highlight w:val="none"/>
          <w:lang w:eastAsia="zh-CN"/>
        </w:rPr>
        <w:t>8.6.3</w:t>
      </w:r>
      <w:r>
        <w:rPr>
          <w:rFonts w:hint="eastAsia" w:hAnsi="Times New Roman" w:cs="Times New Roman"/>
          <w:color w:val="auto"/>
          <w:highlight w:val="none"/>
          <w:lang w:eastAsia="zh-CN"/>
        </w:rPr>
        <w:t>　</w:t>
      </w:r>
      <w:r>
        <w:rPr>
          <w:rFonts w:hAnsi="楷体" w:cs="楷体"/>
          <w:color w:val="auto"/>
          <w:highlight w:val="none"/>
          <w:lang w:eastAsia="zh-CN"/>
        </w:rPr>
        <w:t>开挖面的清撬</w:t>
      </w:r>
    </w:p>
    <w:p w14:paraId="70A3E5FA">
      <w:pPr>
        <w:ind w:firstLine="420"/>
        <w:jc w:val="left"/>
        <w:rPr>
          <w:rFonts w:hAnsi="Times New Roman" w:cs="宋体"/>
          <w:color w:val="auto"/>
          <w:highlight w:val="none"/>
          <w:lang w:eastAsia="zh-CN"/>
        </w:rPr>
      </w:pPr>
      <w:r>
        <w:rPr>
          <w:rFonts w:cs="宋体"/>
          <w:color w:val="auto"/>
          <w:highlight w:val="none"/>
          <w:lang w:eastAsia="zh-CN"/>
        </w:rPr>
        <w:t>爆破后和出渣前，承包人应清撬所有开挖面上残留的危石碎块，确保进入洞内的人员和设备安全。在施工过程中，承包人应经常检查已开挖洞段的围岩稳定情况，及时清撬可能塌落的松动岩块。</w:t>
      </w:r>
    </w:p>
    <w:p w14:paraId="09B0BF3E">
      <w:pPr>
        <w:pStyle w:val="5"/>
        <w:jc w:val="left"/>
        <w:rPr>
          <w:rFonts w:hAnsi="Times New Roman" w:cs="楷体"/>
          <w:color w:val="auto"/>
          <w:highlight w:val="none"/>
          <w:lang w:eastAsia="zh-CN"/>
        </w:rPr>
      </w:pPr>
      <w:r>
        <w:rPr>
          <w:rFonts w:hAnsi="Times New Roman" w:cs="Times New Roman"/>
          <w:color w:val="auto"/>
          <w:highlight w:val="none"/>
          <w:lang w:eastAsia="zh-CN"/>
        </w:rPr>
        <w:t>8.6.4</w:t>
      </w:r>
      <w:r>
        <w:rPr>
          <w:rFonts w:hint="eastAsia" w:hAnsi="Times New Roman" w:cs="Times New Roman"/>
          <w:color w:val="auto"/>
          <w:highlight w:val="none"/>
          <w:lang w:eastAsia="zh-CN"/>
        </w:rPr>
        <w:t>　</w:t>
      </w:r>
      <w:r>
        <w:rPr>
          <w:rFonts w:hAnsi="楷体" w:cs="楷体"/>
          <w:color w:val="auto"/>
          <w:highlight w:val="none"/>
          <w:lang w:eastAsia="zh-CN"/>
        </w:rPr>
        <w:t>开挖面的冲洗</w:t>
      </w:r>
    </w:p>
    <w:p w14:paraId="1A409B15">
      <w:pPr>
        <w:ind w:firstLine="420"/>
        <w:jc w:val="left"/>
        <w:rPr>
          <w:color w:val="auto"/>
          <w:highlight w:val="none"/>
          <w:lang w:eastAsia="zh-CN"/>
        </w:rPr>
      </w:pPr>
      <w:r>
        <w:rPr>
          <w:rFonts w:cs="宋体"/>
          <w:color w:val="auto"/>
          <w:highlight w:val="none"/>
          <w:lang w:eastAsia="zh-CN"/>
        </w:rPr>
        <w:t>对爆破后的岩石开挖面，承包人应在进行支护或混凝土衬砌前用高压水或用高压风冲洗干净，并清除岩石碎片、尘埃、碎屑和爆破泥粉，以便查清围岩中的软弱结构面，供地质编录和采取支护措施。</w:t>
      </w:r>
    </w:p>
    <w:p w14:paraId="33461C42">
      <w:pPr>
        <w:pStyle w:val="5"/>
        <w:jc w:val="left"/>
        <w:rPr>
          <w:rFonts w:hAnsi="Times New Roman" w:cs="楷体"/>
          <w:color w:val="auto"/>
          <w:highlight w:val="none"/>
          <w:lang w:eastAsia="zh-CN"/>
        </w:rPr>
      </w:pPr>
      <w:r>
        <w:rPr>
          <w:rFonts w:hAnsi="Times New Roman" w:cs="Times New Roman"/>
          <w:color w:val="auto"/>
          <w:highlight w:val="none"/>
          <w:lang w:eastAsia="zh-CN"/>
        </w:rPr>
        <w:t>8.6.5</w:t>
      </w:r>
      <w:r>
        <w:rPr>
          <w:rFonts w:hint="eastAsia" w:hAnsi="Times New Roman" w:cs="Times New Roman"/>
          <w:color w:val="auto"/>
          <w:highlight w:val="none"/>
          <w:lang w:eastAsia="zh-CN"/>
        </w:rPr>
        <w:t>　</w:t>
      </w:r>
      <w:r>
        <w:rPr>
          <w:rFonts w:hAnsi="楷体" w:cs="楷体"/>
          <w:color w:val="auto"/>
          <w:highlight w:val="none"/>
          <w:lang w:eastAsia="zh-CN"/>
        </w:rPr>
        <w:t>施工措施不当引起的超挖</w:t>
      </w:r>
    </w:p>
    <w:p w14:paraId="20680044">
      <w:pPr>
        <w:ind w:firstLine="420"/>
        <w:jc w:val="left"/>
        <w:rPr>
          <w:rFonts w:hAnsi="Times New Roman" w:cs="宋体"/>
          <w:color w:val="auto"/>
          <w:highlight w:val="none"/>
          <w:lang w:eastAsia="zh-CN"/>
        </w:rPr>
      </w:pPr>
      <w:r>
        <w:rPr>
          <w:rFonts w:cs="宋体"/>
          <w:color w:val="auto"/>
          <w:highlight w:val="none"/>
          <w:lang w:eastAsia="zh-CN"/>
        </w:rPr>
        <w:t>除监理人认可的地质原因引起的超挖外，承包人在开挖过程中由于施工措施不当造成的超挖，均由承包人承担增加的费用，包括为超挖需要回填的材料，其费用由承包人承担。</w:t>
      </w:r>
    </w:p>
    <w:p w14:paraId="44105B08">
      <w:pPr>
        <w:pStyle w:val="5"/>
        <w:jc w:val="left"/>
        <w:rPr>
          <w:rFonts w:hAnsi="Times New Roman" w:cs="楷体"/>
          <w:color w:val="auto"/>
          <w:highlight w:val="none"/>
          <w:lang w:eastAsia="zh-CN"/>
        </w:rPr>
      </w:pPr>
      <w:r>
        <w:rPr>
          <w:rFonts w:hAnsi="Times New Roman" w:cs="Times New Roman"/>
          <w:color w:val="auto"/>
          <w:highlight w:val="none"/>
          <w:lang w:eastAsia="zh-CN"/>
        </w:rPr>
        <w:t>8.6.6</w:t>
      </w:r>
      <w:r>
        <w:rPr>
          <w:rFonts w:hint="eastAsia" w:hAnsi="Times New Roman" w:cs="Times New Roman"/>
          <w:color w:val="auto"/>
          <w:highlight w:val="none"/>
          <w:lang w:eastAsia="zh-CN"/>
        </w:rPr>
        <w:t>　</w:t>
      </w:r>
      <w:r>
        <w:rPr>
          <w:rFonts w:hAnsi="楷体" w:cs="楷体"/>
          <w:color w:val="auto"/>
          <w:highlight w:val="none"/>
          <w:lang w:eastAsia="zh-CN"/>
        </w:rPr>
        <w:t>地质原因引起的超挖</w:t>
      </w:r>
    </w:p>
    <w:p w14:paraId="300092E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）可预见地质原因引起的超挖是指施工图纸中已标示了明确的地质特征，但承包人在施工中未采取有效的控制爆破措施，或未按施工图纸的要求或监理人的指示及时进行支护而发生的超挖，其费用由承包人承担。</w:t>
      </w:r>
    </w:p>
    <w:p w14:paraId="2E3E833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）不可预见地质原因引起的超挖是指在施工图纸中未标明地质特征，而承包人已按施工图纸要求或监理人指示施工，但仍发生超挖，经监理人核准后，其费用由发包人承担。</w:t>
      </w:r>
    </w:p>
    <w:p w14:paraId="625512DD">
      <w:pPr>
        <w:pStyle w:val="5"/>
        <w:jc w:val="left"/>
        <w:rPr>
          <w:rFonts w:hAnsi="Times New Roman" w:cs="楷体"/>
          <w:color w:val="auto"/>
          <w:highlight w:val="none"/>
          <w:lang w:eastAsia="zh-CN"/>
        </w:rPr>
      </w:pPr>
      <w:r>
        <w:rPr>
          <w:rFonts w:hAnsi="Times New Roman" w:cs="Times New Roman"/>
          <w:color w:val="auto"/>
          <w:highlight w:val="none"/>
          <w:lang w:eastAsia="zh-CN"/>
        </w:rPr>
        <w:t>8.6.7</w:t>
      </w:r>
      <w:r>
        <w:rPr>
          <w:rFonts w:hint="eastAsia" w:hAnsi="Times New Roman" w:cs="Times New Roman"/>
          <w:color w:val="auto"/>
          <w:highlight w:val="none"/>
          <w:lang w:eastAsia="zh-CN"/>
        </w:rPr>
        <w:t>　</w:t>
      </w:r>
      <w:r>
        <w:rPr>
          <w:rFonts w:hAnsi="楷体" w:cs="楷体"/>
          <w:color w:val="auto"/>
          <w:highlight w:val="none"/>
          <w:lang w:eastAsia="zh-CN"/>
        </w:rPr>
        <w:t>施工需要增加的开挖</w:t>
      </w:r>
    </w:p>
    <w:p w14:paraId="12BE92D7">
      <w:pPr>
        <w:ind w:firstLine="420"/>
        <w:jc w:val="left"/>
        <w:rPr>
          <w:rFonts w:cs="宋体"/>
          <w:color w:val="auto"/>
          <w:highlight w:val="none"/>
          <w:lang w:eastAsia="zh-CN"/>
        </w:rPr>
      </w:pPr>
      <w:r>
        <w:rPr>
          <w:rFonts w:cs="宋体"/>
          <w:color w:val="auto"/>
          <w:highlight w:val="none"/>
          <w:lang w:eastAsia="zh-CN"/>
        </w:rPr>
        <w:t>承包人为了施工需要增加的开挖量，以及由此增加回填的费用，均应由承包人承担。</w:t>
      </w:r>
    </w:p>
    <w:p w14:paraId="09A9A6C9">
      <w:pPr>
        <w:pStyle w:val="4"/>
        <w:spacing w:beforeLines="0" w:afterLines="0"/>
        <w:jc w:val="both"/>
        <w:rPr>
          <w:rFonts w:hint="eastAsia" w:cs="宋体"/>
          <w:bCs/>
          <w:color w:val="auto"/>
          <w:szCs w:val="24"/>
          <w:highlight w:val="none"/>
          <w:lang w:eastAsia="zh-CN"/>
        </w:rPr>
      </w:pPr>
      <w:bookmarkStart w:id="1898" w:name="_Toc4368"/>
      <w:bookmarkStart w:id="1899" w:name="_Toc24714"/>
      <w:bookmarkStart w:id="1900" w:name="_Toc17863"/>
      <w:r>
        <w:rPr>
          <w:rFonts w:hint="eastAsia" w:cs="宋体"/>
          <w:bCs/>
          <w:color w:val="auto"/>
          <w:szCs w:val="24"/>
          <w:highlight w:val="none"/>
          <w:lang w:eastAsia="zh-CN"/>
        </w:rPr>
        <w:t>8.7　地下洞室的二次扩挖</w:t>
      </w:r>
      <w:bookmarkEnd w:id="1898"/>
      <w:bookmarkEnd w:id="1899"/>
      <w:bookmarkEnd w:id="1900"/>
    </w:p>
    <w:p w14:paraId="0B99A0EF">
      <w:pPr>
        <w:pStyle w:val="5"/>
        <w:jc w:val="left"/>
        <w:rPr>
          <w:rFonts w:hAnsi="Times New Roman" w:cs="楷体"/>
          <w:color w:val="auto"/>
          <w:highlight w:val="none"/>
          <w:lang w:eastAsia="zh-CN"/>
        </w:rPr>
      </w:pPr>
      <w:r>
        <w:rPr>
          <w:rFonts w:hAnsi="Times New Roman" w:cs="Times New Roman"/>
          <w:color w:val="auto"/>
          <w:highlight w:val="none"/>
          <w:lang w:eastAsia="zh-CN"/>
        </w:rPr>
        <w:t>8.7.1</w:t>
      </w:r>
      <w:r>
        <w:rPr>
          <w:rFonts w:hint="eastAsia" w:hAnsi="Times New Roman" w:cs="Times New Roman"/>
          <w:color w:val="auto"/>
          <w:highlight w:val="none"/>
          <w:lang w:eastAsia="zh-CN"/>
        </w:rPr>
        <w:t>　</w:t>
      </w:r>
      <w:r>
        <w:rPr>
          <w:rFonts w:hAnsi="楷体" w:cs="楷体"/>
          <w:color w:val="auto"/>
          <w:highlight w:val="none"/>
          <w:lang w:eastAsia="zh-CN"/>
        </w:rPr>
        <w:t>二次扩挖的定义</w:t>
      </w:r>
    </w:p>
    <w:p w14:paraId="742682FD">
      <w:pPr>
        <w:ind w:firstLine="420"/>
        <w:jc w:val="left"/>
        <w:rPr>
          <w:rFonts w:hAnsi="Times New Roman" w:cs="宋体"/>
          <w:color w:val="auto"/>
          <w:highlight w:val="none"/>
          <w:lang w:eastAsia="zh-CN"/>
        </w:rPr>
      </w:pPr>
      <w:r>
        <w:rPr>
          <w:rFonts w:cs="宋体"/>
          <w:color w:val="auto"/>
          <w:highlight w:val="none"/>
          <w:lang w:eastAsia="zh-CN"/>
        </w:rPr>
        <w:t>根据监理人指示，承包人对已完成开挖的地下洞室进行第二次扩大开挖，称为二次扩挖。</w:t>
      </w:r>
    </w:p>
    <w:p w14:paraId="7B11DD4A">
      <w:pPr>
        <w:pStyle w:val="5"/>
        <w:jc w:val="left"/>
        <w:rPr>
          <w:rFonts w:hAnsi="Times New Roman" w:cs="楷体"/>
          <w:color w:val="auto"/>
          <w:highlight w:val="none"/>
          <w:lang w:eastAsia="zh-CN"/>
        </w:rPr>
      </w:pPr>
      <w:r>
        <w:rPr>
          <w:rFonts w:hAnsi="Times New Roman" w:cs="Times New Roman"/>
          <w:color w:val="auto"/>
          <w:highlight w:val="none"/>
          <w:lang w:eastAsia="zh-CN"/>
        </w:rPr>
        <w:t>8.7.2</w:t>
      </w:r>
      <w:r>
        <w:rPr>
          <w:rFonts w:hint="eastAsia" w:hAnsi="Times New Roman" w:cs="Times New Roman"/>
          <w:color w:val="auto"/>
          <w:highlight w:val="none"/>
          <w:lang w:eastAsia="zh-CN"/>
        </w:rPr>
        <w:t>　</w:t>
      </w:r>
      <w:r>
        <w:rPr>
          <w:rFonts w:hAnsi="楷体" w:cs="楷体"/>
          <w:color w:val="auto"/>
          <w:highlight w:val="none"/>
          <w:lang w:eastAsia="zh-CN"/>
        </w:rPr>
        <w:t>二次扩挖的计量原则</w:t>
      </w:r>
    </w:p>
    <w:p w14:paraId="6503583E">
      <w:pPr>
        <w:ind w:firstLine="420"/>
        <w:jc w:val="left"/>
        <w:rPr>
          <w:rFonts w:cs="宋体"/>
          <w:color w:val="auto"/>
          <w:highlight w:val="none"/>
          <w:lang w:eastAsia="zh-CN"/>
        </w:rPr>
      </w:pPr>
      <w:r>
        <w:rPr>
          <w:rFonts w:cs="宋体"/>
          <w:color w:val="auto"/>
          <w:highlight w:val="none"/>
          <w:lang w:eastAsia="zh-CN"/>
        </w:rPr>
        <w:t>二次扩挖工程量按设计开挖线与二次扩挖线之间的体积进行计算，设计要求扩挖尺寸小于</w:t>
      </w:r>
      <w:r>
        <w:rPr>
          <w:rFonts w:hAnsi="Times New Roman" w:cs="Times New Roman"/>
          <w:color w:val="auto"/>
          <w:highlight w:val="none"/>
          <w:lang w:eastAsia="zh-CN"/>
        </w:rPr>
        <w:t>15cm</w:t>
      </w:r>
      <w:r>
        <w:rPr>
          <w:rFonts w:cs="宋体"/>
          <w:color w:val="auto"/>
          <w:highlight w:val="none"/>
          <w:lang w:eastAsia="zh-CN"/>
        </w:rPr>
        <w:t>的，按</w:t>
      </w:r>
      <w:r>
        <w:rPr>
          <w:rFonts w:hAnsi="Times New Roman" w:cs="Times New Roman"/>
          <w:color w:val="auto"/>
          <w:highlight w:val="none"/>
          <w:lang w:eastAsia="zh-CN"/>
        </w:rPr>
        <w:t>15cm</w:t>
      </w:r>
      <w:r>
        <w:rPr>
          <w:rFonts w:cs="宋体"/>
          <w:color w:val="auto"/>
          <w:highlight w:val="none"/>
          <w:lang w:eastAsia="zh-CN"/>
        </w:rPr>
        <w:t>计算。</w:t>
      </w:r>
    </w:p>
    <w:p w14:paraId="0B0B217A">
      <w:pPr>
        <w:pStyle w:val="4"/>
        <w:spacing w:beforeLines="0" w:afterLines="0"/>
        <w:jc w:val="both"/>
        <w:rPr>
          <w:rFonts w:hint="eastAsia" w:cs="宋体"/>
          <w:bCs/>
          <w:color w:val="auto"/>
          <w:szCs w:val="24"/>
          <w:highlight w:val="none"/>
          <w:lang w:eastAsia="zh-CN"/>
        </w:rPr>
      </w:pPr>
      <w:bookmarkStart w:id="1901" w:name="_Toc28535"/>
      <w:bookmarkStart w:id="1902" w:name="_Toc411"/>
      <w:bookmarkStart w:id="1903" w:name="_Toc2519"/>
      <w:r>
        <w:rPr>
          <w:rFonts w:hint="eastAsia" w:cs="宋体"/>
          <w:bCs/>
          <w:color w:val="auto"/>
          <w:szCs w:val="24"/>
          <w:highlight w:val="none"/>
          <w:lang w:eastAsia="zh-CN"/>
        </w:rPr>
        <w:t>8.8　地下照明和通风和噪音控制</w:t>
      </w:r>
      <w:bookmarkEnd w:id="1901"/>
      <w:bookmarkEnd w:id="1902"/>
      <w:bookmarkEnd w:id="1903"/>
    </w:p>
    <w:p w14:paraId="76905224">
      <w:pPr>
        <w:pStyle w:val="5"/>
        <w:jc w:val="left"/>
        <w:rPr>
          <w:rFonts w:hAnsi="Times New Roman" w:cs="楷体"/>
          <w:color w:val="auto"/>
          <w:highlight w:val="none"/>
          <w:lang w:eastAsia="zh-CN"/>
        </w:rPr>
      </w:pPr>
      <w:r>
        <w:rPr>
          <w:rFonts w:hAnsi="Times New Roman" w:cs="Times New Roman"/>
          <w:color w:val="auto"/>
          <w:highlight w:val="none"/>
          <w:lang w:eastAsia="zh-CN"/>
        </w:rPr>
        <w:t>8.8.1</w:t>
      </w:r>
      <w:r>
        <w:rPr>
          <w:rFonts w:hint="eastAsia" w:hAnsi="Times New Roman" w:cs="Times New Roman"/>
          <w:color w:val="auto"/>
          <w:highlight w:val="none"/>
          <w:lang w:eastAsia="zh-CN"/>
        </w:rPr>
        <w:t>　</w:t>
      </w:r>
      <w:r>
        <w:rPr>
          <w:rFonts w:hAnsi="楷体" w:cs="楷体"/>
          <w:color w:val="auto"/>
          <w:highlight w:val="none"/>
          <w:lang w:eastAsia="zh-CN"/>
        </w:rPr>
        <w:t>地下照明</w:t>
      </w:r>
    </w:p>
    <w:p w14:paraId="03D7E071">
      <w:pPr>
        <w:ind w:firstLine="420"/>
        <w:jc w:val="left"/>
        <w:rPr>
          <w:rFonts w:hAnsi="Times New Roman" w:cs="宋体"/>
          <w:color w:val="auto"/>
          <w:highlight w:val="none"/>
          <w:lang w:eastAsia="zh-CN"/>
        </w:rPr>
      </w:pPr>
      <w:r>
        <w:rPr>
          <w:rFonts w:cs="宋体"/>
          <w:color w:val="auto"/>
          <w:highlight w:val="none"/>
          <w:lang w:eastAsia="zh-CN"/>
        </w:rPr>
        <w:t>在地下工程施工期间，承包人应按本技术条款第</w:t>
      </w:r>
      <w:r>
        <w:rPr>
          <w:rFonts w:hAnsi="Times New Roman" w:cs="Times New Roman"/>
          <w:color w:val="auto"/>
          <w:highlight w:val="none"/>
          <w:lang w:eastAsia="zh-CN"/>
        </w:rPr>
        <w:t>3.2.5</w:t>
      </w:r>
      <w:r>
        <w:rPr>
          <w:rFonts w:cs="宋体"/>
          <w:color w:val="auto"/>
          <w:highlight w:val="none"/>
          <w:lang w:eastAsia="zh-CN"/>
        </w:rPr>
        <w:t>项的规定及《水工建筑物地下开挖工程施工规范》（</w:t>
      </w:r>
      <w:r>
        <w:rPr>
          <w:rFonts w:hAnsi="Times New Roman" w:cs="Times New Roman"/>
          <w:color w:val="auto"/>
          <w:highlight w:val="none"/>
          <w:lang w:eastAsia="zh-CN"/>
        </w:rPr>
        <w:t>SL378—2007</w:t>
      </w:r>
      <w:r>
        <w:rPr>
          <w:rFonts w:cs="宋体"/>
          <w:color w:val="auto"/>
          <w:highlight w:val="none"/>
          <w:lang w:eastAsia="zh-CN"/>
        </w:rPr>
        <w:t>）表</w:t>
      </w:r>
      <w:r>
        <w:rPr>
          <w:rFonts w:hAnsi="Times New Roman" w:cs="Times New Roman"/>
          <w:color w:val="auto"/>
          <w:highlight w:val="none"/>
          <w:lang w:eastAsia="zh-CN"/>
        </w:rPr>
        <w:t>12.3.10</w:t>
      </w:r>
      <w:r>
        <w:rPr>
          <w:rFonts w:cs="宋体"/>
          <w:color w:val="auto"/>
          <w:highlight w:val="none"/>
          <w:lang w:eastAsia="zh-CN"/>
        </w:rPr>
        <w:t>的建议值，结合本工程项目的具体要求，提供各地下开挖工作面的全部照明。</w:t>
      </w:r>
    </w:p>
    <w:p w14:paraId="68BA0FA8">
      <w:pPr>
        <w:ind w:firstLine="420"/>
        <w:jc w:val="left"/>
        <w:rPr>
          <w:rFonts w:hAnsi="Times New Roman"/>
          <w:color w:val="auto"/>
          <w:highlight w:val="none"/>
          <w:lang w:eastAsia="zh-CN"/>
        </w:rPr>
      </w:pPr>
      <w:r>
        <w:rPr>
          <w:rFonts w:hint="eastAsia"/>
          <w:color w:val="auto"/>
          <w:highlight w:val="none"/>
          <w:lang w:eastAsia="zh-CN"/>
        </w:rPr>
        <w:t>洞内每间隔一定距离设置一个应急照明灯，变压器、集水井、集水仓也各设一个应急照明灯。所有的照明灯应具有防尘、防水、防爆能力。</w:t>
      </w:r>
    </w:p>
    <w:p w14:paraId="01C8A9F7">
      <w:pPr>
        <w:pStyle w:val="5"/>
        <w:jc w:val="left"/>
        <w:rPr>
          <w:rFonts w:hAnsi="Times New Roman" w:cs="楷体"/>
          <w:color w:val="auto"/>
          <w:highlight w:val="none"/>
          <w:lang w:eastAsia="zh-CN"/>
        </w:rPr>
      </w:pPr>
      <w:r>
        <w:rPr>
          <w:rFonts w:hAnsi="Times New Roman" w:cs="Times New Roman"/>
          <w:color w:val="auto"/>
          <w:highlight w:val="none"/>
          <w:lang w:eastAsia="zh-CN"/>
        </w:rPr>
        <w:t>8.8.2</w:t>
      </w:r>
      <w:r>
        <w:rPr>
          <w:rFonts w:hint="eastAsia" w:hAnsi="Times New Roman" w:cs="Times New Roman"/>
          <w:color w:val="auto"/>
          <w:highlight w:val="none"/>
          <w:lang w:eastAsia="zh-CN"/>
        </w:rPr>
        <w:t>　</w:t>
      </w:r>
      <w:r>
        <w:rPr>
          <w:rFonts w:hAnsi="楷体" w:cs="楷体"/>
          <w:color w:val="auto"/>
          <w:highlight w:val="none"/>
          <w:lang w:eastAsia="zh-CN"/>
        </w:rPr>
        <w:t>地下通风与防尘</w:t>
      </w:r>
    </w:p>
    <w:p w14:paraId="5B4E94E6">
      <w:pPr>
        <w:ind w:firstLine="420"/>
        <w:jc w:val="left"/>
        <w:rPr>
          <w:rFonts w:hAnsi="Times New Roman" w:cs="宋体"/>
          <w:color w:val="auto"/>
          <w:highlight w:val="none"/>
          <w:lang w:eastAsia="zh-CN"/>
        </w:rPr>
      </w:pPr>
      <w:r>
        <w:rPr>
          <w:rFonts w:cs="宋体"/>
          <w:color w:val="auto"/>
          <w:highlight w:val="none"/>
          <w:lang w:eastAsia="zh-CN"/>
        </w:rPr>
        <w:t>地下洞室开挖施工过程中，洞内氧气体积不应少于</w:t>
      </w:r>
      <w:r>
        <w:rPr>
          <w:rFonts w:hAnsi="Times New Roman" w:cs="Times New Roman"/>
          <w:color w:val="auto"/>
          <w:highlight w:val="none"/>
          <w:u w:val="single"/>
          <w:lang w:eastAsia="zh-CN"/>
        </w:rPr>
        <w:t>20%</w:t>
      </w:r>
      <w:r>
        <w:rPr>
          <w:rFonts w:cs="宋体"/>
          <w:color w:val="auto"/>
          <w:highlight w:val="none"/>
          <w:lang w:eastAsia="zh-CN"/>
        </w:rPr>
        <w:t>，洞内环境卫生标准应遵守《水工建筑物地下开挖工程施工规范》（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11.1</w:t>
      </w:r>
      <w:r>
        <w:rPr>
          <w:rFonts w:cs="宋体"/>
          <w:color w:val="auto"/>
          <w:highlight w:val="none"/>
          <w:lang w:eastAsia="zh-CN"/>
        </w:rPr>
        <w:t>节规定，通风与防尘应遵守《水工建筑物地下开挖工程施工规范》（</w:t>
      </w:r>
      <w:r>
        <w:rPr>
          <w:rFonts w:hAnsi="Times New Roman" w:cs="Times New Roman"/>
          <w:color w:val="auto"/>
          <w:highlight w:val="none"/>
          <w:lang w:eastAsia="zh-CN"/>
        </w:rPr>
        <w:t>SL378—2007</w:t>
      </w:r>
      <w:r>
        <w:rPr>
          <w:rFonts w:cs="宋体"/>
          <w:color w:val="auto"/>
          <w:highlight w:val="none"/>
          <w:lang w:eastAsia="zh-CN"/>
        </w:rPr>
        <w:t>）第</w:t>
      </w:r>
      <w:r>
        <w:rPr>
          <w:rFonts w:hAnsi="Times New Roman" w:cs="Times New Roman"/>
          <w:color w:val="auto"/>
          <w:highlight w:val="none"/>
          <w:lang w:eastAsia="zh-CN"/>
        </w:rPr>
        <w:t>11.2</w:t>
      </w:r>
      <w:r>
        <w:rPr>
          <w:rFonts w:cs="宋体"/>
          <w:color w:val="auto"/>
          <w:highlight w:val="none"/>
          <w:lang w:eastAsia="zh-CN"/>
        </w:rPr>
        <w:t>，</w:t>
      </w:r>
      <w:r>
        <w:rPr>
          <w:rFonts w:hAnsi="Times New Roman" w:cs="Times New Roman"/>
          <w:color w:val="auto"/>
          <w:highlight w:val="none"/>
          <w:lang w:eastAsia="zh-CN"/>
        </w:rPr>
        <w:t>11.3</w:t>
      </w:r>
      <w:r>
        <w:rPr>
          <w:rFonts w:cs="宋体"/>
          <w:color w:val="auto"/>
          <w:highlight w:val="none"/>
          <w:lang w:eastAsia="zh-CN"/>
        </w:rPr>
        <w:t>节的规定。</w:t>
      </w:r>
    </w:p>
    <w:p w14:paraId="1A5BC30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）施工前，承包人向现场监理报送通风专项方案。</w:t>
      </w:r>
    </w:p>
    <w:p w14:paraId="50345C76">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）通风方案必须与隧洞施工组织相协调，并采取</w:t>
      </w:r>
      <w:r>
        <w:rPr>
          <w:rFonts w:hAnsi="Times New Roman"/>
          <w:color w:val="auto"/>
          <w:highlight w:val="none"/>
          <w:lang w:eastAsia="zh-CN"/>
        </w:rPr>
        <w:t>“</w:t>
      </w:r>
      <w:r>
        <w:rPr>
          <w:rFonts w:hint="eastAsia"/>
          <w:color w:val="auto"/>
          <w:highlight w:val="none"/>
          <w:lang w:eastAsia="zh-CN"/>
        </w:rPr>
        <w:t>合理布局，优化匹配，防漏降阻，严格管理</w:t>
      </w:r>
      <w:r>
        <w:rPr>
          <w:rFonts w:hAnsi="Times New Roman"/>
          <w:color w:val="auto"/>
          <w:highlight w:val="none"/>
          <w:lang w:eastAsia="zh-CN"/>
        </w:rPr>
        <w:t>”</w:t>
      </w:r>
      <w:r>
        <w:rPr>
          <w:rFonts w:hint="eastAsia"/>
          <w:color w:val="auto"/>
          <w:highlight w:val="none"/>
          <w:lang w:eastAsia="zh-CN"/>
        </w:rPr>
        <w:t>的综合管理措施，为隧洞内施工工作人员创造一个适宜的作业环境，同时也为维持其他机电设备正常运行提供必要的条件。</w:t>
      </w:r>
    </w:p>
    <w:p w14:paraId="1621163C">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）隧洞通风除尘系统的任务是为隧洞内人员工作地点供给足够的新鲜空气，淡化或排除各种有害气体或岩尘，使其含量降低到《水工建筑物地下开挖工程施工规范》（</w:t>
      </w:r>
      <w:r>
        <w:rPr>
          <w:rFonts w:hAnsi="Times New Roman"/>
          <w:color w:val="auto"/>
          <w:highlight w:val="none"/>
          <w:lang w:eastAsia="zh-CN"/>
        </w:rPr>
        <w:t>SL378</w:t>
      </w:r>
      <w:r>
        <w:rPr>
          <w:rFonts w:hint="eastAsia"/>
          <w:color w:val="auto"/>
          <w:highlight w:val="none"/>
          <w:lang w:eastAsia="zh-CN"/>
        </w:rPr>
        <w:t>）标准所规定的范围以内，创造良好的劳动气候条件，保证其他机电设备的运行条件。支洞作为出渣、通风、材料运输的通道和紧急出口。</w:t>
      </w:r>
    </w:p>
    <w:p w14:paraId="24DD02F9">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）为确保工作面劳动环境卫生指标达到标准规定，应满足相关施工规范要求及通风和除尘要求。</w:t>
      </w:r>
    </w:p>
    <w:p w14:paraId="00B47B12">
      <w:pPr>
        <w:ind w:firstLine="420"/>
        <w:jc w:val="left"/>
        <w:rPr>
          <w:rFonts w:hAnsi="Times New Roman"/>
          <w:color w:val="auto"/>
          <w:highlight w:val="none"/>
          <w:lang w:eastAsia="zh-CN"/>
        </w:rPr>
      </w:pPr>
      <w:r>
        <w:rPr>
          <w:rFonts w:hint="eastAsia"/>
          <w:color w:val="auto"/>
          <w:highlight w:val="none"/>
          <w:lang w:eastAsia="zh-CN"/>
        </w:rPr>
        <w:t>（</w:t>
      </w:r>
      <w:r>
        <w:rPr>
          <w:color w:val="auto"/>
          <w:highlight w:val="none"/>
          <w:lang w:eastAsia="zh-CN"/>
        </w:rPr>
        <w:t>5</w:t>
      </w:r>
      <w:r>
        <w:rPr>
          <w:rFonts w:hint="eastAsia"/>
          <w:color w:val="auto"/>
          <w:highlight w:val="none"/>
          <w:lang w:eastAsia="zh-CN"/>
        </w:rPr>
        <w:t>）通风系统的使用维护：承包人应成立专门的通风作业班组，一方面负责不断向前接长风管，另一方面进行系统检查和维修，负责风管的维修和更换。</w:t>
      </w:r>
    </w:p>
    <w:p w14:paraId="5D02E68B">
      <w:pPr>
        <w:ind w:firstLine="420"/>
        <w:jc w:val="left"/>
        <w:rPr>
          <w:rFonts w:hAnsi="Times New Roman"/>
          <w:color w:val="auto"/>
          <w:highlight w:val="none"/>
          <w:lang w:eastAsia="zh-CN"/>
        </w:rPr>
      </w:pPr>
      <w:r>
        <w:rPr>
          <w:rFonts w:hint="eastAsia"/>
          <w:color w:val="auto"/>
          <w:highlight w:val="none"/>
          <w:lang w:eastAsia="zh-CN"/>
        </w:rPr>
        <w:t>（</w:t>
      </w:r>
      <w:r>
        <w:rPr>
          <w:color w:val="auto"/>
          <w:highlight w:val="none"/>
          <w:lang w:eastAsia="zh-CN"/>
        </w:rPr>
        <w:t>6</w:t>
      </w:r>
      <w:r>
        <w:rPr>
          <w:rFonts w:hint="eastAsia"/>
          <w:color w:val="auto"/>
          <w:highlight w:val="none"/>
          <w:lang w:eastAsia="zh-CN"/>
        </w:rPr>
        <w:t>）采取综合治理措施，加强施工管理啊，减少风管漏风，降低风管阻力，确保施工生产安全。</w:t>
      </w:r>
    </w:p>
    <w:p w14:paraId="5C7FE244">
      <w:pPr>
        <w:ind w:firstLine="420"/>
        <w:jc w:val="left"/>
        <w:rPr>
          <w:rFonts w:hAnsi="Times New Roman"/>
          <w:color w:val="auto"/>
          <w:highlight w:val="none"/>
          <w:lang w:eastAsia="zh-CN"/>
        </w:rPr>
      </w:pPr>
      <w:r>
        <w:rPr>
          <w:rFonts w:hAnsi="Times New Roman"/>
          <w:color w:val="auto"/>
          <w:highlight w:val="none"/>
          <w:lang w:eastAsia="zh-CN"/>
        </w:rPr>
        <w:t>1</w:t>
      </w:r>
      <w:r>
        <w:rPr>
          <w:rFonts w:hint="eastAsia"/>
          <w:color w:val="auto"/>
          <w:highlight w:val="none"/>
          <w:lang w:eastAsia="zh-CN"/>
        </w:rPr>
        <w:t>）防止风筒受损，接头泄露造成漏风。</w:t>
      </w:r>
    </w:p>
    <w:p w14:paraId="53B133B0">
      <w:pPr>
        <w:ind w:firstLine="420"/>
        <w:jc w:val="left"/>
        <w:rPr>
          <w:rFonts w:hAnsi="Times New Roman"/>
          <w:color w:val="auto"/>
          <w:highlight w:val="none"/>
          <w:lang w:eastAsia="zh-CN"/>
        </w:rPr>
      </w:pPr>
      <w:r>
        <w:rPr>
          <w:rFonts w:hAnsi="Times New Roman"/>
          <w:color w:val="auto"/>
          <w:highlight w:val="none"/>
          <w:lang w:eastAsia="zh-CN"/>
        </w:rPr>
        <w:t>2</w:t>
      </w:r>
      <w:r>
        <w:rPr>
          <w:rFonts w:hint="eastAsia"/>
          <w:color w:val="auto"/>
          <w:highlight w:val="none"/>
          <w:lang w:eastAsia="zh-CN"/>
        </w:rPr>
        <w:t>）避免车辆、机械碰撞通风设施，以防止漏风。</w:t>
      </w:r>
    </w:p>
    <w:p w14:paraId="1363D1AF">
      <w:pPr>
        <w:ind w:firstLine="420"/>
        <w:jc w:val="left"/>
        <w:rPr>
          <w:rFonts w:hAnsi="Times New Roman"/>
          <w:color w:val="auto"/>
          <w:highlight w:val="none"/>
          <w:lang w:eastAsia="zh-CN"/>
        </w:rPr>
      </w:pPr>
      <w:r>
        <w:rPr>
          <w:rFonts w:hAnsi="Times New Roman"/>
          <w:color w:val="auto"/>
          <w:highlight w:val="none"/>
          <w:lang w:eastAsia="zh-CN"/>
        </w:rPr>
        <w:t>3</w:t>
      </w:r>
      <w:r>
        <w:rPr>
          <w:rFonts w:hint="eastAsia"/>
          <w:color w:val="auto"/>
          <w:highlight w:val="none"/>
          <w:lang w:eastAsia="zh-CN"/>
        </w:rPr>
        <w:t>）对施工所产生的粉尘应进行综合治理，除采用常规的机械通风、湿式除尘等措施外，还采取局部净化的方法，用集尘器控制尘源所产生的粉尘扩散。</w:t>
      </w:r>
    </w:p>
    <w:p w14:paraId="49F6033D">
      <w:pPr>
        <w:ind w:firstLine="420"/>
        <w:jc w:val="left"/>
        <w:rPr>
          <w:rFonts w:hAnsi="Times New Roman"/>
          <w:color w:val="auto"/>
          <w:highlight w:val="none"/>
          <w:lang w:eastAsia="zh-CN"/>
        </w:rPr>
      </w:pPr>
      <w:r>
        <w:rPr>
          <w:rFonts w:hAnsi="Times New Roman"/>
          <w:color w:val="auto"/>
          <w:highlight w:val="none"/>
          <w:lang w:eastAsia="zh-CN"/>
        </w:rPr>
        <w:t>4</w:t>
      </w:r>
      <w:r>
        <w:rPr>
          <w:rFonts w:hint="eastAsia"/>
          <w:color w:val="auto"/>
          <w:highlight w:val="none"/>
          <w:lang w:eastAsia="zh-CN"/>
        </w:rPr>
        <w:t>）加强人体防护，进洞作业人员必须佩戴防尘口罩等必须的个人防护用品。</w:t>
      </w:r>
    </w:p>
    <w:p w14:paraId="02802977">
      <w:pPr>
        <w:ind w:firstLine="420"/>
        <w:jc w:val="left"/>
        <w:rPr>
          <w:rFonts w:hAnsi="Times New Roman"/>
          <w:color w:val="auto"/>
          <w:highlight w:val="none"/>
          <w:lang w:eastAsia="zh-CN"/>
        </w:rPr>
      </w:pPr>
      <w:r>
        <w:rPr>
          <w:rFonts w:hAnsi="Times New Roman"/>
          <w:color w:val="auto"/>
          <w:highlight w:val="none"/>
          <w:lang w:eastAsia="zh-CN"/>
        </w:rPr>
        <w:t>5</w:t>
      </w:r>
      <w:r>
        <w:rPr>
          <w:rFonts w:hint="eastAsia"/>
          <w:color w:val="auto"/>
          <w:highlight w:val="none"/>
          <w:lang w:eastAsia="zh-CN"/>
        </w:rPr>
        <w:t>）定期进行洞内环境和空气质量、有害气体监测，及时反馈测试结果，发现问题及时改进。</w:t>
      </w:r>
    </w:p>
    <w:p w14:paraId="06FB0FC5">
      <w:pPr>
        <w:pStyle w:val="5"/>
        <w:jc w:val="left"/>
        <w:rPr>
          <w:rFonts w:hAnsi="Times New Roman" w:cs="楷体"/>
          <w:color w:val="auto"/>
          <w:highlight w:val="none"/>
          <w:lang w:eastAsia="zh-CN"/>
        </w:rPr>
      </w:pPr>
      <w:r>
        <w:rPr>
          <w:rFonts w:hAnsi="Times New Roman" w:cs="Times New Roman"/>
          <w:color w:val="auto"/>
          <w:highlight w:val="none"/>
          <w:lang w:eastAsia="zh-CN"/>
        </w:rPr>
        <w:t>8.8.3</w:t>
      </w:r>
      <w:r>
        <w:rPr>
          <w:rFonts w:hint="eastAsia"/>
          <w:color w:val="auto"/>
          <w:highlight w:val="none"/>
          <w:lang w:eastAsia="zh-CN"/>
        </w:rPr>
        <w:t>　</w:t>
      </w:r>
      <w:r>
        <w:rPr>
          <w:rFonts w:hAnsi="楷体" w:cs="楷体"/>
          <w:color w:val="auto"/>
          <w:highlight w:val="none"/>
          <w:lang w:eastAsia="zh-CN"/>
        </w:rPr>
        <w:t>噪音控制</w:t>
      </w:r>
    </w:p>
    <w:p w14:paraId="529B7C5A">
      <w:pPr>
        <w:ind w:firstLine="420"/>
        <w:jc w:val="left"/>
        <w:rPr>
          <w:rFonts w:hAnsi="Times New Roman"/>
          <w:color w:val="auto"/>
          <w:highlight w:val="none"/>
          <w:lang w:eastAsia="zh-CN"/>
        </w:rPr>
      </w:pPr>
      <w:r>
        <w:rPr>
          <w:rFonts w:hint="eastAsia"/>
          <w:color w:val="auto"/>
          <w:highlight w:val="none"/>
          <w:lang w:eastAsia="zh-CN"/>
        </w:rPr>
        <w:t>洞内作业地点噪音超过</w:t>
      </w:r>
      <w:r>
        <w:rPr>
          <w:rFonts w:hAnsi="Times New Roman"/>
          <w:color w:val="auto"/>
          <w:highlight w:val="none"/>
          <w:lang w:eastAsia="zh-CN"/>
        </w:rPr>
        <w:t>90dB</w:t>
      </w:r>
      <w:r>
        <w:rPr>
          <w:rFonts w:hint="eastAsia"/>
          <w:color w:val="auto"/>
          <w:highlight w:val="none"/>
          <w:lang w:eastAsia="zh-CN"/>
        </w:rPr>
        <w:t>（</w:t>
      </w:r>
      <w:r>
        <w:rPr>
          <w:rFonts w:hAnsi="Times New Roman"/>
          <w:color w:val="auto"/>
          <w:highlight w:val="none"/>
          <w:lang w:eastAsia="zh-CN"/>
        </w:rPr>
        <w:t>A</w:t>
      </w:r>
      <w:r>
        <w:rPr>
          <w:rFonts w:hint="eastAsia"/>
          <w:color w:val="auto"/>
          <w:highlight w:val="none"/>
          <w:lang w:eastAsia="zh-CN"/>
        </w:rPr>
        <w:t>）时，应采取消音或其它防护措施。仍达不到标准时，应按表</w:t>
      </w:r>
      <w:r>
        <w:rPr>
          <w:rFonts w:hAnsi="Times New Roman"/>
          <w:color w:val="auto"/>
          <w:highlight w:val="none"/>
          <w:lang w:eastAsia="zh-CN"/>
        </w:rPr>
        <w:t>8.8</w:t>
      </w:r>
      <w:r>
        <w:rPr>
          <w:rFonts w:hint="eastAsia" w:hAnsi="Times New Roman"/>
          <w:color w:val="auto"/>
          <w:highlight w:val="none"/>
          <w:lang w:eastAsia="zh-CN"/>
        </w:rPr>
        <w:t>.3-1规定减少接触噪音的时间。洞外作业地点噪音应符合国家有关规范规定。</w:t>
      </w:r>
    </w:p>
    <w:p w14:paraId="315C1895">
      <w:pPr>
        <w:ind w:firstLine="420"/>
        <w:jc w:val="left"/>
        <w:rPr>
          <w:rFonts w:hAnsi="Times New Roman"/>
          <w:b/>
          <w:bCs/>
          <w:color w:val="auto"/>
          <w:highlight w:val="none"/>
          <w:lang w:eastAsia="zh-CN"/>
        </w:rPr>
      </w:pPr>
      <w:r>
        <w:rPr>
          <w:rFonts w:hint="eastAsia" w:hAnsi="Times New Roman"/>
          <w:b/>
          <w:bCs/>
          <w:color w:val="auto"/>
          <w:highlight w:val="none"/>
        </w:rPr>
        <w:t>表8.</w:t>
      </w:r>
      <w:r>
        <w:rPr>
          <w:rFonts w:hAnsi="Times New Roman"/>
          <w:b/>
          <w:bCs/>
          <w:color w:val="auto"/>
          <w:highlight w:val="none"/>
          <w:lang w:eastAsia="zh-CN"/>
        </w:rPr>
        <w:t>8</w:t>
      </w:r>
      <w:r>
        <w:rPr>
          <w:rFonts w:hAnsi="Times New Roman"/>
          <w:b/>
          <w:bCs/>
          <w:color w:val="auto"/>
          <w:highlight w:val="none"/>
        </w:rPr>
        <w:t>.3-1</w:t>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lang w:val="en-US" w:eastAsia="zh-CN"/>
        </w:rPr>
        <w:tab/>
      </w:r>
      <w:r>
        <w:rPr>
          <w:rFonts w:hint="eastAsia" w:hAnsi="Times New Roman"/>
          <w:b/>
          <w:bCs/>
          <w:color w:val="auto"/>
          <w:highlight w:val="none"/>
        </w:rPr>
        <w:t>噪音容许时间表</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278"/>
        <w:gridCol w:w="920"/>
        <w:gridCol w:w="1011"/>
        <w:gridCol w:w="1011"/>
        <w:gridCol w:w="1011"/>
        <w:gridCol w:w="1613"/>
      </w:tblGrid>
      <w:tr w14:paraId="744E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blHeader/>
          <w:jc w:val="center"/>
        </w:trPr>
        <w:tc>
          <w:tcPr>
            <w:tcW w:w="3283" w:type="dxa"/>
            <w:tcBorders>
              <w:tl2br w:val="nil"/>
              <w:tr2bl w:val="nil"/>
            </w:tcBorders>
            <w:vAlign w:val="center"/>
          </w:tcPr>
          <w:p w14:paraId="3315B622">
            <w:pPr>
              <w:suppressAutoHyphens/>
              <w:spacing w:line="0" w:lineRule="atLeast"/>
              <w:ind w:firstLine="0" w:firstLineChars="0"/>
              <w:jc w:val="center"/>
              <w:rPr>
                <w:rFonts w:hAnsi="Times New Roman"/>
                <w:color w:val="auto"/>
                <w:sz w:val="21"/>
                <w:szCs w:val="21"/>
                <w:highlight w:val="none"/>
                <w:lang w:eastAsia="zh-CN"/>
              </w:rPr>
            </w:pPr>
            <w:r>
              <w:rPr>
                <w:rFonts w:hint="eastAsia" w:hAnsi="Times New Roman"/>
                <w:color w:val="auto"/>
                <w:sz w:val="21"/>
                <w:szCs w:val="21"/>
                <w:highlight w:val="none"/>
                <w:lang w:eastAsia="zh-CN"/>
              </w:rPr>
              <w:t>每个工作日接触噪音时间（h）</w:t>
            </w:r>
          </w:p>
        </w:tc>
        <w:tc>
          <w:tcPr>
            <w:tcW w:w="918" w:type="dxa"/>
            <w:tcBorders>
              <w:tl2br w:val="nil"/>
              <w:tr2bl w:val="nil"/>
            </w:tcBorders>
            <w:vAlign w:val="center"/>
          </w:tcPr>
          <w:p w14:paraId="18B14B6C">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8</w:t>
            </w:r>
          </w:p>
        </w:tc>
        <w:tc>
          <w:tcPr>
            <w:tcW w:w="1010" w:type="dxa"/>
            <w:tcBorders>
              <w:tl2br w:val="nil"/>
              <w:tr2bl w:val="nil"/>
            </w:tcBorders>
            <w:vAlign w:val="center"/>
          </w:tcPr>
          <w:p w14:paraId="1B83AE2A">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4</w:t>
            </w:r>
          </w:p>
        </w:tc>
        <w:tc>
          <w:tcPr>
            <w:tcW w:w="1010" w:type="dxa"/>
            <w:tcBorders>
              <w:tl2br w:val="nil"/>
              <w:tr2bl w:val="nil"/>
            </w:tcBorders>
            <w:vAlign w:val="center"/>
          </w:tcPr>
          <w:p w14:paraId="0FFDA50D">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2</w:t>
            </w:r>
          </w:p>
        </w:tc>
        <w:tc>
          <w:tcPr>
            <w:tcW w:w="1010" w:type="dxa"/>
            <w:tcBorders>
              <w:tl2br w:val="nil"/>
              <w:tr2bl w:val="nil"/>
            </w:tcBorders>
            <w:vAlign w:val="center"/>
          </w:tcPr>
          <w:p w14:paraId="09F4A4F0">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1</w:t>
            </w:r>
          </w:p>
        </w:tc>
        <w:tc>
          <w:tcPr>
            <w:tcW w:w="1614" w:type="dxa"/>
            <w:tcBorders>
              <w:tl2br w:val="nil"/>
              <w:tr2bl w:val="nil"/>
            </w:tcBorders>
            <w:vAlign w:val="center"/>
          </w:tcPr>
          <w:p w14:paraId="5EBF0D6D">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最高不得超过</w:t>
            </w:r>
          </w:p>
        </w:tc>
      </w:tr>
      <w:tr w14:paraId="76D31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283" w:type="dxa"/>
            <w:tcBorders>
              <w:tl2br w:val="nil"/>
              <w:tr2bl w:val="nil"/>
            </w:tcBorders>
            <w:vAlign w:val="center"/>
          </w:tcPr>
          <w:p w14:paraId="6B493A7C">
            <w:pPr>
              <w:suppressAutoHyphens/>
              <w:spacing w:line="0" w:lineRule="atLeast"/>
              <w:ind w:firstLine="0" w:firstLineChars="0"/>
              <w:jc w:val="center"/>
              <w:rPr>
                <w:rFonts w:hAnsi="Times New Roman"/>
                <w:color w:val="auto"/>
                <w:sz w:val="21"/>
                <w:szCs w:val="21"/>
                <w:highlight w:val="none"/>
              </w:rPr>
            </w:pPr>
            <w:r>
              <w:rPr>
                <w:rFonts w:hint="eastAsia" w:hAnsi="Times New Roman"/>
                <w:color w:val="auto"/>
                <w:sz w:val="21"/>
                <w:szCs w:val="21"/>
                <w:highlight w:val="none"/>
              </w:rPr>
              <w:t>容许噪音[dB（A）]</w:t>
            </w:r>
          </w:p>
        </w:tc>
        <w:tc>
          <w:tcPr>
            <w:tcW w:w="918" w:type="dxa"/>
            <w:tcBorders>
              <w:tl2br w:val="nil"/>
              <w:tr2bl w:val="nil"/>
            </w:tcBorders>
            <w:vAlign w:val="center"/>
          </w:tcPr>
          <w:p w14:paraId="00B479DA">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90</w:t>
            </w:r>
          </w:p>
        </w:tc>
        <w:tc>
          <w:tcPr>
            <w:tcW w:w="1010" w:type="dxa"/>
            <w:tcBorders>
              <w:tl2br w:val="nil"/>
              <w:tr2bl w:val="nil"/>
            </w:tcBorders>
            <w:vAlign w:val="center"/>
          </w:tcPr>
          <w:p w14:paraId="7B7C9184">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93</w:t>
            </w:r>
          </w:p>
        </w:tc>
        <w:tc>
          <w:tcPr>
            <w:tcW w:w="1010" w:type="dxa"/>
            <w:tcBorders>
              <w:tl2br w:val="nil"/>
              <w:tr2bl w:val="nil"/>
            </w:tcBorders>
            <w:vAlign w:val="center"/>
          </w:tcPr>
          <w:p w14:paraId="3A595C0C">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96</w:t>
            </w:r>
          </w:p>
        </w:tc>
        <w:tc>
          <w:tcPr>
            <w:tcW w:w="1010" w:type="dxa"/>
            <w:tcBorders>
              <w:tl2br w:val="nil"/>
              <w:tr2bl w:val="nil"/>
            </w:tcBorders>
            <w:vAlign w:val="center"/>
          </w:tcPr>
          <w:p w14:paraId="4B021882">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99</w:t>
            </w:r>
          </w:p>
        </w:tc>
        <w:tc>
          <w:tcPr>
            <w:tcW w:w="1614" w:type="dxa"/>
            <w:tcBorders>
              <w:tl2br w:val="nil"/>
              <w:tr2bl w:val="nil"/>
            </w:tcBorders>
            <w:vAlign w:val="center"/>
          </w:tcPr>
          <w:p w14:paraId="07D7BED6">
            <w:pPr>
              <w:suppressAutoHyphens/>
              <w:spacing w:line="0" w:lineRule="atLeast"/>
              <w:ind w:firstLine="0" w:firstLineChars="0"/>
              <w:jc w:val="center"/>
              <w:rPr>
                <w:rFonts w:hAnsi="Times New Roman"/>
                <w:color w:val="auto"/>
                <w:sz w:val="21"/>
                <w:szCs w:val="21"/>
                <w:highlight w:val="none"/>
              </w:rPr>
            </w:pPr>
            <w:r>
              <w:rPr>
                <w:rFonts w:hAnsi="Times New Roman"/>
                <w:color w:val="auto"/>
                <w:sz w:val="21"/>
                <w:szCs w:val="21"/>
                <w:highlight w:val="none"/>
              </w:rPr>
              <w:t>115</w:t>
            </w:r>
          </w:p>
        </w:tc>
      </w:tr>
    </w:tbl>
    <w:p w14:paraId="779AFB0D">
      <w:pPr>
        <w:pStyle w:val="4"/>
        <w:spacing w:beforeLines="0" w:afterLines="0"/>
        <w:jc w:val="both"/>
        <w:rPr>
          <w:rFonts w:hint="eastAsia" w:cs="宋体"/>
          <w:bCs/>
          <w:color w:val="auto"/>
          <w:szCs w:val="24"/>
          <w:highlight w:val="none"/>
          <w:lang w:eastAsia="zh-CN"/>
        </w:rPr>
      </w:pPr>
      <w:bookmarkStart w:id="1904" w:name="_Toc26459"/>
      <w:bookmarkStart w:id="1905" w:name="_Toc28516"/>
      <w:bookmarkStart w:id="1906" w:name="_Toc9492"/>
      <w:r>
        <w:rPr>
          <w:rFonts w:hint="eastAsia" w:cs="宋体"/>
          <w:bCs/>
          <w:color w:val="auto"/>
          <w:szCs w:val="24"/>
          <w:highlight w:val="none"/>
          <w:lang w:eastAsia="zh-CN"/>
        </w:rPr>
        <w:t>8.9　地下水的控制和排除</w:t>
      </w:r>
      <w:bookmarkEnd w:id="1904"/>
      <w:bookmarkEnd w:id="1905"/>
      <w:bookmarkEnd w:id="1906"/>
    </w:p>
    <w:p w14:paraId="55F58CDD">
      <w:pPr>
        <w:pStyle w:val="5"/>
        <w:jc w:val="left"/>
        <w:rPr>
          <w:rFonts w:hAnsi="Times New Roman" w:cs="楷体"/>
          <w:color w:val="auto"/>
          <w:highlight w:val="none"/>
          <w:lang w:eastAsia="zh-CN"/>
        </w:rPr>
      </w:pPr>
      <w:r>
        <w:rPr>
          <w:rFonts w:hAnsi="Times New Roman" w:cs="Times New Roman"/>
          <w:color w:val="auto"/>
          <w:highlight w:val="none"/>
          <w:lang w:eastAsia="zh-CN"/>
        </w:rPr>
        <w:t>8.9.1</w:t>
      </w:r>
      <w:r>
        <w:rPr>
          <w:rFonts w:hint="eastAsia" w:hAnsi="Times New Roman" w:cs="Times New Roman"/>
          <w:color w:val="auto"/>
          <w:highlight w:val="none"/>
          <w:lang w:eastAsia="zh-CN"/>
        </w:rPr>
        <w:t>　</w:t>
      </w:r>
      <w:r>
        <w:rPr>
          <w:rFonts w:hint="eastAsia" w:hAnsi="Times New Roman" w:cs="楷体"/>
          <w:color w:val="auto"/>
          <w:highlight w:val="none"/>
          <w:lang w:eastAsia="zh-CN"/>
        </w:rPr>
        <w:t>一般要求</w:t>
      </w:r>
    </w:p>
    <w:p w14:paraId="5BC6850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）承包人应采取必要的防护措施，防止地表水倒灌进入地下洞室。防护工程应由承包人负责设计、施工和维护。</w:t>
      </w:r>
    </w:p>
    <w:p w14:paraId="7EBB7C0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）承包人应根据发包人提供的地下水勘探资料</w:t>
      </w:r>
      <w:r>
        <w:rPr>
          <w:rFonts w:hint="eastAsia"/>
          <w:color w:val="auto"/>
          <w:highlight w:val="none"/>
          <w:lang w:eastAsia="zh-CN"/>
        </w:rPr>
        <w:t>，作好现场调查及资料收集</w:t>
      </w:r>
      <w:r>
        <w:rPr>
          <w:rFonts w:hint="eastAsia" w:hAnsi="Times New Roman" w:cs="宋体"/>
          <w:color w:val="auto"/>
          <w:highlight w:val="none"/>
          <w:lang w:eastAsia="zh-CN"/>
        </w:rPr>
        <w:t>，</w:t>
      </w:r>
      <w:r>
        <w:rPr>
          <w:rFonts w:hint="eastAsia"/>
          <w:color w:val="auto"/>
          <w:highlight w:val="none"/>
          <w:lang w:eastAsia="zh-CN"/>
        </w:rPr>
        <w:t>分析判断本合同工程的地下水特征，</w:t>
      </w:r>
      <w:r>
        <w:rPr>
          <w:rFonts w:hint="eastAsia" w:hAnsi="Times New Roman" w:cs="宋体"/>
          <w:color w:val="auto"/>
          <w:highlight w:val="none"/>
          <w:lang w:eastAsia="zh-CN"/>
        </w:rPr>
        <w:t>估计排水量及其排水范围，负责设计、采购、安装和维护全部地下施工排水系统。承包人应在地下开挖施工前</w:t>
      </w:r>
      <w:r>
        <w:rPr>
          <w:rFonts w:hAnsi="Times New Roman" w:cs="宋体"/>
          <w:color w:val="auto"/>
          <w:highlight w:val="none"/>
          <w:lang w:eastAsia="zh-CN"/>
        </w:rPr>
        <w:t>28</w:t>
      </w:r>
      <w:r>
        <w:rPr>
          <w:rFonts w:hint="eastAsia" w:hAnsi="Times New Roman" w:cs="宋体"/>
          <w:color w:val="auto"/>
          <w:highlight w:val="none"/>
          <w:lang w:eastAsia="zh-CN"/>
        </w:rPr>
        <w:t>天，编制一份地下排水系统设计和地下水控制措施，提交监理人批准，</w:t>
      </w:r>
      <w:r>
        <w:rPr>
          <w:rFonts w:hint="eastAsia"/>
          <w:color w:val="auto"/>
          <w:highlight w:val="none"/>
          <w:lang w:eastAsia="zh-CN"/>
        </w:rPr>
        <w:t>监理人的批准并不减轻承包人的责任</w:t>
      </w:r>
      <w:r>
        <w:rPr>
          <w:rFonts w:hint="eastAsia" w:hAnsi="Times New Roman" w:cs="宋体"/>
          <w:color w:val="auto"/>
          <w:highlight w:val="none"/>
          <w:lang w:eastAsia="zh-CN"/>
        </w:rPr>
        <w:t>。</w:t>
      </w:r>
    </w:p>
    <w:p w14:paraId="2BB65D4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）若在施工过程中出现地下涌水等异常情况时，承包人应立即采取紧急措施控制涌水，并立即通知监理人。</w:t>
      </w:r>
    </w:p>
    <w:p w14:paraId="71C2230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）地下水应排至不会重新流入地下工作面的地区，还应防止排出的水流导致地表冲刷。</w:t>
      </w:r>
    </w:p>
    <w:p w14:paraId="11D5F6A7">
      <w:pPr>
        <w:ind w:firstLine="420"/>
        <w:jc w:val="left"/>
        <w:rPr>
          <w:rFonts w:hAnsi="Times New Roman"/>
          <w:color w:val="auto"/>
          <w:highlight w:val="none"/>
          <w:lang w:eastAsia="zh-CN"/>
        </w:rPr>
      </w:pPr>
      <w:r>
        <w:rPr>
          <w:rFonts w:hint="eastAsia" w:hAnsi="Times New Roman"/>
          <w:color w:val="auto"/>
          <w:highlight w:val="none"/>
          <w:lang w:eastAsia="zh-CN"/>
        </w:rPr>
        <w:t>（5）承包人应制定合理的地下水控制方案，要做到堵、排结合。</w:t>
      </w:r>
      <w:r>
        <w:rPr>
          <w:rFonts w:hint="eastAsia"/>
          <w:color w:val="auto"/>
          <w:highlight w:val="none"/>
          <w:lang w:eastAsia="zh-CN"/>
        </w:rPr>
        <w:t>当隧洞渗水量较大时，按监理人指示及时进行灌浆封堵。避免出现疏干地表水的情况，防止出现影响地表工农业生产生活用水的情况。</w:t>
      </w:r>
      <w:r>
        <w:rPr>
          <w:rFonts w:hint="eastAsia" w:hAnsi="Times New Roman"/>
          <w:color w:val="auto"/>
          <w:highlight w:val="none"/>
          <w:lang w:eastAsia="zh-CN"/>
        </w:rPr>
        <w:t>由于方案的不合理或未实施而引起的对周围居民生活和生产影响的环境问题，由承包人负完全责任，发包人不予支付由此引起的任何费用。</w:t>
      </w:r>
    </w:p>
    <w:p w14:paraId="792B0593">
      <w:pPr>
        <w:ind w:firstLine="420"/>
        <w:jc w:val="left"/>
        <w:rPr>
          <w:rFonts w:hAnsi="Times New Roman"/>
          <w:color w:val="auto"/>
          <w:highlight w:val="none"/>
          <w:lang w:eastAsia="zh-CN"/>
        </w:rPr>
      </w:pPr>
      <w:r>
        <w:rPr>
          <w:rFonts w:hint="eastAsia" w:hAnsi="Times New Roman"/>
          <w:color w:val="auto"/>
          <w:highlight w:val="none"/>
          <w:lang w:eastAsia="zh-CN"/>
        </w:rPr>
        <w:t>（6）承包人应注意前期地质勘探中遗留的钻孔可能造成渗漏水。</w:t>
      </w:r>
    </w:p>
    <w:p w14:paraId="066AF222">
      <w:pPr>
        <w:suppressAutoHyphens/>
        <w:ind w:firstLine="420"/>
        <w:jc w:val="left"/>
        <w:rPr>
          <w:color w:val="auto"/>
          <w:highlight w:val="none"/>
          <w:lang w:eastAsia="zh-CN"/>
        </w:rPr>
      </w:pPr>
      <w:r>
        <w:rPr>
          <w:rFonts w:hint="eastAsia"/>
          <w:color w:val="auto"/>
          <w:highlight w:val="none"/>
          <w:lang w:eastAsia="zh-CN"/>
        </w:rPr>
        <w:t>（7）对于隧洞开挖过程中揭露的围岩集中渗水点，应及时采取临时钻排水孔等导引措施，防止渗水对开挖作业面围岩、支护结构产生不利影响。</w:t>
      </w:r>
    </w:p>
    <w:p w14:paraId="5DF9358D">
      <w:pPr>
        <w:suppressAutoHyphens/>
        <w:ind w:firstLine="420"/>
        <w:jc w:val="left"/>
        <w:rPr>
          <w:color w:val="auto"/>
          <w:highlight w:val="none"/>
          <w:lang w:eastAsia="zh-CN"/>
        </w:rPr>
      </w:pPr>
      <w:r>
        <w:rPr>
          <w:rFonts w:hint="eastAsia"/>
          <w:color w:val="auto"/>
          <w:highlight w:val="none"/>
          <w:lang w:eastAsia="zh-CN"/>
        </w:rPr>
        <w:t>（8）施工过程中，承包人应结合超前地质预报措施跟踪掌握地下水动态，必要时采取不限于超前灌浆等措施控制地下水的不利影响，以确保施工安全。</w:t>
      </w:r>
    </w:p>
    <w:p w14:paraId="1BAAE7E9">
      <w:pPr>
        <w:suppressAutoHyphens/>
        <w:ind w:firstLine="420"/>
        <w:jc w:val="left"/>
        <w:rPr>
          <w:color w:val="auto"/>
          <w:highlight w:val="none"/>
          <w:lang w:eastAsia="zh-CN"/>
        </w:rPr>
      </w:pPr>
      <w:r>
        <w:rPr>
          <w:rFonts w:hint="eastAsia"/>
          <w:color w:val="auto"/>
          <w:highlight w:val="none"/>
          <w:lang w:eastAsia="zh-CN"/>
        </w:rPr>
        <w:t>（9）承包人应编制专项排水方案和洞内突涌水应急预案，并报监理人批准。若在施工过程中出现地下涌水等异常情况时，承包人应立即启动经批准过的应急预案，在确保人员安全的情况下控制涌水，并立即通知监理人。</w:t>
      </w:r>
    </w:p>
    <w:p w14:paraId="1E5956A6">
      <w:pPr>
        <w:ind w:firstLine="420"/>
        <w:jc w:val="left"/>
        <w:rPr>
          <w:color w:val="auto"/>
          <w:highlight w:val="none"/>
          <w:lang w:eastAsia="zh-CN"/>
        </w:rPr>
      </w:pPr>
      <w:r>
        <w:rPr>
          <w:rFonts w:hint="eastAsia"/>
          <w:color w:val="auto"/>
          <w:highlight w:val="none"/>
          <w:lang w:eastAsia="zh-CN"/>
        </w:rPr>
        <w:t>（10）未尽事宜，遵守</w:t>
      </w:r>
      <w:r>
        <w:rPr>
          <w:color w:val="auto"/>
          <w:highlight w:val="none"/>
          <w:lang w:eastAsia="zh-CN"/>
        </w:rPr>
        <w:t>SL378</w:t>
      </w:r>
      <w:r>
        <w:rPr>
          <w:rFonts w:hint="eastAsia"/>
          <w:color w:val="auto"/>
          <w:highlight w:val="none"/>
          <w:lang w:eastAsia="zh-CN"/>
        </w:rPr>
        <w:t>、GB　</w:t>
      </w:r>
      <w:r>
        <w:rPr>
          <w:color w:val="auto"/>
          <w:highlight w:val="none"/>
          <w:lang w:eastAsia="zh-CN"/>
        </w:rPr>
        <w:t>50511</w:t>
      </w:r>
      <w:r>
        <w:rPr>
          <w:rFonts w:hint="eastAsia"/>
          <w:color w:val="auto"/>
          <w:highlight w:val="none"/>
          <w:lang w:eastAsia="zh-CN"/>
        </w:rPr>
        <w:t>和煤矿安全规程相关规定。</w:t>
      </w:r>
    </w:p>
    <w:p w14:paraId="060E0128">
      <w:pPr>
        <w:pStyle w:val="5"/>
        <w:jc w:val="left"/>
        <w:rPr>
          <w:rFonts w:hAnsi="Times New Roman" w:cs="楷体"/>
          <w:color w:val="auto"/>
          <w:highlight w:val="none"/>
          <w:lang w:eastAsia="zh-CN"/>
        </w:rPr>
      </w:pPr>
      <w:r>
        <w:rPr>
          <w:rFonts w:hAnsi="Times New Roman" w:cs="Times New Roman"/>
          <w:color w:val="auto"/>
          <w:highlight w:val="none"/>
          <w:lang w:eastAsia="zh-CN"/>
        </w:rPr>
        <w:t>8.9.2</w:t>
      </w:r>
      <w:r>
        <w:rPr>
          <w:rFonts w:hint="eastAsia" w:hAnsi="Times New Roman" w:cs="Times New Roman"/>
          <w:color w:val="auto"/>
          <w:highlight w:val="none"/>
          <w:lang w:eastAsia="zh-CN"/>
        </w:rPr>
        <w:t>　</w:t>
      </w:r>
      <w:r>
        <w:rPr>
          <w:rFonts w:hint="eastAsia" w:hAnsi="Times New Roman" w:cs="楷体"/>
          <w:color w:val="auto"/>
          <w:highlight w:val="none"/>
          <w:lang w:eastAsia="zh-CN"/>
        </w:rPr>
        <w:t>排水设备和量测仪表</w:t>
      </w:r>
    </w:p>
    <w:p w14:paraId="4F0C33A7">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）在地下开挖期间，</w:t>
      </w:r>
      <w:r>
        <w:rPr>
          <w:rFonts w:hint="eastAsia"/>
          <w:color w:val="auto"/>
          <w:highlight w:val="none"/>
          <w:lang w:eastAsia="zh-CN"/>
        </w:rPr>
        <w:t>承包人应结合有关资料和自身经验，分析判断本合同工程的地下水特征，充分考虑隧洞可能产生的排水量（含日常排水量和突涌水量），</w:t>
      </w:r>
      <w:r>
        <w:rPr>
          <w:rFonts w:hint="eastAsia" w:hAnsi="Times New Roman" w:cs="宋体"/>
          <w:color w:val="auto"/>
          <w:highlight w:val="none"/>
          <w:lang w:eastAsia="zh-CN"/>
        </w:rPr>
        <w:t>承包人除应按监理人指示执行，以及遵守《水工建筑物地下开挖工程施工规范》（</w:t>
      </w:r>
      <w:r>
        <w:rPr>
          <w:rFonts w:hAnsi="Times New Roman" w:cs="Times New Roman"/>
          <w:color w:val="auto"/>
          <w:highlight w:val="none"/>
          <w:lang w:eastAsia="zh-CN"/>
        </w:rPr>
        <w:t>SL378—2007</w:t>
      </w:r>
      <w:r>
        <w:rPr>
          <w:rFonts w:hint="eastAsia" w:hAnsi="Times New Roman" w:cs="宋体"/>
          <w:color w:val="auto"/>
          <w:highlight w:val="none"/>
          <w:lang w:eastAsia="zh-CN"/>
        </w:rPr>
        <w:t>）第</w:t>
      </w:r>
      <w:r>
        <w:rPr>
          <w:rFonts w:hAnsi="Times New Roman" w:cs="Times New Roman"/>
          <w:color w:val="auto"/>
          <w:highlight w:val="none"/>
          <w:lang w:eastAsia="zh-CN"/>
        </w:rPr>
        <w:t>12.2.7</w:t>
      </w:r>
      <w:r>
        <w:rPr>
          <w:rFonts w:hint="eastAsia" w:hAnsi="Times New Roman" w:cs="宋体"/>
          <w:color w:val="auto"/>
          <w:highlight w:val="none"/>
          <w:lang w:eastAsia="zh-CN"/>
        </w:rPr>
        <w:t>条的规定外，还应根据批准的排水系统及其布置，负责设置足够的排水设备和设施（包括量测仪表），并负责全部排水设备和设施的采购、运输、安装和维护</w:t>
      </w:r>
      <w:r>
        <w:rPr>
          <w:rFonts w:hint="eastAsia"/>
          <w:color w:val="auto"/>
          <w:highlight w:val="none"/>
          <w:lang w:eastAsia="zh-CN"/>
        </w:rPr>
        <w:t>。所有量测仪表均应具有产品合格证书，并定期或按监理人要求由具有鉴定资质的单位进行鉴定和校正</w:t>
      </w:r>
      <w:r>
        <w:rPr>
          <w:rFonts w:hint="eastAsia" w:hAnsi="Times New Roman" w:cs="宋体"/>
          <w:color w:val="auto"/>
          <w:highlight w:val="none"/>
          <w:lang w:eastAsia="zh-CN"/>
        </w:rPr>
        <w:t>。</w:t>
      </w:r>
    </w:p>
    <w:p w14:paraId="0E5974B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）若地下排水量超出预定的数量和范围，导致承包人排水系统的抽水设备能力不足时，承包人有责任增装排水设备以满足排水的需要，</w:t>
      </w:r>
      <w:r>
        <w:rPr>
          <w:rFonts w:hint="eastAsia"/>
          <w:color w:val="auto"/>
          <w:highlight w:val="none"/>
          <w:lang w:eastAsia="zh-CN"/>
        </w:rPr>
        <w:t>地下水突涌或排放失控造成的损失，由承包人负全部责任</w:t>
      </w:r>
      <w:r>
        <w:rPr>
          <w:rFonts w:hint="eastAsia" w:hAnsi="Times New Roman" w:cs="宋体"/>
          <w:color w:val="auto"/>
          <w:highlight w:val="none"/>
          <w:lang w:eastAsia="zh-CN"/>
        </w:rPr>
        <w:t>。</w:t>
      </w:r>
    </w:p>
    <w:p w14:paraId="67B29CD5">
      <w:pPr>
        <w:suppressAutoHyphens/>
        <w:ind w:firstLine="420"/>
        <w:jc w:val="left"/>
        <w:rPr>
          <w:color w:val="auto"/>
          <w:highlight w:val="none"/>
          <w:lang w:eastAsia="zh-CN"/>
        </w:rPr>
      </w:pPr>
      <w:r>
        <w:rPr>
          <w:rFonts w:hint="eastAsia"/>
          <w:color w:val="auto"/>
          <w:highlight w:val="none"/>
          <w:lang w:eastAsia="zh-CN"/>
        </w:rPr>
        <w:t>（3）承包人应根据排水量和排水距离、扬程等设置隧洞排水系统，包括工作水泵和备用水泵、工作管路和备用管路等。工作水泵和工作管路的排水能力应在20h内排出洞内24h最大渗、涌水量。承包人配置的排水系统能力不足时，承包人有责任增装排水设备。</w:t>
      </w:r>
    </w:p>
    <w:p w14:paraId="17AF2707">
      <w:pPr>
        <w:suppressAutoHyphens/>
        <w:ind w:firstLine="420"/>
        <w:jc w:val="left"/>
        <w:rPr>
          <w:color w:val="auto"/>
          <w:highlight w:val="none"/>
          <w:lang w:eastAsia="zh-CN"/>
        </w:rPr>
      </w:pPr>
      <w:r>
        <w:rPr>
          <w:rFonts w:hint="eastAsia"/>
          <w:color w:val="auto"/>
          <w:highlight w:val="none"/>
          <w:lang w:eastAsia="zh-CN"/>
        </w:rPr>
        <w:t>（4）承包人须同时安装流量阀和三角量水堰对抽排水进行计量。</w:t>
      </w:r>
    </w:p>
    <w:p w14:paraId="418D1C9D">
      <w:pPr>
        <w:ind w:firstLine="420"/>
        <w:jc w:val="left"/>
        <w:rPr>
          <w:rFonts w:hint="eastAsia"/>
          <w:color w:val="auto"/>
          <w:highlight w:val="none"/>
          <w:lang w:eastAsia="zh-CN"/>
        </w:rPr>
      </w:pPr>
      <w:r>
        <w:rPr>
          <w:rFonts w:hint="eastAsia"/>
          <w:color w:val="auto"/>
          <w:highlight w:val="none"/>
          <w:lang w:eastAsia="zh-CN"/>
        </w:rPr>
        <w:t>（5）承包人应单独装设用于排水的专用供电线路和计量抽排水的电表。</w:t>
      </w:r>
    </w:p>
    <w:p w14:paraId="1767B1F3">
      <w:pPr>
        <w:pStyle w:val="5"/>
        <w:jc w:val="left"/>
        <w:rPr>
          <w:rFonts w:hAnsi="Times New Roman" w:cs="楷体"/>
          <w:color w:val="auto"/>
          <w:highlight w:val="none"/>
          <w:lang w:eastAsia="zh-CN"/>
        </w:rPr>
      </w:pPr>
      <w:r>
        <w:rPr>
          <w:rFonts w:hAnsi="Times New Roman" w:cs="楷体"/>
          <w:color w:val="auto"/>
          <w:highlight w:val="none"/>
          <w:lang w:eastAsia="zh-CN"/>
        </w:rPr>
        <w:t>8.9.3</w:t>
      </w:r>
      <w:r>
        <w:rPr>
          <w:rFonts w:hint="eastAsia" w:hAnsi="Times New Roman" w:cs="楷体"/>
          <w:color w:val="auto"/>
          <w:highlight w:val="none"/>
          <w:lang w:eastAsia="zh-CN"/>
        </w:rPr>
        <w:t>　隧洞施工期排水</w:t>
      </w:r>
    </w:p>
    <w:p w14:paraId="6189679C">
      <w:pPr>
        <w:pStyle w:val="5"/>
        <w:jc w:val="left"/>
        <w:rPr>
          <w:rFonts w:hAnsi="Times New Roman" w:cs="楷体"/>
          <w:color w:val="auto"/>
          <w:highlight w:val="none"/>
          <w:lang w:eastAsia="zh-CN"/>
        </w:rPr>
      </w:pPr>
      <w:r>
        <w:rPr>
          <w:rFonts w:hAnsi="Times New Roman" w:cs="楷体"/>
          <w:color w:val="auto"/>
          <w:highlight w:val="none"/>
          <w:lang w:eastAsia="zh-CN"/>
        </w:rPr>
        <w:t>8.9.3.1</w:t>
      </w:r>
      <w:r>
        <w:rPr>
          <w:rFonts w:hint="eastAsia" w:hAnsi="Times New Roman" w:cs="楷体"/>
          <w:color w:val="auto"/>
          <w:highlight w:val="none"/>
          <w:lang w:eastAsia="zh-CN"/>
        </w:rPr>
        <w:t>　隧洞内经常性排水</w:t>
      </w:r>
    </w:p>
    <w:p w14:paraId="4D08EEDA">
      <w:pPr>
        <w:ind w:firstLine="420"/>
        <w:jc w:val="left"/>
        <w:rPr>
          <w:rFonts w:hAnsi="Times New Roman"/>
          <w:color w:val="auto"/>
          <w:highlight w:val="none"/>
          <w:lang w:eastAsia="zh-CN"/>
        </w:rPr>
      </w:pPr>
      <w:r>
        <w:rPr>
          <w:rFonts w:hint="eastAsia" w:hAnsi="Times New Roman"/>
          <w:color w:val="auto"/>
          <w:highlight w:val="none"/>
          <w:lang w:eastAsia="zh-CN"/>
        </w:rPr>
        <w:t>隧洞内经常性排水主要为地下渗水或涌水及施工废水，控制任务以地下渗涌水为主，控制措施主要为降水和排水。承包人应负责控制外水内渗不对地下水环境造成不可接受的影响，且不影响施工安全和施工进度。经常性排水措施计划应提交监理人。</w:t>
      </w:r>
    </w:p>
    <w:p w14:paraId="450CCCEC">
      <w:pPr>
        <w:ind w:firstLine="420"/>
        <w:jc w:val="left"/>
        <w:rPr>
          <w:rFonts w:hAnsi="Times New Roman"/>
          <w:color w:val="auto"/>
          <w:highlight w:val="none"/>
          <w:lang w:eastAsia="zh-CN"/>
        </w:rPr>
      </w:pPr>
      <w:r>
        <w:rPr>
          <w:rFonts w:hint="eastAsia" w:hAnsi="Times New Roman"/>
          <w:color w:val="auto"/>
          <w:highlight w:val="none"/>
          <w:lang w:eastAsia="zh-CN"/>
        </w:rPr>
        <w:t>隧洞内应设置完善的排水设施，可在隧洞一侧设置排水沟、截水横沟、集水坑、储水罐、排水管等，利用排水沟和截水横沟汇水到集水坑，通过水泵和排水管梯级抽排到储水罐或集水坑，直至抽排到洞外沉淀池。</w:t>
      </w:r>
    </w:p>
    <w:p w14:paraId="639EC4B9">
      <w:pPr>
        <w:ind w:firstLine="420"/>
        <w:jc w:val="left"/>
        <w:rPr>
          <w:rFonts w:hAnsi="Times New Roman"/>
          <w:color w:val="auto"/>
          <w:highlight w:val="none"/>
          <w:lang w:eastAsia="zh-CN"/>
        </w:rPr>
      </w:pPr>
      <w:r>
        <w:rPr>
          <w:rFonts w:hint="eastAsia" w:hAnsi="Times New Roman" w:cs="宋体"/>
          <w:color w:val="auto"/>
          <w:highlight w:val="none"/>
          <w:lang w:eastAsia="zh-CN"/>
        </w:rPr>
        <w:t>固定集水坑间隔</w:t>
      </w:r>
      <w:r>
        <w:rPr>
          <w:rFonts w:hAnsi="Times New Roman"/>
          <w:color w:val="auto"/>
          <w:highlight w:val="none"/>
          <w:lang w:eastAsia="zh-CN"/>
        </w:rPr>
        <w:t>150m</w:t>
      </w:r>
      <w:r>
        <w:rPr>
          <w:rFonts w:hint="eastAsia" w:hAnsi="Times New Roman" w:cs="宋体"/>
          <w:color w:val="auto"/>
          <w:highlight w:val="none"/>
          <w:lang w:eastAsia="zh-CN"/>
        </w:rPr>
        <w:t>～</w:t>
      </w:r>
      <w:r>
        <w:rPr>
          <w:rFonts w:hAnsi="Times New Roman"/>
          <w:color w:val="auto"/>
          <w:highlight w:val="none"/>
          <w:lang w:eastAsia="zh-CN"/>
        </w:rPr>
        <w:t>200m</w:t>
      </w:r>
      <w:r>
        <w:rPr>
          <w:rFonts w:hint="eastAsia" w:hAnsi="Times New Roman" w:cs="宋体"/>
          <w:color w:val="auto"/>
          <w:highlight w:val="none"/>
          <w:lang w:eastAsia="zh-CN"/>
        </w:rPr>
        <w:t>设置，集水坑容积应满足实际排水量需求，且不应小于</w:t>
      </w:r>
      <w:r>
        <w:rPr>
          <w:rFonts w:hAnsi="Times New Roman"/>
          <w:color w:val="auto"/>
          <w:highlight w:val="none"/>
          <w:lang w:eastAsia="zh-CN"/>
        </w:rPr>
        <w:t>2m</w:t>
      </w:r>
      <w:r>
        <w:rPr>
          <w:rFonts w:hint="eastAsia" w:hAnsi="Times New Roman" w:cs="宋体"/>
          <w:color w:val="auto"/>
          <w:highlight w:val="none"/>
          <w:lang w:eastAsia="zh-CN"/>
        </w:rPr>
        <w:t>³，其位置应避免占用支洞道路范围；临时集水坑根据实际需求设置。排水沟的深度不小于</w:t>
      </w:r>
      <w:r>
        <w:rPr>
          <w:rFonts w:hAnsi="Times New Roman"/>
          <w:color w:val="auto"/>
          <w:highlight w:val="none"/>
          <w:lang w:eastAsia="zh-CN"/>
        </w:rPr>
        <w:t>15cm</w:t>
      </w:r>
      <w:r>
        <w:rPr>
          <w:rFonts w:hint="eastAsia" w:hAnsi="Times New Roman" w:cs="宋体"/>
          <w:color w:val="auto"/>
          <w:highlight w:val="none"/>
          <w:lang w:eastAsia="zh-CN"/>
        </w:rPr>
        <w:t>，在膨胀岩、土质地层、围岩松软地段（如有），可根据需要加强水沟铺砌或用管槽代替。排水主管道规格为不小于Ф</w:t>
      </w:r>
      <w:r>
        <w:rPr>
          <w:rFonts w:hAnsi="Times New Roman"/>
          <w:color w:val="auto"/>
          <w:highlight w:val="none"/>
          <w:lang w:eastAsia="zh-CN"/>
        </w:rPr>
        <w:t>150</w:t>
      </w:r>
      <w:r>
        <w:rPr>
          <w:rFonts w:hint="eastAsia" w:hAnsi="Times New Roman" w:cs="宋体"/>
          <w:color w:val="auto"/>
          <w:highlight w:val="none"/>
          <w:lang w:eastAsia="zh-CN"/>
        </w:rPr>
        <w:t>钢管，水泵的排水能力应满足排水需要。</w:t>
      </w:r>
    </w:p>
    <w:p w14:paraId="54C52390">
      <w:pPr>
        <w:pStyle w:val="5"/>
        <w:jc w:val="left"/>
        <w:rPr>
          <w:rFonts w:hAnsi="Times New Roman" w:cs="楷体"/>
          <w:color w:val="auto"/>
          <w:highlight w:val="none"/>
          <w:lang w:eastAsia="zh-CN"/>
        </w:rPr>
      </w:pPr>
      <w:r>
        <w:rPr>
          <w:rFonts w:hAnsi="Times New Roman" w:cs="楷体"/>
          <w:color w:val="auto"/>
          <w:highlight w:val="none"/>
          <w:lang w:eastAsia="zh-CN"/>
        </w:rPr>
        <w:t>8.</w:t>
      </w:r>
      <w:r>
        <w:rPr>
          <w:rFonts w:hint="eastAsia" w:hAnsi="Times New Roman" w:cs="楷体"/>
          <w:color w:val="auto"/>
          <w:highlight w:val="none"/>
          <w:lang w:val="en-US" w:eastAsia="zh-CN"/>
        </w:rPr>
        <w:t>9</w:t>
      </w:r>
      <w:r>
        <w:rPr>
          <w:rFonts w:hAnsi="Times New Roman" w:cs="楷体"/>
          <w:color w:val="auto"/>
          <w:highlight w:val="none"/>
          <w:lang w:eastAsia="zh-CN"/>
        </w:rPr>
        <w:t>.3.2</w:t>
      </w:r>
      <w:r>
        <w:rPr>
          <w:rFonts w:hint="eastAsia" w:hAnsi="Times New Roman" w:cs="楷体"/>
          <w:color w:val="auto"/>
          <w:highlight w:val="none"/>
          <w:lang w:eastAsia="zh-CN"/>
        </w:rPr>
        <w:t>　突涌水段排水</w:t>
      </w:r>
    </w:p>
    <w:p w14:paraId="3F5C46E8">
      <w:pPr>
        <w:ind w:firstLine="420"/>
        <w:jc w:val="left"/>
        <w:rPr>
          <w:rFonts w:hAnsi="Times New Roman"/>
          <w:color w:val="auto"/>
          <w:highlight w:val="none"/>
          <w:lang w:eastAsia="zh-CN"/>
        </w:rPr>
      </w:pPr>
      <w:r>
        <w:rPr>
          <w:rFonts w:hint="eastAsia" w:hAnsi="Times New Roman"/>
          <w:color w:val="auto"/>
          <w:highlight w:val="none"/>
          <w:lang w:eastAsia="zh-CN"/>
        </w:rPr>
        <w:t>承包人应依据工程水文资质资料测算突涌水段排水量，结合设计图纸要求制定突涌水段排水专项施工方案或专项措施。</w:t>
      </w:r>
    </w:p>
    <w:p w14:paraId="716F6BCE">
      <w:pPr>
        <w:ind w:firstLine="420"/>
        <w:jc w:val="left"/>
        <w:rPr>
          <w:rFonts w:hAnsi="Times New Roman"/>
          <w:color w:val="auto"/>
          <w:highlight w:val="none"/>
          <w:lang w:eastAsia="zh-CN"/>
        </w:rPr>
      </w:pPr>
      <w:r>
        <w:rPr>
          <w:rFonts w:hint="eastAsia" w:hAnsi="Times New Roman"/>
          <w:color w:val="auto"/>
          <w:highlight w:val="none"/>
          <w:lang w:eastAsia="zh-CN"/>
        </w:rPr>
        <w:t>承包人应根据超前地质预报成果并采取处理措施，降低突水突泥的风险，同时制定预防揭穿高压大流量突水突泥构造的应急处理预案并提交监理人。</w:t>
      </w:r>
    </w:p>
    <w:p w14:paraId="027E1557">
      <w:pPr>
        <w:pStyle w:val="4"/>
        <w:spacing w:beforeLines="0" w:afterLines="0"/>
        <w:jc w:val="both"/>
        <w:rPr>
          <w:rFonts w:hint="eastAsia" w:cs="宋体"/>
          <w:bCs/>
          <w:color w:val="auto"/>
          <w:szCs w:val="24"/>
          <w:highlight w:val="none"/>
          <w:lang w:eastAsia="zh-CN"/>
        </w:rPr>
      </w:pPr>
      <w:bookmarkStart w:id="1907" w:name="_Toc19494"/>
      <w:bookmarkStart w:id="1908" w:name="_Toc24146"/>
      <w:bookmarkStart w:id="1909" w:name="_Toc8295"/>
      <w:r>
        <w:rPr>
          <w:rFonts w:hint="eastAsia" w:cs="宋体"/>
          <w:bCs/>
          <w:color w:val="auto"/>
          <w:szCs w:val="24"/>
          <w:highlight w:val="none"/>
          <w:lang w:eastAsia="zh-CN"/>
        </w:rPr>
        <w:t>8.10　地下开挖石渣的利用和弃置</w:t>
      </w:r>
      <w:bookmarkEnd w:id="1907"/>
      <w:bookmarkEnd w:id="1908"/>
      <w:bookmarkEnd w:id="1909"/>
    </w:p>
    <w:p w14:paraId="3772DAD2">
      <w:pPr>
        <w:pStyle w:val="5"/>
        <w:jc w:val="left"/>
        <w:rPr>
          <w:rFonts w:hint="eastAsia" w:hAnsi="Times New Roman" w:cs="楷体"/>
          <w:color w:val="auto"/>
          <w:highlight w:val="none"/>
          <w:lang w:eastAsia="zh-CN"/>
        </w:rPr>
      </w:pPr>
      <w:r>
        <w:rPr>
          <w:rFonts w:hAnsi="Times New Roman" w:cs="Times New Roman"/>
          <w:color w:val="auto"/>
          <w:highlight w:val="none"/>
          <w:lang w:eastAsia="zh-CN"/>
        </w:rPr>
        <w:t>8.10.1</w:t>
      </w:r>
      <w:r>
        <w:rPr>
          <w:rFonts w:hint="eastAsia" w:hAnsi="Times New Roman" w:cs="Times New Roman"/>
          <w:color w:val="auto"/>
          <w:highlight w:val="none"/>
          <w:lang w:eastAsia="zh-CN"/>
        </w:rPr>
        <w:t>　</w:t>
      </w:r>
      <w:r>
        <w:rPr>
          <w:rFonts w:hint="eastAsia" w:hAnsi="Times New Roman" w:cs="楷体"/>
          <w:color w:val="auto"/>
          <w:highlight w:val="none"/>
          <w:lang w:eastAsia="zh-CN"/>
        </w:rPr>
        <w:t>地下开挖石渣的利用</w:t>
      </w:r>
    </w:p>
    <w:p w14:paraId="35E3FF65">
      <w:pPr>
        <w:ind w:firstLine="420"/>
        <w:jc w:val="left"/>
        <w:rPr>
          <w:rFonts w:hAnsi="Times New Roman"/>
          <w:color w:val="auto"/>
          <w:highlight w:val="none"/>
          <w:lang w:eastAsia="zh-CN"/>
        </w:rPr>
      </w:pPr>
      <w:r>
        <w:rPr>
          <w:rFonts w:hint="eastAsia" w:hAnsi="Times New Roman"/>
          <w:color w:val="auto"/>
          <w:highlight w:val="none"/>
          <w:lang w:eastAsia="zh-CN"/>
        </w:rPr>
        <w:t>（1）发包人拥有所有地下洞室开挖渣料的所有权和使用权，</w:t>
      </w:r>
      <w:r>
        <w:rPr>
          <w:rFonts w:hint="eastAsia"/>
          <w:color w:val="auto"/>
          <w:highlight w:val="none"/>
          <w:lang w:eastAsia="zh-CN"/>
        </w:rPr>
        <w:t>承包人需要使用本工程渣料时，应经监理人批准</w:t>
      </w:r>
      <w:r>
        <w:rPr>
          <w:rFonts w:hint="eastAsia" w:hAnsi="Times New Roman"/>
          <w:color w:val="auto"/>
          <w:highlight w:val="none"/>
          <w:lang w:eastAsia="zh-CN"/>
        </w:rPr>
        <w:t>。承包人对地下洞室开挖渣料负有保管、看护义务。</w:t>
      </w:r>
    </w:p>
    <w:p w14:paraId="793A6658">
      <w:pPr>
        <w:ind w:firstLine="420"/>
        <w:jc w:val="left"/>
        <w:rPr>
          <w:rFonts w:hAnsi="Times New Roman" w:cs="宋体"/>
          <w:color w:val="auto"/>
          <w:highlight w:val="none"/>
          <w:lang w:eastAsia="zh-CN"/>
        </w:rPr>
      </w:pPr>
      <w:r>
        <w:rPr>
          <w:rFonts w:hint="eastAsia" w:hAnsi="Times New Roman" w:cs="宋体"/>
          <w:color w:val="auto"/>
          <w:highlight w:val="none"/>
          <w:lang w:eastAsia="zh-CN"/>
        </w:rPr>
        <w:t>（2）凡在地下工程中开挖出的可用料，应按本工程混凝土浇筑和土石方填筑对利用石料的不同技术要求分区有序堆放。由于承包人施工措施不当造成上述开挖料的报废，应由承包人承担责任。</w:t>
      </w:r>
    </w:p>
    <w:p w14:paraId="07675DF8">
      <w:pPr>
        <w:suppressAutoHyphens/>
        <w:ind w:firstLine="420"/>
        <w:jc w:val="left"/>
        <w:rPr>
          <w:color w:val="auto"/>
          <w:highlight w:val="none"/>
          <w:lang w:eastAsia="zh-CN"/>
        </w:rPr>
      </w:pPr>
      <w:r>
        <w:rPr>
          <w:rFonts w:hint="eastAsia"/>
          <w:color w:val="auto"/>
          <w:highlight w:val="none"/>
          <w:lang w:eastAsia="zh-CN"/>
        </w:rPr>
        <w:t>（3）承包人提交的地下洞室开挖施工措施计划中，应对开挖获得的可利用渣料进行统一规划，可利用渣料应首先专用于本工程混凝土骨料的加工毛料、永久和临时工程的填筑及场地平整等。</w:t>
      </w:r>
    </w:p>
    <w:p w14:paraId="1090429D">
      <w:pPr>
        <w:suppressAutoHyphens/>
        <w:ind w:firstLine="420"/>
        <w:jc w:val="left"/>
        <w:rPr>
          <w:color w:val="auto"/>
          <w:highlight w:val="none"/>
          <w:lang w:eastAsia="zh-CN"/>
        </w:rPr>
      </w:pPr>
      <w:r>
        <w:rPr>
          <w:rFonts w:hint="eastAsia"/>
          <w:color w:val="auto"/>
          <w:highlight w:val="none"/>
          <w:lang w:eastAsia="zh-CN"/>
        </w:rPr>
        <w:t>（4）满足加工成混凝土骨料要求的开挖料应尽可能直接运至砂石加工系统和可利用填筑要求的开挖料尽可能直接运至填筑场地，避免二次倒运。承包人应按批准的砂石加工系统、堆渣地点和堆渣方式，将可利用渣料运至指定地点分类堆存。渣料堆体应保持边坡稳定，并设有良好的自由排水措施，防止被污染。</w:t>
      </w:r>
    </w:p>
    <w:p w14:paraId="3AA0CDF7">
      <w:pPr>
        <w:ind w:firstLine="420"/>
        <w:jc w:val="left"/>
        <w:rPr>
          <w:color w:val="auto"/>
          <w:highlight w:val="none"/>
          <w:lang w:eastAsia="zh-CN"/>
        </w:rPr>
      </w:pPr>
      <w:r>
        <w:rPr>
          <w:rFonts w:hint="eastAsia"/>
          <w:color w:val="auto"/>
          <w:highlight w:val="none"/>
          <w:lang w:eastAsia="zh-CN"/>
        </w:rPr>
        <w:t>（5）对监理人确认的可用料，承包人应在开挖、装运、堆存和其他作业时，采取有效的保质措施，保护可利用渣料免受污染和侵蚀。由于承包人施工措施不当造成上述开挖料的报废，应由承包人承担责任。</w:t>
      </w:r>
    </w:p>
    <w:p w14:paraId="235C085D">
      <w:pPr>
        <w:pStyle w:val="5"/>
        <w:jc w:val="left"/>
        <w:rPr>
          <w:rFonts w:hAnsi="Times New Roman" w:cs="楷体"/>
          <w:color w:val="auto"/>
          <w:highlight w:val="none"/>
          <w:lang w:eastAsia="zh-CN"/>
        </w:rPr>
      </w:pPr>
      <w:r>
        <w:rPr>
          <w:rFonts w:hAnsi="Times New Roman" w:cs="Times New Roman"/>
          <w:color w:val="auto"/>
          <w:highlight w:val="none"/>
          <w:lang w:eastAsia="zh-CN"/>
        </w:rPr>
        <w:t>8.10.2</w:t>
      </w:r>
      <w:r>
        <w:rPr>
          <w:rFonts w:hint="eastAsia" w:hAnsi="Times New Roman" w:cs="Times New Roman"/>
          <w:color w:val="auto"/>
          <w:highlight w:val="none"/>
          <w:lang w:eastAsia="zh-CN"/>
        </w:rPr>
        <w:t>　</w:t>
      </w:r>
      <w:r>
        <w:rPr>
          <w:rFonts w:hint="eastAsia" w:hAnsi="Times New Roman" w:cs="楷体"/>
          <w:color w:val="auto"/>
          <w:highlight w:val="none"/>
          <w:lang w:eastAsia="zh-CN"/>
        </w:rPr>
        <w:t>地下工程开挖石渣的弃置</w:t>
      </w:r>
    </w:p>
    <w:p w14:paraId="67A193E3">
      <w:pPr>
        <w:ind w:firstLine="420"/>
        <w:jc w:val="left"/>
        <w:rPr>
          <w:rFonts w:hint="eastAsia"/>
          <w:color w:val="auto"/>
          <w:highlight w:val="none"/>
          <w:lang w:eastAsia="zh-CN"/>
        </w:rPr>
      </w:pPr>
      <w:r>
        <w:rPr>
          <w:rFonts w:hint="eastAsia" w:hAnsi="Times New Roman" w:cs="宋体"/>
          <w:color w:val="auto"/>
          <w:highlight w:val="none"/>
          <w:lang w:eastAsia="zh-CN"/>
        </w:rPr>
        <w:t>地下工程开挖的石渣，经监理人确认不能用于本工程时，应按废渣处理，并应按本技术条款</w:t>
      </w:r>
      <w:r>
        <w:rPr>
          <w:rFonts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环境保护和水土保持</w:t>
      </w:r>
      <w:r>
        <w:rPr>
          <w:rFonts w:hAnsi="Times New Roman" w:cs="宋体"/>
          <w:color w:val="auto"/>
          <w:highlight w:val="none"/>
          <w:lang w:eastAsia="zh-CN"/>
        </w:rPr>
        <w:t>”</w:t>
      </w:r>
      <w:r>
        <w:rPr>
          <w:rFonts w:hint="eastAsia" w:hAnsi="Times New Roman" w:cs="宋体"/>
          <w:color w:val="auto"/>
          <w:highlight w:val="none"/>
          <w:lang w:eastAsia="zh-CN"/>
        </w:rPr>
        <w:t>的有关规定弃置至指定地点。</w:t>
      </w:r>
      <w:r>
        <w:rPr>
          <w:rFonts w:hint="eastAsia"/>
          <w:color w:val="auto"/>
          <w:highlight w:val="none"/>
          <w:lang w:eastAsia="zh-CN"/>
        </w:rPr>
        <w:t>现场具备利用皮带机从洞口直接运输至监理人指定弃置点的，承包人可自行编制相应运输方案，报监理人批准后实施。相应费用发包人不另行支付，由承包人自行解决。</w:t>
      </w:r>
    </w:p>
    <w:p w14:paraId="7DA683C0">
      <w:pPr>
        <w:pStyle w:val="4"/>
        <w:spacing w:beforeLines="0" w:afterLines="0"/>
        <w:jc w:val="both"/>
        <w:rPr>
          <w:rFonts w:hint="eastAsia" w:cs="宋体"/>
          <w:bCs/>
          <w:color w:val="auto"/>
          <w:szCs w:val="24"/>
          <w:highlight w:val="none"/>
          <w:lang w:eastAsia="zh-CN"/>
        </w:rPr>
      </w:pPr>
      <w:bookmarkStart w:id="1910" w:name="_Toc20478"/>
      <w:bookmarkStart w:id="1911" w:name="_Toc26385"/>
      <w:bookmarkStart w:id="1912" w:name="_Toc21589"/>
      <w:r>
        <w:rPr>
          <w:rFonts w:hint="eastAsia" w:cs="宋体"/>
          <w:bCs/>
          <w:color w:val="auto"/>
          <w:szCs w:val="24"/>
          <w:highlight w:val="none"/>
          <w:lang w:eastAsia="zh-CN"/>
        </w:rPr>
        <w:t>8.11　质量检查与验收</w:t>
      </w:r>
      <w:bookmarkEnd w:id="1910"/>
      <w:bookmarkEnd w:id="1911"/>
      <w:bookmarkEnd w:id="1912"/>
    </w:p>
    <w:p w14:paraId="73EAD537">
      <w:pPr>
        <w:pStyle w:val="5"/>
        <w:jc w:val="left"/>
        <w:rPr>
          <w:rFonts w:hAnsi="Times New Roman" w:cs="楷体"/>
          <w:color w:val="auto"/>
          <w:highlight w:val="none"/>
          <w:lang w:eastAsia="zh-CN"/>
        </w:rPr>
      </w:pPr>
      <w:r>
        <w:rPr>
          <w:rFonts w:hAnsi="Times New Roman" w:cs="Times New Roman"/>
          <w:color w:val="auto"/>
          <w:highlight w:val="none"/>
          <w:lang w:eastAsia="zh-CN"/>
        </w:rPr>
        <w:t>8.11.1</w:t>
      </w:r>
      <w:r>
        <w:rPr>
          <w:rFonts w:hint="eastAsia" w:hAnsi="Times New Roman" w:cs="Times New Roman"/>
          <w:color w:val="auto"/>
          <w:highlight w:val="none"/>
          <w:lang w:eastAsia="zh-CN"/>
        </w:rPr>
        <w:t>　</w:t>
      </w:r>
      <w:r>
        <w:rPr>
          <w:rFonts w:hint="eastAsia" w:hAnsi="Times New Roman" w:cs="楷体"/>
          <w:color w:val="auto"/>
          <w:highlight w:val="none"/>
          <w:lang w:eastAsia="zh-CN"/>
        </w:rPr>
        <w:t>地下洞室开挖前检查</w:t>
      </w:r>
    </w:p>
    <w:p w14:paraId="3FF88D0A">
      <w:pPr>
        <w:ind w:firstLine="420"/>
        <w:jc w:val="left"/>
        <w:rPr>
          <w:rFonts w:hAnsi="Times New Roman" w:cs="宋体"/>
          <w:color w:val="auto"/>
          <w:highlight w:val="none"/>
          <w:lang w:eastAsia="zh-CN"/>
        </w:rPr>
      </w:pPr>
      <w:r>
        <w:rPr>
          <w:rFonts w:hint="eastAsia" w:hAnsi="Times New Roman" w:cs="宋体"/>
          <w:color w:val="auto"/>
          <w:highlight w:val="none"/>
          <w:lang w:eastAsia="zh-CN"/>
        </w:rPr>
        <w:t>地下洞室开挖前，承包人应会同监理人进行地下洞室测量放样成果的检查，并对地下洞室洞口边坡的安全清理质量进行检查，确认其洞口边坡安全后，才能开始进洞施工。</w:t>
      </w:r>
    </w:p>
    <w:p w14:paraId="558269AB">
      <w:pPr>
        <w:pStyle w:val="5"/>
        <w:jc w:val="left"/>
        <w:rPr>
          <w:rFonts w:hAnsi="Times New Roman" w:cs="楷体"/>
          <w:color w:val="auto"/>
          <w:highlight w:val="none"/>
          <w:lang w:eastAsia="zh-CN"/>
        </w:rPr>
      </w:pPr>
      <w:r>
        <w:rPr>
          <w:rFonts w:hAnsi="Times New Roman" w:cs="Times New Roman"/>
          <w:color w:val="auto"/>
          <w:highlight w:val="none"/>
          <w:lang w:eastAsia="zh-CN"/>
        </w:rPr>
        <w:t>8.11.2</w:t>
      </w:r>
      <w:r>
        <w:rPr>
          <w:rFonts w:hint="eastAsia" w:hAnsi="Times New Roman" w:cs="Times New Roman"/>
          <w:color w:val="auto"/>
          <w:highlight w:val="none"/>
          <w:lang w:eastAsia="zh-CN"/>
        </w:rPr>
        <w:t>　</w:t>
      </w:r>
      <w:r>
        <w:rPr>
          <w:rFonts w:hint="eastAsia" w:hAnsi="Times New Roman" w:cs="楷体"/>
          <w:color w:val="auto"/>
          <w:highlight w:val="none"/>
          <w:lang w:eastAsia="zh-CN"/>
        </w:rPr>
        <w:t>地下洞室开挖质量的检查和验收</w:t>
      </w:r>
    </w:p>
    <w:p w14:paraId="50FEE577">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）隧洞开挖过程中，承包人应会同监理人定期检测地下洞室中心线的定线误差。各项地下洞室开挖的贯通测量允许极限误差值应符合《水工建筑物地下开挖工程施工规范》（</w:t>
      </w:r>
      <w:r>
        <w:rPr>
          <w:rFonts w:hAnsi="Times New Roman" w:cs="Times New Roman"/>
          <w:color w:val="auto"/>
          <w:highlight w:val="none"/>
          <w:lang w:eastAsia="zh-CN"/>
        </w:rPr>
        <w:t>SL378—2007</w:t>
      </w:r>
      <w:r>
        <w:rPr>
          <w:rFonts w:hint="eastAsia" w:hAnsi="Times New Roman" w:cs="宋体"/>
          <w:color w:val="auto"/>
          <w:highlight w:val="none"/>
          <w:lang w:eastAsia="zh-CN"/>
        </w:rPr>
        <w:t>）表</w:t>
      </w:r>
      <w:r>
        <w:rPr>
          <w:rFonts w:hAnsi="Times New Roman" w:cs="Times New Roman"/>
          <w:color w:val="auto"/>
          <w:highlight w:val="none"/>
          <w:lang w:eastAsia="zh-CN"/>
        </w:rPr>
        <w:t>4.0.2-1</w:t>
      </w:r>
      <w:r>
        <w:rPr>
          <w:rFonts w:hint="eastAsia" w:hAnsi="Times New Roman" w:cs="宋体"/>
          <w:color w:val="auto"/>
          <w:highlight w:val="none"/>
          <w:lang w:eastAsia="zh-CN"/>
        </w:rPr>
        <w:t>的要求。</w:t>
      </w:r>
    </w:p>
    <w:p w14:paraId="51E5ABE7">
      <w:pPr>
        <w:suppressAutoHyphens/>
        <w:ind w:firstLine="420"/>
        <w:jc w:val="left"/>
        <w:rPr>
          <w:color w:val="auto"/>
          <w:highlight w:val="none"/>
          <w:lang w:eastAsia="zh-CN"/>
        </w:rPr>
      </w:pPr>
      <w:r>
        <w:rPr>
          <w:rFonts w:hint="eastAsia"/>
          <w:color w:val="auto"/>
          <w:highlight w:val="none"/>
          <w:lang w:eastAsia="zh-CN"/>
        </w:rPr>
        <w:t>（2）地下洞室开挖过程中，承包人应会同监理人定期检测地下洞室中心线的定线误差。</w:t>
      </w:r>
    </w:p>
    <w:p w14:paraId="6FCE7E6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宋体"/>
          <w:color w:val="auto"/>
          <w:highlight w:val="none"/>
          <w:lang w:eastAsia="zh-CN"/>
        </w:rPr>
        <w:t>3</w:t>
      </w:r>
      <w:r>
        <w:rPr>
          <w:rFonts w:hint="eastAsia" w:hAnsi="Times New Roman" w:cs="宋体"/>
          <w:color w:val="auto"/>
          <w:highlight w:val="none"/>
          <w:lang w:eastAsia="zh-CN"/>
        </w:rPr>
        <w:t>）地下洞室开挖完成后，承包人应会同监理人按施工图纸和本技术条款第</w:t>
      </w:r>
      <w:r>
        <w:rPr>
          <w:rFonts w:hAnsi="Times New Roman" w:cs="Times New Roman"/>
          <w:color w:val="auto"/>
          <w:highlight w:val="none"/>
          <w:lang w:eastAsia="zh-CN"/>
        </w:rPr>
        <w:t>8.5</w:t>
      </w:r>
      <w:r>
        <w:rPr>
          <w:rFonts w:hint="eastAsia" w:hAnsi="Times New Roman" w:cs="宋体"/>
          <w:color w:val="auto"/>
          <w:highlight w:val="none"/>
          <w:lang w:eastAsia="zh-CN"/>
        </w:rPr>
        <w:t>款、第</w:t>
      </w:r>
      <w:r>
        <w:rPr>
          <w:rFonts w:hAnsi="Times New Roman" w:cs="Times New Roman"/>
          <w:color w:val="auto"/>
          <w:highlight w:val="none"/>
          <w:lang w:eastAsia="zh-CN"/>
        </w:rPr>
        <w:t>8.6</w:t>
      </w:r>
      <w:r>
        <w:rPr>
          <w:rFonts w:hint="eastAsia" w:hAnsi="Times New Roman" w:cs="宋体"/>
          <w:color w:val="auto"/>
          <w:highlight w:val="none"/>
          <w:lang w:eastAsia="zh-CN"/>
        </w:rPr>
        <w:t>款的规定，对地下洞室开挖断面的规格和开挖质量进行检查和验收。</w:t>
      </w:r>
    </w:p>
    <w:p w14:paraId="0DF6A90E">
      <w:pPr>
        <w:pStyle w:val="5"/>
        <w:jc w:val="left"/>
        <w:rPr>
          <w:rFonts w:hAnsi="Times New Roman" w:cs="楷体"/>
          <w:color w:val="auto"/>
          <w:highlight w:val="none"/>
          <w:lang w:eastAsia="zh-CN"/>
        </w:rPr>
      </w:pPr>
      <w:r>
        <w:rPr>
          <w:rFonts w:hAnsi="Times New Roman" w:cs="Times New Roman"/>
          <w:color w:val="auto"/>
          <w:highlight w:val="none"/>
          <w:lang w:eastAsia="zh-CN"/>
        </w:rPr>
        <w:t>8.11.3</w:t>
      </w:r>
      <w:r>
        <w:rPr>
          <w:rFonts w:hint="eastAsia" w:hAnsi="Times New Roman" w:cs="Times New Roman"/>
          <w:color w:val="auto"/>
          <w:highlight w:val="none"/>
          <w:lang w:eastAsia="zh-CN"/>
        </w:rPr>
        <w:t>　</w:t>
      </w:r>
      <w:r>
        <w:rPr>
          <w:rFonts w:hint="eastAsia" w:hAnsi="Times New Roman" w:cs="楷体"/>
          <w:color w:val="auto"/>
          <w:highlight w:val="none"/>
          <w:lang w:eastAsia="zh-CN"/>
        </w:rPr>
        <w:t>完工验收</w:t>
      </w:r>
    </w:p>
    <w:p w14:paraId="00FAA48B">
      <w:pPr>
        <w:ind w:firstLine="420"/>
        <w:jc w:val="left"/>
        <w:rPr>
          <w:rFonts w:hAnsi="Times New Roman" w:cs="宋体"/>
          <w:color w:val="auto"/>
          <w:highlight w:val="none"/>
          <w:lang w:eastAsia="zh-CN"/>
        </w:rPr>
      </w:pPr>
      <w:r>
        <w:rPr>
          <w:rFonts w:hint="eastAsia" w:hAnsi="Times New Roman" w:cs="宋体"/>
          <w:color w:val="auto"/>
          <w:highlight w:val="none"/>
          <w:lang w:eastAsia="zh-CN"/>
        </w:rPr>
        <w:t>地下洞室开挖工程完工后，应向监理人申请进行完工验收，并提交完工验收资料：</w:t>
      </w:r>
    </w:p>
    <w:p w14:paraId="39BF325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）地下洞室开挖竣工图。</w:t>
      </w:r>
    </w:p>
    <w:p w14:paraId="6A3FDB0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）地下洞室开挖实测纵、横剖面图。</w:t>
      </w:r>
    </w:p>
    <w:p w14:paraId="5661FFC3">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）地下洞室围岩地质测绘资料、水文地质监测资料。</w:t>
      </w:r>
    </w:p>
    <w:p w14:paraId="32BE889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）地下洞室开挖事故处理记录。</w:t>
      </w:r>
    </w:p>
    <w:p w14:paraId="386C254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）施工缺陷处理记录。</w:t>
      </w:r>
    </w:p>
    <w:p w14:paraId="206C4F98">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6</w:t>
      </w:r>
      <w:r>
        <w:rPr>
          <w:rFonts w:hint="eastAsia" w:hAnsi="Times New Roman" w:cs="宋体"/>
          <w:color w:val="auto"/>
          <w:highlight w:val="none"/>
          <w:lang w:eastAsia="zh-CN"/>
        </w:rPr>
        <w:t>）施工支洞开挖、支护及封堵竣工图。</w:t>
      </w:r>
    </w:p>
    <w:p w14:paraId="324092DF">
      <w:pPr>
        <w:ind w:firstLine="420"/>
        <w:jc w:val="left"/>
        <w:rPr>
          <w:rFonts w:hAnsi="Times New Roman" w:cs="宋体"/>
          <w:color w:val="auto"/>
          <w:highlight w:val="none"/>
          <w:lang w:eastAsia="zh-CN"/>
        </w:rPr>
      </w:pPr>
      <w:r>
        <w:rPr>
          <w:rFonts w:hint="eastAsia" w:hAnsi="Times New Roman" w:cs="宋体"/>
          <w:color w:val="auto"/>
          <w:highlight w:val="none"/>
          <w:lang w:eastAsia="zh-CN"/>
        </w:rPr>
        <w:t>（7）隧洞围岩安全变形监测资料。</w:t>
      </w:r>
    </w:p>
    <w:p w14:paraId="7AEF7AAC">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8</w:t>
      </w:r>
      <w:r>
        <w:rPr>
          <w:rFonts w:hint="eastAsia" w:hAnsi="Times New Roman" w:cs="宋体"/>
          <w:color w:val="auto"/>
          <w:highlight w:val="none"/>
          <w:lang w:eastAsia="zh-CN"/>
        </w:rPr>
        <w:t>）监理人要求提供的其它完工资料。</w:t>
      </w:r>
    </w:p>
    <w:p w14:paraId="50F5FFA1">
      <w:pPr>
        <w:pStyle w:val="4"/>
        <w:spacing w:beforeLines="0" w:afterLines="0"/>
        <w:jc w:val="both"/>
        <w:rPr>
          <w:rFonts w:hint="eastAsia" w:cs="宋体"/>
          <w:bCs/>
          <w:color w:val="auto"/>
          <w:szCs w:val="24"/>
          <w:highlight w:val="none"/>
          <w:lang w:eastAsia="zh-CN"/>
        </w:rPr>
      </w:pPr>
      <w:bookmarkStart w:id="1913" w:name="_Toc22555"/>
      <w:bookmarkStart w:id="1914" w:name="_Toc15642"/>
      <w:bookmarkStart w:id="1915" w:name="_Toc631"/>
      <w:r>
        <w:rPr>
          <w:rFonts w:hint="eastAsia" w:cs="宋体"/>
          <w:bCs/>
          <w:color w:val="auto"/>
          <w:szCs w:val="24"/>
          <w:highlight w:val="none"/>
          <w:lang w:eastAsia="zh-CN"/>
        </w:rPr>
        <w:t>8.12　洞内运输</w:t>
      </w:r>
      <w:bookmarkEnd w:id="1913"/>
      <w:bookmarkEnd w:id="1914"/>
      <w:bookmarkEnd w:id="1915"/>
    </w:p>
    <w:p w14:paraId="225E64D9">
      <w:pPr>
        <w:suppressAutoHyphens/>
        <w:ind w:firstLine="420"/>
        <w:jc w:val="left"/>
        <w:rPr>
          <w:rFonts w:hAnsi="Calibri" w:cs="Times New Roman"/>
          <w:color w:val="auto"/>
          <w:highlight w:val="none"/>
          <w:lang w:eastAsia="zh-CN"/>
        </w:rPr>
      </w:pPr>
      <w:r>
        <w:rPr>
          <w:rFonts w:hint="eastAsia" w:hAnsi="Calibri" w:cs="Times New Roman"/>
          <w:color w:val="auto"/>
          <w:highlight w:val="none"/>
          <w:lang w:eastAsia="zh-CN"/>
        </w:rPr>
        <w:t>（</w:t>
      </w:r>
      <w:r>
        <w:rPr>
          <w:rFonts w:hAnsi="Calibri" w:cs="Times New Roman"/>
          <w:color w:val="auto"/>
          <w:highlight w:val="none"/>
          <w:lang w:eastAsia="zh-CN"/>
        </w:rPr>
        <w:t>1</w:t>
      </w:r>
      <w:r>
        <w:rPr>
          <w:rFonts w:hint="eastAsia" w:hAnsi="Calibri" w:cs="Times New Roman"/>
          <w:color w:val="auto"/>
          <w:highlight w:val="none"/>
          <w:lang w:eastAsia="zh-CN"/>
        </w:rPr>
        <w:t>）洞内开挖施工交通运输任务主要包括开挖渣料、施工材料及施工人员的运输等。</w:t>
      </w:r>
    </w:p>
    <w:p w14:paraId="200AA036">
      <w:pPr>
        <w:suppressAutoHyphens/>
        <w:ind w:firstLine="420"/>
        <w:jc w:val="left"/>
        <w:rPr>
          <w:rFonts w:hAnsi="Calibri" w:cs="Times New Roman"/>
          <w:color w:val="auto"/>
          <w:highlight w:val="none"/>
          <w:lang w:eastAsia="zh-CN"/>
        </w:rPr>
      </w:pPr>
      <w:r>
        <w:rPr>
          <w:rFonts w:hint="eastAsia" w:hAnsi="Calibri" w:cs="Times New Roman"/>
          <w:color w:val="auto"/>
          <w:highlight w:val="none"/>
          <w:lang w:eastAsia="zh-CN"/>
        </w:rPr>
        <w:t>（2）承包人应根据本标段的施工条件，结合选定的施工方法，选择合适、高效的洞内运输方式及运输设备，并考虑一定的余量。洞内运输设备、设施须经承包人专门设计，报监理人批准后方可使用。承包人应定期对所使用的设备进行安全检查、鉴定和维护，并对设备运行安全负全部责任。</w:t>
      </w:r>
    </w:p>
    <w:p w14:paraId="75F05F1E">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3</w:t>
      </w:r>
      <w:r>
        <w:rPr>
          <w:rFonts w:hint="eastAsia"/>
          <w:color w:val="auto"/>
          <w:highlight w:val="none"/>
          <w:lang w:eastAsia="zh-CN"/>
        </w:rPr>
        <w:t>）物料运输</w:t>
      </w:r>
      <w:r>
        <w:rPr>
          <w:rFonts w:hint="eastAsia"/>
          <w:color w:val="auto"/>
          <w:highlight w:val="none"/>
          <w:lang w:val="en-US" w:eastAsia="zh-CN"/>
        </w:rPr>
        <w:t>应</w:t>
      </w:r>
      <w:r>
        <w:rPr>
          <w:rFonts w:hint="eastAsia"/>
          <w:color w:val="auto"/>
          <w:highlight w:val="none"/>
          <w:lang w:eastAsia="zh-CN"/>
        </w:rPr>
        <w:t>选择机车牵引的轨道运输方式。</w:t>
      </w:r>
    </w:p>
    <w:p w14:paraId="0DC64E1B">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4）隧洞出渣和物料运输方式改变时应设置转渣设施或堆存场地，并考虑一定容量。</w:t>
      </w:r>
    </w:p>
    <w:p w14:paraId="4610F723">
      <w:pPr>
        <w:suppressAutoHyphens/>
        <w:ind w:firstLine="420"/>
        <w:jc w:val="left"/>
        <w:rPr>
          <w:rFonts w:hAnsi="Calibri" w:cs="Times New Roman"/>
          <w:color w:val="auto"/>
          <w:highlight w:val="none"/>
          <w:lang w:eastAsia="zh-CN"/>
        </w:rPr>
      </w:pPr>
      <w:r>
        <w:rPr>
          <w:rFonts w:hint="eastAsia" w:hAnsi="Calibri" w:cs="Times New Roman"/>
          <w:color w:val="auto"/>
          <w:highlight w:val="none"/>
          <w:lang w:eastAsia="zh-CN"/>
        </w:rPr>
        <w:t>（5）主洞内运输距离长，承包人应设置专门的运人交通工具，严禁人、物混运；施工期间人车的调试、运行、维护需严格执行相关安全标准，定期进行安全检查。</w:t>
      </w:r>
    </w:p>
    <w:p w14:paraId="228757A6">
      <w:pPr>
        <w:suppressAutoHyphens/>
        <w:ind w:firstLine="420"/>
        <w:jc w:val="left"/>
        <w:rPr>
          <w:rFonts w:hAnsi="Calibri" w:cs="Times New Roman"/>
          <w:color w:val="auto"/>
          <w:highlight w:val="none"/>
          <w:lang w:eastAsia="zh-CN"/>
        </w:rPr>
      </w:pPr>
      <w:r>
        <w:rPr>
          <w:rFonts w:hint="eastAsia" w:hAnsi="Calibri" w:cs="Times New Roman"/>
          <w:color w:val="auto"/>
          <w:highlight w:val="none"/>
          <w:lang w:eastAsia="zh-CN"/>
        </w:rPr>
        <w:t>（6）运输应有可靠的通信和信号联系，信号应声、光、电兼备。</w:t>
      </w:r>
    </w:p>
    <w:p w14:paraId="0EE41C2A">
      <w:pPr>
        <w:suppressAutoHyphens/>
        <w:ind w:firstLine="420"/>
        <w:jc w:val="left"/>
        <w:rPr>
          <w:rFonts w:hAnsi="Calibri" w:cs="Times New Roman"/>
          <w:color w:val="auto"/>
          <w:highlight w:val="none"/>
          <w:lang w:eastAsia="zh-CN"/>
        </w:rPr>
      </w:pPr>
      <w:r>
        <w:rPr>
          <w:rFonts w:hint="eastAsia" w:hAnsi="Calibri" w:cs="Times New Roman"/>
          <w:color w:val="auto"/>
          <w:highlight w:val="none"/>
          <w:lang w:eastAsia="zh-CN"/>
        </w:rPr>
        <w:t>（7）各项运输设施应经安全部门鉴定并签发合格证后方可使用。</w:t>
      </w:r>
    </w:p>
    <w:p w14:paraId="32F3B6C2">
      <w:pPr>
        <w:pStyle w:val="7"/>
        <w:ind w:firstLine="420"/>
        <w:jc w:val="left"/>
        <w:rPr>
          <w:color w:val="auto"/>
          <w:highlight w:val="none"/>
          <w:lang w:eastAsia="zh-CN"/>
        </w:rPr>
      </w:pPr>
      <w:r>
        <w:rPr>
          <w:rFonts w:hint="eastAsia" w:hAnsi="Calibri" w:cs="Times New Roman"/>
          <w:color w:val="auto"/>
          <w:highlight w:val="none"/>
          <w:lang w:eastAsia="zh-CN"/>
        </w:rPr>
        <w:t>（8）其他要求需遵照SL378第</w:t>
      </w:r>
      <w:r>
        <w:rPr>
          <w:rFonts w:hAnsi="Calibri" w:cs="Times New Roman"/>
          <w:color w:val="auto"/>
          <w:highlight w:val="none"/>
          <w:lang w:eastAsia="zh-CN"/>
        </w:rPr>
        <w:t>8</w:t>
      </w:r>
      <w:r>
        <w:rPr>
          <w:rFonts w:hint="eastAsia" w:hAnsi="Calibri" w:cs="Times New Roman"/>
          <w:color w:val="auto"/>
          <w:highlight w:val="none"/>
          <w:lang w:eastAsia="zh-CN"/>
        </w:rPr>
        <w:t>章和第</w:t>
      </w:r>
      <w:r>
        <w:rPr>
          <w:rFonts w:hAnsi="Calibri" w:cs="Times New Roman"/>
          <w:color w:val="auto"/>
          <w:highlight w:val="none"/>
          <w:lang w:eastAsia="zh-CN"/>
        </w:rPr>
        <w:t>13.3</w:t>
      </w:r>
      <w:r>
        <w:rPr>
          <w:rFonts w:hint="eastAsia" w:hAnsi="Calibri" w:cs="Times New Roman"/>
          <w:color w:val="auto"/>
          <w:highlight w:val="none"/>
          <w:lang w:eastAsia="zh-CN"/>
        </w:rPr>
        <w:t>节的规定。未尽事宜参照</w:t>
      </w:r>
      <w:r>
        <w:rPr>
          <w:rFonts w:hAnsi="Calibri" w:cs="Times New Roman"/>
          <w:color w:val="auto"/>
          <w:highlight w:val="none"/>
          <w:lang w:eastAsia="zh-CN"/>
        </w:rPr>
        <w:t>DL/T5407</w:t>
      </w:r>
      <w:r>
        <w:rPr>
          <w:rFonts w:hint="eastAsia" w:hAnsi="Calibri" w:cs="Times New Roman"/>
          <w:color w:val="auto"/>
          <w:highlight w:val="none"/>
          <w:lang w:eastAsia="zh-CN"/>
        </w:rPr>
        <w:t xml:space="preserve">、GB </w:t>
      </w:r>
      <w:r>
        <w:rPr>
          <w:rFonts w:hAnsi="Calibri" w:cs="Times New Roman"/>
          <w:color w:val="auto"/>
          <w:highlight w:val="none"/>
          <w:lang w:eastAsia="zh-CN"/>
        </w:rPr>
        <w:t>/T50511</w:t>
      </w:r>
      <w:r>
        <w:rPr>
          <w:rFonts w:hint="eastAsia" w:hAnsi="Calibri" w:cs="Times New Roman"/>
          <w:color w:val="auto"/>
          <w:highlight w:val="none"/>
          <w:lang w:eastAsia="zh-CN"/>
        </w:rPr>
        <w:t xml:space="preserve">及GB </w:t>
      </w:r>
      <w:r>
        <w:rPr>
          <w:rFonts w:hAnsi="Calibri" w:cs="Times New Roman"/>
          <w:color w:val="auto"/>
          <w:highlight w:val="none"/>
          <w:lang w:eastAsia="zh-CN"/>
        </w:rPr>
        <w:t>20181</w:t>
      </w:r>
      <w:r>
        <w:rPr>
          <w:rFonts w:hint="eastAsia" w:hAnsi="Calibri" w:cs="Times New Roman"/>
          <w:color w:val="auto"/>
          <w:highlight w:val="none"/>
          <w:lang w:eastAsia="zh-CN"/>
        </w:rPr>
        <w:t>等相关规范执行。</w:t>
      </w:r>
    </w:p>
    <w:p w14:paraId="36F9EB60">
      <w:pPr>
        <w:pStyle w:val="4"/>
        <w:spacing w:beforeLines="0" w:afterLines="0"/>
        <w:jc w:val="both"/>
        <w:rPr>
          <w:rFonts w:hint="eastAsia" w:cs="宋体"/>
          <w:bCs/>
          <w:color w:val="auto"/>
          <w:szCs w:val="24"/>
          <w:highlight w:val="none"/>
          <w:lang w:eastAsia="zh-CN"/>
        </w:rPr>
      </w:pPr>
      <w:bookmarkStart w:id="1916" w:name="_Toc30081"/>
      <w:bookmarkStart w:id="1917" w:name="_Toc10447"/>
      <w:bookmarkStart w:id="1918" w:name="_Toc9863"/>
      <w:r>
        <w:rPr>
          <w:rFonts w:hint="eastAsia" w:cs="宋体"/>
          <w:bCs/>
          <w:color w:val="auto"/>
          <w:szCs w:val="24"/>
          <w:highlight w:val="none"/>
          <w:lang w:eastAsia="zh-CN"/>
        </w:rPr>
        <w:t>8.13　超挖</w:t>
      </w:r>
      <w:bookmarkEnd w:id="1916"/>
      <w:bookmarkEnd w:id="1917"/>
      <w:bookmarkEnd w:id="1918"/>
    </w:p>
    <w:p w14:paraId="1C26F3CF">
      <w:pPr>
        <w:ind w:firstLine="420"/>
        <w:jc w:val="left"/>
        <w:rPr>
          <w:rFonts w:hAnsi="Times New Roman"/>
          <w:color w:val="auto"/>
          <w:highlight w:val="none"/>
          <w:lang w:eastAsia="zh-CN"/>
        </w:rPr>
      </w:pPr>
      <w:r>
        <w:rPr>
          <w:rFonts w:hint="eastAsia" w:hAnsi="Times New Roman"/>
          <w:color w:val="auto"/>
          <w:highlight w:val="none"/>
          <w:lang w:eastAsia="zh-CN"/>
        </w:rPr>
        <w:t>（1）由于承包人的施工方法与措施不当、测量放样错误、炸药过量、未按施工图纸的要求或监理人的指示及时进行支护等原因而造成的超挖以及开挖线以外岩体的松动，承包人应无偿清除超挖的石渣并将松动的岩石全部清除，并按监理人的要求对该部位进行处理。由此增加的费用，均应由承包人承担。</w:t>
      </w:r>
    </w:p>
    <w:p w14:paraId="64A27FDB">
      <w:pPr>
        <w:ind w:firstLine="420"/>
        <w:jc w:val="left"/>
        <w:rPr>
          <w:rFonts w:hAnsi="Times New Roman" w:cs="宋体"/>
          <w:color w:val="auto"/>
          <w:highlight w:val="none"/>
          <w:lang w:eastAsia="zh-CN"/>
        </w:rPr>
      </w:pPr>
      <w:r>
        <w:rPr>
          <w:rFonts w:hint="eastAsia" w:hAnsi="Times New Roman"/>
          <w:color w:val="auto"/>
          <w:highlight w:val="none"/>
          <w:lang w:eastAsia="zh-CN"/>
        </w:rPr>
        <w:t>（2）由于施工需要而造成的超挖，这种开挖虽未在图上或工程量表中示出，但承包人认为这是施工中必不可少的，如集水坑、由于钻孔原因造成的锯齿台阶等，需经过发包人和监理人的批准，才可进行开挖。由此增加的费用由承包人承担。</w:t>
      </w:r>
    </w:p>
    <w:p w14:paraId="494B9755">
      <w:pPr>
        <w:pStyle w:val="4"/>
        <w:spacing w:beforeLines="0" w:afterLines="0"/>
        <w:jc w:val="both"/>
        <w:rPr>
          <w:rFonts w:hint="eastAsia" w:cs="宋体"/>
          <w:bCs/>
          <w:color w:val="auto"/>
          <w:szCs w:val="24"/>
          <w:highlight w:val="none"/>
          <w:lang w:eastAsia="zh-CN"/>
        </w:rPr>
      </w:pPr>
      <w:bookmarkStart w:id="1919" w:name="_Toc8279"/>
      <w:bookmarkStart w:id="1920" w:name="_Toc25049"/>
      <w:bookmarkStart w:id="1921" w:name="_Toc21104"/>
      <w:r>
        <w:rPr>
          <w:rFonts w:hint="eastAsia" w:cs="宋体"/>
          <w:bCs/>
          <w:color w:val="auto"/>
          <w:szCs w:val="24"/>
          <w:highlight w:val="none"/>
          <w:lang w:eastAsia="zh-CN"/>
        </w:rPr>
        <w:t>8.14　施工安全监测</w:t>
      </w:r>
      <w:bookmarkEnd w:id="1919"/>
      <w:bookmarkEnd w:id="1920"/>
      <w:bookmarkEnd w:id="1921"/>
    </w:p>
    <w:p w14:paraId="486F5826">
      <w:pPr>
        <w:ind w:firstLine="420"/>
        <w:jc w:val="left"/>
        <w:rPr>
          <w:rFonts w:hAnsi="Times New Roman"/>
          <w:color w:val="auto"/>
          <w:highlight w:val="none"/>
          <w:lang w:eastAsia="zh-CN"/>
        </w:rPr>
      </w:pPr>
      <w:r>
        <w:rPr>
          <w:rFonts w:hint="eastAsia" w:hAnsi="Times New Roman"/>
          <w:color w:val="auto"/>
          <w:highlight w:val="none"/>
          <w:lang w:eastAsia="zh-CN"/>
        </w:rPr>
        <w:t>（1）施工安全监测包括开挖爆破时的动态监测、围岩收敛变形观测和洞脸边坡变形监测和洞内环境检测等。在地下洞、井开挖过程中，承包人应密切注意地质条件的变化，量测围岩的变形，记录地下水出露点位置和渗漏情况，评价施工程序、爆破参数、支护型式及参数的合理性，以指导施工，并保证施工安全。承包人应按监理人指示负责施工期临时监测设计，定期向监理人提供监测资料。</w:t>
      </w:r>
    </w:p>
    <w:p w14:paraId="0C6FC84D">
      <w:pPr>
        <w:ind w:firstLine="420"/>
        <w:jc w:val="left"/>
        <w:rPr>
          <w:rFonts w:hAnsi="Times New Roman"/>
          <w:color w:val="auto"/>
          <w:highlight w:val="none"/>
          <w:lang w:eastAsia="zh-CN"/>
        </w:rPr>
      </w:pPr>
      <w:r>
        <w:rPr>
          <w:rFonts w:hint="eastAsia" w:hAnsi="Times New Roman"/>
          <w:color w:val="auto"/>
          <w:highlight w:val="none"/>
          <w:lang w:eastAsia="zh-CN"/>
        </w:rPr>
        <w:t>（2）开挖爆破时的动态监测部位为洞脸边坡、洞室支护与衬砌结构及建（构）筑物等，以及发包人、设计人和监理人认为有必要的部位。</w:t>
      </w:r>
    </w:p>
    <w:p w14:paraId="0EC52A38">
      <w:pPr>
        <w:ind w:firstLine="420"/>
        <w:jc w:val="left"/>
        <w:rPr>
          <w:rFonts w:hAnsi="Times New Roman"/>
          <w:color w:val="auto"/>
          <w:highlight w:val="none"/>
          <w:lang w:eastAsia="zh-CN"/>
        </w:rPr>
      </w:pPr>
      <w:r>
        <w:rPr>
          <w:rFonts w:hint="eastAsia" w:hAnsi="Times New Roman"/>
          <w:color w:val="auto"/>
          <w:highlight w:val="none"/>
          <w:lang w:eastAsia="zh-CN"/>
        </w:rPr>
        <w:t>（3）开挖爆破动态监测应密切配合开挖爆破程序进行，并与同次钻爆参数密切配合，每次爆破后应及时整理、分析监测成果，地质不良洞段于监测当天、其它洞段于监测次日报送发包人、设计人及监理人，以便及时采取工程措施。</w:t>
      </w:r>
    </w:p>
    <w:p w14:paraId="41EF86C8">
      <w:pPr>
        <w:ind w:firstLine="420"/>
        <w:jc w:val="left"/>
        <w:rPr>
          <w:rFonts w:hAnsi="Times New Roman"/>
          <w:color w:val="auto"/>
          <w:highlight w:val="none"/>
          <w:lang w:eastAsia="zh-CN"/>
        </w:rPr>
      </w:pPr>
      <w:r>
        <w:rPr>
          <w:rFonts w:hint="eastAsia" w:hAnsi="Times New Roman"/>
          <w:color w:val="auto"/>
          <w:highlight w:val="none"/>
          <w:lang w:eastAsia="zh-CN"/>
        </w:rPr>
        <w:t>（4）监测仪器应满足安全监测的要求，在实施监测之前应进行必要的仪器标定；实施监测过程中应注意仪器的保养，定期对仪器进行校准。</w:t>
      </w:r>
    </w:p>
    <w:p w14:paraId="2086246E">
      <w:pPr>
        <w:ind w:firstLine="420"/>
        <w:jc w:val="left"/>
        <w:rPr>
          <w:rFonts w:hAnsi="Times New Roman"/>
          <w:color w:val="auto"/>
          <w:highlight w:val="none"/>
          <w:lang w:eastAsia="zh-CN"/>
        </w:rPr>
      </w:pPr>
      <w:r>
        <w:rPr>
          <w:rFonts w:hint="eastAsia" w:hAnsi="Times New Roman"/>
          <w:color w:val="auto"/>
          <w:highlight w:val="none"/>
          <w:lang w:eastAsia="zh-CN"/>
        </w:rPr>
        <w:t>（5）安全监测成果应每周整理、分析一次并报送发包人和监理人，特别是在发现异常情况时，必须立即通知发包人和监理人。</w:t>
      </w:r>
    </w:p>
    <w:p w14:paraId="47A5F4E9">
      <w:pPr>
        <w:ind w:firstLine="420"/>
        <w:jc w:val="left"/>
        <w:rPr>
          <w:rFonts w:hAnsi="Times New Roman"/>
          <w:color w:val="auto"/>
          <w:highlight w:val="none"/>
          <w:lang w:eastAsia="zh-CN"/>
        </w:rPr>
      </w:pPr>
      <w:r>
        <w:rPr>
          <w:rFonts w:hint="eastAsia" w:hAnsi="Times New Roman"/>
          <w:color w:val="auto"/>
          <w:highlight w:val="none"/>
          <w:lang w:eastAsia="zh-CN"/>
        </w:rPr>
        <w:t>（6）隧洞内的空气中除含有氨气、氧气、二氧化碳等成分外，还包括许多对人体有害的成分，如一氧化碳、二氧化氮、二氧化硫及粉尘、水蒸气等，有些地区还有甲烷。为了保证隧洞内施工人员的身体健康和机械设备的正常运行，必须保证隧洞内的空气质量，有毒、有害气体浓度不超过国家有关标准的要求，同时隧洞内温度、湿度保持在一个合理的水平。</w:t>
      </w:r>
    </w:p>
    <w:p w14:paraId="1FBEED27">
      <w:pPr>
        <w:ind w:firstLine="420"/>
        <w:jc w:val="left"/>
        <w:rPr>
          <w:rFonts w:hAnsi="Times New Roman"/>
          <w:color w:val="auto"/>
          <w:highlight w:val="none"/>
          <w:lang w:eastAsia="zh-CN"/>
        </w:rPr>
      </w:pPr>
      <w:r>
        <w:rPr>
          <w:rFonts w:hint="eastAsia" w:hAnsi="Times New Roman"/>
          <w:color w:val="auto"/>
          <w:highlight w:val="none"/>
          <w:lang w:eastAsia="zh-CN"/>
        </w:rPr>
        <w:t>1）施工过程中，洞内氧气按体积计算不少于20%，洞内平均温度不超过28℃，洞内有害气体和粉尘含量达到标准的规定，即一氧化碳≤</w:t>
      </w:r>
      <w:r>
        <w:rPr>
          <w:rFonts w:hAnsi="Times New Roman"/>
          <w:color w:val="auto"/>
          <w:highlight w:val="none"/>
          <w:lang w:eastAsia="zh-CN"/>
        </w:rPr>
        <w:t>30mg/m³</w:t>
      </w:r>
      <w:r>
        <w:rPr>
          <w:rFonts w:hint="eastAsia" w:hAnsi="Times New Roman"/>
          <w:color w:val="auto"/>
          <w:highlight w:val="none"/>
          <w:lang w:eastAsia="zh-CN"/>
        </w:rPr>
        <w:t>，二氧化硫≤</w:t>
      </w:r>
      <w:r>
        <w:rPr>
          <w:rFonts w:hAnsi="Times New Roman"/>
          <w:color w:val="auto"/>
          <w:highlight w:val="none"/>
          <w:lang w:eastAsia="zh-CN"/>
        </w:rPr>
        <w:t>15mg/m³</w:t>
      </w:r>
      <w:r>
        <w:rPr>
          <w:rFonts w:hint="eastAsia" w:hAnsi="Times New Roman"/>
          <w:color w:val="auto"/>
          <w:highlight w:val="none"/>
          <w:lang w:eastAsia="zh-CN"/>
        </w:rPr>
        <w:t>，粉尘浓度≤</w:t>
      </w:r>
      <w:r>
        <w:rPr>
          <w:rFonts w:hAnsi="Times New Roman"/>
          <w:color w:val="auto"/>
          <w:highlight w:val="none"/>
          <w:lang w:eastAsia="zh-CN"/>
        </w:rPr>
        <w:t>2g/m³</w:t>
      </w:r>
      <w:r>
        <w:rPr>
          <w:rFonts w:hint="eastAsia" w:hAnsi="Times New Roman"/>
          <w:color w:val="auto"/>
          <w:highlight w:val="none"/>
          <w:lang w:eastAsia="zh-CN"/>
        </w:rPr>
        <w:t>。隧洞内最低风速不低于0.5m/s。</w:t>
      </w:r>
    </w:p>
    <w:p w14:paraId="78CA99B7">
      <w:pPr>
        <w:ind w:firstLine="420"/>
        <w:jc w:val="left"/>
        <w:rPr>
          <w:rFonts w:hint="eastAsia" w:hAnsi="Times New Roman"/>
          <w:color w:val="auto"/>
          <w:highlight w:val="none"/>
          <w:lang w:eastAsia="zh-CN"/>
        </w:rPr>
      </w:pPr>
      <w:r>
        <w:rPr>
          <w:rFonts w:hint="eastAsia" w:hAnsi="Times New Roman"/>
          <w:color w:val="auto"/>
          <w:highlight w:val="none"/>
          <w:lang w:eastAsia="zh-CN"/>
        </w:rPr>
        <w:t>2）要加强环境监测，定期和不定期监测隧洞内空气的各种成分，发现有害气体浓度超标或通风系统达不到设计要求时，及时改进。当甲烷浓度超过规定标准时，发出报警信号，遇到有害气体严重超标、可能发生危险时，应及时停止施工，疏散人员。</w:t>
      </w:r>
    </w:p>
    <w:p w14:paraId="786C7CC4">
      <w:pPr>
        <w:pStyle w:val="4"/>
        <w:spacing w:beforeLines="0" w:afterLines="0"/>
        <w:jc w:val="both"/>
        <w:rPr>
          <w:rFonts w:hint="eastAsia" w:cs="宋体"/>
          <w:bCs/>
          <w:color w:val="auto"/>
          <w:szCs w:val="24"/>
          <w:highlight w:val="none"/>
          <w:lang w:eastAsia="zh-CN"/>
        </w:rPr>
      </w:pPr>
      <w:bookmarkStart w:id="1922" w:name="_Toc22831"/>
      <w:bookmarkStart w:id="1923" w:name="_Toc23188"/>
      <w:bookmarkStart w:id="1924" w:name="_Toc17341"/>
      <w:r>
        <w:rPr>
          <w:rFonts w:hint="eastAsia" w:cs="宋体"/>
          <w:bCs/>
          <w:color w:val="auto"/>
          <w:szCs w:val="24"/>
          <w:highlight w:val="none"/>
          <w:lang w:eastAsia="zh-CN"/>
        </w:rPr>
        <w:t>8.15　计量和支付</w:t>
      </w:r>
      <w:bookmarkEnd w:id="1922"/>
      <w:bookmarkEnd w:id="1923"/>
      <w:bookmarkEnd w:id="1924"/>
    </w:p>
    <w:p w14:paraId="60117521">
      <w:pPr>
        <w:suppressAutoHyphens/>
        <w:ind w:firstLine="420"/>
        <w:jc w:val="left"/>
        <w:rPr>
          <w:color w:val="auto"/>
          <w:highlight w:val="none"/>
          <w:lang w:eastAsia="zh-CN"/>
        </w:rPr>
      </w:pPr>
      <w:r>
        <w:rPr>
          <w:rFonts w:hint="eastAsia" w:hAnsi="Times New Roman" w:cs="宋体"/>
          <w:color w:val="auto"/>
          <w:highlight w:val="none"/>
          <w:lang w:eastAsia="zh-CN"/>
        </w:rPr>
        <w:t>（</w:t>
      </w:r>
      <w:r>
        <w:rPr>
          <w:rFonts w:hint="eastAsia" w:hAnsi="Times New Roman" w:cs="宋体"/>
          <w:color w:val="auto"/>
          <w:highlight w:val="none"/>
          <w:lang w:val="en-US" w:eastAsia="zh-CN"/>
        </w:rPr>
        <w:t>1</w:t>
      </w:r>
      <w:r>
        <w:rPr>
          <w:rFonts w:hint="eastAsia" w:hAnsi="Times New Roman" w:cs="宋体"/>
          <w:color w:val="auto"/>
          <w:highlight w:val="none"/>
          <w:lang w:eastAsia="zh-CN"/>
        </w:rPr>
        <w:t>）地下洞室开挖应按照本合同第8.</w:t>
      </w:r>
      <w:r>
        <w:rPr>
          <w:rFonts w:hAnsi="Times New Roman" w:cs="宋体"/>
          <w:color w:val="auto"/>
          <w:highlight w:val="none"/>
          <w:lang w:eastAsia="zh-CN"/>
        </w:rPr>
        <w:t>6.1</w:t>
      </w:r>
      <w:r>
        <w:rPr>
          <w:rFonts w:hint="eastAsia" w:hAnsi="Times New Roman" w:cs="宋体"/>
          <w:color w:val="auto"/>
          <w:highlight w:val="none"/>
          <w:lang w:eastAsia="zh-CN"/>
        </w:rPr>
        <w:t>条规定的支付线计量，即按开挖线所示轮廓尺寸计算的有效自然方体积以立方米为单位计量，由发包人按《工程量清单》相应项目有效工程量的每立方米工程单价支付。</w:t>
      </w:r>
    </w:p>
    <w:p w14:paraId="65ED248B">
      <w:pPr>
        <w:suppressAutoHyphens/>
        <w:ind w:firstLine="420"/>
        <w:jc w:val="left"/>
        <w:rPr>
          <w:color w:val="auto"/>
          <w:highlight w:val="none"/>
          <w:lang w:eastAsia="zh-CN"/>
        </w:rPr>
      </w:pPr>
      <w:r>
        <w:rPr>
          <w:rFonts w:hint="eastAsia"/>
          <w:color w:val="auto"/>
          <w:highlight w:val="none"/>
          <w:lang w:eastAsia="zh-CN"/>
        </w:rPr>
        <w:t>（2）由不可预见地质原因引起的超挖工程量（含塌方处理），以及相应增加的支护和回填工程量所发生的费用，由发包人按《工程量清单》相应项目或变更项目扣除开挖钻爆费用和混凝土模板费的工程单价支付。除此之外，其他因素引起的超挖工程量以及相应增加的支护和回填工程量所需的费用，均包含在《工程量清单》相应项目有效工程量的每立方米工程单价中，发包人不另行支付。</w:t>
      </w:r>
    </w:p>
    <w:p w14:paraId="122B8746">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承包人因自身施工布置和施工安全等需要开挖的排水集水井（坑）、临时排水沟、临时堆放洞室、施工设备安装间等及施工所需的人行踏步、防护栏杆、洞口防护棚、挡石栅栏等，其开挖、支护、混凝土回填至隧洞设计开挖断面及制安工程所需的费用，均包含在《工程量清单》相应项目有效工程量的每立方米工程单价中，发包人不另行支付。</w:t>
      </w:r>
    </w:p>
    <w:p w14:paraId="71681D20">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承包人在特殊不良地质洞段遭遇涉及施工安全的紧急情况时，应急处置的工程量，按监理人确认的非承包人责任的有效工程量计量，由发包人按《工程量清单》相应项目有效工程量的单价支付，《工程量清单》没有的项目，按变更相关规定进行处理。</w:t>
      </w:r>
    </w:p>
    <w:p w14:paraId="5FCBF02B">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）地下开挖所需的供水、照明和通风等所需的费用，均包含在《工程量清单》相应项目有效工程量的每立方米工程单价中，发包人不另行支付。</w:t>
      </w:r>
    </w:p>
    <w:p w14:paraId="21FEE106">
      <w:pPr>
        <w:suppressAutoHyphens/>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）隧洞排水</w:t>
      </w:r>
    </w:p>
    <w:p w14:paraId="7C4FAE0C">
      <w:pPr>
        <w:suppressAutoHyphens/>
        <w:ind w:firstLine="420"/>
        <w:jc w:val="left"/>
        <w:rPr>
          <w:color w:val="auto"/>
          <w:highlight w:val="none"/>
          <w:lang w:eastAsia="zh-CN"/>
        </w:rPr>
      </w:pPr>
      <w:r>
        <w:rPr>
          <w:rFonts w:hint="eastAsia"/>
          <w:color w:val="auto"/>
          <w:highlight w:val="none"/>
          <w:lang w:eastAsia="zh-CN"/>
        </w:rPr>
        <w:t>除超常规排水外，隧洞抽排水设备设施和日常排水的费用均</w:t>
      </w:r>
      <w:r>
        <w:rPr>
          <w:rFonts w:hint="eastAsia"/>
          <w:color w:val="auto"/>
          <w:highlight w:val="none"/>
          <w:lang w:val="en-US" w:eastAsia="zh-CN"/>
        </w:rPr>
        <w:t>已</w:t>
      </w:r>
      <w:r>
        <w:rPr>
          <w:rFonts w:hint="eastAsia"/>
          <w:color w:val="auto"/>
          <w:highlight w:val="none"/>
          <w:lang w:eastAsia="zh-CN"/>
        </w:rPr>
        <w:t>计入《</w:t>
      </w:r>
      <w:r>
        <w:rPr>
          <w:rFonts w:hint="eastAsia"/>
          <w:color w:val="auto"/>
          <w:highlight w:val="none"/>
          <w:lang w:val="en-US" w:eastAsia="zh-CN"/>
        </w:rPr>
        <w:t>措施项目清单》“施工导流工程（含度汛、降水、排水）”</w:t>
      </w:r>
      <w:r>
        <w:rPr>
          <w:rFonts w:hint="eastAsia"/>
          <w:color w:val="auto"/>
          <w:highlight w:val="none"/>
          <w:lang w:eastAsia="zh-CN"/>
        </w:rPr>
        <w:t>，</w:t>
      </w:r>
      <w:r>
        <w:rPr>
          <w:rFonts w:hint="eastAsia"/>
          <w:color w:val="auto"/>
          <w:highlight w:val="none"/>
          <w:lang w:val="en-US" w:eastAsia="zh-CN"/>
        </w:rPr>
        <w:t>由</w:t>
      </w:r>
      <w:r>
        <w:rPr>
          <w:rFonts w:hint="eastAsia"/>
          <w:color w:val="auto"/>
          <w:highlight w:val="none"/>
          <w:lang w:eastAsia="zh-CN"/>
        </w:rPr>
        <w:t>发包人</w:t>
      </w:r>
      <w:r>
        <w:rPr>
          <w:rFonts w:hint="eastAsia"/>
          <w:color w:val="auto"/>
          <w:highlight w:val="none"/>
          <w:lang w:val="en-US" w:eastAsia="zh-CN"/>
        </w:rPr>
        <w:t>按总价</w:t>
      </w:r>
      <w:r>
        <w:rPr>
          <w:rFonts w:hint="eastAsia"/>
          <w:color w:val="auto"/>
          <w:highlight w:val="none"/>
          <w:lang w:eastAsia="zh-CN"/>
        </w:rPr>
        <w:t>支付。</w:t>
      </w:r>
    </w:p>
    <w:p w14:paraId="3BB1D9A2">
      <w:pPr>
        <w:suppressAutoHyphens/>
        <w:ind w:firstLine="420"/>
        <w:jc w:val="left"/>
        <w:rPr>
          <w:color w:val="auto"/>
          <w:highlight w:val="none"/>
          <w:lang w:eastAsia="zh-CN"/>
        </w:rPr>
      </w:pPr>
      <w:r>
        <w:rPr>
          <w:rFonts w:hint="eastAsia"/>
          <w:color w:val="auto"/>
          <w:highlight w:val="none"/>
          <w:lang w:eastAsia="zh-CN"/>
        </w:rPr>
        <w:t>超常规排水由发包人按《工程量清单》“隧洞排水”项目实际抽排水的每立方米工程单价支付。超常规排水指隧洞涌水量超过</w:t>
      </w:r>
      <w:r>
        <w:rPr>
          <w:rFonts w:hint="eastAsia"/>
          <w:color w:val="auto"/>
          <w:highlight w:val="none"/>
          <w:lang w:val="en-US" w:eastAsia="zh-CN"/>
        </w:rPr>
        <w:t>50</w:t>
      </w:r>
      <w:r>
        <w:rPr>
          <w:color w:val="auto"/>
          <w:highlight w:val="none"/>
          <w:lang w:eastAsia="zh-CN"/>
        </w:rPr>
        <w:t>0</w:t>
      </w:r>
      <w:r>
        <w:rPr>
          <w:rFonts w:hint="eastAsia"/>
          <w:color w:val="auto"/>
          <w:highlight w:val="none"/>
          <w:lang w:val="en-US" w:eastAsia="zh-CN"/>
        </w:rPr>
        <w:t>m</w:t>
      </w:r>
      <w:r>
        <w:rPr>
          <w:rFonts w:hint="eastAsia"/>
          <w:color w:val="auto"/>
          <w:highlight w:val="none"/>
          <w:vertAlign w:val="superscript"/>
          <w:lang w:val="en-US" w:eastAsia="zh-CN"/>
        </w:rPr>
        <w:t>3</w:t>
      </w:r>
      <w:r>
        <w:rPr>
          <w:color w:val="auto"/>
          <w:highlight w:val="none"/>
          <w:lang w:eastAsia="zh-CN"/>
        </w:rPr>
        <w:t>/</w:t>
      </w:r>
      <w:r>
        <w:rPr>
          <w:rFonts w:hint="eastAsia"/>
          <w:color w:val="auto"/>
          <w:highlight w:val="none"/>
          <w:lang w:val="en-US" w:eastAsia="zh-CN"/>
        </w:rPr>
        <w:t>天</w:t>
      </w:r>
      <w:r>
        <w:rPr>
          <w:rFonts w:hint="eastAsia"/>
          <w:color w:val="auto"/>
          <w:highlight w:val="none"/>
          <w:lang w:eastAsia="zh-CN"/>
        </w:rPr>
        <w:t>，应由发包人、设计单位、监理单位、承包人各方共同确定为超常规排水，</w:t>
      </w:r>
      <w:r>
        <w:rPr>
          <w:rFonts w:hint="eastAsia"/>
          <w:color w:val="auto"/>
          <w:highlight w:val="none"/>
          <w:lang w:val="en-US" w:eastAsia="zh-CN"/>
        </w:rPr>
        <w:t>相关费用按合同第15.4款计量计价</w:t>
      </w:r>
      <w:r>
        <w:rPr>
          <w:rFonts w:hint="eastAsia"/>
          <w:color w:val="auto"/>
          <w:highlight w:val="none"/>
          <w:lang w:eastAsia="zh-CN"/>
        </w:rPr>
        <w:t>。</w:t>
      </w:r>
    </w:p>
    <w:p w14:paraId="767147B6">
      <w:pPr>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7</w:t>
      </w:r>
      <w:r>
        <w:rPr>
          <w:rFonts w:hint="eastAsia"/>
          <w:color w:val="auto"/>
          <w:highlight w:val="none"/>
          <w:lang w:eastAsia="zh-CN"/>
        </w:rPr>
        <w:t>）施工期临时安全监测相关费用包含在开挖单价中，发包人不另行支付。</w:t>
      </w:r>
    </w:p>
    <w:p w14:paraId="3E13052C">
      <w:pPr>
        <w:ind w:firstLine="420"/>
        <w:jc w:val="left"/>
        <w:rPr>
          <w:rFonts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8</w:t>
      </w:r>
      <w:r>
        <w:rPr>
          <w:rFonts w:cs="宋体"/>
          <w:color w:val="auto"/>
          <w:highlight w:val="none"/>
          <w:lang w:eastAsia="zh-CN"/>
        </w:rPr>
        <w:t>）地下洞室开挖不区分岩石级别，按综合类考虑，不因岩石级别调整石方洞挖单价。</w:t>
      </w:r>
    </w:p>
    <w:p w14:paraId="1C06A965">
      <w:pPr>
        <w:ind w:firstLine="420"/>
        <w:jc w:val="left"/>
        <w:rPr>
          <w:rFonts w:ascii="宋体" w:hAnsi="Times New Roman" w:eastAsia="宋体" w:cs="宋体"/>
          <w:color w:val="auto"/>
          <w:highlight w:val="none"/>
          <w:lang w:eastAsia="zh-CN"/>
        </w:rPr>
      </w:pPr>
      <w:r>
        <w:rPr>
          <w:rFonts w:hint="eastAsia" w:ascii="宋体" w:hAnsi="Times New Roman" w:eastAsia="宋体" w:cs="宋体"/>
          <w:color w:val="auto"/>
          <w:highlight w:val="none"/>
          <w:lang w:eastAsia="zh-CN"/>
        </w:rPr>
        <w:t>（</w:t>
      </w:r>
      <w:r>
        <w:rPr>
          <w:rFonts w:hint="eastAsia" w:hAnsi="Times New Roman" w:cs="宋体"/>
          <w:color w:val="auto"/>
          <w:highlight w:val="none"/>
          <w:lang w:val="en-US" w:eastAsia="zh-CN"/>
        </w:rPr>
        <w:t>9</w:t>
      </w:r>
      <w:r>
        <w:rPr>
          <w:rFonts w:hint="eastAsia" w:ascii="宋体" w:hAnsi="Times New Roman" w:eastAsia="宋体" w:cs="宋体"/>
          <w:color w:val="auto"/>
          <w:highlight w:val="none"/>
          <w:lang w:eastAsia="zh-CN"/>
        </w:rPr>
        <w:t>）由于预留变形量产生的开挖、支护、衬砌等所需的一切费用包含在相应项目的单价中，发包人不另行支付。</w:t>
      </w:r>
    </w:p>
    <w:p w14:paraId="3EEFC1F3">
      <w:pPr>
        <w:ind w:firstLine="420"/>
        <w:jc w:val="left"/>
        <w:rPr>
          <w:rFonts w:ascii="宋体" w:hAnsi="Times New Roman" w:eastAsia="宋体" w:cs="宋体"/>
          <w:color w:val="auto"/>
          <w:highlight w:val="none"/>
          <w:lang w:eastAsia="zh-CN"/>
        </w:rPr>
      </w:pPr>
      <w:r>
        <w:rPr>
          <w:rFonts w:hint="eastAsia" w:ascii="宋体" w:hAnsi="Times New Roman" w:eastAsia="宋体" w:cs="宋体"/>
          <w:color w:val="auto"/>
          <w:highlight w:val="none"/>
          <w:lang w:eastAsia="zh-CN"/>
        </w:rPr>
        <w:t>（</w:t>
      </w:r>
      <w:r>
        <w:rPr>
          <w:rFonts w:hint="eastAsia" w:hAnsi="Times New Roman" w:cs="宋体"/>
          <w:color w:val="auto"/>
          <w:highlight w:val="none"/>
          <w:lang w:val="en-US" w:eastAsia="zh-CN"/>
        </w:rPr>
        <w:t>10</w:t>
      </w:r>
      <w:r>
        <w:rPr>
          <w:rFonts w:hint="eastAsia" w:ascii="宋体" w:hAnsi="Times New Roman" w:eastAsia="宋体" w:cs="宋体"/>
          <w:color w:val="auto"/>
          <w:highlight w:val="none"/>
          <w:lang w:eastAsia="zh-CN"/>
        </w:rPr>
        <w:t>）除设计需要处理的地质缺陷外，洞室底板的超挖、超填不予计量与支付。</w:t>
      </w:r>
    </w:p>
    <w:p w14:paraId="14C260D9">
      <w:pPr>
        <w:ind w:firstLine="420"/>
        <w:jc w:val="left"/>
        <w:rPr>
          <w:rFonts w:ascii="宋体" w:hAnsi="Times New Roman" w:eastAsia="宋体" w:cs="宋体"/>
          <w:color w:val="auto"/>
          <w:highlight w:val="none"/>
          <w:lang w:eastAsia="zh-CN"/>
        </w:rPr>
      </w:pPr>
      <w:r>
        <w:rPr>
          <w:rFonts w:hint="eastAsia" w:ascii="宋体" w:hAnsi="Times New Roman" w:eastAsia="宋体" w:cs="宋体"/>
          <w:color w:val="auto"/>
          <w:highlight w:val="none"/>
          <w:lang w:eastAsia="zh-CN"/>
        </w:rPr>
        <w:t>（</w:t>
      </w:r>
      <w:r>
        <w:rPr>
          <w:rFonts w:hint="eastAsia" w:hAnsi="Times New Roman" w:cs="宋体"/>
          <w:color w:val="auto"/>
          <w:highlight w:val="none"/>
          <w:lang w:val="en-US" w:eastAsia="zh-CN"/>
        </w:rPr>
        <w:t>11</w:t>
      </w:r>
      <w:r>
        <w:rPr>
          <w:rFonts w:hint="eastAsia" w:ascii="宋体" w:hAnsi="Times New Roman" w:eastAsia="宋体" w:cs="宋体"/>
          <w:color w:val="auto"/>
          <w:highlight w:val="none"/>
          <w:lang w:eastAsia="zh-CN"/>
        </w:rPr>
        <w:t>）由于非承包人原因修改设计开挖轮廓尺寸，并需要进行二次扩挖时，其扩挖工程量按本技术条款第8.7节所述的方法计量，由发包人按《工程量清单》相应项目或变更项目的每立方米工程单价支付。</w:t>
      </w:r>
    </w:p>
    <w:p w14:paraId="33FE5B16">
      <w:pPr>
        <w:suppressAutoHyphens/>
        <w:ind w:firstLine="420"/>
        <w:jc w:val="left"/>
        <w:rPr>
          <w:rFonts w:ascii="宋体" w:hAnsi="宋体" w:eastAsia="宋体"/>
          <w:color w:val="auto"/>
          <w:highlight w:val="none"/>
          <w:lang w:eastAsia="zh-CN"/>
        </w:rPr>
      </w:pPr>
      <w:r>
        <w:rPr>
          <w:rFonts w:hint="eastAsia" w:ascii="宋体" w:hAnsi="宋体" w:eastAsia="宋体"/>
          <w:color w:val="auto"/>
          <w:highlight w:val="none"/>
          <w:lang w:eastAsia="zh-CN"/>
        </w:rPr>
        <w:t>（</w:t>
      </w:r>
      <w:r>
        <w:rPr>
          <w:rFonts w:hint="eastAsia"/>
          <w:color w:val="auto"/>
          <w:highlight w:val="none"/>
          <w:lang w:val="en-US" w:eastAsia="zh-CN"/>
        </w:rPr>
        <w:t>12</w:t>
      </w:r>
      <w:r>
        <w:rPr>
          <w:rFonts w:hint="eastAsia" w:ascii="宋体" w:hAnsi="宋体" w:eastAsia="宋体"/>
          <w:color w:val="auto"/>
          <w:highlight w:val="none"/>
          <w:lang w:eastAsia="zh-CN"/>
        </w:rPr>
        <w:t>）直接利用开挖料作为混凝土骨料或填筑料的原料时，原料进入骨料加工系统进料仓或填筑工作面以前的开挖运输费用，不计入混凝土骨料的原料或填筑料的开采运输费用中。</w:t>
      </w:r>
    </w:p>
    <w:p w14:paraId="3B68E0A1">
      <w:pPr>
        <w:ind w:firstLine="420"/>
        <w:jc w:val="left"/>
        <w:rPr>
          <w:rFonts w:ascii="宋体" w:hAnsi="Times New Roman" w:eastAsia="宋体"/>
          <w:color w:val="auto"/>
          <w:highlight w:val="none"/>
          <w:lang w:eastAsia="zh-CN"/>
        </w:rPr>
      </w:pPr>
      <w:r>
        <w:rPr>
          <w:rFonts w:hint="eastAsia" w:ascii="宋体" w:hAnsi="Times New Roman" w:eastAsia="宋体" w:cs="宋体"/>
          <w:color w:val="auto"/>
          <w:highlight w:val="none"/>
          <w:lang w:eastAsia="zh-CN"/>
        </w:rPr>
        <w:t>（</w:t>
      </w:r>
      <w:r>
        <w:rPr>
          <w:rFonts w:ascii="宋体" w:hAnsi="Times New Roman" w:eastAsia="宋体"/>
          <w:color w:val="auto"/>
          <w:highlight w:val="none"/>
          <w:lang w:eastAsia="zh-CN"/>
        </w:rPr>
        <w:t>1</w:t>
      </w:r>
      <w:r>
        <w:rPr>
          <w:rFonts w:hint="eastAsia" w:hAnsi="Times New Roman"/>
          <w:color w:val="auto"/>
          <w:highlight w:val="none"/>
          <w:lang w:val="en-US" w:eastAsia="zh-CN"/>
        </w:rPr>
        <w:t>3</w:t>
      </w:r>
      <w:r>
        <w:rPr>
          <w:rFonts w:hint="eastAsia" w:ascii="宋体" w:hAnsi="Times New Roman" w:eastAsia="宋体" w:cs="宋体"/>
          <w:color w:val="auto"/>
          <w:highlight w:val="none"/>
          <w:lang w:eastAsia="zh-CN"/>
        </w:rPr>
        <w:t>）地质编录、测绘、取样与试验、围岩类别判断、常规及超前地质预报作业以及配合第三方超前地质预报的一切工作不单独计量支付，其费用已包含在隧洞开挖单价中，发包人不另行支付。</w:t>
      </w:r>
    </w:p>
    <w:p w14:paraId="7A40B63A">
      <w:pPr>
        <w:ind w:firstLine="420"/>
        <w:jc w:val="left"/>
        <w:rPr>
          <w:rFonts w:ascii="宋体" w:hAnsi="Times New Roman" w:eastAsia="宋体"/>
          <w:color w:val="auto"/>
          <w:highlight w:val="none"/>
          <w:lang w:eastAsia="zh-CN"/>
        </w:rPr>
      </w:pPr>
      <w:r>
        <w:rPr>
          <w:rFonts w:hint="eastAsia" w:ascii="宋体" w:hAnsi="Times New Roman" w:eastAsia="宋体" w:cs="宋体"/>
          <w:color w:val="auto"/>
          <w:highlight w:val="none"/>
          <w:lang w:eastAsia="zh-CN"/>
        </w:rPr>
        <w:t>（</w:t>
      </w:r>
      <w:r>
        <w:rPr>
          <w:rFonts w:hint="eastAsia" w:hAnsi="Times New Roman" w:cs="宋体"/>
          <w:color w:val="auto"/>
          <w:highlight w:val="none"/>
          <w:lang w:val="en-US" w:eastAsia="zh-CN"/>
        </w:rPr>
        <w:t>14</w:t>
      </w:r>
      <w:r>
        <w:rPr>
          <w:rFonts w:hint="eastAsia" w:ascii="宋体" w:hAnsi="Times New Roman" w:eastAsia="宋体" w:cs="宋体"/>
          <w:color w:val="auto"/>
          <w:highlight w:val="none"/>
          <w:lang w:eastAsia="zh-CN"/>
        </w:rPr>
        <w:t>）承包人因超前地质预报以及配合第三方超前地质预报而影响开挖作业的时间不予补偿。</w:t>
      </w:r>
    </w:p>
    <w:p w14:paraId="63D29BD5">
      <w:pPr>
        <w:pStyle w:val="3"/>
        <w:spacing w:beforeLines="0" w:afterLines="0" w:line="360" w:lineRule="auto"/>
        <w:jc w:val="both"/>
        <w:outlineLvl w:val="1"/>
        <w:rPr>
          <w:rFonts w:hint="eastAsia" w:cs="宋体"/>
          <w:color w:val="auto"/>
          <w:szCs w:val="30"/>
          <w:highlight w:val="none"/>
        </w:rPr>
      </w:pPr>
      <w:bookmarkStart w:id="1925" w:name="_Toc15046"/>
      <w:bookmarkStart w:id="1926" w:name="_Toc17462"/>
      <w:bookmarkStart w:id="1927" w:name="_Toc13450"/>
      <w:bookmarkStart w:id="1928" w:name="_Toc19900"/>
      <w:bookmarkStart w:id="1929" w:name="_Toc17471"/>
      <w:bookmarkStart w:id="1930" w:name="_Toc21760"/>
      <w:bookmarkStart w:id="1931" w:name="_Toc9937"/>
      <w:bookmarkStart w:id="1932" w:name="_Toc28081"/>
      <w:bookmarkStart w:id="1933" w:name="_Toc27966"/>
      <w:bookmarkStart w:id="1934" w:name="_Toc30176"/>
      <w:bookmarkStart w:id="1935" w:name="_Toc11113"/>
      <w:bookmarkStart w:id="1936" w:name="_Toc30340"/>
      <w:bookmarkStart w:id="1937" w:name="_Toc1406"/>
      <w:bookmarkStart w:id="1938" w:name="_Toc2297"/>
      <w:bookmarkStart w:id="1939" w:name="_Toc26227"/>
      <w:r>
        <w:rPr>
          <w:rFonts w:hint="eastAsia" w:cs="宋体"/>
          <w:color w:val="auto"/>
          <w:szCs w:val="30"/>
          <w:highlight w:val="none"/>
        </w:rPr>
        <w:t>9</w:t>
      </w:r>
      <w:r>
        <w:rPr>
          <w:rFonts w:hint="eastAsia" w:cs="宋体"/>
          <w:color w:val="auto"/>
          <w:szCs w:val="30"/>
          <w:highlight w:val="none"/>
          <w:lang w:eastAsia="zh-CN"/>
        </w:rPr>
        <w:t>　</w:t>
      </w:r>
      <w:r>
        <w:rPr>
          <w:rFonts w:hint="eastAsia" w:cs="宋体"/>
          <w:color w:val="auto"/>
          <w:szCs w:val="30"/>
          <w:highlight w:val="none"/>
        </w:rPr>
        <w:t>支护工程</w:t>
      </w:r>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p>
    <w:p w14:paraId="55B51A41">
      <w:pPr>
        <w:pStyle w:val="4"/>
        <w:spacing w:beforeLines="0" w:afterLines="0"/>
        <w:jc w:val="both"/>
        <w:rPr>
          <w:rFonts w:hint="eastAsia" w:cs="宋体"/>
          <w:bCs/>
          <w:color w:val="auto"/>
          <w:szCs w:val="24"/>
          <w:highlight w:val="none"/>
          <w:lang w:eastAsia="zh-CN"/>
        </w:rPr>
      </w:pPr>
      <w:bookmarkStart w:id="1940" w:name="_Toc23701"/>
      <w:bookmarkStart w:id="1941" w:name="_Toc30042"/>
      <w:bookmarkStart w:id="1942" w:name="_Toc18905"/>
      <w:r>
        <w:rPr>
          <w:rFonts w:hint="eastAsia" w:cs="宋体"/>
          <w:bCs/>
          <w:color w:val="auto"/>
          <w:szCs w:val="24"/>
          <w:highlight w:val="none"/>
          <w:lang w:eastAsia="zh-CN"/>
        </w:rPr>
        <w:t>9.1　一般规定</w:t>
      </w:r>
      <w:bookmarkEnd w:id="1940"/>
      <w:bookmarkEnd w:id="1941"/>
      <w:bookmarkEnd w:id="1942"/>
    </w:p>
    <w:p w14:paraId="1375E63F">
      <w:pPr>
        <w:pStyle w:val="5"/>
        <w:jc w:val="left"/>
        <w:rPr>
          <w:rFonts w:hAnsi="Times New Roman" w:cs="楷体"/>
          <w:color w:val="auto"/>
          <w:highlight w:val="none"/>
          <w:lang w:eastAsia="zh-CN"/>
        </w:rPr>
      </w:pPr>
      <w:r>
        <w:rPr>
          <w:rFonts w:hAnsi="Times New Roman" w:cs="Times New Roman"/>
          <w:color w:val="auto"/>
          <w:highlight w:val="none"/>
          <w:lang w:eastAsia="zh-CN"/>
        </w:rPr>
        <w:t>9.1.1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59C488B8">
      <w:pPr>
        <w:ind w:firstLine="420"/>
        <w:jc w:val="left"/>
        <w:rPr>
          <w:rFonts w:hAnsi="Times New Roman" w:cs="宋体"/>
          <w:color w:val="auto"/>
          <w:highlight w:val="none"/>
          <w:lang w:eastAsia="zh-CN"/>
        </w:rPr>
      </w:pPr>
      <w:r>
        <w:rPr>
          <w:rFonts w:cs="宋体"/>
          <w:color w:val="auto"/>
          <w:highlight w:val="none"/>
          <w:lang w:eastAsia="zh-CN"/>
        </w:rPr>
        <w:t>本章规定适用于本合同施工图纸所示的各类边坡工程和地下洞室开挖后的围岩永久支护及临时支护。</w:t>
      </w:r>
      <w:r>
        <w:rPr>
          <w:rFonts w:hint="eastAsia"/>
          <w:color w:val="auto"/>
          <w:highlight w:val="none"/>
          <w:lang w:eastAsia="zh-CN"/>
        </w:rPr>
        <w:t>包括输水隧洞、施工支洞、施工辅助洞室、料场及弃渣场边坡、水土保持支护，以及施工道路、施工供电、施工附属企业、施工场地与营地等项目的支护工程，还包括监理人指定的其他支护工程。</w:t>
      </w:r>
      <w:r>
        <w:rPr>
          <w:rFonts w:cs="宋体"/>
          <w:color w:val="auto"/>
          <w:highlight w:val="none"/>
          <w:lang w:eastAsia="zh-CN"/>
        </w:rPr>
        <w:t>其主要支护结构类型包括锚杆、喷射混凝土、抗滑桩、锚固洞、挡墙、护壁、护坡、护网、钢支撑、管棚等用于边坡和地下洞室的支护和支挡结构。</w:t>
      </w:r>
    </w:p>
    <w:p w14:paraId="410A4061">
      <w:pPr>
        <w:pStyle w:val="5"/>
        <w:jc w:val="left"/>
        <w:rPr>
          <w:rFonts w:hAnsi="Times New Roman" w:cs="楷体"/>
          <w:color w:val="auto"/>
          <w:highlight w:val="none"/>
          <w:lang w:eastAsia="zh-CN"/>
        </w:rPr>
      </w:pPr>
      <w:r>
        <w:rPr>
          <w:rFonts w:hAnsi="Times New Roman" w:cs="Times New Roman"/>
          <w:color w:val="auto"/>
          <w:highlight w:val="none"/>
          <w:lang w:eastAsia="zh-CN"/>
        </w:rPr>
        <w:t>9.1.2</w:t>
      </w:r>
      <w:r>
        <w:rPr>
          <w:rFonts w:hint="eastAsia" w:hAnsi="Times New Roman" w:cs="Times New Roman"/>
          <w:color w:val="auto"/>
          <w:highlight w:val="none"/>
          <w:lang w:eastAsia="zh-CN"/>
        </w:rPr>
        <w:t>　</w:t>
      </w:r>
      <w:r>
        <w:rPr>
          <w:rFonts w:hAnsi="楷体" w:cs="楷体"/>
          <w:color w:val="auto"/>
          <w:highlight w:val="none"/>
          <w:lang w:eastAsia="zh-CN"/>
        </w:rPr>
        <w:t>承包人的责任</w:t>
      </w:r>
    </w:p>
    <w:p w14:paraId="06A64A2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）承包人应按施工图纸和监理人指示，及时进行本工程项目的边坡和地下洞室围岩的支护</w:t>
      </w:r>
      <w:r>
        <w:rPr>
          <w:rFonts w:hint="eastAsia"/>
          <w:color w:val="auto"/>
          <w:highlight w:val="none"/>
          <w:lang w:eastAsia="zh-CN"/>
        </w:rPr>
        <w:t>。若承包人未按本合同规定及时支护，由此引起边坡或地下洞室发生坍塌，承包人应承担安全责任及经济责任</w:t>
      </w:r>
      <w:r>
        <w:rPr>
          <w:rFonts w:cs="宋体"/>
          <w:color w:val="auto"/>
          <w:highlight w:val="none"/>
          <w:lang w:eastAsia="zh-CN"/>
        </w:rPr>
        <w:t>。</w:t>
      </w:r>
    </w:p>
    <w:p w14:paraId="66C2A2F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）在地下开挖和支护过程中，承包人应按监理人批准的围岩稳定监测措施，对洞室围岩和边坡进行变形监测</w:t>
      </w:r>
      <w:r>
        <w:rPr>
          <w:rFonts w:hint="eastAsia"/>
          <w:color w:val="auto"/>
          <w:highlight w:val="none"/>
          <w:lang w:eastAsia="zh-CN"/>
        </w:rPr>
        <w:t>。承包人还应根据检查情况，随时分析洞室围岩和边坡的稳定性，遇有可能发生坍塌的危险情况时，应采取紧急措施，及时进行支护</w:t>
      </w:r>
      <w:r>
        <w:rPr>
          <w:rFonts w:cs="宋体"/>
          <w:color w:val="auto"/>
          <w:highlight w:val="none"/>
          <w:lang w:eastAsia="zh-CN"/>
        </w:rPr>
        <w:t>。</w:t>
      </w:r>
    </w:p>
    <w:p w14:paraId="130B680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）承包人应在开挖工程现场储备一定数量的锚杆、钢支撑、喷射混凝土等的材料、配件和有关设备，以备遇有可能发生坍塌的危险情况时，及时采取紧急支护措施。</w:t>
      </w:r>
    </w:p>
    <w:p w14:paraId="4BD35D42">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）承包人应对支护结构的施工安全负责。承包人应按本技术条款的规定做好边坡稳定的安全保护工作，防止边坡整体失稳以及支护结构破坏危及人员安全。</w:t>
      </w:r>
    </w:p>
    <w:p w14:paraId="11CF15E5">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）在边坡支护结构施工期间，承包人应按监理人批准的边坡安全监测方案，对支护结构和边坡周边地面进行内力、变形监测，并根据监测成果，及时调整开挖方法和支护措施，以保证施工安全。</w:t>
      </w:r>
    </w:p>
    <w:p w14:paraId="046DB204">
      <w:pPr>
        <w:pStyle w:val="5"/>
        <w:jc w:val="left"/>
        <w:rPr>
          <w:rFonts w:hAnsi="Times New Roman" w:cs="楷体"/>
          <w:color w:val="auto"/>
          <w:highlight w:val="none"/>
          <w:lang w:eastAsia="zh-CN"/>
        </w:rPr>
      </w:pPr>
      <w:r>
        <w:rPr>
          <w:rFonts w:hAnsi="Times New Roman" w:cs="Times New Roman"/>
          <w:color w:val="auto"/>
          <w:highlight w:val="none"/>
          <w:lang w:eastAsia="zh-CN"/>
        </w:rPr>
        <w:t>9.1.3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0E27677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）施工措施计划</w:t>
      </w:r>
    </w:p>
    <w:p w14:paraId="66F3FAE1">
      <w:pPr>
        <w:ind w:firstLine="420"/>
        <w:jc w:val="left"/>
        <w:rPr>
          <w:rFonts w:hAnsi="Times New Roman" w:cs="宋体"/>
          <w:color w:val="auto"/>
          <w:highlight w:val="none"/>
          <w:lang w:eastAsia="zh-CN"/>
        </w:rPr>
      </w:pPr>
      <w:r>
        <w:rPr>
          <w:rFonts w:cs="宋体"/>
          <w:color w:val="auto"/>
          <w:highlight w:val="none"/>
          <w:lang w:eastAsia="zh-CN"/>
        </w:rPr>
        <w:t>承包人在提交地下洞室和边坡开挖工程施工措施计划的同时，应根据施工图纸和监理人指示，编制支护工程的施工措施计划，提交监理人批准，其内容包括：</w:t>
      </w:r>
    </w:p>
    <w:p w14:paraId="17FB9998">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）支护工程范围及其支护方案选择。</w:t>
      </w:r>
    </w:p>
    <w:p w14:paraId="081A8298">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）工程地质资料和数据。</w:t>
      </w:r>
    </w:p>
    <w:p w14:paraId="30C29243">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）支护结构型式和细部设计。</w:t>
      </w:r>
    </w:p>
    <w:p w14:paraId="646B91F3">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）支护用的施工设备清单。</w:t>
      </w:r>
    </w:p>
    <w:p w14:paraId="58B2B4B3">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）各项支护材料试验成果。</w:t>
      </w:r>
    </w:p>
    <w:p w14:paraId="4AB3F23F">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）边坡和地下洞室的围岩稳定监测方法。</w:t>
      </w:r>
    </w:p>
    <w:p w14:paraId="79BC5B00">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）质量和安全保证措施。</w:t>
      </w:r>
    </w:p>
    <w:p w14:paraId="36D4673F">
      <w:pPr>
        <w:ind w:firstLine="420"/>
        <w:jc w:val="left"/>
        <w:rPr>
          <w:rFonts w:hAnsi="Times New Roman"/>
          <w:color w:val="auto"/>
          <w:highlight w:val="none"/>
          <w:lang w:eastAsia="zh-CN"/>
        </w:rPr>
      </w:pPr>
      <w:r>
        <w:rPr>
          <w:rFonts w:hAnsi="Times New Roman"/>
          <w:color w:val="auto"/>
          <w:highlight w:val="none"/>
          <w:lang w:eastAsia="zh-CN"/>
        </w:rPr>
        <w:t>8</w:t>
      </w:r>
      <w:r>
        <w:rPr>
          <w:rFonts w:hint="eastAsia"/>
          <w:color w:val="auto"/>
          <w:highlight w:val="none"/>
          <w:lang w:eastAsia="zh-CN"/>
        </w:rPr>
        <w:t>）监测措施及应急抢险预案。</w:t>
      </w:r>
    </w:p>
    <w:p w14:paraId="3767D829">
      <w:pPr>
        <w:ind w:firstLine="420"/>
        <w:jc w:val="left"/>
        <w:rPr>
          <w:color w:val="auto"/>
          <w:highlight w:val="none"/>
          <w:lang w:eastAsia="zh-CN"/>
        </w:rPr>
      </w:pPr>
      <w:r>
        <w:rPr>
          <w:rFonts w:hint="eastAsia"/>
          <w:color w:val="auto"/>
          <w:highlight w:val="none"/>
          <w:lang w:eastAsia="zh-CN"/>
        </w:rPr>
        <w:t>监理人在收到施工措施计划</w:t>
      </w:r>
      <w:r>
        <w:rPr>
          <w:rFonts w:hAnsi="Times New Roman"/>
          <w:color w:val="auto"/>
          <w:highlight w:val="none"/>
          <w:lang w:eastAsia="zh-CN"/>
        </w:rPr>
        <w:t>14</w:t>
      </w:r>
      <w:r>
        <w:rPr>
          <w:rFonts w:hint="eastAsia"/>
          <w:color w:val="auto"/>
          <w:highlight w:val="none"/>
          <w:lang w:eastAsia="zh-CN"/>
        </w:rPr>
        <w:t>天内批复承包人，施工措施计划的批准并不减轻承包人对支护工程应负的责任。</w:t>
      </w:r>
    </w:p>
    <w:p w14:paraId="330AFE5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）施工记录和质量报表</w:t>
      </w:r>
    </w:p>
    <w:p w14:paraId="3A13044D">
      <w:pPr>
        <w:ind w:firstLine="420"/>
        <w:jc w:val="left"/>
        <w:rPr>
          <w:rFonts w:hAnsi="Times New Roman" w:cs="宋体"/>
          <w:color w:val="auto"/>
          <w:highlight w:val="none"/>
          <w:lang w:eastAsia="zh-CN"/>
        </w:rPr>
      </w:pPr>
      <w:r>
        <w:rPr>
          <w:rFonts w:cs="宋体"/>
          <w:color w:val="auto"/>
          <w:highlight w:val="none"/>
          <w:lang w:eastAsia="zh-CN"/>
        </w:rPr>
        <w:t>承包人应为监理人进行质量检查提交各项工程的施工记录报表，其内容包括：</w:t>
      </w:r>
    </w:p>
    <w:p w14:paraId="723EE14D">
      <w:pPr>
        <w:ind w:firstLine="420"/>
        <w:jc w:val="left"/>
        <w:rPr>
          <w:rFonts w:hAnsi="Times New Roman" w:cs="宋体"/>
          <w:color w:val="auto"/>
          <w:highlight w:val="none"/>
          <w:lang w:eastAsia="zh-CN"/>
        </w:rPr>
      </w:pPr>
      <w:r>
        <w:rPr>
          <w:rFonts w:hAnsi="Times New Roman" w:cs="Times New Roman"/>
          <w:color w:val="auto"/>
          <w:highlight w:val="none"/>
          <w:lang w:eastAsia="zh-CN"/>
        </w:rPr>
        <w:t>l</w:t>
      </w:r>
      <w:r>
        <w:rPr>
          <w:rFonts w:cs="宋体"/>
          <w:color w:val="auto"/>
          <w:highlight w:val="none"/>
          <w:lang w:eastAsia="zh-CN"/>
        </w:rPr>
        <w:t>）岩石锚杆、预应力岩锚和喷射混凝土等的支护时间和完成工程量统计。</w:t>
      </w:r>
    </w:p>
    <w:p w14:paraId="0456CF78">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）材料试验成果。</w:t>
      </w:r>
    </w:p>
    <w:p w14:paraId="7D1AC9DF">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）质量检查和检测记录。</w:t>
      </w:r>
    </w:p>
    <w:p w14:paraId="7293E215">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）质量事故处理记录。</w:t>
      </w:r>
    </w:p>
    <w:p w14:paraId="3D1BC3F9">
      <w:pPr>
        <w:pStyle w:val="5"/>
        <w:jc w:val="left"/>
        <w:rPr>
          <w:rFonts w:hAnsi="Times New Roman" w:cs="楷体"/>
          <w:color w:val="auto"/>
          <w:highlight w:val="none"/>
          <w:lang w:eastAsia="zh-CN"/>
        </w:rPr>
      </w:pPr>
      <w:r>
        <w:rPr>
          <w:rFonts w:hAnsi="Times New Roman" w:cs="Times New Roman"/>
          <w:color w:val="auto"/>
          <w:highlight w:val="none"/>
          <w:lang w:eastAsia="zh-CN"/>
        </w:rPr>
        <w:t>9.1.4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18E02E41">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1</w:t>
      </w:r>
      <w:r>
        <w:rPr>
          <w:rFonts w:cs="宋体"/>
          <w:color w:val="auto"/>
          <w:highlight w:val="none"/>
          <w:lang w:eastAsia="zh-CN"/>
        </w:rPr>
        <w:t>）《岩土锚杆与喷射混凝土支护工程技术规范》（</w:t>
      </w:r>
      <w:r>
        <w:rPr>
          <w:rFonts w:hAnsi="Times New Roman" w:cs="Times New Roman"/>
          <w:color w:val="auto"/>
          <w:highlight w:val="none"/>
          <w:lang w:eastAsia="zh-CN"/>
        </w:rPr>
        <w:t>GB50086—2015</w:t>
      </w:r>
      <w:r>
        <w:rPr>
          <w:rFonts w:cs="宋体"/>
          <w:color w:val="auto"/>
          <w:highlight w:val="none"/>
          <w:lang w:eastAsia="zh-CN"/>
        </w:rPr>
        <w:t>）。</w:t>
      </w:r>
    </w:p>
    <w:p w14:paraId="5B096951">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2</w:t>
      </w:r>
      <w:r>
        <w:rPr>
          <w:rFonts w:cs="宋体"/>
          <w:color w:val="auto"/>
          <w:highlight w:val="none"/>
          <w:lang w:eastAsia="zh-CN"/>
        </w:rPr>
        <w:t>）《水利水电工程锚喷支护技术规范》（</w:t>
      </w:r>
      <w:r>
        <w:rPr>
          <w:rFonts w:hAnsi="Times New Roman" w:cs="Times New Roman"/>
          <w:color w:val="auto"/>
          <w:highlight w:val="none"/>
          <w:lang w:eastAsia="zh-CN"/>
        </w:rPr>
        <w:t>SL377—2007</w:t>
      </w:r>
      <w:r>
        <w:rPr>
          <w:rFonts w:cs="宋体"/>
          <w:color w:val="auto"/>
          <w:highlight w:val="none"/>
          <w:lang w:eastAsia="zh-CN"/>
        </w:rPr>
        <w:t>）。</w:t>
      </w:r>
    </w:p>
    <w:p w14:paraId="44FFA1B4">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3</w:t>
      </w:r>
      <w:r>
        <w:rPr>
          <w:rFonts w:cs="宋体"/>
          <w:color w:val="auto"/>
          <w:highlight w:val="none"/>
          <w:lang w:eastAsia="zh-CN"/>
        </w:rPr>
        <w:t>）《水工建筑物地下开挖工程施工规范》（</w:t>
      </w:r>
      <w:r>
        <w:rPr>
          <w:rFonts w:hAnsi="Times New Roman" w:cs="Times New Roman"/>
          <w:color w:val="auto"/>
          <w:highlight w:val="none"/>
          <w:lang w:eastAsia="zh-CN"/>
        </w:rPr>
        <w:t>SL378—2007</w:t>
      </w:r>
      <w:r>
        <w:rPr>
          <w:rFonts w:cs="宋体"/>
          <w:color w:val="auto"/>
          <w:highlight w:val="none"/>
          <w:lang w:eastAsia="zh-CN"/>
        </w:rPr>
        <w:t>）。</w:t>
      </w:r>
    </w:p>
    <w:p w14:paraId="0972CA21">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4</w:t>
      </w:r>
      <w:r>
        <w:rPr>
          <w:rFonts w:cs="宋体"/>
          <w:color w:val="auto"/>
          <w:highlight w:val="none"/>
          <w:lang w:eastAsia="zh-CN"/>
        </w:rPr>
        <w:t>）《水利水电工程勘探规程》（</w:t>
      </w:r>
      <w:r>
        <w:rPr>
          <w:rFonts w:hAnsi="Times New Roman" w:cs="Times New Roman"/>
          <w:color w:val="auto"/>
          <w:highlight w:val="none"/>
          <w:lang w:eastAsia="zh-CN"/>
        </w:rPr>
        <w:t>SL/T291.1—021</w:t>
      </w:r>
      <w:r>
        <w:rPr>
          <w:rFonts w:cs="宋体"/>
          <w:color w:val="auto"/>
          <w:highlight w:val="none"/>
          <w:lang w:eastAsia="zh-CN"/>
        </w:rPr>
        <w:t>）。</w:t>
      </w:r>
    </w:p>
    <w:p w14:paraId="653AE84D">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）《水工预应力锚固技术规范》（</w:t>
      </w:r>
      <w:r>
        <w:rPr>
          <w:rFonts w:hAnsi="Times New Roman" w:cs="Times New Roman"/>
          <w:color w:val="auto"/>
          <w:highlight w:val="none"/>
          <w:lang w:eastAsia="zh-CN"/>
        </w:rPr>
        <w:t>SL/T212-2020</w:t>
      </w:r>
      <w:r>
        <w:rPr>
          <w:rFonts w:cs="宋体"/>
          <w:color w:val="auto"/>
          <w:highlight w:val="none"/>
          <w:lang w:eastAsia="zh-CN"/>
        </w:rPr>
        <w:t>）。</w:t>
      </w:r>
    </w:p>
    <w:p w14:paraId="75758DE1">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6</w:t>
      </w:r>
      <w:r>
        <w:rPr>
          <w:rFonts w:cs="宋体"/>
          <w:color w:val="auto"/>
          <w:highlight w:val="none"/>
          <w:lang w:eastAsia="zh-CN"/>
        </w:rPr>
        <w:t>）《水工建筑物水泥灌浆施工技术规范》（</w:t>
      </w:r>
      <w:r>
        <w:rPr>
          <w:rFonts w:hAnsi="Times New Roman" w:cs="Times New Roman"/>
          <w:color w:val="auto"/>
          <w:highlight w:val="none"/>
          <w:lang w:eastAsia="zh-CN"/>
        </w:rPr>
        <w:t>SL/T62—2020</w:t>
      </w:r>
      <w:r>
        <w:rPr>
          <w:rFonts w:cs="宋体"/>
          <w:color w:val="auto"/>
          <w:highlight w:val="none"/>
          <w:lang w:eastAsia="zh-CN"/>
        </w:rPr>
        <w:t>）。</w:t>
      </w:r>
    </w:p>
    <w:p w14:paraId="6E6C15DE">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7</w:t>
      </w:r>
      <w:r>
        <w:rPr>
          <w:rFonts w:cs="宋体"/>
          <w:color w:val="auto"/>
          <w:highlight w:val="none"/>
          <w:lang w:eastAsia="zh-CN"/>
        </w:rPr>
        <w:t>）《预应力筋用锚具、夹具和连接器》（</w:t>
      </w:r>
      <w:r>
        <w:rPr>
          <w:rFonts w:hAnsi="Times New Roman" w:cs="Times New Roman"/>
          <w:color w:val="auto"/>
          <w:highlight w:val="none"/>
          <w:lang w:eastAsia="zh-CN"/>
        </w:rPr>
        <w:t>GB/T14370—2015</w:t>
      </w:r>
      <w:r>
        <w:rPr>
          <w:rFonts w:cs="宋体"/>
          <w:color w:val="auto"/>
          <w:highlight w:val="none"/>
          <w:lang w:eastAsia="zh-CN"/>
        </w:rPr>
        <w:t>）。</w:t>
      </w:r>
    </w:p>
    <w:p w14:paraId="3EA3A574">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8</w:t>
      </w:r>
      <w:r>
        <w:rPr>
          <w:rFonts w:cs="宋体"/>
          <w:color w:val="auto"/>
          <w:highlight w:val="none"/>
          <w:lang w:eastAsia="zh-CN"/>
        </w:rPr>
        <w:t>）《无粘结预应力钢绞线》（</w:t>
      </w:r>
      <w:r>
        <w:rPr>
          <w:rFonts w:hAnsi="Times New Roman" w:cs="Times New Roman"/>
          <w:color w:val="auto"/>
          <w:highlight w:val="none"/>
          <w:lang w:eastAsia="zh-CN"/>
        </w:rPr>
        <w:t>JG/T161—2016</w:t>
      </w:r>
      <w:r>
        <w:rPr>
          <w:rFonts w:cs="宋体"/>
          <w:color w:val="auto"/>
          <w:highlight w:val="none"/>
          <w:lang w:eastAsia="zh-CN"/>
        </w:rPr>
        <w:t>）。</w:t>
      </w:r>
    </w:p>
    <w:p w14:paraId="4231A759">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9</w:t>
      </w:r>
      <w:r>
        <w:rPr>
          <w:rFonts w:cs="宋体"/>
          <w:color w:val="auto"/>
          <w:highlight w:val="none"/>
          <w:lang w:eastAsia="zh-CN"/>
        </w:rPr>
        <w:t>）《钢筋机械连接技术规程》（</w:t>
      </w:r>
      <w:r>
        <w:rPr>
          <w:rFonts w:hAnsi="Times New Roman" w:cs="Times New Roman"/>
          <w:color w:val="auto"/>
          <w:highlight w:val="none"/>
          <w:lang w:eastAsia="zh-CN"/>
        </w:rPr>
        <w:t>JGJ107—2016</w:t>
      </w:r>
      <w:r>
        <w:rPr>
          <w:rFonts w:cs="宋体"/>
          <w:color w:val="auto"/>
          <w:highlight w:val="none"/>
          <w:lang w:eastAsia="zh-CN"/>
        </w:rPr>
        <w:t>）。</w:t>
      </w:r>
    </w:p>
    <w:p w14:paraId="54DD1FC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0</w:t>
      </w:r>
      <w:r>
        <w:rPr>
          <w:rFonts w:cs="宋体"/>
          <w:color w:val="auto"/>
          <w:highlight w:val="none"/>
          <w:lang w:eastAsia="zh-CN"/>
        </w:rPr>
        <w:t>）《钢筋焊接接头试验方法标准》（</w:t>
      </w:r>
      <w:r>
        <w:rPr>
          <w:rFonts w:hAnsi="Times New Roman" w:cs="Times New Roman"/>
          <w:color w:val="auto"/>
          <w:highlight w:val="none"/>
          <w:lang w:eastAsia="zh-CN"/>
        </w:rPr>
        <w:t>JGJ/T27—2014</w:t>
      </w:r>
      <w:r>
        <w:rPr>
          <w:rFonts w:cs="宋体"/>
          <w:color w:val="auto"/>
          <w:highlight w:val="none"/>
          <w:lang w:eastAsia="zh-CN"/>
        </w:rPr>
        <w:t>）。</w:t>
      </w:r>
    </w:p>
    <w:p w14:paraId="66725FA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1</w:t>
      </w:r>
      <w:r>
        <w:rPr>
          <w:rFonts w:cs="宋体"/>
          <w:color w:val="auto"/>
          <w:highlight w:val="none"/>
          <w:lang w:eastAsia="zh-CN"/>
        </w:rPr>
        <w:t>）《水电水利工程岩壁梁施工规程》（</w:t>
      </w:r>
      <w:r>
        <w:rPr>
          <w:rFonts w:hAnsi="Times New Roman" w:cs="Times New Roman"/>
          <w:color w:val="auto"/>
          <w:highlight w:val="none"/>
          <w:lang w:eastAsia="zh-CN"/>
        </w:rPr>
        <w:t>DL/T5198—2013</w:t>
      </w:r>
      <w:r>
        <w:rPr>
          <w:rFonts w:cs="宋体"/>
          <w:color w:val="auto"/>
          <w:highlight w:val="none"/>
          <w:lang w:eastAsia="zh-CN"/>
        </w:rPr>
        <w:t>）。</w:t>
      </w:r>
    </w:p>
    <w:p w14:paraId="1CBBEB5B">
      <w:pPr>
        <w:pStyle w:val="4"/>
        <w:spacing w:beforeLines="0" w:afterLines="0"/>
        <w:jc w:val="both"/>
        <w:rPr>
          <w:rFonts w:hint="eastAsia" w:cs="宋体"/>
          <w:bCs/>
          <w:color w:val="auto"/>
          <w:szCs w:val="24"/>
          <w:highlight w:val="none"/>
          <w:lang w:eastAsia="zh-CN"/>
        </w:rPr>
      </w:pPr>
      <w:bookmarkStart w:id="1943" w:name="_Toc19772"/>
      <w:bookmarkStart w:id="1944" w:name="_Toc18727"/>
      <w:bookmarkStart w:id="1945" w:name="_Toc6303"/>
      <w:r>
        <w:rPr>
          <w:rFonts w:hint="eastAsia" w:cs="宋体"/>
          <w:bCs/>
          <w:color w:val="auto"/>
          <w:szCs w:val="24"/>
          <w:highlight w:val="none"/>
          <w:lang w:eastAsia="zh-CN"/>
        </w:rPr>
        <w:t>9.2　锚杆（岩石锚杆）</w:t>
      </w:r>
      <w:bookmarkEnd w:id="1943"/>
      <w:bookmarkEnd w:id="1944"/>
      <w:bookmarkEnd w:id="1945"/>
    </w:p>
    <w:p w14:paraId="08385552">
      <w:pPr>
        <w:suppressAutoHyphens/>
        <w:ind w:firstLine="420"/>
        <w:jc w:val="left"/>
        <w:rPr>
          <w:color w:val="auto"/>
          <w:highlight w:val="none"/>
          <w:lang w:eastAsia="zh-CN"/>
        </w:rPr>
      </w:pPr>
      <w:r>
        <w:rPr>
          <w:rFonts w:hint="eastAsia"/>
          <w:color w:val="auto"/>
          <w:highlight w:val="none"/>
          <w:lang w:eastAsia="zh-CN"/>
        </w:rPr>
        <w:t>明挖边坡和地下洞室支护使用的锚杆如设计文件未特别说明本招标文件中锚杆长度为锚杆外露长度与锚杆锚固深度之和，其中锚杆外露长度不超过1</w:t>
      </w:r>
      <w:r>
        <w:rPr>
          <w:color w:val="auto"/>
          <w:highlight w:val="none"/>
          <w:lang w:eastAsia="zh-CN"/>
        </w:rPr>
        <w:t>0</w:t>
      </w:r>
      <w:r>
        <w:rPr>
          <w:rFonts w:hint="eastAsia"/>
          <w:color w:val="auto"/>
          <w:highlight w:val="none"/>
          <w:lang w:eastAsia="zh-CN"/>
        </w:rPr>
        <w:t>cm。钻孔深度为锚杆锚固深度与钻孔超深长度之和。</w:t>
      </w:r>
    </w:p>
    <w:p w14:paraId="77908B76">
      <w:pPr>
        <w:ind w:firstLine="420"/>
        <w:jc w:val="left"/>
        <w:rPr>
          <w:color w:val="auto"/>
          <w:highlight w:val="none"/>
          <w:lang w:eastAsia="zh-CN"/>
        </w:rPr>
      </w:pPr>
      <w:r>
        <w:rPr>
          <w:rFonts w:hint="eastAsia"/>
          <w:color w:val="auto"/>
          <w:highlight w:val="none"/>
          <w:lang w:eastAsia="zh-CN"/>
        </w:rPr>
        <w:t>锚索长度为锚固自由端和锚固段长度之和，施工过程中所需的外露长度根据现场试验确定。</w:t>
      </w:r>
    </w:p>
    <w:p w14:paraId="66892848">
      <w:pPr>
        <w:pStyle w:val="5"/>
        <w:jc w:val="left"/>
        <w:rPr>
          <w:rFonts w:hAnsi="Times New Roman" w:cs="楷体"/>
          <w:color w:val="auto"/>
          <w:highlight w:val="none"/>
          <w:lang w:eastAsia="zh-CN"/>
        </w:rPr>
      </w:pPr>
      <w:r>
        <w:rPr>
          <w:rFonts w:hAnsi="Times New Roman" w:cs="Times New Roman"/>
          <w:color w:val="auto"/>
          <w:highlight w:val="none"/>
          <w:lang w:eastAsia="zh-CN"/>
        </w:rPr>
        <w:t>9.2.1</w:t>
      </w:r>
      <w:r>
        <w:rPr>
          <w:rFonts w:hint="eastAsia" w:hAnsi="Times New Roman" w:cs="Times New Roman"/>
          <w:color w:val="auto"/>
          <w:highlight w:val="none"/>
          <w:lang w:eastAsia="zh-CN"/>
        </w:rPr>
        <w:t>　</w:t>
      </w:r>
      <w:r>
        <w:rPr>
          <w:rFonts w:hAnsi="楷体" w:cs="楷体"/>
          <w:color w:val="auto"/>
          <w:highlight w:val="none"/>
          <w:lang w:eastAsia="zh-CN"/>
        </w:rPr>
        <w:t>锚杆类型</w:t>
      </w:r>
    </w:p>
    <w:p w14:paraId="4690EB5E">
      <w:pPr>
        <w:ind w:firstLine="420"/>
        <w:jc w:val="left"/>
        <w:rPr>
          <w:rFonts w:hAnsi="Times New Roman" w:cs="宋体"/>
          <w:color w:val="auto"/>
          <w:highlight w:val="none"/>
          <w:lang w:eastAsia="zh-CN"/>
        </w:rPr>
      </w:pPr>
      <w:r>
        <w:rPr>
          <w:rFonts w:cs="宋体"/>
          <w:color w:val="auto"/>
          <w:highlight w:val="none"/>
          <w:lang w:eastAsia="zh-CN"/>
        </w:rPr>
        <w:t>明挖边坡和地下洞室锚喷支护采用以下类型的锚杆：</w:t>
      </w:r>
    </w:p>
    <w:p w14:paraId="7F92E64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）水泥砂浆锚杆。</w:t>
      </w:r>
    </w:p>
    <w:p w14:paraId="0485F9A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）张拉锚杆。</w:t>
      </w:r>
    </w:p>
    <w:p w14:paraId="582C048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）水工预应力锚杆。</w:t>
      </w:r>
    </w:p>
    <w:p w14:paraId="04876DB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）缝管式锚杆。</w:t>
      </w:r>
    </w:p>
    <w:p w14:paraId="5ED6AA1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）水胀式锚杆。</w:t>
      </w:r>
    </w:p>
    <w:p w14:paraId="5377841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）花管注浆锚杆。</w:t>
      </w:r>
    </w:p>
    <w:p w14:paraId="1897F2E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）自钻式注浆锚杆。</w:t>
      </w:r>
    </w:p>
    <w:p w14:paraId="6CCA601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）药卷锚杆。</w:t>
      </w:r>
    </w:p>
    <w:p w14:paraId="009AEE84">
      <w:pPr>
        <w:pStyle w:val="5"/>
        <w:jc w:val="left"/>
        <w:rPr>
          <w:rFonts w:hAnsi="Times New Roman" w:cs="楷体"/>
          <w:color w:val="auto"/>
          <w:highlight w:val="none"/>
          <w:lang w:eastAsia="zh-CN"/>
        </w:rPr>
      </w:pPr>
      <w:r>
        <w:rPr>
          <w:rFonts w:hAnsi="Times New Roman" w:cs="Times New Roman"/>
          <w:color w:val="auto"/>
          <w:highlight w:val="none"/>
          <w:lang w:eastAsia="zh-CN"/>
        </w:rPr>
        <w:t>9.2.2</w:t>
      </w:r>
      <w:r>
        <w:rPr>
          <w:rFonts w:hint="eastAsia" w:hAnsi="Times New Roman" w:cs="Times New Roman"/>
          <w:color w:val="auto"/>
          <w:highlight w:val="none"/>
          <w:lang w:eastAsia="zh-CN"/>
        </w:rPr>
        <w:t>　</w:t>
      </w:r>
      <w:r>
        <w:rPr>
          <w:rFonts w:hAnsi="楷体" w:cs="楷体"/>
          <w:color w:val="auto"/>
          <w:highlight w:val="none"/>
          <w:lang w:eastAsia="zh-CN"/>
        </w:rPr>
        <w:t>材料</w:t>
      </w:r>
    </w:p>
    <w:p w14:paraId="6112C28F">
      <w:pPr>
        <w:ind w:firstLine="420"/>
        <w:jc w:val="left"/>
        <w:rPr>
          <w:rFonts w:hAnsi="Times New Roman" w:cs="Times New Roman"/>
          <w:color w:val="auto"/>
          <w:highlight w:val="none"/>
          <w:lang w:eastAsia="zh-CN"/>
        </w:rPr>
      </w:pPr>
      <w:r>
        <w:rPr>
          <w:rFonts w:cs="宋体"/>
          <w:color w:val="auto"/>
          <w:highlight w:val="none"/>
          <w:lang w:eastAsia="zh-CN"/>
        </w:rPr>
        <w:t>锚杆材料应遵守《水利水电工程锚喷支护技术规范》（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5.1.2</w:t>
      </w:r>
      <w:r>
        <w:rPr>
          <w:rFonts w:cs="宋体"/>
          <w:color w:val="auto"/>
          <w:highlight w:val="none"/>
          <w:lang w:eastAsia="zh-CN"/>
        </w:rPr>
        <w:t>条的规定。</w:t>
      </w:r>
    </w:p>
    <w:p w14:paraId="0E2D7758">
      <w:pPr>
        <w:pStyle w:val="5"/>
        <w:jc w:val="left"/>
        <w:rPr>
          <w:rFonts w:hAnsi="Times New Roman" w:cs="楷体"/>
          <w:color w:val="auto"/>
          <w:highlight w:val="none"/>
          <w:lang w:eastAsia="zh-CN"/>
        </w:rPr>
      </w:pPr>
      <w:r>
        <w:rPr>
          <w:rFonts w:hAnsi="Times New Roman" w:cs="Times New Roman"/>
          <w:color w:val="auto"/>
          <w:highlight w:val="none"/>
          <w:lang w:eastAsia="zh-CN"/>
        </w:rPr>
        <w:t>9.2.3</w:t>
      </w:r>
      <w:r>
        <w:rPr>
          <w:rFonts w:hint="eastAsia" w:hAnsi="Times New Roman" w:cs="Times New Roman"/>
          <w:color w:val="auto"/>
          <w:highlight w:val="none"/>
          <w:lang w:eastAsia="zh-CN"/>
        </w:rPr>
        <w:t>　</w:t>
      </w:r>
      <w:r>
        <w:rPr>
          <w:rFonts w:hAnsi="楷体" w:cs="楷体"/>
          <w:color w:val="auto"/>
          <w:highlight w:val="none"/>
          <w:lang w:eastAsia="zh-CN"/>
        </w:rPr>
        <w:t>锚杆孔的钻孔</w:t>
      </w:r>
    </w:p>
    <w:p w14:paraId="5DECF4C8">
      <w:pPr>
        <w:ind w:firstLine="420"/>
        <w:jc w:val="left"/>
        <w:rPr>
          <w:rFonts w:hAnsi="Times New Roman" w:cs="宋体"/>
          <w:color w:val="auto"/>
          <w:highlight w:val="none"/>
          <w:lang w:eastAsia="zh-CN"/>
        </w:rPr>
      </w:pPr>
      <w:r>
        <w:rPr>
          <w:rFonts w:cs="宋体"/>
          <w:color w:val="auto"/>
          <w:highlight w:val="none"/>
          <w:lang w:eastAsia="zh-CN"/>
        </w:rPr>
        <w:t>锚杆孔的钻孔施工应遵守《水利水电工程锚喷支护技术规范》（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5.1.1</w:t>
      </w:r>
      <w:r>
        <w:rPr>
          <w:rFonts w:cs="宋体"/>
          <w:color w:val="auto"/>
          <w:highlight w:val="none"/>
          <w:lang w:eastAsia="zh-CN"/>
        </w:rPr>
        <w:t>条的规定。</w:t>
      </w:r>
    </w:p>
    <w:p w14:paraId="52E1D12D">
      <w:pPr>
        <w:pStyle w:val="5"/>
        <w:jc w:val="left"/>
        <w:rPr>
          <w:rFonts w:hAnsi="Times New Roman" w:cs="楷体"/>
          <w:color w:val="auto"/>
          <w:highlight w:val="none"/>
          <w:lang w:eastAsia="zh-CN"/>
        </w:rPr>
      </w:pPr>
      <w:r>
        <w:rPr>
          <w:rFonts w:hAnsi="Times New Roman" w:cs="Times New Roman"/>
          <w:color w:val="auto"/>
          <w:highlight w:val="none"/>
          <w:lang w:eastAsia="zh-CN"/>
        </w:rPr>
        <w:t>9.2.4</w:t>
      </w:r>
      <w:r>
        <w:rPr>
          <w:rFonts w:hint="eastAsia" w:hAnsi="Times New Roman" w:cs="Times New Roman"/>
          <w:color w:val="auto"/>
          <w:highlight w:val="none"/>
          <w:lang w:eastAsia="zh-CN"/>
        </w:rPr>
        <w:t>　</w:t>
      </w:r>
      <w:r>
        <w:rPr>
          <w:rFonts w:hAnsi="楷体" w:cs="楷体"/>
          <w:color w:val="auto"/>
          <w:highlight w:val="none"/>
          <w:lang w:eastAsia="zh-CN"/>
        </w:rPr>
        <w:t>锚杆的施工和安装</w:t>
      </w:r>
    </w:p>
    <w:p w14:paraId="5231637F">
      <w:pPr>
        <w:ind w:firstLine="420"/>
        <w:jc w:val="left"/>
        <w:rPr>
          <w:rFonts w:hAnsi="Times New Roman" w:cs="Times New Roman"/>
          <w:color w:val="auto"/>
          <w:highlight w:val="none"/>
          <w:lang w:eastAsia="zh-CN"/>
        </w:rPr>
      </w:pPr>
      <w:r>
        <w:rPr>
          <w:rFonts w:cs="宋体"/>
          <w:color w:val="auto"/>
          <w:highlight w:val="none"/>
          <w:lang w:eastAsia="zh-CN"/>
        </w:rPr>
        <w:t>各种类型锚杆的施工和安装应遵守《水利水电工程锚喷支护技术规范》（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5</w:t>
      </w:r>
      <w:r>
        <w:rPr>
          <w:rFonts w:cs="宋体"/>
          <w:color w:val="auto"/>
          <w:highlight w:val="none"/>
          <w:lang w:eastAsia="zh-CN"/>
        </w:rPr>
        <w:t>章的规定。</w:t>
      </w:r>
    </w:p>
    <w:p w14:paraId="3C6FCEDD">
      <w:pPr>
        <w:pStyle w:val="5"/>
        <w:jc w:val="left"/>
        <w:rPr>
          <w:rFonts w:hAnsi="Times New Roman" w:cs="楷体"/>
          <w:color w:val="auto"/>
          <w:highlight w:val="none"/>
          <w:lang w:eastAsia="zh-CN"/>
        </w:rPr>
      </w:pPr>
      <w:r>
        <w:rPr>
          <w:rFonts w:hAnsi="Times New Roman" w:cs="Times New Roman"/>
          <w:color w:val="auto"/>
          <w:highlight w:val="none"/>
          <w:lang w:eastAsia="zh-CN"/>
        </w:rPr>
        <w:t>9.2.5</w:t>
      </w:r>
      <w:r>
        <w:rPr>
          <w:rFonts w:hint="eastAsia" w:hAnsi="Times New Roman" w:cs="Times New Roman"/>
          <w:color w:val="auto"/>
          <w:highlight w:val="none"/>
          <w:lang w:eastAsia="zh-CN"/>
        </w:rPr>
        <w:t>　</w:t>
      </w:r>
      <w:r>
        <w:rPr>
          <w:rFonts w:hAnsi="楷体" w:cs="楷体"/>
          <w:color w:val="auto"/>
          <w:highlight w:val="none"/>
          <w:lang w:eastAsia="zh-CN"/>
        </w:rPr>
        <w:t>锚杆的注浆</w:t>
      </w:r>
    </w:p>
    <w:p w14:paraId="70FFBD37">
      <w:pPr>
        <w:ind w:firstLine="420"/>
        <w:jc w:val="left"/>
        <w:rPr>
          <w:rFonts w:hAnsi="Times New Roman" w:cs="Times New Roman"/>
          <w:color w:val="auto"/>
          <w:highlight w:val="none"/>
          <w:lang w:eastAsia="zh-CN"/>
        </w:rPr>
      </w:pPr>
      <w:r>
        <w:rPr>
          <w:rFonts w:cs="宋体"/>
          <w:color w:val="auto"/>
          <w:highlight w:val="none"/>
          <w:lang w:eastAsia="zh-CN"/>
        </w:rPr>
        <w:t>锚杆的注浆应符合《水利水电工程锚喷支护技术规范》（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5.2.3</w:t>
      </w:r>
      <w:r>
        <w:rPr>
          <w:rFonts w:cs="宋体"/>
          <w:color w:val="auto"/>
          <w:highlight w:val="none"/>
          <w:lang w:eastAsia="zh-CN"/>
        </w:rPr>
        <w:t>条的有关规定。</w:t>
      </w:r>
    </w:p>
    <w:p w14:paraId="13E1FFA7">
      <w:pPr>
        <w:pStyle w:val="5"/>
        <w:jc w:val="left"/>
        <w:rPr>
          <w:rFonts w:hAnsi="Times New Roman" w:cs="楷体"/>
          <w:color w:val="auto"/>
          <w:highlight w:val="none"/>
          <w:lang w:eastAsia="zh-CN"/>
        </w:rPr>
      </w:pPr>
      <w:r>
        <w:rPr>
          <w:rFonts w:hAnsi="Times New Roman" w:cs="Times New Roman"/>
          <w:color w:val="auto"/>
          <w:highlight w:val="none"/>
          <w:lang w:eastAsia="zh-CN"/>
        </w:rPr>
        <w:t>9.2.6</w:t>
      </w:r>
      <w:r>
        <w:rPr>
          <w:rFonts w:hint="eastAsia" w:hAnsi="Times New Roman" w:cs="Times New Roman"/>
          <w:color w:val="auto"/>
          <w:highlight w:val="none"/>
          <w:lang w:eastAsia="zh-CN"/>
        </w:rPr>
        <w:t>　</w:t>
      </w:r>
      <w:r>
        <w:rPr>
          <w:rFonts w:hAnsi="楷体" w:cs="楷体"/>
          <w:color w:val="auto"/>
          <w:highlight w:val="none"/>
          <w:lang w:eastAsia="zh-CN"/>
        </w:rPr>
        <w:t>锚杆的质量检查和验收</w:t>
      </w:r>
    </w:p>
    <w:p w14:paraId="6C275FE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）锚杆钻孔规格的抽检：应按监理人指示的抽检范围和数量，对锚杆孔的钻孔孔径、深度和倾斜度进行抽查并作好记录。</w:t>
      </w:r>
    </w:p>
    <w:p w14:paraId="6C16ADF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）锚杆的材质检验应遵守《水利水电工程锚喷支护技术规范》（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10.1.1</w:t>
      </w:r>
      <w:r>
        <w:rPr>
          <w:rFonts w:cs="宋体"/>
          <w:color w:val="auto"/>
          <w:highlight w:val="none"/>
          <w:lang w:eastAsia="zh-CN"/>
        </w:rPr>
        <w:t>条规定。</w:t>
      </w:r>
    </w:p>
    <w:p w14:paraId="1D99262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）锚杆的施工质量检查应遵守《水利水电工程锚喷支护技术规范》（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10.1.2</w:t>
      </w:r>
      <w:r>
        <w:rPr>
          <w:rFonts w:cs="宋体"/>
          <w:color w:val="auto"/>
          <w:highlight w:val="none"/>
          <w:lang w:eastAsia="zh-CN"/>
        </w:rPr>
        <w:t>～</w:t>
      </w:r>
      <w:r>
        <w:rPr>
          <w:rFonts w:hAnsi="Times New Roman" w:cs="Times New Roman"/>
          <w:color w:val="auto"/>
          <w:highlight w:val="none"/>
          <w:lang w:eastAsia="zh-CN"/>
        </w:rPr>
        <w:t>10.1.4</w:t>
      </w:r>
      <w:r>
        <w:rPr>
          <w:rFonts w:cs="宋体"/>
          <w:color w:val="auto"/>
          <w:highlight w:val="none"/>
          <w:lang w:eastAsia="zh-CN"/>
        </w:rPr>
        <w:t>条规定。锚杆的注浆密实度检测应由监理人根据作业分区和现场实际情况指定抽查范围，其抽查比例不得低于锚杆总数的</w:t>
      </w:r>
      <w:r>
        <w:rPr>
          <w:rFonts w:hAnsi="Times New Roman" w:cs="Times New Roman"/>
          <w:color w:val="auto"/>
          <w:highlight w:val="none"/>
          <w:lang w:eastAsia="zh-CN"/>
        </w:rPr>
        <w:t>5%</w:t>
      </w:r>
      <w:r>
        <w:rPr>
          <w:rFonts w:cs="宋体"/>
          <w:color w:val="auto"/>
          <w:highlight w:val="none"/>
          <w:lang w:eastAsia="zh-CN"/>
        </w:rPr>
        <w:t>。</w:t>
      </w:r>
    </w:p>
    <w:p w14:paraId="309203E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）承包人应将每批锚杆材质的抽查记录、每项注浆密实度试验记录和成果、锚杆孔钻孔记录、各作业区的锚杆施工检测记录等验收资料提交监理人，由监理人逐项验收。</w:t>
      </w:r>
    </w:p>
    <w:p w14:paraId="6564D65D">
      <w:pPr>
        <w:pStyle w:val="4"/>
        <w:spacing w:beforeLines="0" w:afterLines="0"/>
        <w:jc w:val="both"/>
        <w:rPr>
          <w:rFonts w:hint="eastAsia" w:cs="宋体"/>
          <w:bCs/>
          <w:color w:val="auto"/>
          <w:szCs w:val="24"/>
          <w:highlight w:val="none"/>
          <w:lang w:eastAsia="zh-CN"/>
        </w:rPr>
      </w:pPr>
      <w:bookmarkStart w:id="1946" w:name="_Toc30884"/>
      <w:bookmarkStart w:id="1947" w:name="_Toc8883"/>
      <w:bookmarkStart w:id="1948" w:name="_Toc21279"/>
      <w:r>
        <w:rPr>
          <w:rFonts w:hint="eastAsia" w:cs="宋体"/>
          <w:bCs/>
          <w:color w:val="auto"/>
          <w:szCs w:val="24"/>
          <w:highlight w:val="none"/>
          <w:lang w:eastAsia="zh-CN"/>
        </w:rPr>
        <w:t>9.3　预应力锚索</w:t>
      </w:r>
      <w:bookmarkEnd w:id="1946"/>
      <w:bookmarkEnd w:id="1947"/>
      <w:bookmarkEnd w:id="1948"/>
      <w:bookmarkStart w:id="1949" w:name="_Toc29888"/>
      <w:bookmarkStart w:id="1950" w:name="_Toc16258"/>
      <w:bookmarkStart w:id="1951" w:name="_Toc31038"/>
    </w:p>
    <w:p w14:paraId="62798702">
      <w:pPr>
        <w:rPr>
          <w:rFonts w:hint="default"/>
          <w:lang w:val="en-US" w:eastAsia="zh-CN"/>
        </w:rPr>
      </w:pPr>
      <w:r>
        <w:rPr>
          <w:rFonts w:hint="eastAsia" w:cs="宋体"/>
          <w:bCs/>
          <w:color w:val="auto"/>
          <w:szCs w:val="24"/>
          <w:highlight w:val="none"/>
          <w:lang w:val="en-US" w:eastAsia="zh-CN"/>
        </w:rPr>
        <w:t>本标段不涉及。</w:t>
      </w:r>
    </w:p>
    <w:p w14:paraId="1AB97B33">
      <w:pPr>
        <w:pStyle w:val="4"/>
        <w:spacing w:beforeLines="0" w:afterLines="0"/>
        <w:jc w:val="both"/>
        <w:rPr>
          <w:rFonts w:hint="eastAsia" w:cs="宋体"/>
          <w:bCs/>
          <w:color w:val="auto"/>
          <w:szCs w:val="24"/>
          <w:highlight w:val="none"/>
          <w:lang w:eastAsia="zh-CN"/>
        </w:rPr>
      </w:pPr>
      <w:r>
        <w:rPr>
          <w:rFonts w:hint="eastAsia" w:cs="宋体"/>
          <w:bCs/>
          <w:color w:val="auto"/>
          <w:szCs w:val="24"/>
          <w:highlight w:val="none"/>
          <w:lang w:eastAsia="zh-CN"/>
        </w:rPr>
        <w:t>9.4　喷射混凝土</w:t>
      </w:r>
      <w:bookmarkEnd w:id="1949"/>
      <w:bookmarkEnd w:id="1950"/>
      <w:bookmarkEnd w:id="1951"/>
    </w:p>
    <w:p w14:paraId="2E6183EC">
      <w:pPr>
        <w:ind w:firstLine="420"/>
        <w:jc w:val="left"/>
        <w:rPr>
          <w:rFonts w:hAnsi="Times New Roman" w:cs="宋体"/>
          <w:color w:val="auto"/>
          <w:highlight w:val="none"/>
          <w:lang w:eastAsia="zh-CN"/>
        </w:rPr>
      </w:pPr>
      <w:r>
        <w:rPr>
          <w:rFonts w:cs="宋体"/>
          <w:color w:val="auto"/>
          <w:highlight w:val="none"/>
          <w:lang w:eastAsia="zh-CN"/>
        </w:rPr>
        <w:t>本节规定适用于本工程施工图纸所示的素喷射混凝土、锚杆喷射混凝土、钢纤维（或微纤维）喷射混凝土、钢筋网（或钢丝网）及钢支撑喷射混凝土等喷射混凝土施工作业，喷射方法宜采用湿喷</w:t>
      </w:r>
      <w:r>
        <w:rPr>
          <w:rFonts w:hint="eastAsia" w:cs="宋体"/>
          <w:color w:val="auto"/>
          <w:highlight w:val="none"/>
          <w:lang w:eastAsia="zh-CN"/>
        </w:rPr>
        <w:t>，</w:t>
      </w:r>
      <w:r>
        <w:rPr>
          <w:rFonts w:hint="eastAsia" w:cs="宋体"/>
          <w:color w:val="auto"/>
          <w:highlight w:val="none"/>
          <w:lang w:val="en-US" w:eastAsia="zh-CN"/>
        </w:rPr>
        <w:t>钢筋网建议采用成品钢筋网片</w:t>
      </w:r>
      <w:r>
        <w:rPr>
          <w:rFonts w:cs="宋体"/>
          <w:color w:val="auto"/>
          <w:highlight w:val="none"/>
          <w:lang w:eastAsia="zh-CN"/>
        </w:rPr>
        <w:t>。</w:t>
      </w:r>
    </w:p>
    <w:p w14:paraId="38B4E1A9">
      <w:pPr>
        <w:pStyle w:val="5"/>
        <w:jc w:val="left"/>
        <w:rPr>
          <w:rFonts w:hAnsi="Times New Roman" w:cs="楷体"/>
          <w:color w:val="auto"/>
          <w:highlight w:val="none"/>
          <w:lang w:eastAsia="zh-CN"/>
        </w:rPr>
      </w:pPr>
      <w:r>
        <w:rPr>
          <w:rFonts w:hAnsi="Times New Roman" w:cs="Times New Roman"/>
          <w:color w:val="auto"/>
          <w:highlight w:val="none"/>
          <w:lang w:eastAsia="zh-CN"/>
        </w:rPr>
        <w:t>9.4.1</w:t>
      </w:r>
      <w:r>
        <w:rPr>
          <w:rFonts w:hint="eastAsia" w:hAnsi="Times New Roman" w:cs="Times New Roman"/>
          <w:color w:val="auto"/>
          <w:highlight w:val="none"/>
          <w:lang w:eastAsia="zh-CN"/>
        </w:rPr>
        <w:t>　</w:t>
      </w:r>
      <w:r>
        <w:rPr>
          <w:rFonts w:hAnsi="楷体" w:cs="楷体"/>
          <w:color w:val="auto"/>
          <w:highlight w:val="none"/>
          <w:lang w:eastAsia="zh-CN"/>
        </w:rPr>
        <w:t>喷射混凝土工艺措施报告</w:t>
      </w:r>
    </w:p>
    <w:p w14:paraId="577BF750">
      <w:pPr>
        <w:ind w:firstLine="420"/>
        <w:jc w:val="left"/>
        <w:rPr>
          <w:rFonts w:hAnsi="Times New Roman" w:cs="宋体"/>
          <w:color w:val="auto"/>
          <w:highlight w:val="none"/>
          <w:lang w:eastAsia="zh-CN"/>
        </w:rPr>
      </w:pPr>
      <w:r>
        <w:rPr>
          <w:rFonts w:cs="宋体"/>
          <w:color w:val="auto"/>
          <w:highlight w:val="none"/>
          <w:lang w:eastAsia="zh-CN"/>
        </w:rPr>
        <w:t>承包人应在喷射混凝土施工作业开始前，将各项喷射混凝土作业的工艺措施报告，提交监理人批准。</w:t>
      </w:r>
    </w:p>
    <w:p w14:paraId="5F2C6B87">
      <w:pPr>
        <w:pStyle w:val="5"/>
        <w:jc w:val="left"/>
        <w:rPr>
          <w:rFonts w:hAnsi="Times New Roman" w:cs="楷体"/>
          <w:color w:val="auto"/>
          <w:highlight w:val="none"/>
          <w:lang w:eastAsia="zh-CN"/>
        </w:rPr>
      </w:pPr>
      <w:r>
        <w:rPr>
          <w:rFonts w:hAnsi="Times New Roman" w:cs="Times New Roman"/>
          <w:color w:val="auto"/>
          <w:highlight w:val="none"/>
          <w:lang w:eastAsia="zh-CN"/>
        </w:rPr>
        <w:t>9.4.2</w:t>
      </w:r>
      <w:r>
        <w:rPr>
          <w:rFonts w:hint="eastAsia" w:hAnsi="Times New Roman" w:cs="Times New Roman"/>
          <w:color w:val="auto"/>
          <w:highlight w:val="none"/>
          <w:lang w:eastAsia="zh-CN"/>
        </w:rPr>
        <w:t>　</w:t>
      </w:r>
      <w:r>
        <w:rPr>
          <w:rFonts w:hAnsi="楷体" w:cs="楷体"/>
          <w:color w:val="auto"/>
          <w:highlight w:val="none"/>
          <w:lang w:eastAsia="zh-CN"/>
        </w:rPr>
        <w:t>材料和配合比</w:t>
      </w:r>
    </w:p>
    <w:p w14:paraId="41B71A96">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）用于喷射混凝土的水泥、砂石料、水、外加剂、钢纤维、钢筋（丝）网等应遵守《水利水电工程锚喷支护技术规范》（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6.1</w:t>
      </w:r>
      <w:r>
        <w:rPr>
          <w:rFonts w:cs="宋体"/>
          <w:color w:val="auto"/>
          <w:highlight w:val="none"/>
          <w:lang w:eastAsia="zh-CN"/>
        </w:rPr>
        <w:t>节的有关规定。</w:t>
      </w:r>
    </w:p>
    <w:p w14:paraId="7653CBE0">
      <w:pPr>
        <w:suppressAutoHyphens/>
        <w:ind w:firstLine="420"/>
        <w:jc w:val="left"/>
        <w:rPr>
          <w:color w:val="auto"/>
          <w:highlight w:val="none"/>
          <w:lang w:eastAsia="zh-CN"/>
        </w:rPr>
      </w:pPr>
      <w:r>
        <w:rPr>
          <w:rFonts w:hint="eastAsia"/>
          <w:color w:val="auto"/>
          <w:highlight w:val="none"/>
          <w:lang w:eastAsia="zh-CN"/>
        </w:rPr>
        <w:t>1）水泥：采用符合国家标准的普通硅酸盐水泥，当有防腐或特殊要求时，经监理人批准，可采用特种水泥，水泥强度等级不低于42.5MPa。进场水泥应有生产厂的质量证明书。</w:t>
      </w:r>
    </w:p>
    <w:p w14:paraId="75C34C4C">
      <w:pPr>
        <w:suppressAutoHyphens/>
        <w:ind w:firstLine="420"/>
        <w:jc w:val="left"/>
        <w:rPr>
          <w:color w:val="auto"/>
          <w:highlight w:val="none"/>
          <w:lang w:eastAsia="zh-CN"/>
        </w:rPr>
      </w:pPr>
      <w:r>
        <w:rPr>
          <w:rFonts w:hint="eastAsia"/>
          <w:color w:val="auto"/>
          <w:highlight w:val="none"/>
          <w:lang w:eastAsia="zh-CN"/>
        </w:rPr>
        <w:t>2）骨料：细骨料应采用坚硬耐久的粗、中砂，细度模数宜为2.5～3.0，使用时的含水率宜控制在5％～7％；粗骨料应采用耐久的卵石或碎石，粒径不应大于16mm，喷射钢纤维混凝土，粒径不应大于10mm；喷射混凝土的骨料级配，应满足SL377的有关规定。</w:t>
      </w:r>
    </w:p>
    <w:p w14:paraId="0D622014">
      <w:pPr>
        <w:suppressAutoHyphens/>
        <w:ind w:firstLine="420"/>
        <w:jc w:val="left"/>
        <w:rPr>
          <w:color w:val="auto"/>
          <w:highlight w:val="none"/>
          <w:lang w:eastAsia="zh-CN"/>
        </w:rPr>
      </w:pPr>
      <w:r>
        <w:rPr>
          <w:rFonts w:hint="eastAsia"/>
          <w:color w:val="auto"/>
          <w:highlight w:val="none"/>
          <w:lang w:eastAsia="zh-CN"/>
        </w:rPr>
        <w:t>3）水：应符合拌制水工混凝土用水的要求。</w:t>
      </w:r>
    </w:p>
    <w:p w14:paraId="034BE93D">
      <w:pPr>
        <w:suppressAutoHyphens/>
        <w:ind w:firstLine="420"/>
        <w:jc w:val="left"/>
        <w:rPr>
          <w:color w:val="auto"/>
          <w:highlight w:val="none"/>
          <w:lang w:eastAsia="zh-CN"/>
        </w:rPr>
      </w:pPr>
      <w:r>
        <w:rPr>
          <w:rFonts w:hint="eastAsia"/>
          <w:color w:val="auto"/>
          <w:highlight w:val="none"/>
          <w:lang w:eastAsia="zh-CN"/>
        </w:rPr>
        <w:t>4）外加剂：应采用符合施工图纸和质量要求的外加剂。所用外加剂尽可能偏中性且对人体危害较少（速凝剂要求为无碱速凝剂），其品质不得含有对锚杆、钢筋、钢纤维产生腐蚀作用的成分，并应符合GB8076标准。所用外加剂必须通过经发包人认可的检测单位试验或检验合格，生产厂家应具有一定生产规模和完善的质量保证体系，产品质量稳定。</w:t>
      </w:r>
    </w:p>
    <w:p w14:paraId="6104FC00">
      <w:pPr>
        <w:suppressAutoHyphens/>
        <w:ind w:firstLine="420"/>
        <w:jc w:val="left"/>
        <w:rPr>
          <w:color w:val="auto"/>
          <w:highlight w:val="none"/>
          <w:lang w:eastAsia="zh-CN"/>
        </w:rPr>
      </w:pPr>
      <w:r>
        <w:rPr>
          <w:rFonts w:hint="eastAsia"/>
          <w:color w:val="auto"/>
          <w:highlight w:val="none"/>
          <w:lang w:eastAsia="zh-CN"/>
        </w:rPr>
        <w:t>在使用速凝剂前，应做与水泥的相容性试验及水泥净浆凝结效果试验，初凝不应大于5min，终凝不应大于10min。在采用其他类型掺外加剂或几种外加剂复合使用时，也应做相应的性能试验和使用效果试验。选用外加剂应经监理人批准。</w:t>
      </w:r>
    </w:p>
    <w:p w14:paraId="38C216D4">
      <w:pPr>
        <w:suppressAutoHyphens/>
        <w:ind w:firstLine="420"/>
        <w:jc w:val="left"/>
        <w:rPr>
          <w:color w:val="auto"/>
          <w:highlight w:val="none"/>
          <w:lang w:eastAsia="zh-CN"/>
        </w:rPr>
      </w:pPr>
      <w:r>
        <w:rPr>
          <w:rFonts w:hint="eastAsia"/>
          <w:color w:val="auto"/>
          <w:highlight w:val="none"/>
          <w:lang w:eastAsia="zh-CN"/>
        </w:rPr>
        <w:t>5）钢筋网：应采用热轧Ⅰ级HPB300钢筋网。</w:t>
      </w:r>
    </w:p>
    <w:p w14:paraId="07172BCA">
      <w:pPr>
        <w:suppressAutoHyphens/>
        <w:ind w:firstLine="420"/>
        <w:jc w:val="left"/>
        <w:rPr>
          <w:color w:val="auto"/>
          <w:highlight w:val="none"/>
          <w:lang w:eastAsia="zh-CN"/>
        </w:rPr>
      </w:pPr>
      <w:r>
        <w:rPr>
          <w:rFonts w:hint="eastAsia"/>
          <w:color w:val="auto"/>
          <w:highlight w:val="none"/>
          <w:lang w:eastAsia="zh-CN"/>
        </w:rPr>
        <w:t>6）钢纤维</w:t>
      </w:r>
    </w:p>
    <w:p w14:paraId="263C18A1">
      <w:pPr>
        <w:suppressAutoHyphens/>
        <w:ind w:firstLine="420"/>
        <w:jc w:val="left"/>
        <w:rPr>
          <w:color w:val="auto"/>
          <w:highlight w:val="none"/>
          <w:lang w:eastAsia="zh-CN"/>
        </w:rPr>
      </w:pPr>
      <w:r>
        <w:rPr>
          <w:rFonts w:hint="eastAsia"/>
          <w:color w:val="auto"/>
          <w:highlight w:val="none"/>
          <w:lang w:eastAsia="zh-CN"/>
        </w:rPr>
        <w:t>钢纤维的型式及尺寸应适合于喷混凝土施工（避免球结现象）及达到加强混凝土强度要求。钢纤维应符合下列条件：</w:t>
      </w:r>
    </w:p>
    <w:p w14:paraId="7E76991C">
      <w:pPr>
        <w:suppressAutoHyphens/>
        <w:ind w:firstLine="420"/>
        <w:jc w:val="left"/>
        <w:rPr>
          <w:color w:val="auto"/>
          <w:highlight w:val="none"/>
          <w:lang w:eastAsia="zh-CN"/>
        </w:rPr>
      </w:pPr>
      <w:r>
        <w:rPr>
          <w:rFonts w:hint="eastAsia"/>
          <w:color w:val="auto"/>
          <w:highlight w:val="none"/>
          <w:lang w:eastAsia="zh-CN"/>
        </w:rPr>
        <w:t>1）钢纤维的形状及尺寸：长约25～40mm，直径0.4～0.7mm的圆形或等面积的其它断面，长径比L/D＞55。钢纤维长度方向两端带钩，纤维间采用快速水溶性胶粘结成排；</w:t>
      </w:r>
    </w:p>
    <w:p w14:paraId="5AFDDF22">
      <w:pPr>
        <w:suppressAutoHyphens/>
        <w:ind w:firstLine="420"/>
        <w:jc w:val="left"/>
        <w:rPr>
          <w:color w:val="auto"/>
          <w:highlight w:val="none"/>
          <w:lang w:eastAsia="zh-CN"/>
        </w:rPr>
      </w:pPr>
      <w:r>
        <w:rPr>
          <w:rFonts w:hint="eastAsia"/>
          <w:color w:val="auto"/>
          <w:highlight w:val="none"/>
          <w:lang w:eastAsia="zh-CN"/>
        </w:rPr>
        <w:t>2）钢纤维的抗拉强度不应低于1000MPa或钢纤维强度等级采用1000级，应选用冷拉型钢纤维；</w:t>
      </w:r>
    </w:p>
    <w:p w14:paraId="15331DE5">
      <w:pPr>
        <w:suppressAutoHyphens/>
        <w:ind w:firstLine="420"/>
        <w:jc w:val="left"/>
        <w:rPr>
          <w:color w:val="auto"/>
          <w:highlight w:val="none"/>
          <w:lang w:eastAsia="zh-CN"/>
        </w:rPr>
      </w:pPr>
      <w:r>
        <w:rPr>
          <w:rFonts w:hint="eastAsia"/>
          <w:color w:val="auto"/>
          <w:highlight w:val="none"/>
          <w:lang w:eastAsia="zh-CN"/>
        </w:rPr>
        <w:t>3）钢纤维的长度应基本一致，并不得含有其它杂物；钢纤维不得有明显的锈蚀和油渍；</w:t>
      </w:r>
    </w:p>
    <w:p w14:paraId="3EF6C79B">
      <w:pPr>
        <w:suppressAutoHyphens/>
        <w:ind w:firstLine="420"/>
        <w:jc w:val="left"/>
        <w:rPr>
          <w:color w:val="auto"/>
          <w:highlight w:val="none"/>
          <w:lang w:eastAsia="zh-CN"/>
        </w:rPr>
      </w:pPr>
      <w:r>
        <w:rPr>
          <w:rFonts w:hint="eastAsia"/>
          <w:color w:val="auto"/>
          <w:highlight w:val="none"/>
          <w:lang w:eastAsia="zh-CN"/>
        </w:rPr>
        <w:t>4）钢纤维在施工过程中不得出现“V”字变形及结团、堵管现象。</w:t>
      </w:r>
    </w:p>
    <w:p w14:paraId="1F635BBF">
      <w:pPr>
        <w:ind w:firstLine="420"/>
        <w:jc w:val="left"/>
        <w:rPr>
          <w:color w:val="auto"/>
          <w:highlight w:val="none"/>
          <w:lang w:eastAsia="zh-CN"/>
        </w:rPr>
      </w:pPr>
      <w:r>
        <w:rPr>
          <w:rFonts w:hint="eastAsia"/>
          <w:color w:val="auto"/>
          <w:highlight w:val="none"/>
          <w:lang w:eastAsia="zh-CN"/>
        </w:rPr>
        <w:t>7）合成纤维：应符合施工图纸要求并有生产厂的质量证明书，纤维长度30～50mm，直径0.5～0.85mm，断裂强度≥450MPa，断裂伸长率15～30%，初始模量≥5000MPa，耐碱性能≥95%。</w:t>
      </w:r>
    </w:p>
    <w:p w14:paraId="0733407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）喷射混凝土配合比应通过室内试验和现场试验选定，并符合施工图纸要求</w:t>
      </w:r>
      <w:r>
        <w:rPr>
          <w:rFonts w:hint="eastAsia"/>
          <w:color w:val="auto"/>
          <w:highlight w:val="none"/>
          <w:lang w:eastAsia="zh-CN"/>
        </w:rPr>
        <w:t>，在保证喷层性能指标的前提下，尽量减少水泥和水的用量，同时</w:t>
      </w:r>
      <w:r>
        <w:rPr>
          <w:rFonts w:cs="宋体"/>
          <w:color w:val="auto"/>
          <w:highlight w:val="none"/>
          <w:lang w:eastAsia="zh-CN"/>
        </w:rPr>
        <w:t>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6.3.1</w:t>
      </w:r>
      <w:r>
        <w:rPr>
          <w:rFonts w:cs="宋体"/>
          <w:color w:val="auto"/>
          <w:highlight w:val="none"/>
          <w:lang w:eastAsia="zh-CN"/>
        </w:rPr>
        <w:t>条的规定，试验成果应提交监理人。</w:t>
      </w:r>
    </w:p>
    <w:p w14:paraId="4B22D5B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）速凝剂的掺量应通过现场试验确定，喷射混凝土的初凝和终凝时间，应满足施工图纸和现场喷射工艺的要求</w:t>
      </w:r>
      <w:r>
        <w:rPr>
          <w:rFonts w:hint="eastAsia"/>
          <w:color w:val="auto"/>
          <w:highlight w:val="none"/>
          <w:lang w:eastAsia="zh-CN"/>
        </w:rPr>
        <w:t>，喷射混凝土的强度应符合施工图纸要求，配合比试验成果应报送监理人审批</w:t>
      </w:r>
      <w:r>
        <w:rPr>
          <w:rFonts w:cs="宋体"/>
          <w:color w:val="auto"/>
          <w:highlight w:val="none"/>
          <w:lang w:eastAsia="zh-CN"/>
        </w:rPr>
        <w:t>。</w:t>
      </w:r>
    </w:p>
    <w:p w14:paraId="45B7977F">
      <w:pPr>
        <w:pStyle w:val="5"/>
        <w:jc w:val="left"/>
        <w:rPr>
          <w:rFonts w:hAnsi="Times New Roman" w:cs="楷体"/>
          <w:color w:val="auto"/>
          <w:highlight w:val="none"/>
          <w:lang w:eastAsia="zh-CN"/>
        </w:rPr>
      </w:pPr>
      <w:r>
        <w:rPr>
          <w:rFonts w:hAnsi="Times New Roman" w:cs="Times New Roman"/>
          <w:color w:val="auto"/>
          <w:highlight w:val="none"/>
          <w:lang w:eastAsia="zh-CN"/>
        </w:rPr>
        <w:t>9.4.3</w:t>
      </w:r>
      <w:r>
        <w:rPr>
          <w:rFonts w:hint="eastAsia" w:hAnsi="Times New Roman" w:cs="Times New Roman"/>
          <w:color w:val="auto"/>
          <w:highlight w:val="none"/>
          <w:lang w:eastAsia="zh-CN"/>
        </w:rPr>
        <w:t>　</w:t>
      </w:r>
      <w:r>
        <w:rPr>
          <w:rFonts w:hAnsi="楷体" w:cs="楷体"/>
          <w:color w:val="auto"/>
          <w:highlight w:val="none"/>
          <w:lang w:eastAsia="zh-CN"/>
        </w:rPr>
        <w:t>配料、拌和及运输</w:t>
      </w:r>
    </w:p>
    <w:p w14:paraId="09B040BD">
      <w:pPr>
        <w:suppressAutoHyphens/>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）喷射混凝土的配料应遵守《水利水电工程锚喷支护技术规范》（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6.3.2</w:t>
      </w:r>
      <w:r>
        <w:rPr>
          <w:rFonts w:cs="宋体"/>
          <w:color w:val="auto"/>
          <w:highlight w:val="none"/>
          <w:lang w:eastAsia="zh-CN"/>
        </w:rPr>
        <w:t>条的规定。</w:t>
      </w:r>
    </w:p>
    <w:p w14:paraId="7384A2A1">
      <w:pPr>
        <w:suppressAutoHyphens/>
        <w:ind w:firstLine="420"/>
        <w:jc w:val="left"/>
        <w:rPr>
          <w:color w:val="auto"/>
          <w:highlight w:val="none"/>
          <w:lang w:eastAsia="zh-CN"/>
        </w:rPr>
      </w:pPr>
      <w:r>
        <w:rPr>
          <w:rFonts w:hint="eastAsia"/>
          <w:color w:val="auto"/>
          <w:highlight w:val="none"/>
          <w:lang w:eastAsia="zh-CN"/>
        </w:rPr>
        <w:t>拌制混合料的称量允许偏差应符合下列规定：</w:t>
      </w:r>
    </w:p>
    <w:p w14:paraId="345B2842">
      <w:pPr>
        <w:suppressAutoHyphens/>
        <w:ind w:firstLine="420"/>
        <w:jc w:val="left"/>
        <w:rPr>
          <w:color w:val="auto"/>
          <w:highlight w:val="none"/>
          <w:lang w:eastAsia="zh-CN"/>
        </w:rPr>
      </w:pPr>
      <w:r>
        <w:rPr>
          <w:rFonts w:hint="eastAsia"/>
          <w:color w:val="auto"/>
          <w:highlight w:val="none"/>
          <w:lang w:eastAsia="zh-CN"/>
        </w:rPr>
        <w:t>水泥和速凝剂±2％</w:t>
      </w:r>
    </w:p>
    <w:p w14:paraId="44887FBC">
      <w:pPr>
        <w:suppressAutoHyphens/>
        <w:ind w:firstLine="420"/>
        <w:jc w:val="left"/>
        <w:rPr>
          <w:color w:val="auto"/>
          <w:highlight w:val="none"/>
          <w:lang w:eastAsia="zh-CN"/>
        </w:rPr>
      </w:pPr>
      <w:r>
        <w:rPr>
          <w:rFonts w:hint="eastAsia"/>
          <w:color w:val="auto"/>
          <w:highlight w:val="none"/>
          <w:lang w:eastAsia="zh-CN"/>
        </w:rPr>
        <w:t>砂、石±3％</w:t>
      </w:r>
    </w:p>
    <w:p w14:paraId="572DDDA3">
      <w:pPr>
        <w:numPr>
          <w:ilvl w:val="0"/>
          <w:numId w:val="4"/>
        </w:numPr>
        <w:ind w:firstLine="420"/>
        <w:jc w:val="left"/>
        <w:rPr>
          <w:rFonts w:cs="宋体"/>
          <w:color w:val="auto"/>
          <w:highlight w:val="none"/>
          <w:lang w:eastAsia="zh-CN"/>
        </w:rPr>
      </w:pPr>
      <w:r>
        <w:rPr>
          <w:rFonts w:cs="宋体"/>
          <w:color w:val="auto"/>
          <w:highlight w:val="none"/>
          <w:lang w:eastAsia="zh-CN"/>
        </w:rPr>
        <w:t>混合料搅拌时间应遵守《水利水电工程锚喷支护技术规范》（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6.3.3</w:t>
      </w:r>
      <w:r>
        <w:rPr>
          <w:rFonts w:cs="宋体"/>
          <w:color w:val="auto"/>
          <w:highlight w:val="none"/>
          <w:lang w:eastAsia="zh-CN"/>
        </w:rPr>
        <w:t>条的规定。</w:t>
      </w:r>
    </w:p>
    <w:p w14:paraId="03F7C842">
      <w:pPr>
        <w:suppressAutoHyphens/>
        <w:ind w:firstLine="420"/>
        <w:jc w:val="left"/>
        <w:rPr>
          <w:color w:val="auto"/>
          <w:highlight w:val="none"/>
          <w:lang w:eastAsia="zh-CN"/>
        </w:rPr>
      </w:pPr>
      <w:r>
        <w:rPr>
          <w:rFonts w:hint="eastAsia"/>
          <w:color w:val="auto"/>
          <w:highlight w:val="none"/>
          <w:lang w:eastAsia="zh-CN"/>
        </w:rPr>
        <w:t>混合料搅拌时间应遵守下列规定：</w:t>
      </w:r>
    </w:p>
    <w:p w14:paraId="13E8D200">
      <w:pPr>
        <w:suppressAutoHyphens/>
        <w:ind w:firstLine="420"/>
        <w:jc w:val="left"/>
        <w:rPr>
          <w:color w:val="auto"/>
          <w:highlight w:val="none"/>
          <w:lang w:eastAsia="zh-CN"/>
        </w:rPr>
      </w:pPr>
      <w:r>
        <w:rPr>
          <w:rFonts w:hint="eastAsia"/>
          <w:color w:val="auto"/>
          <w:highlight w:val="none"/>
          <w:lang w:eastAsia="zh-CN"/>
        </w:rPr>
        <w:t>①采用容量小于400L的强制式搅拌机拌料时，搅拌时间不得少于1min；</w:t>
      </w:r>
    </w:p>
    <w:p w14:paraId="36E3310C">
      <w:pPr>
        <w:suppressAutoHyphens/>
        <w:ind w:firstLine="420"/>
        <w:jc w:val="left"/>
        <w:rPr>
          <w:color w:val="auto"/>
          <w:highlight w:val="none"/>
          <w:lang w:eastAsia="zh-CN"/>
        </w:rPr>
      </w:pPr>
      <w:r>
        <w:rPr>
          <w:rFonts w:hint="eastAsia"/>
          <w:color w:val="auto"/>
          <w:highlight w:val="none"/>
          <w:lang w:eastAsia="zh-CN"/>
        </w:rPr>
        <w:t>②采用自落式搅拌机拌料时，搅拌时间不得少于2min；</w:t>
      </w:r>
    </w:p>
    <w:p w14:paraId="2D1BCB27">
      <w:pPr>
        <w:suppressAutoHyphens/>
        <w:ind w:firstLine="420"/>
        <w:jc w:val="left"/>
        <w:rPr>
          <w:color w:val="auto"/>
          <w:highlight w:val="none"/>
          <w:lang w:eastAsia="zh-CN"/>
        </w:rPr>
      </w:pPr>
      <w:r>
        <w:rPr>
          <w:rFonts w:hint="eastAsia"/>
          <w:color w:val="auto"/>
          <w:highlight w:val="none"/>
          <w:lang w:eastAsia="zh-CN"/>
        </w:rPr>
        <w:t>③采用人工拌料时，拌料次数不少于三次，且混合料的颜色应均一；</w:t>
      </w:r>
    </w:p>
    <w:p w14:paraId="4684C864">
      <w:pPr>
        <w:suppressAutoHyphens/>
        <w:ind w:firstLine="420"/>
        <w:jc w:val="left"/>
        <w:rPr>
          <w:color w:val="auto"/>
          <w:highlight w:val="none"/>
          <w:lang w:eastAsia="zh-CN"/>
        </w:rPr>
      </w:pPr>
      <w:r>
        <w:rPr>
          <w:rFonts w:hint="eastAsia"/>
          <w:color w:val="auto"/>
          <w:highlight w:val="none"/>
          <w:lang w:eastAsia="zh-CN"/>
        </w:rPr>
        <w:t>④混合料掺有外加剂时，搅拌时间应适当延长。</w:t>
      </w:r>
    </w:p>
    <w:p w14:paraId="5CFEDBFE">
      <w:pPr>
        <w:pStyle w:val="7"/>
        <w:numPr>
          <w:ilvl w:val="255"/>
          <w:numId w:val="0"/>
        </w:numPr>
        <w:ind w:firstLine="480" w:firstLineChars="200"/>
        <w:jc w:val="left"/>
        <w:rPr>
          <w:color w:val="auto"/>
          <w:highlight w:val="none"/>
          <w:lang w:eastAsia="zh-CN"/>
        </w:rPr>
      </w:pPr>
      <w:r>
        <w:rPr>
          <w:rFonts w:hint="eastAsia"/>
          <w:color w:val="auto"/>
          <w:highlight w:val="none"/>
          <w:lang w:eastAsia="zh-CN"/>
        </w:rPr>
        <w:t>⑤钢纤维喷混凝土的搅拌时间应通过现场搅拌试验确定。以加入的钢纤维能完全散开，单根均匀分布在混凝土中为准。</w:t>
      </w:r>
    </w:p>
    <w:p w14:paraId="74BF4C0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）混合料运输应严防雨淋、滴水及混入大块石等杂物，装入喷射机前应过筛，干混合料应随拌随用，无速凝剂掺入的混合料，存放时间不应超过</w:t>
      </w:r>
      <w:r>
        <w:rPr>
          <w:rFonts w:hAnsi="Times New Roman" w:cs="Times New Roman"/>
          <w:color w:val="auto"/>
          <w:highlight w:val="none"/>
          <w:lang w:eastAsia="zh-CN"/>
        </w:rPr>
        <w:t>2</w:t>
      </w:r>
      <w:r>
        <w:rPr>
          <w:rFonts w:cs="宋体"/>
          <w:color w:val="auto"/>
          <w:highlight w:val="none"/>
          <w:lang w:eastAsia="zh-CN"/>
        </w:rPr>
        <w:t>小时，干混合料掺入速凝剂，存放时间不应超过</w:t>
      </w:r>
      <w:r>
        <w:rPr>
          <w:rFonts w:hAnsi="Times New Roman" w:cs="Times New Roman"/>
          <w:color w:val="auto"/>
          <w:highlight w:val="none"/>
          <w:lang w:eastAsia="zh-CN"/>
        </w:rPr>
        <w:t>20</w:t>
      </w:r>
      <w:r>
        <w:rPr>
          <w:rFonts w:cs="宋体"/>
          <w:color w:val="auto"/>
          <w:highlight w:val="none"/>
          <w:lang w:eastAsia="zh-CN"/>
        </w:rPr>
        <w:t>秒。</w:t>
      </w:r>
    </w:p>
    <w:p w14:paraId="406B7B01">
      <w:pPr>
        <w:pStyle w:val="5"/>
        <w:jc w:val="left"/>
        <w:rPr>
          <w:rFonts w:hAnsi="Times New Roman" w:cs="楷体"/>
          <w:color w:val="auto"/>
          <w:highlight w:val="none"/>
          <w:lang w:eastAsia="zh-CN"/>
        </w:rPr>
      </w:pPr>
      <w:r>
        <w:rPr>
          <w:rFonts w:hAnsi="Times New Roman" w:cs="Times New Roman"/>
          <w:color w:val="auto"/>
          <w:highlight w:val="none"/>
          <w:lang w:eastAsia="zh-CN"/>
        </w:rPr>
        <w:t>9.4.4</w:t>
      </w:r>
      <w:r>
        <w:rPr>
          <w:rFonts w:hint="eastAsia" w:hAnsi="Times New Roman" w:cs="Times New Roman"/>
          <w:color w:val="auto"/>
          <w:highlight w:val="none"/>
          <w:lang w:eastAsia="zh-CN"/>
        </w:rPr>
        <w:t>　</w:t>
      </w:r>
      <w:r>
        <w:rPr>
          <w:rFonts w:hAnsi="楷体" w:cs="楷体"/>
          <w:color w:val="auto"/>
          <w:highlight w:val="none"/>
          <w:lang w:eastAsia="zh-CN"/>
        </w:rPr>
        <w:t>喷射混凝土施工</w:t>
      </w:r>
    </w:p>
    <w:p w14:paraId="48E6352D">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）喷射混凝土的准备工作应遵守《水利水电工程锚喷支护技术规范》（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6.4</w:t>
      </w:r>
      <w:r>
        <w:rPr>
          <w:rFonts w:cs="宋体"/>
          <w:color w:val="auto"/>
          <w:highlight w:val="none"/>
          <w:lang w:eastAsia="zh-CN"/>
        </w:rPr>
        <w:t>节的规定。</w:t>
      </w:r>
    </w:p>
    <w:p w14:paraId="6030BE0B">
      <w:pPr>
        <w:suppressAutoHyphens/>
        <w:ind w:firstLine="420"/>
        <w:jc w:val="left"/>
        <w:rPr>
          <w:color w:val="auto"/>
          <w:highlight w:val="none"/>
          <w:lang w:eastAsia="zh-CN"/>
        </w:rPr>
      </w:pPr>
      <w:r>
        <w:rPr>
          <w:rFonts w:hint="eastAsia"/>
          <w:color w:val="auto"/>
          <w:highlight w:val="none"/>
          <w:lang w:eastAsia="zh-CN"/>
        </w:rPr>
        <w:t>1）承包人应在喷射前对喷射面进行检查，并做好以下准备工作：清除开挖面的浮石、墙脚的石渣和堆积物；洞室挖除欠挖部分；处理好光滑岩面；安设工作平台；用高压风水枪冲洗喷面，对遇水易潮解的泥化岩层，应采用压风清扫岩面；埋设控制喷射混凝土厚度的标志；作业区应具有良好的通风和充足的照明设施。</w:t>
      </w:r>
    </w:p>
    <w:p w14:paraId="24C73B2B">
      <w:pPr>
        <w:suppressAutoHyphens/>
        <w:ind w:firstLine="420"/>
        <w:jc w:val="left"/>
        <w:rPr>
          <w:color w:val="auto"/>
          <w:highlight w:val="none"/>
          <w:lang w:eastAsia="zh-CN"/>
        </w:rPr>
      </w:pPr>
      <w:r>
        <w:rPr>
          <w:rFonts w:hint="eastAsia"/>
          <w:color w:val="auto"/>
          <w:highlight w:val="none"/>
          <w:lang w:eastAsia="zh-CN"/>
        </w:rPr>
        <w:t>2）喷射作业前，承包人应对施工机械设备，风、水管路和电线等进行全面检查和试运行。</w:t>
      </w:r>
    </w:p>
    <w:p w14:paraId="72BF7AFA">
      <w:pPr>
        <w:ind w:firstLine="420"/>
        <w:jc w:val="left"/>
        <w:rPr>
          <w:color w:val="auto"/>
          <w:highlight w:val="none"/>
          <w:lang w:eastAsia="zh-CN"/>
        </w:rPr>
      </w:pPr>
      <w:r>
        <w:rPr>
          <w:rFonts w:hint="eastAsia"/>
          <w:color w:val="auto"/>
          <w:highlight w:val="none"/>
          <w:lang w:eastAsia="zh-CN"/>
        </w:rPr>
        <w:t>3）承包人应在受喷面滴水部位埋设导管排水，导水效果不好的含水层可设盲沟排水，对淋水处可设截水圈排水。</w:t>
      </w:r>
    </w:p>
    <w:p w14:paraId="562622CB">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）喷射混凝土作业应遵守《水利水电工程锚喷支护技术规范》（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6.5</w:t>
      </w:r>
      <w:r>
        <w:rPr>
          <w:rFonts w:cs="宋体"/>
          <w:color w:val="auto"/>
          <w:highlight w:val="none"/>
          <w:lang w:eastAsia="zh-CN"/>
        </w:rPr>
        <w:t>节的规定。</w:t>
      </w:r>
    </w:p>
    <w:p w14:paraId="5B4E7BDC">
      <w:pPr>
        <w:suppressAutoHyphens/>
        <w:ind w:firstLine="420"/>
        <w:jc w:val="left"/>
        <w:rPr>
          <w:color w:val="auto"/>
          <w:highlight w:val="none"/>
          <w:lang w:eastAsia="zh-CN"/>
        </w:rPr>
      </w:pPr>
      <w:r>
        <w:rPr>
          <w:color w:val="auto"/>
          <w:highlight w:val="none"/>
          <w:lang w:eastAsia="zh-CN"/>
        </w:rPr>
        <w:t>1）喷射混凝土施工前56天，承包人应为每种拟用的外加剂至少作三次试块试验板，试验板测定的喷射混凝土工艺质量和抗压强度达到要求后，才能进行喷射混凝土施工。</w:t>
      </w:r>
    </w:p>
    <w:p w14:paraId="724EA2A7">
      <w:pPr>
        <w:suppressAutoHyphens/>
        <w:ind w:firstLine="420"/>
        <w:jc w:val="left"/>
        <w:rPr>
          <w:color w:val="auto"/>
          <w:highlight w:val="none"/>
          <w:lang w:eastAsia="zh-CN"/>
        </w:rPr>
      </w:pPr>
      <w:r>
        <w:rPr>
          <w:rFonts w:hint="eastAsia"/>
          <w:color w:val="auto"/>
          <w:highlight w:val="none"/>
          <w:lang w:eastAsia="zh-CN"/>
        </w:rPr>
        <w:t>2）喷射混凝土采用湿喷法施工。喷射混凝土作业应分段分片依次进行，区段间的接合部和结构的接缝处应做妥善处理，不得存在漏喷部位。喷射顺序自下而上，一次喷射厚度边墙80～150mm、拱部60～100mm；分层喷射时，后一层应在前一层混凝土终凝后进行，若终凝1h后再行喷射，应先用风水清洗喷层面；喷射作业应紧跟开挖工作面，混凝土终凝至下一循环放炮时间不应少于3h。</w:t>
      </w:r>
    </w:p>
    <w:p w14:paraId="21D11C9A">
      <w:pPr>
        <w:suppressAutoHyphens/>
        <w:ind w:firstLine="420"/>
        <w:jc w:val="left"/>
        <w:rPr>
          <w:color w:val="auto"/>
          <w:highlight w:val="none"/>
          <w:lang w:eastAsia="zh-CN"/>
        </w:rPr>
      </w:pPr>
      <w:r>
        <w:rPr>
          <w:rFonts w:hint="eastAsia"/>
          <w:color w:val="auto"/>
          <w:highlight w:val="none"/>
          <w:lang w:eastAsia="zh-CN"/>
        </w:rPr>
        <w:t>3）喷射机作业应严格执行喷射机的操作规程：应连续向喷射机供料；保持喷射机工作风压稳定；完成或因故中断喷射作业时，应将喷射机和输料管内的积料清除干净。</w:t>
      </w:r>
    </w:p>
    <w:p w14:paraId="6B472D70">
      <w:pPr>
        <w:suppressAutoHyphens/>
        <w:ind w:firstLine="420"/>
        <w:jc w:val="left"/>
        <w:rPr>
          <w:color w:val="auto"/>
          <w:highlight w:val="none"/>
          <w:lang w:eastAsia="zh-CN"/>
        </w:rPr>
      </w:pPr>
      <w:r>
        <w:rPr>
          <w:rFonts w:hint="eastAsia"/>
          <w:color w:val="auto"/>
          <w:highlight w:val="none"/>
          <w:lang w:eastAsia="zh-CN"/>
        </w:rPr>
        <w:t>4）喷射混凝土的回弹率：洞室拱部不应大于25％，边墙（边坡）不应大于15％。</w:t>
      </w:r>
    </w:p>
    <w:p w14:paraId="0D6FB6C8">
      <w:pPr>
        <w:suppressAutoHyphens/>
        <w:ind w:firstLine="420"/>
        <w:jc w:val="left"/>
        <w:rPr>
          <w:color w:val="auto"/>
          <w:highlight w:val="none"/>
          <w:lang w:eastAsia="zh-CN"/>
        </w:rPr>
      </w:pPr>
      <w:r>
        <w:rPr>
          <w:rFonts w:hint="eastAsia"/>
          <w:color w:val="auto"/>
          <w:highlight w:val="none"/>
          <w:lang w:eastAsia="zh-CN"/>
        </w:rPr>
        <w:t>5）喷射混凝土养护：喷射混凝土终凝2h后，应喷水养护；养护时间一般工程不得少于7昼夜，重要工程不得少于14昼夜；气温低于+5℃时，不得喷水养护。</w:t>
      </w:r>
    </w:p>
    <w:p w14:paraId="0AF6C991">
      <w:pPr>
        <w:pStyle w:val="7"/>
        <w:ind w:firstLine="420"/>
        <w:jc w:val="left"/>
        <w:rPr>
          <w:color w:val="auto"/>
          <w:highlight w:val="none"/>
          <w:lang w:eastAsia="zh-CN"/>
        </w:rPr>
      </w:pPr>
      <w:r>
        <w:rPr>
          <w:rFonts w:hint="eastAsia"/>
          <w:color w:val="auto"/>
          <w:highlight w:val="none"/>
          <w:lang w:eastAsia="zh-CN"/>
        </w:rPr>
        <w:t>（6）冬季施工：喷射作业区的气温不应低于＋5℃；混合料进入喷射机的温度不应低于+5℃；普通硅酸盐水泥或矿渣水泥配制的喷射混凝土在分别低于设计强度30％和40％时，不得受冻。</w:t>
      </w:r>
    </w:p>
    <w:p w14:paraId="0EFF4B0E">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）钢纤维喷射混凝土的作业应遵守《水利水电工程锚喷支护技术规范》（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6.7</w:t>
      </w:r>
      <w:r>
        <w:rPr>
          <w:rFonts w:cs="宋体"/>
          <w:color w:val="auto"/>
          <w:highlight w:val="none"/>
          <w:lang w:eastAsia="zh-CN"/>
        </w:rPr>
        <w:t>节的规定，钢纤维掺量应根据试验确定，并提交监理人批准。</w:t>
      </w:r>
    </w:p>
    <w:p w14:paraId="1F0F2D6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）钢纤维喷射混凝土施工，除遵守上述规定外，还应符合下列要求：</w:t>
      </w:r>
    </w:p>
    <w:p w14:paraId="2CEBDA77">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）搅拌混合料时应采用钢纤维播料机往混合料中加钢纤维，搅拌时间不小于</w:t>
      </w:r>
      <w:r>
        <w:rPr>
          <w:rFonts w:hAnsi="Times New Roman" w:cs="Times New Roman"/>
          <w:color w:val="auto"/>
          <w:highlight w:val="none"/>
          <w:u w:val="single"/>
          <w:lang w:eastAsia="zh-CN"/>
        </w:rPr>
        <w:t>180</w:t>
      </w:r>
      <w:r>
        <w:rPr>
          <w:rFonts w:cs="宋体"/>
          <w:color w:val="auto"/>
          <w:highlight w:val="none"/>
          <w:u w:val="single"/>
          <w:lang w:eastAsia="zh-CN"/>
        </w:rPr>
        <w:t>秒</w:t>
      </w:r>
      <w:r>
        <w:rPr>
          <w:rFonts w:cs="宋体"/>
          <w:color w:val="auto"/>
          <w:highlight w:val="none"/>
          <w:lang w:eastAsia="zh-CN"/>
        </w:rPr>
        <w:t>。</w:t>
      </w:r>
    </w:p>
    <w:p w14:paraId="5242BB26">
      <w:pPr>
        <w:ind w:firstLine="420"/>
        <w:jc w:val="left"/>
        <w:rPr>
          <w:rFonts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）钢纤维在混合料中应分布均匀，不得成团。</w:t>
      </w:r>
    </w:p>
    <w:p w14:paraId="033A32A3">
      <w:pPr>
        <w:suppressAutoHyphens/>
        <w:ind w:firstLine="420"/>
        <w:jc w:val="left"/>
        <w:rPr>
          <w:color w:val="auto"/>
          <w:highlight w:val="none"/>
          <w:lang w:eastAsia="zh-CN"/>
        </w:rPr>
      </w:pPr>
      <w:r>
        <w:rPr>
          <w:rFonts w:hint="eastAsia"/>
          <w:color w:val="auto"/>
          <w:highlight w:val="none"/>
          <w:lang w:eastAsia="zh-CN"/>
        </w:rPr>
        <w:t>3）钢纤维的长度偏差不应超过长度公称值的±5％；</w:t>
      </w:r>
    </w:p>
    <w:p w14:paraId="0CABC6CC">
      <w:pPr>
        <w:suppressAutoHyphens/>
        <w:ind w:firstLine="420"/>
        <w:jc w:val="left"/>
        <w:rPr>
          <w:color w:val="auto"/>
          <w:highlight w:val="none"/>
          <w:lang w:eastAsia="zh-CN"/>
        </w:rPr>
      </w:pPr>
      <w:r>
        <w:rPr>
          <w:rFonts w:hint="eastAsia"/>
          <w:color w:val="auto"/>
          <w:highlight w:val="none"/>
          <w:lang w:eastAsia="zh-CN"/>
        </w:rPr>
        <w:t>4）钢纤维掺量应符合设计要求，其允许偏差值为±2％；</w:t>
      </w:r>
    </w:p>
    <w:p w14:paraId="2C0C7680">
      <w:pPr>
        <w:pStyle w:val="7"/>
        <w:ind w:firstLine="420"/>
        <w:jc w:val="left"/>
        <w:rPr>
          <w:color w:val="auto"/>
          <w:highlight w:val="none"/>
          <w:lang w:eastAsia="zh-CN"/>
        </w:rPr>
      </w:pPr>
      <w:r>
        <w:rPr>
          <w:rFonts w:hint="eastAsia"/>
          <w:color w:val="auto"/>
          <w:highlight w:val="none"/>
          <w:lang w:eastAsia="zh-CN"/>
        </w:rPr>
        <w:t>5）钢纤维不得有明显的锈蚀、油渍或其他妨碍钢纤维与水泥黏结的杂质。钢纤维内含有的因加工不良造成的黏连片、表面锈蚀的纤维、铁屑及杂质的总重量不应超过钢纤维重量的1％。</w:t>
      </w:r>
    </w:p>
    <w:p w14:paraId="789DF9F6">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）在钢纤维喷射混凝土喷射结束后，应在其表面再喷一层厚度为</w:t>
      </w:r>
      <w:r>
        <w:rPr>
          <w:rFonts w:hAnsi="Times New Roman" w:cs="Times New Roman"/>
          <w:color w:val="auto"/>
          <w:highlight w:val="none"/>
          <w:u w:val="single"/>
          <w:lang w:eastAsia="zh-CN"/>
        </w:rPr>
        <w:t>10mm</w:t>
      </w:r>
      <w:r>
        <w:rPr>
          <w:rFonts w:cs="宋体"/>
          <w:color w:val="auto"/>
          <w:highlight w:val="none"/>
          <w:lang w:eastAsia="zh-CN"/>
        </w:rPr>
        <w:t>的水泥浆，其强度等级不应低于已喷射钢纤维混凝土的强度等级。</w:t>
      </w:r>
    </w:p>
    <w:p w14:paraId="2CBB3D6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）钢筋网（或钢丝网）喷射混凝土施工应遵守《水利水电工程锚喷支护技术规范》（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7.1</w:t>
      </w:r>
      <w:r>
        <w:rPr>
          <w:rFonts w:cs="宋体"/>
          <w:color w:val="auto"/>
          <w:highlight w:val="none"/>
          <w:lang w:eastAsia="zh-CN"/>
        </w:rPr>
        <w:t>节的规定。</w:t>
      </w:r>
    </w:p>
    <w:p w14:paraId="44C7C4B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）钢拱架、钢筋网喷射混凝土施工应遵守《水利水电工程锚喷支护技术规范》（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7.2</w:t>
      </w:r>
      <w:r>
        <w:rPr>
          <w:rFonts w:cs="宋体"/>
          <w:color w:val="auto"/>
          <w:highlight w:val="none"/>
          <w:lang w:eastAsia="zh-CN"/>
        </w:rPr>
        <w:t>节的规定。</w:t>
      </w:r>
    </w:p>
    <w:p w14:paraId="5E786C9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）特殊地质条件下的锚喷联合支护施工应遵守《水利水电工程锚喷支护技术规范》（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7.3</w:t>
      </w:r>
      <w:r>
        <w:rPr>
          <w:rFonts w:cs="宋体"/>
          <w:color w:val="auto"/>
          <w:highlight w:val="none"/>
          <w:lang w:eastAsia="zh-CN"/>
        </w:rPr>
        <w:t>节的规定。</w:t>
      </w:r>
    </w:p>
    <w:p w14:paraId="0F6DD681">
      <w:pPr>
        <w:pStyle w:val="5"/>
        <w:jc w:val="left"/>
        <w:rPr>
          <w:rFonts w:hAnsi="Times New Roman" w:cs="楷体"/>
          <w:color w:val="auto"/>
          <w:highlight w:val="none"/>
          <w:lang w:eastAsia="zh-CN"/>
        </w:rPr>
      </w:pPr>
      <w:r>
        <w:rPr>
          <w:rFonts w:hAnsi="Times New Roman" w:cs="Times New Roman"/>
          <w:color w:val="auto"/>
          <w:highlight w:val="none"/>
          <w:lang w:eastAsia="zh-CN"/>
        </w:rPr>
        <w:t>9.4.5</w:t>
      </w:r>
      <w:r>
        <w:rPr>
          <w:rFonts w:hint="eastAsia" w:hAnsi="Times New Roman" w:cs="Times New Roman"/>
          <w:color w:val="auto"/>
          <w:highlight w:val="none"/>
          <w:lang w:eastAsia="zh-CN"/>
        </w:rPr>
        <w:t>　</w:t>
      </w:r>
      <w:r>
        <w:rPr>
          <w:rFonts w:hAnsi="楷体" w:cs="楷体"/>
          <w:color w:val="auto"/>
          <w:highlight w:val="none"/>
          <w:lang w:eastAsia="zh-CN"/>
        </w:rPr>
        <w:t>喷射混凝土的质量检查和验收</w:t>
      </w:r>
    </w:p>
    <w:p w14:paraId="47C3BC1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）承包人应按本章有关规定，进行喷射混凝土材料、配合比，以及抗压强度的抽样检验，并将检验成果提交监理人。</w:t>
      </w:r>
    </w:p>
    <w:p w14:paraId="6F74FE6E">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）喷射混凝土施工质量检查应遵守《水利水电工程锚喷支护技术规范》（</w:t>
      </w:r>
      <w:r>
        <w:rPr>
          <w:rFonts w:hAnsi="Times New Roman" w:cs="Times New Roman"/>
          <w:color w:val="auto"/>
          <w:highlight w:val="none"/>
          <w:lang w:eastAsia="zh-CN"/>
        </w:rPr>
        <w:t>SL377—2007</w:t>
      </w:r>
      <w:r>
        <w:rPr>
          <w:rFonts w:cs="宋体"/>
          <w:color w:val="auto"/>
          <w:highlight w:val="none"/>
          <w:lang w:eastAsia="zh-CN"/>
        </w:rPr>
        <w:t>）第</w:t>
      </w:r>
      <w:r>
        <w:rPr>
          <w:rFonts w:hAnsi="Times New Roman" w:cs="Times New Roman"/>
          <w:color w:val="auto"/>
          <w:highlight w:val="none"/>
          <w:lang w:eastAsia="zh-CN"/>
        </w:rPr>
        <w:t>10.2</w:t>
      </w:r>
      <w:r>
        <w:rPr>
          <w:rFonts w:cs="宋体"/>
          <w:color w:val="auto"/>
          <w:highlight w:val="none"/>
          <w:lang w:eastAsia="zh-CN"/>
        </w:rPr>
        <w:t>节的规定。</w:t>
      </w:r>
    </w:p>
    <w:p w14:paraId="680DCCB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）各项喷射混凝土工程的施工作业完成后，应由监理人组织验收，承包人应为喷射混凝土工程的验收提供以下资料：</w:t>
      </w:r>
    </w:p>
    <w:p w14:paraId="60ECBF62">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）材料出厂合格证、现场材料试验报告、代用材料试验报告。</w:t>
      </w:r>
    </w:p>
    <w:p w14:paraId="0E93A19B">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）喷射混凝土施工记录，包括喷射混凝土配合比、速凝剂和外加剂掺量、水灰比，以及各工序施工作业时间表。</w:t>
      </w:r>
    </w:p>
    <w:p w14:paraId="27C5CD60">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）喷射混凝土强度、厚度、黏结力、外观质量等检查报告和检验验收记录。</w:t>
      </w:r>
    </w:p>
    <w:p w14:paraId="4D0BD65D">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）隐蔽工程检查验收记录。</w:t>
      </w:r>
    </w:p>
    <w:p w14:paraId="6B04A12E">
      <w:pPr>
        <w:pStyle w:val="4"/>
        <w:spacing w:beforeLines="0" w:afterLines="0"/>
        <w:jc w:val="both"/>
        <w:rPr>
          <w:rFonts w:hint="eastAsia" w:cs="宋体"/>
          <w:bCs/>
          <w:color w:val="auto"/>
          <w:szCs w:val="24"/>
          <w:highlight w:val="none"/>
          <w:lang w:eastAsia="zh-CN"/>
        </w:rPr>
      </w:pPr>
      <w:bookmarkStart w:id="1952" w:name="_Toc13014"/>
      <w:bookmarkStart w:id="1953" w:name="_Toc3097"/>
      <w:bookmarkStart w:id="1954" w:name="_Toc2541"/>
      <w:r>
        <w:rPr>
          <w:rFonts w:hint="eastAsia" w:cs="宋体"/>
          <w:bCs/>
          <w:color w:val="auto"/>
          <w:szCs w:val="24"/>
          <w:highlight w:val="none"/>
          <w:lang w:eastAsia="zh-CN"/>
        </w:rPr>
        <w:t>9.5　地下洞室支护</w:t>
      </w:r>
      <w:bookmarkEnd w:id="1952"/>
      <w:bookmarkEnd w:id="1953"/>
      <w:bookmarkEnd w:id="1954"/>
    </w:p>
    <w:p w14:paraId="46BF08CB">
      <w:pPr>
        <w:pStyle w:val="5"/>
        <w:jc w:val="left"/>
        <w:rPr>
          <w:rFonts w:hAnsi="Times New Roman" w:cs="楷体"/>
          <w:color w:val="auto"/>
          <w:highlight w:val="none"/>
          <w:lang w:eastAsia="zh-CN"/>
        </w:rPr>
      </w:pPr>
      <w:r>
        <w:rPr>
          <w:rFonts w:hAnsi="Times New Roman" w:cs="Times New Roman"/>
          <w:color w:val="auto"/>
          <w:highlight w:val="none"/>
          <w:lang w:eastAsia="zh-CN"/>
        </w:rPr>
        <w:t>9.5.1</w:t>
      </w:r>
      <w:r>
        <w:rPr>
          <w:rFonts w:hint="eastAsia" w:hAnsi="Times New Roman" w:cs="Times New Roman"/>
          <w:color w:val="auto"/>
          <w:highlight w:val="none"/>
          <w:lang w:eastAsia="zh-CN"/>
        </w:rPr>
        <w:t>　</w:t>
      </w:r>
      <w:r>
        <w:rPr>
          <w:rFonts w:hAnsi="楷体" w:cs="楷体"/>
          <w:color w:val="auto"/>
          <w:highlight w:val="none"/>
          <w:lang w:eastAsia="zh-CN"/>
        </w:rPr>
        <w:t>地下洞室开挖和支护措施计划</w:t>
      </w:r>
    </w:p>
    <w:p w14:paraId="63E3B6EA">
      <w:pPr>
        <w:ind w:firstLine="420"/>
        <w:jc w:val="left"/>
        <w:rPr>
          <w:rFonts w:hAnsi="Times New Roman" w:cs="宋体"/>
          <w:color w:val="auto"/>
          <w:highlight w:val="none"/>
          <w:lang w:eastAsia="zh-CN"/>
        </w:rPr>
      </w:pPr>
      <w:r>
        <w:rPr>
          <w:rFonts w:cs="宋体"/>
          <w:color w:val="auto"/>
          <w:highlight w:val="none"/>
          <w:lang w:eastAsia="zh-CN"/>
        </w:rPr>
        <w:t>在地下洞室开始施工前</w:t>
      </w:r>
      <w:r>
        <w:rPr>
          <w:rFonts w:hint="eastAsia" w:cs="宋体"/>
          <w:color w:val="auto"/>
          <w:highlight w:val="none"/>
          <w:u w:val="single"/>
          <w:lang w:val="en-US" w:eastAsia="zh-CN"/>
        </w:rPr>
        <w:t xml:space="preserve"> </w:t>
      </w:r>
      <w:r>
        <w:rPr>
          <w:rFonts w:cs="宋体"/>
          <w:color w:val="auto"/>
          <w:highlight w:val="none"/>
          <w:u w:val="single"/>
          <w:lang w:eastAsia="zh-CN"/>
        </w:rPr>
        <w:t>21</w:t>
      </w:r>
      <w:r>
        <w:rPr>
          <w:rFonts w:hint="eastAsia" w:cs="宋体"/>
          <w:color w:val="auto"/>
          <w:highlight w:val="none"/>
          <w:u w:val="single"/>
          <w:lang w:val="en-US" w:eastAsia="zh-CN"/>
        </w:rPr>
        <w:t xml:space="preserve"> </w:t>
      </w:r>
      <w:r>
        <w:rPr>
          <w:rFonts w:cs="宋体"/>
          <w:color w:val="auto"/>
          <w:highlight w:val="none"/>
          <w:lang w:eastAsia="zh-CN"/>
        </w:rPr>
        <w:t>天，承包人应按本合同施工图纸要求和监理人指示，编制本工程地下洞室开挖和支护措施计划，提交监理人批准。其内容包括：</w:t>
      </w:r>
    </w:p>
    <w:p w14:paraId="2E757B9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）本工程各地下洞室的开挖和支护程序。</w:t>
      </w:r>
    </w:p>
    <w:p w14:paraId="416B09D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）各地下洞室的支护材料和支护方案选择。</w:t>
      </w:r>
    </w:p>
    <w:p w14:paraId="7790B1E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）开挖和支护的安全监测措施。</w:t>
      </w:r>
    </w:p>
    <w:p w14:paraId="4C8ED64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）软弱破碎洞段的特殊支护措施。</w:t>
      </w:r>
    </w:p>
    <w:p w14:paraId="018223B2">
      <w:pPr>
        <w:pStyle w:val="5"/>
        <w:jc w:val="left"/>
        <w:rPr>
          <w:rFonts w:hAnsi="Times New Roman" w:cs="楷体"/>
          <w:color w:val="auto"/>
          <w:highlight w:val="none"/>
          <w:lang w:eastAsia="zh-CN"/>
        </w:rPr>
      </w:pPr>
      <w:r>
        <w:rPr>
          <w:rFonts w:hAnsi="Times New Roman" w:cs="Times New Roman"/>
          <w:color w:val="auto"/>
          <w:highlight w:val="none"/>
          <w:lang w:eastAsia="zh-CN"/>
        </w:rPr>
        <w:t>9.5.2</w:t>
      </w:r>
      <w:r>
        <w:rPr>
          <w:rFonts w:hint="eastAsia" w:hAnsi="Times New Roman" w:cs="Times New Roman"/>
          <w:color w:val="auto"/>
          <w:highlight w:val="none"/>
          <w:lang w:eastAsia="zh-CN"/>
        </w:rPr>
        <w:t>　</w:t>
      </w:r>
      <w:r>
        <w:rPr>
          <w:rFonts w:hAnsi="楷体" w:cs="楷体"/>
          <w:color w:val="auto"/>
          <w:highlight w:val="none"/>
          <w:lang w:eastAsia="zh-CN"/>
        </w:rPr>
        <w:t>地下洞室喷锚混凝土支护</w:t>
      </w:r>
    </w:p>
    <w:p w14:paraId="4CA51C8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）承包人完成已开挖洞段的安全清理后，应及时按施工图纸要求钻设锚杆，以确保围岩稳定。锚杆钻设完成后，若发现安全监测数据异常，承包人应按监理人指示增设锚杆和（或）立即喷射混凝土。</w:t>
      </w:r>
    </w:p>
    <w:p w14:paraId="3A0CA21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）地下洞室的喷射混凝土施工应按本章第</w:t>
      </w:r>
      <w:r>
        <w:rPr>
          <w:rFonts w:hAnsi="Times New Roman" w:cs="Times New Roman"/>
          <w:color w:val="auto"/>
          <w:highlight w:val="none"/>
          <w:lang w:eastAsia="zh-CN"/>
        </w:rPr>
        <w:t>9.4</w:t>
      </w:r>
      <w:r>
        <w:rPr>
          <w:rFonts w:cs="宋体"/>
          <w:color w:val="auto"/>
          <w:highlight w:val="none"/>
          <w:lang w:eastAsia="zh-CN"/>
        </w:rPr>
        <w:t>款的有关规定进行。</w:t>
      </w:r>
    </w:p>
    <w:p w14:paraId="4C1654B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）地下洞室喷射混凝土均应采用湿喷法。</w:t>
      </w:r>
    </w:p>
    <w:p w14:paraId="731B921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）地下洞室喷射混凝土的回弹率：拱部不应大于</w:t>
      </w:r>
      <w:r>
        <w:rPr>
          <w:rFonts w:hAnsi="Times New Roman" w:cs="Times New Roman"/>
          <w:color w:val="auto"/>
          <w:highlight w:val="none"/>
          <w:lang w:eastAsia="zh-CN"/>
        </w:rPr>
        <w:t>25%</w:t>
      </w:r>
      <w:r>
        <w:rPr>
          <w:rFonts w:cs="宋体"/>
          <w:color w:val="auto"/>
          <w:highlight w:val="none"/>
          <w:lang w:eastAsia="zh-CN"/>
        </w:rPr>
        <w:t>，边墙不应大于</w:t>
      </w:r>
      <w:r>
        <w:rPr>
          <w:rFonts w:hAnsi="Times New Roman" w:cs="Times New Roman"/>
          <w:color w:val="auto"/>
          <w:highlight w:val="none"/>
          <w:lang w:eastAsia="zh-CN"/>
        </w:rPr>
        <w:t>15</w:t>
      </w:r>
      <w:r>
        <w:rPr>
          <w:rFonts w:cs="宋体"/>
          <w:color w:val="auto"/>
          <w:highlight w:val="none"/>
          <w:lang w:eastAsia="zh-CN"/>
        </w:rPr>
        <w:t>％。</w:t>
      </w:r>
    </w:p>
    <w:p w14:paraId="1D6D99A3">
      <w:pPr>
        <w:pStyle w:val="5"/>
        <w:jc w:val="left"/>
        <w:rPr>
          <w:rFonts w:hAnsi="楷体" w:cs="楷体"/>
          <w:color w:val="auto"/>
          <w:highlight w:val="none"/>
          <w:lang w:eastAsia="zh-CN"/>
        </w:rPr>
      </w:pPr>
      <w:r>
        <w:rPr>
          <w:rFonts w:hAnsi="Times New Roman" w:cs="Times New Roman"/>
          <w:color w:val="auto"/>
          <w:highlight w:val="none"/>
          <w:lang w:eastAsia="zh-CN"/>
        </w:rPr>
        <w:t>9.5.3</w:t>
      </w:r>
      <w:r>
        <w:rPr>
          <w:rFonts w:hint="eastAsia" w:hAnsi="Times New Roman" w:cs="Times New Roman"/>
          <w:color w:val="auto"/>
          <w:highlight w:val="none"/>
          <w:lang w:eastAsia="zh-CN"/>
        </w:rPr>
        <w:t>　</w:t>
      </w:r>
      <w:r>
        <w:rPr>
          <w:rFonts w:hAnsi="楷体" w:cs="楷体"/>
          <w:color w:val="auto"/>
          <w:highlight w:val="none"/>
          <w:lang w:eastAsia="zh-CN"/>
        </w:rPr>
        <w:t>地下洞室的预应力锚索支护</w:t>
      </w:r>
    </w:p>
    <w:p w14:paraId="79EB2D0F">
      <w:pPr>
        <w:pStyle w:val="5"/>
        <w:ind w:firstLine="480" w:firstLineChars="200"/>
        <w:jc w:val="left"/>
        <w:rPr>
          <w:rFonts w:hint="default" w:hAnsi="楷体" w:cs="楷体"/>
          <w:color w:val="auto"/>
          <w:highlight w:val="none"/>
          <w:lang w:val="en-US" w:eastAsia="zh-CN"/>
        </w:rPr>
      </w:pPr>
      <w:r>
        <w:rPr>
          <w:rFonts w:hint="eastAsia" w:hAnsi="楷体" w:cs="楷体"/>
          <w:color w:val="auto"/>
          <w:highlight w:val="none"/>
          <w:lang w:val="en-US" w:eastAsia="zh-CN"/>
        </w:rPr>
        <w:t>本标段不涉及。</w:t>
      </w:r>
    </w:p>
    <w:p w14:paraId="055E6E25">
      <w:pPr>
        <w:pStyle w:val="5"/>
        <w:jc w:val="left"/>
        <w:rPr>
          <w:rFonts w:hAnsi="楷体" w:cs="楷体"/>
          <w:color w:val="auto"/>
          <w:highlight w:val="none"/>
          <w:lang w:eastAsia="zh-CN"/>
        </w:rPr>
      </w:pPr>
      <w:r>
        <w:rPr>
          <w:rFonts w:hAnsi="Times New Roman" w:cs="Times New Roman"/>
          <w:color w:val="auto"/>
          <w:highlight w:val="none"/>
          <w:lang w:eastAsia="zh-CN"/>
        </w:rPr>
        <w:t>9.5.4</w:t>
      </w:r>
      <w:r>
        <w:rPr>
          <w:rFonts w:hint="eastAsia" w:hAnsi="Times New Roman" w:cs="Times New Roman"/>
          <w:color w:val="auto"/>
          <w:highlight w:val="none"/>
          <w:lang w:eastAsia="zh-CN"/>
        </w:rPr>
        <w:t>　</w:t>
      </w:r>
      <w:r>
        <w:rPr>
          <w:rFonts w:hAnsi="楷体" w:cs="楷体"/>
          <w:color w:val="auto"/>
          <w:highlight w:val="none"/>
          <w:lang w:eastAsia="zh-CN"/>
        </w:rPr>
        <w:t>地下洞室的钢架</w:t>
      </w:r>
      <w:r>
        <w:rPr>
          <w:rFonts w:hint="eastAsia" w:hAnsi="楷体" w:cs="楷体"/>
          <w:color w:val="auto"/>
          <w:highlight w:val="none"/>
          <w:lang w:eastAsia="zh-CN"/>
        </w:rPr>
        <w:t>、钢筋格栅</w:t>
      </w:r>
      <w:r>
        <w:rPr>
          <w:rFonts w:hAnsi="楷体" w:cs="楷体"/>
          <w:color w:val="auto"/>
          <w:highlight w:val="none"/>
          <w:lang w:eastAsia="zh-CN"/>
        </w:rPr>
        <w:t>支撑支护</w:t>
      </w:r>
    </w:p>
    <w:p w14:paraId="29A44EA6">
      <w:pPr>
        <w:pStyle w:val="5"/>
        <w:jc w:val="left"/>
        <w:rPr>
          <w:rFonts w:hAnsi="楷体" w:cs="楷体"/>
          <w:color w:val="auto"/>
          <w:highlight w:val="none"/>
          <w:lang w:eastAsia="zh-CN"/>
        </w:rPr>
      </w:pPr>
      <w:r>
        <w:rPr>
          <w:rFonts w:hAnsi="楷体" w:cs="楷体"/>
          <w:color w:val="auto"/>
          <w:highlight w:val="none"/>
          <w:lang w:eastAsia="zh-CN"/>
        </w:rPr>
        <w:t>9.5.4.1</w:t>
      </w:r>
      <w:r>
        <w:rPr>
          <w:rFonts w:hint="eastAsia" w:hAnsi="楷体" w:cs="楷体"/>
          <w:color w:val="auto"/>
          <w:highlight w:val="none"/>
          <w:lang w:eastAsia="zh-CN"/>
        </w:rPr>
        <w:t>　说明</w:t>
      </w:r>
    </w:p>
    <w:p w14:paraId="0C8C742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）地下洞室支护的钢架支撑分为型钢钢架和格栅钢架（以下简称钢架支撑）两种类型。</w:t>
      </w:r>
    </w:p>
    <w:p w14:paraId="5A1BF7B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）当型钢钢架不能确保围岩稳定时，承包人应立即采取措施加固为整体格栅钢架，必要时再增加钢筋网和（或）喷射混凝土支护等措施，直至洞室围岩完全稳定为止。</w:t>
      </w:r>
    </w:p>
    <w:p w14:paraId="20907783">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）承包人应在现场配备可供随时投入使用的备用钢架支撑及其附件。</w:t>
      </w:r>
    </w:p>
    <w:p w14:paraId="21FF40F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）钢支撑应装设在衬砌设计断面以外，如因某种原因侵入到衬砌断面以内时，须经监理人批准。不允许使用木材制作的附件作为永久支撑。</w:t>
      </w:r>
    </w:p>
    <w:p w14:paraId="16248F48">
      <w:pPr>
        <w:ind w:firstLine="420"/>
        <w:jc w:val="left"/>
        <w:rPr>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）钢支撑之间可采用钢筋网（或钢丝网）制成挡网，并与钢架支撑牢固连接，以防止岩石掉块。</w:t>
      </w:r>
    </w:p>
    <w:p w14:paraId="7634B076">
      <w:pPr>
        <w:suppressAutoHyphens/>
        <w:ind w:firstLine="420"/>
        <w:jc w:val="left"/>
        <w:rPr>
          <w:color w:val="auto"/>
          <w:highlight w:val="none"/>
          <w:lang w:eastAsia="zh-CN"/>
        </w:rPr>
      </w:pPr>
      <w:r>
        <w:rPr>
          <w:rFonts w:hint="eastAsia"/>
          <w:color w:val="auto"/>
          <w:highlight w:val="none"/>
          <w:lang w:eastAsia="zh-CN"/>
        </w:rPr>
        <w:t>（6）钢拱架指采用型钢（H</w:t>
      </w:r>
      <w:r>
        <w:rPr>
          <w:color w:val="auto"/>
          <w:highlight w:val="none"/>
          <w:lang w:eastAsia="zh-CN"/>
        </w:rPr>
        <w:t>W</w:t>
      </w:r>
      <w:r>
        <w:rPr>
          <w:rFonts w:hint="eastAsia"/>
          <w:color w:val="auto"/>
          <w:highlight w:val="none"/>
          <w:lang w:eastAsia="zh-CN"/>
        </w:rPr>
        <w:t>型钢、U型钢、工字钢、结构用空心型钢）加工而成的支架（拱架）或具备让压功能的拱架。</w:t>
      </w:r>
    </w:p>
    <w:p w14:paraId="2F863E8A">
      <w:pPr>
        <w:suppressAutoHyphens/>
        <w:ind w:firstLine="420"/>
        <w:jc w:val="left"/>
        <w:rPr>
          <w:color w:val="auto"/>
          <w:highlight w:val="none"/>
          <w:lang w:eastAsia="zh-CN"/>
        </w:rPr>
      </w:pPr>
      <w:r>
        <w:rPr>
          <w:rFonts w:hint="eastAsia"/>
          <w:color w:val="auto"/>
          <w:highlight w:val="none"/>
          <w:lang w:eastAsia="zh-CN"/>
        </w:rPr>
        <w:t>（7）钢筋格栅支撑指用钢筋焊接加工而成的桁架式支架（拱架）。</w:t>
      </w:r>
    </w:p>
    <w:p w14:paraId="7B82F9AB">
      <w:pPr>
        <w:ind w:firstLine="420"/>
        <w:jc w:val="left"/>
        <w:rPr>
          <w:color w:val="auto"/>
          <w:highlight w:val="none"/>
          <w:lang w:eastAsia="zh-CN"/>
        </w:rPr>
      </w:pPr>
      <w:r>
        <w:rPr>
          <w:rFonts w:hint="eastAsia"/>
          <w:color w:val="auto"/>
          <w:highlight w:val="none"/>
          <w:lang w:eastAsia="zh-CN"/>
        </w:rPr>
        <w:t>承包人应根据监理人的指示和本技术条款的要求，负责设计、提供和安装钢拱架、钢筋格栅支撑或钢筋拱肋，其设计和制作应遵守钢结构设计和制作规范的有关规定。钢拱架、钢筋格栅支撑和钢筋拱肋的施工图纸应报送监理人审批。使用钢拱架、钢筋格栅支撑及钢筋拱肋的部位须由监理人和承包人现场决定。</w:t>
      </w:r>
    </w:p>
    <w:p w14:paraId="24D68105">
      <w:pPr>
        <w:pStyle w:val="5"/>
        <w:jc w:val="left"/>
        <w:rPr>
          <w:rFonts w:hAnsi="楷体" w:cs="楷体"/>
          <w:color w:val="auto"/>
          <w:highlight w:val="none"/>
          <w:lang w:eastAsia="zh-CN"/>
        </w:rPr>
      </w:pPr>
      <w:r>
        <w:rPr>
          <w:rFonts w:hAnsi="楷体" w:cs="楷体"/>
          <w:color w:val="auto"/>
          <w:highlight w:val="none"/>
          <w:lang w:eastAsia="zh-CN"/>
        </w:rPr>
        <w:t>9.5.4.2</w:t>
      </w:r>
      <w:r>
        <w:rPr>
          <w:rFonts w:hint="eastAsia" w:hAnsi="楷体" w:cs="楷体"/>
          <w:color w:val="auto"/>
          <w:highlight w:val="none"/>
          <w:lang w:eastAsia="zh-CN"/>
        </w:rPr>
        <w:t>　钢拱架材料</w:t>
      </w:r>
    </w:p>
    <w:p w14:paraId="6A973C7C">
      <w:pPr>
        <w:suppressAutoHyphens/>
        <w:ind w:firstLine="420"/>
        <w:jc w:val="left"/>
        <w:rPr>
          <w:color w:val="auto"/>
          <w:highlight w:val="none"/>
          <w:lang w:eastAsia="zh-CN"/>
        </w:rPr>
      </w:pPr>
      <w:r>
        <w:rPr>
          <w:rFonts w:hint="eastAsia"/>
          <w:color w:val="auto"/>
          <w:highlight w:val="none"/>
          <w:lang w:eastAsia="zh-CN"/>
        </w:rPr>
        <w:t>（1）HW型钢、工字钢材质按施工图纸要求，如未说明一般为Q</w:t>
      </w:r>
      <w:r>
        <w:rPr>
          <w:color w:val="auto"/>
          <w:highlight w:val="none"/>
          <w:lang w:eastAsia="zh-CN"/>
        </w:rPr>
        <w:t>235</w:t>
      </w:r>
      <w:r>
        <w:rPr>
          <w:rFonts w:hint="eastAsia"/>
          <w:color w:val="auto"/>
          <w:highlight w:val="none"/>
          <w:lang w:eastAsia="zh-CN"/>
        </w:rPr>
        <w:t>。</w:t>
      </w:r>
    </w:p>
    <w:p w14:paraId="1E05EB1D">
      <w:pPr>
        <w:suppressAutoHyphens/>
        <w:ind w:firstLine="420"/>
        <w:jc w:val="left"/>
        <w:rPr>
          <w:color w:val="auto"/>
          <w:highlight w:val="none"/>
          <w:lang w:eastAsia="zh-CN"/>
        </w:rPr>
      </w:pPr>
      <w:r>
        <w:rPr>
          <w:rFonts w:hint="eastAsia"/>
          <w:color w:val="auto"/>
          <w:highlight w:val="none"/>
          <w:lang w:eastAsia="zh-CN"/>
        </w:rPr>
        <w:t>（2）U型钢规格为2</w:t>
      </w:r>
      <w:r>
        <w:rPr>
          <w:color w:val="auto"/>
          <w:highlight w:val="none"/>
          <w:lang w:eastAsia="zh-CN"/>
        </w:rPr>
        <w:t>0MnK40U</w:t>
      </w:r>
      <w:r>
        <w:rPr>
          <w:rFonts w:hint="eastAsia"/>
          <w:color w:val="auto"/>
          <w:highlight w:val="none"/>
          <w:lang w:eastAsia="zh-CN"/>
        </w:rPr>
        <w:t>，材质执行《矿山巷道支护用热轧型钢》（GB/T4697-2017），采用矿用卡揽固定。</w:t>
      </w:r>
    </w:p>
    <w:p w14:paraId="3DA50401">
      <w:pPr>
        <w:suppressAutoHyphens/>
        <w:ind w:firstLine="420"/>
        <w:jc w:val="left"/>
        <w:rPr>
          <w:color w:val="auto"/>
          <w:highlight w:val="none"/>
          <w:lang w:eastAsia="zh-CN"/>
        </w:rPr>
      </w:pPr>
      <w:r>
        <w:rPr>
          <w:rFonts w:hint="eastAsia"/>
          <w:color w:val="auto"/>
          <w:highlight w:val="none"/>
          <w:lang w:eastAsia="zh-CN"/>
        </w:rPr>
        <w:t>（3）结构用冷弯空心型钢规格为Q355（</w:t>
      </w:r>
      <w:r>
        <w:rPr>
          <w:color w:val="auto"/>
          <w:highlight w:val="none"/>
          <w:lang w:eastAsia="zh-CN"/>
        </w:rPr>
        <w:t>300mm×300mm</w:t>
      </w:r>
      <w:r>
        <w:rPr>
          <w:rFonts w:hint="eastAsia"/>
          <w:color w:val="auto"/>
          <w:highlight w:val="none"/>
          <w:lang w:eastAsia="zh-CN"/>
        </w:rPr>
        <w:t>×</w:t>
      </w:r>
      <w:r>
        <w:rPr>
          <w:color w:val="auto"/>
          <w:highlight w:val="none"/>
          <w:lang w:eastAsia="zh-CN"/>
        </w:rPr>
        <w:t>12mm</w:t>
      </w:r>
      <w:r>
        <w:rPr>
          <w:rFonts w:hint="eastAsia"/>
          <w:color w:val="auto"/>
          <w:highlight w:val="none"/>
          <w:lang w:eastAsia="zh-CN"/>
        </w:rPr>
        <w:t>），规格执行《结构用冷弯空心型钢》（GB</w:t>
      </w:r>
      <w:r>
        <w:rPr>
          <w:color w:val="auto"/>
          <w:highlight w:val="none"/>
          <w:lang w:eastAsia="zh-CN"/>
        </w:rPr>
        <w:t>/T6728-2017</w:t>
      </w:r>
      <w:r>
        <w:rPr>
          <w:rFonts w:hint="eastAsia"/>
          <w:color w:val="auto"/>
          <w:highlight w:val="none"/>
          <w:lang w:eastAsia="zh-CN"/>
        </w:rPr>
        <w:t>）。</w:t>
      </w:r>
    </w:p>
    <w:p w14:paraId="73E416F6">
      <w:pPr>
        <w:suppressAutoHyphens/>
        <w:ind w:firstLine="420"/>
        <w:jc w:val="left"/>
        <w:rPr>
          <w:color w:val="auto"/>
          <w:highlight w:val="none"/>
          <w:lang w:eastAsia="zh-CN"/>
        </w:rPr>
      </w:pPr>
      <w:r>
        <w:rPr>
          <w:rFonts w:hint="eastAsia"/>
          <w:color w:val="auto"/>
          <w:highlight w:val="none"/>
          <w:lang w:eastAsia="zh-CN"/>
        </w:rPr>
        <w:t>（4）结构用冷弯空心型钢内视监控量测成果，灌注Ⅲ类水泥基灌浆材料，2</w:t>
      </w:r>
      <w:r>
        <w:rPr>
          <w:color w:val="auto"/>
          <w:highlight w:val="none"/>
          <w:lang w:eastAsia="zh-CN"/>
        </w:rPr>
        <w:t>8</w:t>
      </w:r>
      <w:r>
        <w:rPr>
          <w:rFonts w:hint="eastAsia"/>
          <w:color w:val="auto"/>
          <w:highlight w:val="none"/>
          <w:lang w:eastAsia="zh-CN"/>
        </w:rPr>
        <w:t>d抗压强度不低于6</w:t>
      </w:r>
      <w:r>
        <w:rPr>
          <w:color w:val="auto"/>
          <w:highlight w:val="none"/>
          <w:lang w:eastAsia="zh-CN"/>
        </w:rPr>
        <w:t>0MPa,</w:t>
      </w:r>
      <w:r>
        <w:rPr>
          <w:rFonts w:hint="eastAsia"/>
          <w:color w:val="auto"/>
          <w:highlight w:val="none"/>
          <w:lang w:eastAsia="zh-CN"/>
        </w:rPr>
        <w:t>其他技术指标和原材料检验执行《水泥基灌浆材料应用技术规范》（GB/T50448-2015）的有关规定。</w:t>
      </w:r>
    </w:p>
    <w:p w14:paraId="294A39DE">
      <w:pPr>
        <w:ind w:firstLine="420"/>
        <w:jc w:val="left"/>
        <w:rPr>
          <w:color w:val="auto"/>
          <w:highlight w:val="none"/>
          <w:lang w:eastAsia="zh-CN"/>
        </w:rPr>
      </w:pPr>
      <w:r>
        <w:rPr>
          <w:rFonts w:hint="eastAsia"/>
          <w:color w:val="auto"/>
          <w:highlight w:val="none"/>
          <w:lang w:eastAsia="zh-CN"/>
        </w:rPr>
        <w:t>（5）闭孔型聚乙烯泡沫塑料板，作为软弱围岩大变形洞段处治的缓冲材料，表观密度不小于0.12g/cm</w:t>
      </w:r>
      <w:r>
        <w:rPr>
          <w:color w:val="auto"/>
          <w:highlight w:val="none"/>
          <w:vertAlign w:val="superscript"/>
          <w:lang w:eastAsia="zh-CN"/>
        </w:rPr>
        <w:t>3</w:t>
      </w:r>
      <w:r>
        <w:rPr>
          <w:rFonts w:hint="eastAsia"/>
          <w:color w:val="auto"/>
          <w:highlight w:val="none"/>
          <w:lang w:eastAsia="zh-CN"/>
        </w:rPr>
        <w:t>，其他物理力学性能指标应遵守《给水排水工程混凝土构筑物变形缝技术规范》（T/CECS117-2017）附录F的规定。</w:t>
      </w:r>
    </w:p>
    <w:p w14:paraId="5B1F7400">
      <w:pPr>
        <w:pStyle w:val="5"/>
        <w:jc w:val="left"/>
        <w:rPr>
          <w:color w:val="auto"/>
          <w:highlight w:val="none"/>
          <w:lang w:eastAsia="zh-CN"/>
        </w:rPr>
      </w:pPr>
      <w:r>
        <w:rPr>
          <w:rFonts w:hAnsi="楷体" w:cs="楷体"/>
          <w:color w:val="auto"/>
          <w:highlight w:val="none"/>
          <w:lang w:eastAsia="zh-CN"/>
        </w:rPr>
        <w:t>9.5.4.3</w:t>
      </w:r>
      <w:r>
        <w:rPr>
          <w:rFonts w:hint="eastAsia" w:hAnsi="楷体" w:cs="楷体"/>
          <w:color w:val="auto"/>
          <w:highlight w:val="none"/>
          <w:lang w:eastAsia="zh-CN"/>
        </w:rPr>
        <w:t>　</w:t>
      </w:r>
      <w:r>
        <w:rPr>
          <w:rFonts w:hint="eastAsia"/>
          <w:color w:val="auto"/>
          <w:highlight w:val="none"/>
          <w:lang w:eastAsia="zh-CN"/>
        </w:rPr>
        <w:t>钢拱架、钢筋格栅支撑的备用</w:t>
      </w:r>
    </w:p>
    <w:p w14:paraId="5CE5F620">
      <w:pPr>
        <w:ind w:firstLine="420"/>
        <w:jc w:val="left"/>
        <w:rPr>
          <w:color w:val="auto"/>
          <w:highlight w:val="none"/>
          <w:lang w:eastAsia="zh-CN"/>
        </w:rPr>
      </w:pPr>
      <w:r>
        <w:rPr>
          <w:rFonts w:hint="eastAsia"/>
          <w:color w:val="auto"/>
          <w:highlight w:val="none"/>
          <w:lang w:eastAsia="zh-CN"/>
        </w:rPr>
        <w:t>在地下洞室开挖期间，承包人应在现场配备可供随时投入使用的钢拱架、钢筋格栅支撑及附件，备用数量应经监理人批准。即使这些备用钢拱架和附件最终未投入使用，发包人亦应支付全部钢拱架及其附件的制作和材料费用，但这些未使用的钢拱架及其附件应属发包人的财产。承包人有义务对这类钢拱架进行保管、维护，并配合发包人回收。</w:t>
      </w:r>
    </w:p>
    <w:p w14:paraId="659EA14F">
      <w:pPr>
        <w:pStyle w:val="5"/>
        <w:jc w:val="left"/>
        <w:rPr>
          <w:color w:val="auto"/>
          <w:highlight w:val="none"/>
          <w:lang w:eastAsia="zh-CN"/>
        </w:rPr>
      </w:pPr>
      <w:r>
        <w:rPr>
          <w:rFonts w:hAnsi="楷体" w:cs="楷体"/>
          <w:color w:val="auto"/>
          <w:highlight w:val="none"/>
          <w:lang w:eastAsia="zh-CN"/>
        </w:rPr>
        <w:t>9.5.4.4</w:t>
      </w:r>
      <w:r>
        <w:rPr>
          <w:rFonts w:hint="eastAsia" w:hAnsi="楷体" w:cs="楷体"/>
          <w:color w:val="auto"/>
          <w:highlight w:val="none"/>
          <w:lang w:eastAsia="zh-CN"/>
        </w:rPr>
        <w:t>　</w:t>
      </w:r>
      <w:r>
        <w:rPr>
          <w:rFonts w:hint="eastAsia"/>
          <w:color w:val="auto"/>
          <w:highlight w:val="none"/>
          <w:lang w:eastAsia="zh-CN"/>
        </w:rPr>
        <w:t>钢拱架钢筋格栅支撑的安装</w:t>
      </w:r>
    </w:p>
    <w:p w14:paraId="3CF9FAAA">
      <w:pPr>
        <w:suppressAutoHyphens/>
        <w:ind w:firstLine="420"/>
        <w:jc w:val="left"/>
        <w:rPr>
          <w:color w:val="auto"/>
          <w:highlight w:val="none"/>
          <w:lang w:eastAsia="zh-CN"/>
        </w:rPr>
      </w:pPr>
      <w:r>
        <w:rPr>
          <w:rFonts w:hint="eastAsia"/>
          <w:color w:val="auto"/>
          <w:highlight w:val="none"/>
          <w:lang w:eastAsia="zh-CN"/>
        </w:rPr>
        <w:t>（1）承包人应按监理人的指示或在经超前勘探查明的岩石破碎软弱地段安装钢拱架、钢筋格栅支撑，钢拱架、钢筋格栅支撑应装设在衬砌设计断面以外，并应预留一定的变形量，避免侵占衬砌断面，如某种原因侵入到衬砌断面以内时，须经监理人批准。</w:t>
      </w:r>
    </w:p>
    <w:p w14:paraId="75416EBB">
      <w:pPr>
        <w:suppressAutoHyphens/>
        <w:ind w:firstLine="420"/>
        <w:jc w:val="left"/>
        <w:rPr>
          <w:color w:val="auto"/>
          <w:highlight w:val="none"/>
          <w:lang w:eastAsia="zh-CN"/>
        </w:rPr>
      </w:pPr>
      <w:r>
        <w:rPr>
          <w:rFonts w:hint="eastAsia"/>
          <w:color w:val="auto"/>
          <w:highlight w:val="none"/>
          <w:lang w:eastAsia="zh-CN"/>
        </w:rPr>
        <w:t>（2）钢拱架和钢筋格栅支撑的安装应符合下列规定：</w:t>
      </w:r>
    </w:p>
    <w:p w14:paraId="34CC0776">
      <w:pPr>
        <w:suppressAutoHyphens/>
        <w:ind w:firstLine="420"/>
        <w:jc w:val="left"/>
        <w:rPr>
          <w:color w:val="auto"/>
          <w:highlight w:val="none"/>
          <w:lang w:eastAsia="zh-CN"/>
        </w:rPr>
      </w:pPr>
      <w:r>
        <w:rPr>
          <w:rFonts w:hint="eastAsia"/>
          <w:color w:val="auto"/>
          <w:highlight w:val="none"/>
          <w:lang w:eastAsia="zh-CN"/>
        </w:rPr>
        <w:t>1）钢拱架和钢筋格栅支撑应按照《水利水电工程锚喷支护技术规范》SL377的相关要求施工。钻爆法施工洞段宜采用机械设备配合安装。</w:t>
      </w:r>
    </w:p>
    <w:p w14:paraId="7892116A">
      <w:pPr>
        <w:suppressAutoHyphens/>
        <w:ind w:firstLine="420"/>
        <w:jc w:val="left"/>
        <w:rPr>
          <w:color w:val="auto"/>
          <w:highlight w:val="none"/>
          <w:lang w:eastAsia="zh-CN"/>
        </w:rPr>
      </w:pPr>
      <w:r>
        <w:rPr>
          <w:rFonts w:hint="eastAsia"/>
          <w:color w:val="auto"/>
          <w:highlight w:val="none"/>
          <w:lang w:eastAsia="zh-CN"/>
        </w:rPr>
        <w:t>2）测量开挖后的洞室轮廓尺寸。必要时按洞室轮廓尺寸修改钢拱架和钢筋格栅支撑的形状和尺寸；</w:t>
      </w:r>
    </w:p>
    <w:p w14:paraId="28F2D5DC">
      <w:pPr>
        <w:suppressAutoHyphens/>
        <w:ind w:firstLine="420"/>
        <w:jc w:val="left"/>
        <w:rPr>
          <w:color w:val="auto"/>
          <w:highlight w:val="none"/>
          <w:lang w:eastAsia="zh-CN"/>
        </w:rPr>
      </w:pPr>
      <w:r>
        <w:rPr>
          <w:rFonts w:hint="eastAsia"/>
          <w:color w:val="auto"/>
          <w:highlight w:val="none"/>
          <w:lang w:eastAsia="zh-CN"/>
        </w:rPr>
        <w:t>3）钢拱架应采用冷弯法制造成型；钢拱架和钢筋格栅安装前，检查钢拱架或钢筋格栅支撑制作质量是否符合设计要求；不同规格的首榀钢拱架和钢筋格栅加工完成后应在平整地面上试拼，各部尺寸经监理人收后方可批量生产；</w:t>
      </w:r>
    </w:p>
    <w:p w14:paraId="3A1F542D">
      <w:pPr>
        <w:suppressAutoHyphens/>
        <w:ind w:firstLine="420"/>
        <w:jc w:val="left"/>
        <w:rPr>
          <w:color w:val="auto"/>
          <w:highlight w:val="none"/>
          <w:lang w:eastAsia="zh-CN"/>
        </w:rPr>
      </w:pPr>
      <w:r>
        <w:rPr>
          <w:rFonts w:hint="eastAsia"/>
          <w:color w:val="auto"/>
          <w:highlight w:val="none"/>
          <w:lang w:eastAsia="zh-CN"/>
        </w:rPr>
        <w:t>4）钢拱架节段两端应焊接连接钢板，连接钢板平面应与钢拱架轴线垂直，焊缝等级为3级。</w:t>
      </w:r>
    </w:p>
    <w:p w14:paraId="348D5E58">
      <w:pPr>
        <w:suppressAutoHyphens/>
        <w:ind w:firstLine="420"/>
        <w:jc w:val="left"/>
        <w:rPr>
          <w:color w:val="auto"/>
          <w:highlight w:val="none"/>
          <w:lang w:eastAsia="zh-CN"/>
        </w:rPr>
      </w:pPr>
      <w:r>
        <w:rPr>
          <w:rFonts w:hint="eastAsia"/>
          <w:color w:val="auto"/>
          <w:highlight w:val="none"/>
          <w:lang w:eastAsia="zh-CN"/>
        </w:rPr>
        <w:t>5）安装允许偏差：横向间距和高程均为±50mm，垂直度为±2°；</w:t>
      </w:r>
    </w:p>
    <w:p w14:paraId="5B9BC44D">
      <w:pPr>
        <w:suppressAutoHyphens/>
        <w:ind w:firstLine="420"/>
        <w:jc w:val="left"/>
        <w:rPr>
          <w:color w:val="auto"/>
          <w:highlight w:val="none"/>
          <w:lang w:eastAsia="zh-CN"/>
        </w:rPr>
      </w:pPr>
      <w:r>
        <w:rPr>
          <w:rFonts w:hint="eastAsia"/>
          <w:color w:val="auto"/>
          <w:highlight w:val="none"/>
          <w:lang w:eastAsia="zh-CN"/>
        </w:rPr>
        <w:t>6）钢拱架和钢筋格栅支撑立柱应支立于可靠的基础上，不得支立于浮渣上，必要时设置纵向临时槽钢基础；</w:t>
      </w:r>
    </w:p>
    <w:p w14:paraId="42A97692">
      <w:pPr>
        <w:suppressAutoHyphens/>
        <w:ind w:firstLine="420"/>
        <w:jc w:val="left"/>
        <w:rPr>
          <w:color w:val="auto"/>
          <w:highlight w:val="none"/>
          <w:lang w:eastAsia="zh-CN"/>
        </w:rPr>
      </w:pPr>
      <w:r>
        <w:rPr>
          <w:rFonts w:hint="eastAsia"/>
          <w:color w:val="auto"/>
          <w:highlight w:val="none"/>
          <w:lang w:eastAsia="zh-CN"/>
        </w:rPr>
        <w:t>7）钢拱架和钢筋格栅支撑应与围岩或喷射混凝土密贴，存在间隙时应采用钢楔块楔紧，并用喷射混凝土充填密实。有多个楔块时，楔块和楔块的间距不应大于2.0m。</w:t>
      </w:r>
    </w:p>
    <w:p w14:paraId="759E162D">
      <w:pPr>
        <w:suppressAutoHyphens/>
        <w:ind w:firstLine="420"/>
        <w:jc w:val="left"/>
        <w:rPr>
          <w:color w:val="auto"/>
          <w:highlight w:val="none"/>
          <w:lang w:eastAsia="zh-CN"/>
        </w:rPr>
      </w:pPr>
      <w:r>
        <w:rPr>
          <w:rFonts w:hint="eastAsia"/>
          <w:color w:val="auto"/>
          <w:highlight w:val="none"/>
          <w:lang w:eastAsia="zh-CN"/>
        </w:rPr>
        <w:t>8）钻爆法施工软岩变形洞段或断层带，如遇岩层结构性偏压，根据监控量测成果和监理人指示，沿偏压方向进行局部扩挖，沿扩挖部位敷设闭孔泡沫板后，安装拱架。</w:t>
      </w:r>
    </w:p>
    <w:p w14:paraId="425D67F9">
      <w:pPr>
        <w:suppressAutoHyphens/>
        <w:ind w:firstLine="420"/>
        <w:jc w:val="left"/>
        <w:rPr>
          <w:color w:val="auto"/>
          <w:highlight w:val="none"/>
          <w:lang w:eastAsia="zh-CN"/>
        </w:rPr>
      </w:pPr>
      <w:r>
        <w:rPr>
          <w:rFonts w:hint="eastAsia"/>
          <w:color w:val="auto"/>
          <w:highlight w:val="none"/>
          <w:lang w:eastAsia="zh-CN"/>
        </w:rPr>
        <w:t>8）每榀钢拱架和钢筋格栅支撑至少应与三根锚杆相连接；</w:t>
      </w:r>
    </w:p>
    <w:p w14:paraId="355A9A24">
      <w:pPr>
        <w:suppressAutoHyphens/>
        <w:ind w:firstLine="420"/>
        <w:jc w:val="left"/>
        <w:rPr>
          <w:color w:val="auto"/>
          <w:highlight w:val="none"/>
          <w:lang w:eastAsia="zh-CN"/>
        </w:rPr>
      </w:pPr>
      <w:r>
        <w:rPr>
          <w:rFonts w:hint="eastAsia"/>
          <w:color w:val="auto"/>
          <w:highlight w:val="none"/>
          <w:lang w:eastAsia="zh-CN"/>
        </w:rPr>
        <w:t>9）钻爆法施工洞段开挖过程中同一榀钢拱架两侧不得同时悬空；</w:t>
      </w:r>
    </w:p>
    <w:p w14:paraId="44514C97">
      <w:pPr>
        <w:suppressAutoHyphens/>
        <w:ind w:firstLine="420"/>
        <w:jc w:val="left"/>
        <w:rPr>
          <w:color w:val="auto"/>
          <w:highlight w:val="none"/>
          <w:lang w:eastAsia="zh-CN"/>
        </w:rPr>
      </w:pPr>
      <w:r>
        <w:rPr>
          <w:color w:val="auto"/>
          <w:highlight w:val="none"/>
          <w:lang w:eastAsia="zh-CN"/>
        </w:rPr>
        <w:t>10</w:t>
      </w:r>
      <w:r>
        <w:rPr>
          <w:rFonts w:hint="eastAsia"/>
          <w:color w:val="auto"/>
          <w:highlight w:val="none"/>
          <w:lang w:eastAsia="zh-CN"/>
        </w:rPr>
        <w:t>）结构用冷弯空心型钢内视监控量测成果，采用螺杆泵自下而上灌注Ⅲ类水泥基灌浆材料,顶部侧边预留排气孔，型钢内灌注体应密实可靠，可采用敲击钢管法检验。</w:t>
      </w:r>
    </w:p>
    <w:p w14:paraId="379E52A8">
      <w:pPr>
        <w:suppressAutoHyphens/>
        <w:ind w:firstLine="420"/>
        <w:jc w:val="left"/>
        <w:rPr>
          <w:color w:val="auto"/>
          <w:highlight w:val="none"/>
          <w:lang w:eastAsia="zh-CN"/>
        </w:rPr>
      </w:pPr>
      <w:r>
        <w:rPr>
          <w:color w:val="auto"/>
          <w:highlight w:val="none"/>
          <w:lang w:eastAsia="zh-CN"/>
        </w:rPr>
        <w:t>11</w:t>
      </w:r>
      <w:r>
        <w:rPr>
          <w:rFonts w:hint="eastAsia"/>
          <w:color w:val="auto"/>
          <w:highlight w:val="none"/>
          <w:lang w:eastAsia="zh-CN"/>
        </w:rPr>
        <w:t>）相邻钢拱架、钢筋格栅支撑之间应采用钢筋或型钢连接牢靠；</w:t>
      </w:r>
    </w:p>
    <w:p w14:paraId="28108DBE">
      <w:pPr>
        <w:suppressAutoHyphens/>
        <w:ind w:firstLine="420"/>
        <w:jc w:val="left"/>
        <w:rPr>
          <w:color w:val="auto"/>
          <w:highlight w:val="none"/>
          <w:lang w:eastAsia="zh-CN"/>
        </w:rPr>
      </w:pPr>
      <w:r>
        <w:rPr>
          <w:color w:val="auto"/>
          <w:highlight w:val="none"/>
          <w:lang w:eastAsia="zh-CN"/>
        </w:rPr>
        <w:t>12</w:t>
      </w:r>
      <w:r>
        <w:rPr>
          <w:rFonts w:hint="eastAsia"/>
          <w:color w:val="auto"/>
          <w:highlight w:val="none"/>
          <w:lang w:eastAsia="zh-CN"/>
        </w:rPr>
        <w:t>）钢拱架、钢筋格栅支撑安装后，应立即喷射混凝土将其覆盖（若设置有钢筋网应先铺设钢筋网），覆盖后方可进行下一工序。</w:t>
      </w:r>
    </w:p>
    <w:p w14:paraId="5686C5AE">
      <w:pPr>
        <w:ind w:firstLine="420"/>
        <w:jc w:val="left"/>
        <w:rPr>
          <w:color w:val="auto"/>
          <w:highlight w:val="none"/>
          <w:lang w:eastAsia="zh-CN"/>
        </w:rPr>
      </w:pPr>
      <w:r>
        <w:rPr>
          <w:rFonts w:hint="eastAsia"/>
          <w:color w:val="auto"/>
          <w:highlight w:val="none"/>
          <w:lang w:eastAsia="zh-CN"/>
        </w:rPr>
        <w:t>（3）钢拱架、钢筋格栅支撑安装后，承包人应对破碎软弱地带的围岩稳定进行监测，遇有危险情况，应及时增强钢拱架、钢筋格栅支撑或采取其它加强措施，并报告监理人。经监理人检查认为不合格时，承包人应根据监理人的指示进行调整、修补和置换。</w:t>
      </w:r>
    </w:p>
    <w:p w14:paraId="74FFFD4A">
      <w:pPr>
        <w:pStyle w:val="5"/>
        <w:jc w:val="left"/>
        <w:rPr>
          <w:color w:val="auto"/>
          <w:highlight w:val="none"/>
          <w:lang w:eastAsia="zh-CN"/>
        </w:rPr>
      </w:pPr>
      <w:r>
        <w:rPr>
          <w:rFonts w:hAnsi="楷体" w:cs="楷体"/>
          <w:color w:val="auto"/>
          <w:highlight w:val="none"/>
          <w:lang w:eastAsia="zh-CN"/>
        </w:rPr>
        <w:t>9.5.4.5</w:t>
      </w:r>
      <w:r>
        <w:rPr>
          <w:rFonts w:hint="eastAsia" w:hAnsi="楷体" w:cs="楷体"/>
          <w:color w:val="auto"/>
          <w:highlight w:val="none"/>
          <w:lang w:eastAsia="zh-CN"/>
        </w:rPr>
        <w:t>　</w:t>
      </w:r>
      <w:r>
        <w:rPr>
          <w:rFonts w:hint="eastAsia"/>
          <w:color w:val="auto"/>
          <w:highlight w:val="none"/>
          <w:lang w:eastAsia="zh-CN"/>
        </w:rPr>
        <w:t>钢拱架和钢筋格栅支撑的附件</w:t>
      </w:r>
    </w:p>
    <w:p w14:paraId="6DF6182A">
      <w:pPr>
        <w:suppressAutoHyphens/>
        <w:ind w:firstLine="420"/>
        <w:jc w:val="left"/>
        <w:rPr>
          <w:color w:val="auto"/>
          <w:highlight w:val="none"/>
          <w:lang w:eastAsia="zh-CN"/>
        </w:rPr>
      </w:pPr>
      <w:r>
        <w:rPr>
          <w:rFonts w:hint="eastAsia"/>
          <w:color w:val="auto"/>
          <w:highlight w:val="none"/>
          <w:lang w:eastAsia="zh-CN"/>
        </w:rPr>
        <w:t>（1）钢拱架的所有附件均应采用钢板或型钢制成，附件包括钢挡板、钢棚架、钢枕、钢楔和钢柱鞋等。</w:t>
      </w:r>
    </w:p>
    <w:p w14:paraId="307B6A5A">
      <w:pPr>
        <w:suppressAutoHyphens/>
        <w:ind w:firstLine="420"/>
        <w:jc w:val="left"/>
        <w:rPr>
          <w:color w:val="auto"/>
          <w:highlight w:val="none"/>
          <w:lang w:eastAsia="zh-CN"/>
        </w:rPr>
      </w:pPr>
      <w:r>
        <w:rPr>
          <w:rFonts w:hint="eastAsia"/>
          <w:color w:val="auto"/>
          <w:highlight w:val="none"/>
          <w:lang w:eastAsia="zh-CN"/>
        </w:rPr>
        <w:t>（2）钢拱架的附件安置就位后，应与钢拱架焊牢，以防松动，浇筑混凝土时，可将钢拱架及其附件留在其中。钢拱架或钢筋格栅支撑与围岩之间有间隙时，应采用钢楔楔紧，并采用喷混凝土充填密实，否则不予计量。有多个钢楔时，钢楔之间间距不应大于2m。</w:t>
      </w:r>
    </w:p>
    <w:p w14:paraId="2B8D9EAD">
      <w:pPr>
        <w:suppressAutoHyphens/>
        <w:ind w:firstLine="420"/>
        <w:jc w:val="left"/>
        <w:rPr>
          <w:color w:val="auto"/>
          <w:highlight w:val="none"/>
          <w:lang w:eastAsia="zh-CN"/>
        </w:rPr>
      </w:pPr>
      <w:r>
        <w:rPr>
          <w:rFonts w:hint="eastAsia"/>
          <w:color w:val="auto"/>
          <w:highlight w:val="none"/>
          <w:lang w:eastAsia="zh-CN"/>
        </w:rPr>
        <w:t>（3）不允许使用木材制作的附件作为临时支撑。</w:t>
      </w:r>
    </w:p>
    <w:p w14:paraId="1844D9F4">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4）钢拱架连接钢板螺栓孔应采用冲压或铣切成孔并清除毛刺，不得采用氧焊烧孔；</w:t>
      </w:r>
    </w:p>
    <w:p w14:paraId="30908A79">
      <w:pPr>
        <w:suppressAutoHyphens/>
        <w:ind w:firstLine="420"/>
        <w:jc w:val="left"/>
        <w:rPr>
          <w:color w:val="auto"/>
          <w:highlight w:val="none"/>
          <w:lang w:eastAsia="zh-CN"/>
        </w:rPr>
      </w:pPr>
      <w:r>
        <w:rPr>
          <w:rFonts w:hint="eastAsia"/>
          <w:color w:val="auto"/>
          <w:highlight w:val="none"/>
          <w:lang w:eastAsia="zh-CN"/>
        </w:rPr>
        <w:t>（5）钢拱架腹板部位设置超前支护孔位不得采用氧焊烧孔；</w:t>
      </w:r>
    </w:p>
    <w:p w14:paraId="02B985D6">
      <w:pPr>
        <w:suppressAutoHyphens/>
        <w:ind w:firstLine="420"/>
        <w:jc w:val="left"/>
        <w:rPr>
          <w:color w:val="auto"/>
          <w:highlight w:val="none"/>
          <w:lang w:eastAsia="zh-CN"/>
        </w:rPr>
      </w:pPr>
      <w:r>
        <w:rPr>
          <w:rFonts w:hint="eastAsia"/>
          <w:color w:val="auto"/>
          <w:highlight w:val="none"/>
          <w:lang w:eastAsia="zh-CN"/>
        </w:rPr>
        <w:t>（6）4</w:t>
      </w:r>
      <w:r>
        <w:rPr>
          <w:color w:val="auto"/>
          <w:highlight w:val="none"/>
          <w:lang w:eastAsia="zh-CN"/>
        </w:rPr>
        <w:t>0</w:t>
      </w:r>
      <w:r>
        <w:rPr>
          <w:rFonts w:hint="eastAsia"/>
          <w:color w:val="auto"/>
          <w:highlight w:val="none"/>
          <w:lang w:eastAsia="zh-CN"/>
        </w:rPr>
        <w:t>U型钢采用矿用U型卡揽叠合连接。</w:t>
      </w:r>
    </w:p>
    <w:p w14:paraId="126C9F16">
      <w:pPr>
        <w:ind w:firstLine="420"/>
        <w:jc w:val="left"/>
        <w:rPr>
          <w:color w:val="auto"/>
          <w:highlight w:val="none"/>
          <w:lang w:eastAsia="zh-CN"/>
        </w:rPr>
      </w:pPr>
      <w:r>
        <w:rPr>
          <w:rFonts w:hint="eastAsia"/>
          <w:color w:val="auto"/>
          <w:highlight w:val="none"/>
          <w:lang w:eastAsia="zh-CN"/>
        </w:rPr>
        <w:t>（7）结构用空心钢管的支撑结构应在拱架侧面预留</w:t>
      </w:r>
      <w:r>
        <w:rPr>
          <w:rFonts w:hint="eastAsia"/>
          <w:color w:val="auto"/>
          <w:highlight w:val="none"/>
        </w:rPr>
        <w:t>φ</w:t>
      </w:r>
      <w:r>
        <w:rPr>
          <w:color w:val="auto"/>
          <w:highlight w:val="none"/>
          <w:lang w:eastAsia="zh-CN"/>
        </w:rPr>
        <w:t>30</w:t>
      </w:r>
      <w:r>
        <w:rPr>
          <w:rFonts w:hint="eastAsia"/>
          <w:color w:val="auto"/>
          <w:highlight w:val="none"/>
          <w:lang w:eastAsia="zh-CN"/>
        </w:rPr>
        <w:t>mm灌注孔，顶部预留排气孔，便于支撑强度不足时及时灌注灌浆料。</w:t>
      </w:r>
    </w:p>
    <w:p w14:paraId="44E28EC0">
      <w:pPr>
        <w:pStyle w:val="5"/>
        <w:jc w:val="left"/>
        <w:rPr>
          <w:color w:val="auto"/>
          <w:highlight w:val="none"/>
          <w:lang w:eastAsia="zh-CN"/>
        </w:rPr>
      </w:pPr>
      <w:r>
        <w:rPr>
          <w:rFonts w:hAnsi="楷体" w:cs="楷体"/>
          <w:color w:val="auto"/>
          <w:highlight w:val="none"/>
          <w:lang w:eastAsia="zh-CN"/>
        </w:rPr>
        <w:t>9.5.4.6</w:t>
      </w:r>
      <w:r>
        <w:rPr>
          <w:rFonts w:hint="eastAsia" w:hAnsi="楷体" w:cs="楷体"/>
          <w:color w:val="auto"/>
          <w:highlight w:val="none"/>
          <w:lang w:eastAsia="zh-CN"/>
        </w:rPr>
        <w:t>　</w:t>
      </w:r>
      <w:r>
        <w:rPr>
          <w:rFonts w:hint="eastAsia"/>
          <w:color w:val="auto"/>
          <w:highlight w:val="none"/>
          <w:lang w:eastAsia="zh-CN"/>
        </w:rPr>
        <w:t>安全注意事项</w:t>
      </w:r>
    </w:p>
    <w:p w14:paraId="3A129AFD">
      <w:pPr>
        <w:suppressAutoHyphens/>
        <w:ind w:firstLine="420"/>
        <w:jc w:val="left"/>
        <w:rPr>
          <w:color w:val="auto"/>
          <w:highlight w:val="none"/>
          <w:lang w:eastAsia="zh-CN"/>
        </w:rPr>
      </w:pPr>
      <w:r>
        <w:rPr>
          <w:rFonts w:hint="eastAsia"/>
          <w:color w:val="auto"/>
          <w:highlight w:val="none"/>
          <w:lang w:eastAsia="zh-CN"/>
        </w:rPr>
        <w:t>（1）隧洞内搬运钢架应装载牢固、固定可靠并防止发生碰撞和掉落等事故；</w:t>
      </w:r>
    </w:p>
    <w:p w14:paraId="3692F899">
      <w:pPr>
        <w:suppressAutoHyphens/>
        <w:ind w:firstLine="420"/>
        <w:jc w:val="left"/>
        <w:rPr>
          <w:color w:val="auto"/>
          <w:highlight w:val="none"/>
          <w:lang w:eastAsia="zh-CN"/>
        </w:rPr>
      </w:pPr>
      <w:r>
        <w:rPr>
          <w:rFonts w:hint="eastAsia"/>
          <w:color w:val="auto"/>
          <w:highlight w:val="none"/>
          <w:lang w:eastAsia="zh-CN"/>
        </w:rPr>
        <w:t>（2）钢拱架提升安装过程中，人员应避让；架设钢架时应采取安全防护措施。</w:t>
      </w:r>
    </w:p>
    <w:p w14:paraId="0EF77D26">
      <w:pPr>
        <w:suppressAutoHyphens/>
        <w:ind w:firstLine="420"/>
        <w:jc w:val="left"/>
        <w:rPr>
          <w:color w:val="auto"/>
          <w:highlight w:val="none"/>
          <w:lang w:eastAsia="zh-CN"/>
        </w:rPr>
      </w:pPr>
      <w:r>
        <w:rPr>
          <w:rFonts w:hint="eastAsia"/>
          <w:color w:val="auto"/>
          <w:highlight w:val="none"/>
          <w:lang w:eastAsia="zh-CN"/>
        </w:rPr>
        <w:t>（3）钢拱架之间纵、环向连接以及钢架节段连接应及时、牢固。</w:t>
      </w:r>
    </w:p>
    <w:p w14:paraId="5EDB2DA1">
      <w:pPr>
        <w:ind w:firstLine="420"/>
        <w:jc w:val="left"/>
        <w:rPr>
          <w:color w:val="auto"/>
          <w:highlight w:val="none"/>
          <w:lang w:eastAsia="zh-CN"/>
        </w:rPr>
      </w:pPr>
      <w:r>
        <w:rPr>
          <w:rFonts w:hint="eastAsia"/>
          <w:color w:val="auto"/>
          <w:highlight w:val="none"/>
          <w:lang w:eastAsia="zh-CN"/>
        </w:rPr>
        <w:t>（4）当钢拱架需要拆换时，应按监理人批准的措施进行加固洞段，然后逐榀拆换。</w:t>
      </w:r>
    </w:p>
    <w:p w14:paraId="7071058B">
      <w:pPr>
        <w:pStyle w:val="5"/>
        <w:jc w:val="left"/>
        <w:rPr>
          <w:rFonts w:hAnsi="楷体" w:cs="楷体"/>
          <w:color w:val="auto"/>
          <w:highlight w:val="none"/>
          <w:lang w:eastAsia="zh-CN"/>
        </w:rPr>
      </w:pPr>
      <w:r>
        <w:rPr>
          <w:rFonts w:hAnsi="Times New Roman" w:cs="Times New Roman"/>
          <w:color w:val="auto"/>
          <w:highlight w:val="none"/>
          <w:lang w:eastAsia="zh-CN"/>
        </w:rPr>
        <w:t>9.5.5</w:t>
      </w:r>
      <w:r>
        <w:rPr>
          <w:rFonts w:hint="eastAsia" w:hAnsi="Times New Roman" w:cs="Times New Roman"/>
          <w:color w:val="auto"/>
          <w:highlight w:val="none"/>
          <w:lang w:eastAsia="zh-CN"/>
        </w:rPr>
        <w:t>　</w:t>
      </w:r>
      <w:r>
        <w:rPr>
          <w:rFonts w:hAnsi="楷体" w:cs="楷体"/>
          <w:color w:val="auto"/>
          <w:highlight w:val="none"/>
          <w:lang w:eastAsia="zh-CN"/>
        </w:rPr>
        <w:t>地下洞室的管棚</w:t>
      </w:r>
      <w:r>
        <w:rPr>
          <w:rFonts w:hint="eastAsia" w:hAnsi="楷体" w:cs="楷体"/>
          <w:color w:val="auto"/>
          <w:highlight w:val="none"/>
          <w:lang w:eastAsia="zh-CN"/>
        </w:rPr>
        <w:t>、小导管</w:t>
      </w:r>
      <w:r>
        <w:rPr>
          <w:rFonts w:hAnsi="楷体" w:cs="楷体"/>
          <w:color w:val="auto"/>
          <w:highlight w:val="none"/>
          <w:lang w:eastAsia="zh-CN"/>
        </w:rPr>
        <w:t>超前支护</w:t>
      </w:r>
    </w:p>
    <w:p w14:paraId="24DF3E9C">
      <w:pPr>
        <w:pStyle w:val="5"/>
        <w:jc w:val="left"/>
        <w:rPr>
          <w:color w:val="auto"/>
          <w:highlight w:val="none"/>
          <w:lang w:eastAsia="zh-CN"/>
        </w:rPr>
      </w:pPr>
      <w:r>
        <w:rPr>
          <w:color w:val="auto"/>
          <w:highlight w:val="none"/>
          <w:lang w:eastAsia="zh-CN"/>
        </w:rPr>
        <w:t>9.5.5.1</w:t>
      </w:r>
      <w:r>
        <w:rPr>
          <w:rFonts w:hint="eastAsia"/>
          <w:color w:val="auto"/>
          <w:highlight w:val="none"/>
          <w:lang w:eastAsia="zh-CN"/>
        </w:rPr>
        <w:t>　说明</w:t>
      </w:r>
    </w:p>
    <w:p w14:paraId="5827DD30">
      <w:pPr>
        <w:suppressAutoHyphens/>
        <w:ind w:firstLine="420"/>
        <w:jc w:val="left"/>
        <w:rPr>
          <w:color w:val="auto"/>
          <w:highlight w:val="none"/>
          <w:lang w:eastAsia="zh-CN"/>
        </w:rPr>
      </w:pPr>
      <w:r>
        <w:rPr>
          <w:rFonts w:hint="eastAsia"/>
          <w:color w:val="auto"/>
          <w:highlight w:val="none"/>
          <w:lang w:eastAsia="zh-CN"/>
        </w:rPr>
        <w:t>（1）管棚、小导管主要用于特殊不良地质Ⅴ类、浅埋洞段以及局部相对较差洞段的超前支护。</w:t>
      </w:r>
    </w:p>
    <w:p w14:paraId="45A2668D">
      <w:pPr>
        <w:ind w:firstLine="420"/>
        <w:jc w:val="left"/>
        <w:rPr>
          <w:rFonts w:cs="宋体"/>
          <w:color w:val="auto"/>
          <w:highlight w:val="none"/>
          <w:lang w:eastAsia="zh-CN"/>
        </w:rPr>
      </w:pPr>
      <w:r>
        <w:rPr>
          <w:rFonts w:cs="宋体"/>
          <w:color w:val="auto"/>
          <w:highlight w:val="none"/>
          <w:lang w:eastAsia="zh-CN"/>
        </w:rPr>
        <w:t>（2）在既有隧道或建筑物下修建隧道、海底隧道、浅埋隧道及突破断裂破碎带等成洞困难条件下，监理人认为有必要时，承包人应按监理人的指示，按施工图纸进行管棚</w:t>
      </w:r>
      <w:r>
        <w:rPr>
          <w:rFonts w:hint="eastAsia" w:cs="宋体"/>
          <w:color w:val="auto"/>
          <w:highlight w:val="none"/>
          <w:lang w:eastAsia="zh-CN"/>
        </w:rPr>
        <w:t>、小导管</w:t>
      </w:r>
      <w:r>
        <w:rPr>
          <w:rFonts w:cs="宋体"/>
          <w:color w:val="auto"/>
          <w:highlight w:val="none"/>
          <w:lang w:eastAsia="zh-CN"/>
        </w:rPr>
        <w:t>超前支护。根据开挖过程中对洞室群围岩变形和应力变化规律等的监测，及时进行施工。</w:t>
      </w:r>
    </w:p>
    <w:p w14:paraId="11C2F777">
      <w:pPr>
        <w:ind w:firstLine="420"/>
        <w:jc w:val="left"/>
        <w:rPr>
          <w:color w:val="auto"/>
          <w:highlight w:val="none"/>
          <w:lang w:eastAsia="zh-CN"/>
        </w:rPr>
      </w:pPr>
      <w:r>
        <w:rPr>
          <w:rFonts w:hint="eastAsia"/>
          <w:color w:val="auto"/>
          <w:highlight w:val="none"/>
          <w:lang w:eastAsia="zh-CN"/>
        </w:rPr>
        <w:t>（3）承包人应根据监理人的指示和本技术条款的要求，负责设计、提供和安装管棚、小导管，施工图纸应报送监理人审批。使用管棚、小导管的部位经承包人申报监理人批准，或由监理人指示，监理人的批准不能免除承包人对施工安全的责任。</w:t>
      </w:r>
    </w:p>
    <w:p w14:paraId="7804893B">
      <w:pPr>
        <w:ind w:firstLine="420"/>
        <w:jc w:val="left"/>
        <w:rPr>
          <w:rFonts w:hAnsi="Times New Roman" w:cs="宋体"/>
          <w:color w:val="auto"/>
          <w:highlight w:val="none"/>
          <w:lang w:eastAsia="zh-CN"/>
        </w:rPr>
      </w:pPr>
      <w:r>
        <w:rPr>
          <w:rFonts w:cs="宋体"/>
          <w:color w:val="auto"/>
          <w:highlight w:val="none"/>
          <w:lang w:eastAsia="zh-CN"/>
        </w:rPr>
        <w:t>（4）承包人提交的地下洞室开挖和支护施工措施计划中，应包括管棚的施工布置、施工方法、安全监测措施、施工机械配备及材料参数等。</w:t>
      </w:r>
    </w:p>
    <w:p w14:paraId="4711ACD9">
      <w:pPr>
        <w:ind w:firstLine="420"/>
        <w:jc w:val="left"/>
        <w:rPr>
          <w:rFonts w:cs="宋体"/>
          <w:color w:val="auto"/>
          <w:highlight w:val="none"/>
          <w:lang w:eastAsia="zh-CN"/>
        </w:rPr>
      </w:pPr>
      <w:r>
        <w:rPr>
          <w:rFonts w:cs="宋体"/>
          <w:color w:val="auto"/>
          <w:highlight w:val="none"/>
          <w:lang w:eastAsia="zh-CN"/>
        </w:rPr>
        <w:t>（5）必要时需与钢拱架等支护措施相结合，直至围岩稳定。</w:t>
      </w:r>
    </w:p>
    <w:p w14:paraId="706CD956">
      <w:pPr>
        <w:pStyle w:val="5"/>
        <w:jc w:val="left"/>
        <w:rPr>
          <w:color w:val="auto"/>
          <w:highlight w:val="none"/>
          <w:lang w:eastAsia="zh-CN"/>
        </w:rPr>
      </w:pPr>
      <w:r>
        <w:rPr>
          <w:color w:val="auto"/>
          <w:highlight w:val="none"/>
          <w:lang w:eastAsia="zh-CN"/>
        </w:rPr>
        <w:t>9.5.5.</w:t>
      </w:r>
      <w:r>
        <w:rPr>
          <w:rFonts w:hint="eastAsia"/>
          <w:color w:val="auto"/>
          <w:highlight w:val="none"/>
          <w:lang w:val="en-US" w:eastAsia="zh-CN"/>
        </w:rPr>
        <w:t>2</w:t>
      </w:r>
      <w:r>
        <w:rPr>
          <w:rFonts w:hint="eastAsia"/>
          <w:color w:val="auto"/>
          <w:highlight w:val="none"/>
          <w:lang w:eastAsia="zh-CN"/>
        </w:rPr>
        <w:t>　普通管棚</w:t>
      </w:r>
    </w:p>
    <w:p w14:paraId="34C463D3">
      <w:pPr>
        <w:suppressAutoHyphens/>
        <w:ind w:firstLine="420"/>
        <w:jc w:val="left"/>
        <w:rPr>
          <w:color w:val="auto"/>
          <w:highlight w:val="none"/>
          <w:lang w:eastAsia="zh-CN"/>
        </w:rPr>
      </w:pPr>
      <w:r>
        <w:rPr>
          <w:rFonts w:hint="eastAsia"/>
          <w:color w:val="auto"/>
          <w:highlight w:val="none"/>
          <w:lang w:eastAsia="zh-CN"/>
        </w:rPr>
        <w:t>（1）材料</w:t>
      </w:r>
    </w:p>
    <w:p w14:paraId="46E6BCA0">
      <w:pPr>
        <w:suppressAutoHyphens/>
        <w:ind w:firstLine="420"/>
        <w:jc w:val="left"/>
        <w:rPr>
          <w:color w:val="auto"/>
          <w:highlight w:val="none"/>
          <w:lang w:eastAsia="zh-CN"/>
        </w:rPr>
      </w:pPr>
      <w:r>
        <w:rPr>
          <w:rFonts w:hint="eastAsia"/>
          <w:color w:val="auto"/>
          <w:highlight w:val="none"/>
          <w:lang w:eastAsia="zh-CN"/>
        </w:rPr>
        <w:t>1）钢管采用20</w:t>
      </w:r>
      <w:r>
        <w:rPr>
          <w:color w:val="auto"/>
          <w:highlight w:val="none"/>
          <w:vertAlign w:val="superscript"/>
          <w:lang w:eastAsia="zh-CN"/>
        </w:rPr>
        <w:t>#</w:t>
      </w:r>
      <w:r>
        <w:rPr>
          <w:rFonts w:hint="eastAsia"/>
          <w:color w:val="auto"/>
          <w:highlight w:val="none"/>
          <w:lang w:eastAsia="zh-CN"/>
        </w:rPr>
        <w:t>热轧无缝钢管，直径</w:t>
      </w:r>
      <w:r>
        <w:rPr>
          <w:rFonts w:hint="eastAsia"/>
          <w:color w:val="auto"/>
          <w:highlight w:val="none"/>
        </w:rPr>
        <w:t>Φ</w:t>
      </w:r>
      <w:r>
        <w:rPr>
          <w:color w:val="auto"/>
          <w:highlight w:val="none"/>
          <w:lang w:eastAsia="zh-CN"/>
        </w:rPr>
        <w:t>108mm</w:t>
      </w:r>
      <w:r>
        <w:rPr>
          <w:rFonts w:hint="eastAsia"/>
          <w:color w:val="auto"/>
          <w:highlight w:val="none"/>
          <w:lang w:eastAsia="zh-CN"/>
        </w:rPr>
        <w:t>（施工平洞洞口、钻爆法施工洞段），壁厚不小于6mm，标准节长3m或6m，前端加工成锥形。</w:t>
      </w:r>
    </w:p>
    <w:p w14:paraId="4C6CC0B4">
      <w:pPr>
        <w:suppressAutoHyphens/>
        <w:ind w:firstLine="420"/>
        <w:jc w:val="left"/>
        <w:rPr>
          <w:color w:val="auto"/>
          <w:highlight w:val="none"/>
          <w:lang w:eastAsia="zh-CN"/>
        </w:rPr>
      </w:pPr>
      <w:r>
        <w:rPr>
          <w:rFonts w:hint="eastAsia"/>
          <w:color w:val="auto"/>
          <w:highlight w:val="none"/>
          <w:lang w:eastAsia="zh-CN"/>
        </w:rPr>
        <w:t>2）管棚管壁四周应钻</w:t>
      </w:r>
      <w:r>
        <w:rPr>
          <w:rFonts w:hint="eastAsia"/>
          <w:color w:val="auto"/>
          <w:highlight w:val="none"/>
        </w:rPr>
        <w:t>Φ</w:t>
      </w:r>
      <w:r>
        <w:rPr>
          <w:rFonts w:hint="eastAsia"/>
          <w:color w:val="auto"/>
          <w:highlight w:val="none"/>
          <w:lang w:eastAsia="zh-CN"/>
        </w:rPr>
        <w:t>15mm注浆孔，间距30cm，采用梅花形布置，尾部应预留3.0m的无孔止浆段。</w:t>
      </w:r>
    </w:p>
    <w:p w14:paraId="69EBC599">
      <w:pPr>
        <w:suppressAutoHyphens/>
        <w:ind w:firstLine="420"/>
        <w:jc w:val="left"/>
        <w:rPr>
          <w:color w:val="auto"/>
          <w:highlight w:val="none"/>
          <w:lang w:eastAsia="zh-CN"/>
        </w:rPr>
      </w:pPr>
      <w:r>
        <w:rPr>
          <w:rFonts w:hint="eastAsia"/>
          <w:color w:val="auto"/>
          <w:highlight w:val="none"/>
          <w:lang w:eastAsia="zh-CN"/>
        </w:rPr>
        <w:t>3）灌浆所使用水泥的强度等级为42.5或以上，水泥的性能指标应符合GB175的规定。</w:t>
      </w:r>
    </w:p>
    <w:p w14:paraId="104F50DD">
      <w:pPr>
        <w:suppressAutoHyphens/>
        <w:ind w:firstLine="420"/>
        <w:jc w:val="left"/>
        <w:rPr>
          <w:color w:val="auto"/>
          <w:highlight w:val="none"/>
          <w:lang w:eastAsia="zh-CN"/>
        </w:rPr>
      </w:pPr>
      <w:r>
        <w:rPr>
          <w:rFonts w:hint="eastAsia"/>
          <w:color w:val="auto"/>
          <w:highlight w:val="none"/>
          <w:lang w:eastAsia="zh-CN"/>
        </w:rPr>
        <w:t>4）灌浆用水应遵守JGJ63的规定，拌浆水的温度不得高于40℃。</w:t>
      </w:r>
    </w:p>
    <w:p w14:paraId="131405DE">
      <w:pPr>
        <w:suppressAutoHyphens/>
        <w:ind w:firstLine="420"/>
        <w:jc w:val="left"/>
        <w:rPr>
          <w:color w:val="auto"/>
          <w:highlight w:val="none"/>
          <w:lang w:eastAsia="zh-CN"/>
        </w:rPr>
      </w:pPr>
      <w:r>
        <w:rPr>
          <w:rFonts w:hint="eastAsia"/>
          <w:color w:val="auto"/>
          <w:highlight w:val="none"/>
          <w:lang w:eastAsia="zh-CN"/>
        </w:rPr>
        <w:t>5）根据需要，可添加具有早强、减水、膨胀等作用的外加剂。各种外加剂和掺合料的品质、性能及数量，应根据工程情况、室内试验和现场灌浆试验确定，并符合SL62和GB8076的有关规定。各种外加剂能溶于水的宜以水溶液状态加入。</w:t>
      </w:r>
    </w:p>
    <w:p w14:paraId="6DD62A16">
      <w:pPr>
        <w:suppressAutoHyphens/>
        <w:ind w:firstLine="420"/>
        <w:jc w:val="left"/>
        <w:rPr>
          <w:color w:val="auto"/>
          <w:highlight w:val="none"/>
          <w:lang w:eastAsia="zh-CN"/>
        </w:rPr>
      </w:pPr>
      <w:r>
        <w:rPr>
          <w:rFonts w:hint="eastAsia"/>
          <w:color w:val="auto"/>
          <w:highlight w:val="none"/>
          <w:lang w:eastAsia="zh-CN"/>
        </w:rPr>
        <w:t>（2）管棚孔的钻孔</w:t>
      </w:r>
    </w:p>
    <w:p w14:paraId="2C96FAB5">
      <w:pPr>
        <w:suppressAutoHyphens/>
        <w:ind w:firstLine="420"/>
        <w:jc w:val="left"/>
        <w:rPr>
          <w:color w:val="auto"/>
          <w:highlight w:val="none"/>
          <w:lang w:eastAsia="zh-CN"/>
        </w:rPr>
      </w:pPr>
      <w:r>
        <w:rPr>
          <w:rFonts w:hint="eastAsia"/>
          <w:color w:val="auto"/>
          <w:highlight w:val="none"/>
          <w:lang w:eastAsia="zh-CN"/>
        </w:rPr>
        <w:t>1）根据设计要求确定孔位并做出标记，开孔允许偏差为40mm。</w:t>
      </w:r>
    </w:p>
    <w:p w14:paraId="5AA528A1">
      <w:pPr>
        <w:suppressAutoHyphens/>
        <w:ind w:firstLine="420"/>
        <w:jc w:val="left"/>
        <w:rPr>
          <w:color w:val="auto"/>
          <w:highlight w:val="none"/>
          <w:lang w:eastAsia="zh-CN"/>
        </w:rPr>
      </w:pPr>
      <w:r>
        <w:rPr>
          <w:rFonts w:hint="eastAsia"/>
          <w:color w:val="auto"/>
          <w:highlight w:val="none"/>
          <w:lang w:eastAsia="zh-CN"/>
        </w:rPr>
        <w:t>2）洞口管棚施工设置混凝土套拱，洞口管棚钻孔在套拱混凝土强度达到75%后进行。套拱内安装Q235</w:t>
      </w:r>
      <w:r>
        <w:rPr>
          <w:rFonts w:hint="eastAsia"/>
          <w:color w:val="auto"/>
          <w:highlight w:val="none"/>
        </w:rPr>
        <w:t>Φ</w:t>
      </w:r>
      <w:r>
        <w:rPr>
          <w:rFonts w:hint="eastAsia"/>
          <w:color w:val="auto"/>
          <w:highlight w:val="none"/>
          <w:lang w:eastAsia="zh-CN"/>
        </w:rPr>
        <w:t>127×4mm导向钢管，导向钢管安装时应预留上抬量及控制钢管外仰角，确保孔口孔向正确。</w:t>
      </w:r>
    </w:p>
    <w:p w14:paraId="09EAD672">
      <w:pPr>
        <w:suppressAutoHyphens/>
        <w:ind w:firstLine="420"/>
        <w:jc w:val="left"/>
        <w:rPr>
          <w:color w:val="auto"/>
          <w:highlight w:val="none"/>
          <w:lang w:eastAsia="zh-CN"/>
        </w:rPr>
      </w:pPr>
      <w:r>
        <w:rPr>
          <w:rFonts w:hint="eastAsia"/>
          <w:color w:val="auto"/>
          <w:highlight w:val="none"/>
          <w:lang w:eastAsia="zh-CN"/>
        </w:rPr>
        <w:t>3）管棚孔深度应符合设计要求，超深不宜大于200mm。钻孔时应严格控制钻杆轴向，保证管棚施工钻进方向的准确，脚手架应搭设可靠，钻机应固定牢固，钻进过程中应采用测斜仪器。</w:t>
      </w:r>
    </w:p>
    <w:p w14:paraId="22C022B7">
      <w:pPr>
        <w:suppressAutoHyphens/>
        <w:ind w:firstLine="420"/>
        <w:jc w:val="left"/>
        <w:rPr>
          <w:color w:val="auto"/>
          <w:highlight w:val="none"/>
          <w:lang w:eastAsia="zh-CN"/>
        </w:rPr>
      </w:pPr>
      <w:r>
        <w:rPr>
          <w:rFonts w:hint="eastAsia"/>
          <w:color w:val="auto"/>
          <w:highlight w:val="none"/>
          <w:lang w:eastAsia="zh-CN"/>
        </w:rPr>
        <w:t>4）钻孔顺序由高孔位向底孔位进行，并间隔错开；钻到一定深度时，应用测斜仪器检查孔的倾角是否正确，以便及时纠正。</w:t>
      </w:r>
    </w:p>
    <w:p w14:paraId="1A44830B">
      <w:pPr>
        <w:suppressAutoHyphens/>
        <w:ind w:firstLine="420"/>
        <w:jc w:val="left"/>
        <w:rPr>
          <w:color w:val="auto"/>
          <w:highlight w:val="none"/>
          <w:lang w:eastAsia="zh-CN"/>
        </w:rPr>
      </w:pPr>
      <w:r>
        <w:rPr>
          <w:rFonts w:hint="eastAsia"/>
          <w:color w:val="auto"/>
          <w:highlight w:val="none"/>
          <w:lang w:eastAsia="zh-CN"/>
        </w:rPr>
        <w:t>5）管棚钻孔应跳孔实施，先实施的管棚注浆凝固后，方可进行其相邻管棚的钻孔。围岩破碎、钻进难以成孔时，可采用跟管钻孔工艺施工。</w:t>
      </w:r>
    </w:p>
    <w:p w14:paraId="77786A82">
      <w:pPr>
        <w:suppressAutoHyphens/>
        <w:ind w:firstLine="420"/>
        <w:jc w:val="left"/>
        <w:rPr>
          <w:color w:val="auto"/>
          <w:highlight w:val="none"/>
          <w:lang w:eastAsia="zh-CN"/>
        </w:rPr>
      </w:pPr>
      <w:r>
        <w:rPr>
          <w:rFonts w:hint="eastAsia"/>
          <w:color w:val="auto"/>
          <w:highlight w:val="none"/>
          <w:lang w:eastAsia="zh-CN"/>
        </w:rPr>
        <w:t>6）钻孔完成后，孔内的岩粉和积水应洗吹干净，并保护好孔口。</w:t>
      </w:r>
    </w:p>
    <w:p w14:paraId="22563E3C">
      <w:pPr>
        <w:suppressAutoHyphens/>
        <w:ind w:firstLine="420"/>
        <w:jc w:val="left"/>
        <w:rPr>
          <w:color w:val="auto"/>
          <w:highlight w:val="none"/>
          <w:lang w:eastAsia="zh-CN"/>
        </w:rPr>
      </w:pPr>
      <w:r>
        <w:rPr>
          <w:rFonts w:hint="eastAsia"/>
          <w:color w:val="auto"/>
          <w:highlight w:val="none"/>
          <w:lang w:eastAsia="zh-CN"/>
        </w:rPr>
        <w:t>7）当洞内采用超前管棚时，管棚工作室参数应根据机具设备尺寸和设计管棚外倾角等因素综合考虑设置。</w:t>
      </w:r>
    </w:p>
    <w:p w14:paraId="1FDD2985">
      <w:pPr>
        <w:suppressAutoHyphens/>
        <w:ind w:firstLine="420"/>
        <w:jc w:val="left"/>
        <w:rPr>
          <w:color w:val="auto"/>
          <w:highlight w:val="none"/>
          <w:lang w:eastAsia="zh-CN"/>
        </w:rPr>
      </w:pPr>
      <w:r>
        <w:rPr>
          <w:rFonts w:hint="eastAsia"/>
          <w:color w:val="auto"/>
          <w:highlight w:val="none"/>
          <w:lang w:eastAsia="zh-CN"/>
        </w:rPr>
        <w:t>（3）管棚的安装</w:t>
      </w:r>
    </w:p>
    <w:p w14:paraId="197846BA">
      <w:pPr>
        <w:suppressAutoHyphens/>
        <w:ind w:firstLine="420"/>
        <w:jc w:val="left"/>
        <w:rPr>
          <w:color w:val="auto"/>
          <w:highlight w:val="none"/>
          <w:lang w:eastAsia="zh-CN"/>
        </w:rPr>
      </w:pPr>
      <w:r>
        <w:rPr>
          <w:rFonts w:hint="eastAsia"/>
          <w:color w:val="auto"/>
          <w:highlight w:val="none"/>
          <w:lang w:eastAsia="zh-CN"/>
        </w:rPr>
        <w:t>1）管棚安装前应对管棚孔进行检查，对不符合要求的管棚孔进行处理。</w:t>
      </w:r>
    </w:p>
    <w:p w14:paraId="62E6F8B3">
      <w:pPr>
        <w:suppressAutoHyphens/>
        <w:ind w:firstLine="420"/>
        <w:jc w:val="left"/>
        <w:rPr>
          <w:color w:val="auto"/>
          <w:highlight w:val="none"/>
          <w:lang w:eastAsia="zh-CN"/>
        </w:rPr>
      </w:pPr>
      <w:r>
        <w:rPr>
          <w:rFonts w:hint="eastAsia"/>
          <w:color w:val="auto"/>
          <w:highlight w:val="none"/>
          <w:lang w:eastAsia="zh-CN"/>
        </w:rPr>
        <w:t>2）钢管接头采用丝扣连接，丝扣长15cm，为使钢管错接，在每孔的第一节管打设时，奇偶孔分别用3m和6m的标准长钢管，以后每节均采用6m长钢管，末节可采用非标准钢管。</w:t>
      </w:r>
    </w:p>
    <w:p w14:paraId="37453099">
      <w:pPr>
        <w:suppressAutoHyphens/>
        <w:ind w:firstLine="420"/>
        <w:jc w:val="left"/>
        <w:rPr>
          <w:color w:val="auto"/>
          <w:highlight w:val="none"/>
          <w:lang w:eastAsia="zh-CN"/>
        </w:rPr>
      </w:pPr>
      <w:r>
        <w:rPr>
          <w:rFonts w:hint="eastAsia"/>
          <w:color w:val="auto"/>
          <w:highlight w:val="none"/>
          <w:lang w:eastAsia="zh-CN"/>
        </w:rPr>
        <w:t>3）纵向两组管棚的搭接长度一般不小于3m。</w:t>
      </w:r>
    </w:p>
    <w:p w14:paraId="63840807">
      <w:pPr>
        <w:suppressAutoHyphens/>
        <w:ind w:firstLine="420"/>
        <w:jc w:val="left"/>
        <w:rPr>
          <w:color w:val="auto"/>
          <w:highlight w:val="none"/>
          <w:lang w:eastAsia="zh-CN"/>
        </w:rPr>
      </w:pPr>
      <w:r>
        <w:rPr>
          <w:rFonts w:hint="eastAsia"/>
          <w:color w:val="auto"/>
          <w:highlight w:val="none"/>
          <w:lang w:eastAsia="zh-CN"/>
        </w:rPr>
        <w:t>4）钢管末端应与套拱导向管或钢拱架焊接牢固。</w:t>
      </w:r>
    </w:p>
    <w:p w14:paraId="1B270EDA">
      <w:pPr>
        <w:suppressAutoHyphens/>
        <w:ind w:firstLine="420"/>
        <w:jc w:val="left"/>
        <w:rPr>
          <w:color w:val="auto"/>
          <w:highlight w:val="none"/>
          <w:lang w:eastAsia="zh-CN"/>
        </w:rPr>
      </w:pPr>
      <w:r>
        <w:rPr>
          <w:rFonts w:hint="eastAsia"/>
          <w:color w:val="auto"/>
          <w:highlight w:val="none"/>
          <w:lang w:eastAsia="zh-CN"/>
        </w:rPr>
        <w:t>5）管棚安装后，用速凝砂浆封口。在砂浆强度达到设计要求之前，不应敲击、碰撞或牵拉管棚。</w:t>
      </w:r>
    </w:p>
    <w:p w14:paraId="23DE2C16">
      <w:pPr>
        <w:suppressAutoHyphens/>
        <w:ind w:firstLine="420"/>
        <w:jc w:val="left"/>
        <w:rPr>
          <w:color w:val="auto"/>
          <w:highlight w:val="none"/>
          <w:lang w:eastAsia="zh-CN"/>
        </w:rPr>
      </w:pPr>
      <w:r>
        <w:rPr>
          <w:rFonts w:hint="eastAsia"/>
          <w:color w:val="auto"/>
          <w:highlight w:val="none"/>
          <w:lang w:eastAsia="zh-CN"/>
        </w:rPr>
        <w:t>（4）管棚的注浆</w:t>
      </w:r>
    </w:p>
    <w:p w14:paraId="6342C050">
      <w:pPr>
        <w:suppressAutoHyphens/>
        <w:ind w:firstLine="420"/>
        <w:jc w:val="left"/>
        <w:rPr>
          <w:color w:val="auto"/>
          <w:highlight w:val="none"/>
          <w:lang w:eastAsia="zh-CN"/>
        </w:rPr>
      </w:pPr>
      <w:r>
        <w:rPr>
          <w:rFonts w:hint="eastAsia"/>
          <w:color w:val="auto"/>
          <w:highlight w:val="none"/>
          <w:lang w:eastAsia="zh-CN"/>
        </w:rPr>
        <w:t>1）一般采用纯水泥浆液注浆，若地下水量较大，注浆浆液内可添加5%的水玻璃或通过现场试验确定添加水玻璃的比例。</w:t>
      </w:r>
    </w:p>
    <w:p w14:paraId="1FE1917B">
      <w:pPr>
        <w:suppressAutoHyphens/>
        <w:ind w:firstLine="420"/>
        <w:jc w:val="left"/>
        <w:rPr>
          <w:color w:val="auto"/>
          <w:highlight w:val="none"/>
          <w:lang w:eastAsia="zh-CN"/>
        </w:rPr>
      </w:pPr>
      <w:r>
        <w:rPr>
          <w:rFonts w:hint="eastAsia"/>
          <w:color w:val="auto"/>
          <w:highlight w:val="none"/>
          <w:lang w:eastAsia="zh-CN"/>
        </w:rPr>
        <w:t>2）注浆前进行注浆试验，并根据试验的情况调整注浆参数。初始注浆试验时，水泥浆水灰比可采用1:0.5～1:1。</w:t>
      </w:r>
    </w:p>
    <w:p w14:paraId="4455E9CC">
      <w:pPr>
        <w:suppressAutoHyphens/>
        <w:ind w:firstLine="420"/>
        <w:jc w:val="left"/>
        <w:rPr>
          <w:color w:val="auto"/>
          <w:highlight w:val="none"/>
          <w:lang w:eastAsia="zh-CN"/>
        </w:rPr>
      </w:pPr>
      <w:r>
        <w:rPr>
          <w:rFonts w:hint="eastAsia"/>
          <w:color w:val="auto"/>
          <w:highlight w:val="none"/>
          <w:lang w:eastAsia="zh-CN"/>
        </w:rPr>
        <w:t>3）注浆可在钻孔过程中采用前进式注浆，也可在钻孔完成后采用孔口管注浆。</w:t>
      </w:r>
    </w:p>
    <w:p w14:paraId="75EAB032">
      <w:pPr>
        <w:suppressAutoHyphens/>
        <w:ind w:firstLine="420"/>
        <w:jc w:val="left"/>
        <w:rPr>
          <w:color w:val="auto"/>
          <w:highlight w:val="none"/>
          <w:lang w:eastAsia="zh-CN"/>
        </w:rPr>
      </w:pPr>
      <w:r>
        <w:rPr>
          <w:rFonts w:hint="eastAsia"/>
          <w:color w:val="auto"/>
          <w:highlight w:val="none"/>
          <w:lang w:eastAsia="zh-CN"/>
        </w:rPr>
        <w:t>4）注浆初始压力宜为0.5～1.0MPa，终压宜为2.0MPa，具体需根据围岩地质条件及外水压力情况经现场灌浆试验确定。每孔的注浆量达到设计注浆量或注浆压力达到2.0MPa时，继续保持10min以上后可以结束注浆。</w:t>
      </w:r>
    </w:p>
    <w:p w14:paraId="22FC0064">
      <w:pPr>
        <w:ind w:firstLine="420"/>
        <w:jc w:val="left"/>
        <w:rPr>
          <w:color w:val="auto"/>
          <w:highlight w:val="none"/>
          <w:lang w:eastAsia="zh-CN"/>
        </w:rPr>
      </w:pPr>
      <w:r>
        <w:rPr>
          <w:rFonts w:hint="eastAsia"/>
          <w:color w:val="auto"/>
          <w:highlight w:val="none"/>
          <w:lang w:eastAsia="zh-CN"/>
        </w:rPr>
        <w:t>5）注浆结東后及时清除管内浆液，并用M</w:t>
      </w:r>
      <w:r>
        <w:rPr>
          <w:color w:val="auto"/>
          <w:highlight w:val="none"/>
          <w:vertAlign w:val="superscript"/>
          <w:lang w:eastAsia="zh-CN"/>
        </w:rPr>
        <w:t>3</w:t>
      </w:r>
      <w:r>
        <w:rPr>
          <w:rFonts w:hint="eastAsia"/>
          <w:color w:val="auto"/>
          <w:highlight w:val="none"/>
          <w:lang w:eastAsia="zh-CN"/>
        </w:rPr>
        <w:t>0水泥砂浆紧密充填，增强钢管的刚度。</w:t>
      </w:r>
    </w:p>
    <w:p w14:paraId="1B084875">
      <w:pPr>
        <w:pStyle w:val="5"/>
        <w:jc w:val="left"/>
        <w:rPr>
          <w:color w:val="auto"/>
          <w:highlight w:val="none"/>
          <w:lang w:eastAsia="zh-CN"/>
        </w:rPr>
      </w:pPr>
      <w:r>
        <w:rPr>
          <w:color w:val="auto"/>
          <w:highlight w:val="none"/>
          <w:lang w:eastAsia="zh-CN"/>
        </w:rPr>
        <w:t>9.5.5.</w:t>
      </w:r>
      <w:r>
        <w:rPr>
          <w:rFonts w:hint="eastAsia"/>
          <w:color w:val="auto"/>
          <w:highlight w:val="none"/>
          <w:lang w:val="en-US" w:eastAsia="zh-CN"/>
        </w:rPr>
        <w:t>3</w:t>
      </w:r>
      <w:r>
        <w:rPr>
          <w:rFonts w:hint="eastAsia"/>
          <w:color w:val="auto"/>
          <w:highlight w:val="none"/>
          <w:lang w:eastAsia="zh-CN"/>
        </w:rPr>
        <w:t>　自进式管棚</w:t>
      </w:r>
    </w:p>
    <w:p w14:paraId="12B299F2">
      <w:pPr>
        <w:suppressAutoHyphens/>
        <w:ind w:firstLine="420"/>
        <w:jc w:val="left"/>
        <w:rPr>
          <w:color w:val="auto"/>
          <w:highlight w:val="none"/>
          <w:lang w:eastAsia="zh-CN"/>
        </w:rPr>
      </w:pPr>
      <w:r>
        <w:rPr>
          <w:rFonts w:hint="eastAsia"/>
          <w:color w:val="auto"/>
          <w:highlight w:val="none"/>
          <w:lang w:eastAsia="zh-CN"/>
        </w:rPr>
        <w:t>（1）材料</w:t>
      </w:r>
    </w:p>
    <w:p w14:paraId="70F29BB3">
      <w:pPr>
        <w:suppressAutoHyphens/>
        <w:ind w:firstLine="420"/>
        <w:jc w:val="left"/>
        <w:rPr>
          <w:color w:val="auto"/>
          <w:highlight w:val="none"/>
          <w:lang w:eastAsia="zh-CN"/>
        </w:rPr>
      </w:pPr>
      <w:r>
        <w:rPr>
          <w:rFonts w:hint="eastAsia"/>
          <w:color w:val="auto"/>
          <w:highlight w:val="none"/>
          <w:lang w:eastAsia="zh-CN"/>
        </w:rPr>
        <w:t>1）管棚采用自进式螺旋管棚，45</w:t>
      </w:r>
      <w:r>
        <w:rPr>
          <w:color w:val="auto"/>
          <w:highlight w:val="none"/>
          <w:vertAlign w:val="superscript"/>
          <w:lang w:eastAsia="zh-CN"/>
        </w:rPr>
        <w:t>#</w:t>
      </w:r>
      <w:r>
        <w:rPr>
          <w:rFonts w:hint="eastAsia"/>
          <w:color w:val="auto"/>
          <w:highlight w:val="none"/>
        </w:rPr>
        <w:t>Φ</w:t>
      </w:r>
      <w:r>
        <w:rPr>
          <w:rFonts w:hint="eastAsia"/>
          <w:color w:val="auto"/>
          <w:highlight w:val="none"/>
          <w:lang w:eastAsia="zh-CN"/>
        </w:rPr>
        <w:t>76mm，壁厚至少8mm，标准节长3m或4m，连接采用高强度自钻式螺旋管棚用连接套连接，连接套采用双密封圈高传能连接套，钻头采用加强型十字合金钻头。</w:t>
      </w:r>
    </w:p>
    <w:p w14:paraId="12BA0E5F">
      <w:pPr>
        <w:suppressAutoHyphens/>
        <w:ind w:firstLine="420"/>
        <w:jc w:val="left"/>
        <w:rPr>
          <w:color w:val="auto"/>
          <w:highlight w:val="none"/>
          <w:lang w:eastAsia="zh-CN"/>
        </w:rPr>
      </w:pPr>
      <w:r>
        <w:rPr>
          <w:rFonts w:hint="eastAsia"/>
          <w:color w:val="auto"/>
          <w:highlight w:val="none"/>
          <w:lang w:eastAsia="zh-CN"/>
        </w:rPr>
        <w:t>2）灌浆所使用水泥的强度等级为42.5或以上，水泥的性能指标应符合GB175的规定。</w:t>
      </w:r>
    </w:p>
    <w:p w14:paraId="3BD73122">
      <w:pPr>
        <w:suppressAutoHyphens/>
        <w:ind w:firstLine="420"/>
        <w:jc w:val="left"/>
        <w:rPr>
          <w:color w:val="auto"/>
          <w:highlight w:val="none"/>
          <w:lang w:eastAsia="zh-CN"/>
        </w:rPr>
      </w:pPr>
      <w:r>
        <w:rPr>
          <w:rFonts w:hint="eastAsia"/>
          <w:color w:val="auto"/>
          <w:highlight w:val="none"/>
          <w:lang w:eastAsia="zh-CN"/>
        </w:rPr>
        <w:t>3）灌浆用水应遵守JGJ63的规定，拌浆水的温度不得高于40℃。</w:t>
      </w:r>
    </w:p>
    <w:p w14:paraId="30C388E4">
      <w:pPr>
        <w:suppressAutoHyphens/>
        <w:ind w:firstLine="420"/>
        <w:jc w:val="left"/>
        <w:rPr>
          <w:color w:val="auto"/>
          <w:highlight w:val="none"/>
          <w:lang w:eastAsia="zh-CN"/>
        </w:rPr>
      </w:pPr>
      <w:r>
        <w:rPr>
          <w:rFonts w:hint="eastAsia"/>
          <w:color w:val="auto"/>
          <w:highlight w:val="none"/>
          <w:lang w:eastAsia="zh-CN"/>
        </w:rPr>
        <w:t>4）根据需要，可添加具有早强、减水、膨胀等作用的外加剂。各种外加剂和掺合料的品质、性能及数量，应根据工程情况、室内试验和现场灌浆试验确定，并符合SL62和GB8076的有关规定。各种外加剂能溶于水的宜以水溶液状态加入。</w:t>
      </w:r>
    </w:p>
    <w:p w14:paraId="0DA9E539">
      <w:pPr>
        <w:suppressAutoHyphens/>
        <w:ind w:firstLine="420"/>
        <w:jc w:val="left"/>
        <w:rPr>
          <w:color w:val="auto"/>
          <w:highlight w:val="none"/>
          <w:lang w:eastAsia="zh-CN"/>
        </w:rPr>
      </w:pPr>
      <w:r>
        <w:rPr>
          <w:rFonts w:hint="eastAsia"/>
          <w:color w:val="auto"/>
          <w:highlight w:val="none"/>
          <w:lang w:eastAsia="zh-CN"/>
        </w:rPr>
        <w:t>（2）管棚钻进</w:t>
      </w:r>
    </w:p>
    <w:p w14:paraId="25D4562A">
      <w:pPr>
        <w:suppressAutoHyphens/>
        <w:ind w:firstLine="420"/>
        <w:jc w:val="left"/>
        <w:rPr>
          <w:color w:val="auto"/>
          <w:highlight w:val="none"/>
          <w:lang w:eastAsia="zh-CN"/>
        </w:rPr>
      </w:pPr>
      <w:r>
        <w:rPr>
          <w:rFonts w:hint="eastAsia"/>
          <w:color w:val="auto"/>
          <w:highlight w:val="none"/>
          <w:lang w:eastAsia="zh-CN"/>
        </w:rPr>
        <w:t>1）自进式管棚应按设计支护参数施作，设计未明确时，管棚环向间距宜为40cm，搭接长度不小于3m，设置在顶拱120°范围。</w:t>
      </w:r>
    </w:p>
    <w:p w14:paraId="7EA8FA49">
      <w:pPr>
        <w:suppressAutoHyphens/>
        <w:ind w:firstLine="420"/>
        <w:jc w:val="left"/>
        <w:rPr>
          <w:color w:val="auto"/>
          <w:highlight w:val="none"/>
          <w:lang w:eastAsia="zh-CN"/>
        </w:rPr>
      </w:pPr>
      <w:r>
        <w:rPr>
          <w:rFonts w:hint="eastAsia"/>
          <w:color w:val="auto"/>
          <w:highlight w:val="none"/>
          <w:lang w:eastAsia="zh-CN"/>
        </w:rPr>
        <w:t>2）根据设计要求确定孔位并作出标记，开孔允许偏差为40mm。</w:t>
      </w:r>
    </w:p>
    <w:p w14:paraId="094EF251">
      <w:pPr>
        <w:suppressAutoHyphens/>
        <w:ind w:firstLine="420"/>
        <w:jc w:val="left"/>
        <w:rPr>
          <w:color w:val="auto"/>
          <w:highlight w:val="none"/>
          <w:lang w:eastAsia="zh-CN"/>
        </w:rPr>
      </w:pPr>
      <w:r>
        <w:rPr>
          <w:rFonts w:hint="eastAsia"/>
          <w:color w:val="auto"/>
          <w:highlight w:val="none"/>
          <w:lang w:eastAsia="zh-CN"/>
        </w:rPr>
        <w:t>3）钻孔时应严格控制钻杆轴向，保证管棚施工钻进方向的准确，钻进过程中应采用测斜仪器。</w:t>
      </w:r>
    </w:p>
    <w:p w14:paraId="73939CF0">
      <w:pPr>
        <w:suppressAutoHyphens/>
        <w:ind w:firstLine="420"/>
        <w:jc w:val="left"/>
        <w:rPr>
          <w:color w:val="auto"/>
          <w:highlight w:val="none"/>
          <w:lang w:eastAsia="zh-CN"/>
        </w:rPr>
      </w:pPr>
      <w:r>
        <w:rPr>
          <w:rFonts w:hint="eastAsia"/>
          <w:color w:val="auto"/>
          <w:highlight w:val="none"/>
          <w:lang w:eastAsia="zh-CN"/>
        </w:rPr>
        <w:t>4）钻孔顺序由高孔位向低孔位进行，并间隔错开；钻到一定深度时，应用测斜仪器检查棚管的倾角是否正确，以便及时纠正。</w:t>
      </w:r>
    </w:p>
    <w:p w14:paraId="1D97BD35">
      <w:pPr>
        <w:suppressAutoHyphens/>
        <w:ind w:firstLine="420"/>
        <w:jc w:val="left"/>
        <w:rPr>
          <w:color w:val="auto"/>
          <w:highlight w:val="none"/>
          <w:lang w:eastAsia="zh-CN"/>
        </w:rPr>
      </w:pPr>
      <w:r>
        <w:rPr>
          <w:rFonts w:hint="eastAsia"/>
          <w:color w:val="auto"/>
          <w:highlight w:val="none"/>
          <w:lang w:eastAsia="zh-CN"/>
        </w:rPr>
        <w:t>5）管棚安装后，用速凝砂浆封口。在砂浆强度达到设计要求之前，不应敲击、碰撞或牵拉管棚。</w:t>
      </w:r>
    </w:p>
    <w:p w14:paraId="1B32DCC0">
      <w:pPr>
        <w:suppressAutoHyphens/>
        <w:ind w:firstLine="420"/>
        <w:jc w:val="left"/>
        <w:rPr>
          <w:color w:val="auto"/>
          <w:highlight w:val="none"/>
          <w:lang w:eastAsia="zh-CN"/>
        </w:rPr>
      </w:pPr>
      <w:r>
        <w:rPr>
          <w:rFonts w:hint="eastAsia"/>
          <w:color w:val="auto"/>
          <w:highlight w:val="none"/>
          <w:lang w:eastAsia="zh-CN"/>
        </w:rPr>
        <w:t>（3）管棚注浆</w:t>
      </w:r>
    </w:p>
    <w:p w14:paraId="32CF8EC6">
      <w:pPr>
        <w:suppressAutoHyphens/>
        <w:ind w:firstLine="420"/>
        <w:jc w:val="left"/>
        <w:rPr>
          <w:color w:val="auto"/>
          <w:highlight w:val="none"/>
          <w:lang w:eastAsia="zh-CN"/>
        </w:rPr>
      </w:pPr>
      <w:r>
        <w:rPr>
          <w:rFonts w:hint="eastAsia"/>
          <w:color w:val="auto"/>
          <w:highlight w:val="none"/>
          <w:lang w:eastAsia="zh-CN"/>
        </w:rPr>
        <w:t>1）一般采用纯水泥浆液注浆，若地下水量较大，注浆浆液内可添加5%的水玻璃或通过现场试验确定添加水玻璃的比例。</w:t>
      </w:r>
    </w:p>
    <w:p w14:paraId="40A3E23D">
      <w:pPr>
        <w:suppressAutoHyphens/>
        <w:ind w:firstLine="420"/>
        <w:jc w:val="left"/>
        <w:rPr>
          <w:color w:val="auto"/>
          <w:highlight w:val="none"/>
          <w:lang w:eastAsia="zh-CN"/>
        </w:rPr>
      </w:pPr>
      <w:r>
        <w:rPr>
          <w:rFonts w:hint="eastAsia"/>
          <w:color w:val="auto"/>
          <w:highlight w:val="none"/>
          <w:lang w:eastAsia="zh-CN"/>
        </w:rPr>
        <w:t>2）注浆前进行注浆试验，并根据试验的情况调整注浆参数。初始注浆试验时，水泥浆水灰比可采用1:0.5～1:1。</w:t>
      </w:r>
    </w:p>
    <w:p w14:paraId="02BA407F">
      <w:pPr>
        <w:suppressAutoHyphens/>
        <w:ind w:firstLine="420"/>
        <w:jc w:val="left"/>
        <w:rPr>
          <w:color w:val="auto"/>
          <w:highlight w:val="none"/>
          <w:lang w:eastAsia="zh-CN"/>
        </w:rPr>
      </w:pPr>
      <w:r>
        <w:rPr>
          <w:rFonts w:hint="eastAsia"/>
          <w:color w:val="auto"/>
          <w:highlight w:val="none"/>
          <w:lang w:eastAsia="zh-CN"/>
        </w:rPr>
        <w:t>3）注浆可在钻孔过程中采用前进式注浆，也可在钻孔完成后采用孔口管注浆。</w:t>
      </w:r>
    </w:p>
    <w:p w14:paraId="524B5337">
      <w:pPr>
        <w:suppressAutoHyphens/>
        <w:ind w:firstLine="420"/>
        <w:jc w:val="left"/>
        <w:rPr>
          <w:color w:val="auto"/>
          <w:highlight w:val="none"/>
          <w:lang w:eastAsia="zh-CN"/>
        </w:rPr>
      </w:pPr>
      <w:r>
        <w:rPr>
          <w:rFonts w:hint="eastAsia"/>
          <w:color w:val="auto"/>
          <w:highlight w:val="none"/>
          <w:lang w:eastAsia="zh-CN"/>
        </w:rPr>
        <w:t>4）注浆初始压力宜为0.5～1.0MPa，终压宜为2.0MPa，具体需根据围岩地质条件及外水压力情况经现场灌浆试验确定。每孔的注浆量达到设计注浆量或注浆压力达到2.0MPa时，继续保持10min以上后可以结束注浆。</w:t>
      </w:r>
    </w:p>
    <w:p w14:paraId="229C988B">
      <w:pPr>
        <w:ind w:firstLine="420"/>
        <w:jc w:val="left"/>
        <w:rPr>
          <w:color w:val="auto"/>
          <w:highlight w:val="none"/>
          <w:lang w:eastAsia="zh-CN"/>
        </w:rPr>
      </w:pPr>
      <w:r>
        <w:rPr>
          <w:rFonts w:hint="eastAsia"/>
          <w:color w:val="auto"/>
          <w:highlight w:val="none"/>
          <w:lang w:eastAsia="zh-CN"/>
        </w:rPr>
        <w:t>5）注浆结東后及时清除管内浆液，并用M</w:t>
      </w:r>
      <w:r>
        <w:rPr>
          <w:color w:val="auto"/>
          <w:highlight w:val="none"/>
          <w:lang w:eastAsia="zh-CN"/>
        </w:rPr>
        <w:t>3</w:t>
      </w:r>
      <w:r>
        <w:rPr>
          <w:rFonts w:hint="eastAsia"/>
          <w:color w:val="auto"/>
          <w:highlight w:val="none"/>
          <w:lang w:eastAsia="zh-CN"/>
        </w:rPr>
        <w:t>0水泥砂浆紧密充填，增强钢管的刚度。</w:t>
      </w:r>
    </w:p>
    <w:p w14:paraId="441AC278">
      <w:pPr>
        <w:pStyle w:val="5"/>
        <w:jc w:val="left"/>
        <w:rPr>
          <w:color w:val="auto"/>
          <w:highlight w:val="none"/>
          <w:lang w:eastAsia="zh-CN"/>
        </w:rPr>
      </w:pPr>
      <w:r>
        <w:rPr>
          <w:color w:val="auto"/>
          <w:highlight w:val="none"/>
          <w:lang w:eastAsia="zh-CN"/>
        </w:rPr>
        <w:t>9.5.5.</w:t>
      </w:r>
      <w:r>
        <w:rPr>
          <w:rFonts w:hint="eastAsia"/>
          <w:color w:val="auto"/>
          <w:highlight w:val="none"/>
          <w:lang w:val="en-US" w:eastAsia="zh-CN"/>
        </w:rPr>
        <w:t>4</w:t>
      </w:r>
      <w:r>
        <w:rPr>
          <w:rFonts w:hint="eastAsia"/>
          <w:color w:val="auto"/>
          <w:highlight w:val="none"/>
          <w:lang w:eastAsia="zh-CN"/>
        </w:rPr>
        <w:t>　小导管</w:t>
      </w:r>
    </w:p>
    <w:p w14:paraId="483851C7">
      <w:pPr>
        <w:suppressAutoHyphens/>
        <w:ind w:firstLine="420"/>
        <w:jc w:val="left"/>
        <w:rPr>
          <w:color w:val="auto"/>
          <w:highlight w:val="none"/>
          <w:lang w:eastAsia="zh-CN"/>
        </w:rPr>
      </w:pPr>
      <w:r>
        <w:rPr>
          <w:rFonts w:hint="eastAsia"/>
          <w:color w:val="auto"/>
          <w:highlight w:val="none"/>
          <w:lang w:eastAsia="zh-CN"/>
        </w:rPr>
        <w:t>（1）超前小导管采用外径42mm，壁厚4mm的热轧无缝钢管管制成，管头为25°～</w:t>
      </w:r>
      <w:r>
        <w:rPr>
          <w:color w:val="auto"/>
          <w:highlight w:val="none"/>
          <w:lang w:eastAsia="zh-CN"/>
        </w:rPr>
        <w:t>30°</w:t>
      </w:r>
      <w:r>
        <w:rPr>
          <w:rFonts w:hint="eastAsia"/>
          <w:color w:val="auto"/>
          <w:highlight w:val="none"/>
          <w:lang w:eastAsia="zh-CN"/>
        </w:rPr>
        <w:t>，其中端头花管长约2.0m～3.5m，花管部分钻有Φ6mm孔眼，注浆完成后小导管端部应焊在钢架上。</w:t>
      </w:r>
    </w:p>
    <w:p w14:paraId="16D71424">
      <w:pPr>
        <w:suppressAutoHyphens/>
        <w:ind w:firstLine="420"/>
        <w:jc w:val="left"/>
        <w:rPr>
          <w:color w:val="auto"/>
          <w:highlight w:val="none"/>
          <w:lang w:eastAsia="zh-CN"/>
        </w:rPr>
      </w:pPr>
      <w:r>
        <w:rPr>
          <w:rFonts w:hint="eastAsia"/>
          <w:color w:val="auto"/>
          <w:highlight w:val="none"/>
          <w:lang w:eastAsia="zh-CN"/>
        </w:rPr>
        <w:t>（2）灌浆材料遵守以下规定：</w:t>
      </w:r>
    </w:p>
    <w:p w14:paraId="575AA20E">
      <w:pPr>
        <w:suppressAutoHyphens/>
        <w:ind w:firstLine="420"/>
        <w:jc w:val="left"/>
        <w:rPr>
          <w:color w:val="auto"/>
          <w:highlight w:val="none"/>
          <w:lang w:eastAsia="zh-CN"/>
        </w:rPr>
      </w:pPr>
      <w:r>
        <w:rPr>
          <w:rFonts w:hint="eastAsia"/>
          <w:color w:val="auto"/>
          <w:highlight w:val="none"/>
          <w:lang w:eastAsia="zh-CN"/>
        </w:rPr>
        <w:t>1）水泥：</w:t>
      </w:r>
    </w:p>
    <w:p w14:paraId="671A2CB2">
      <w:pPr>
        <w:suppressAutoHyphens/>
        <w:ind w:firstLine="420"/>
        <w:jc w:val="left"/>
        <w:rPr>
          <w:color w:val="auto"/>
          <w:highlight w:val="none"/>
          <w:lang w:eastAsia="zh-CN"/>
        </w:rPr>
      </w:pPr>
      <w:r>
        <w:rPr>
          <w:rFonts w:hint="eastAsia"/>
          <w:color w:val="auto"/>
          <w:highlight w:val="none"/>
          <w:lang w:eastAsia="zh-CN"/>
        </w:rPr>
        <w:t>①注浆材料采用1：1水泥浆，灌浆工程所采用的水泥品种，应根据灌浆目的和环境水的侵蚀作用等确定。一般情况下，可采用硅酸盐水泥、普通硅酸盐或复合硅酸盐水泥，当有抗侵蚀或其他要求时，应使用特种水泥。</w:t>
      </w:r>
    </w:p>
    <w:p w14:paraId="41BCE710">
      <w:pPr>
        <w:suppressAutoHyphens/>
        <w:ind w:firstLine="420"/>
        <w:jc w:val="left"/>
        <w:rPr>
          <w:color w:val="auto"/>
          <w:highlight w:val="none"/>
          <w:lang w:eastAsia="zh-CN"/>
        </w:rPr>
      </w:pPr>
      <w:r>
        <w:rPr>
          <w:rFonts w:hint="eastAsia"/>
          <w:color w:val="auto"/>
          <w:highlight w:val="none"/>
          <w:lang w:eastAsia="zh-CN"/>
        </w:rPr>
        <w:t>②灌浆所使用水泥的强度等级为42.5或以上。超前注浆所用水泥的细度宜为通过80</w:t>
      </w:r>
      <w:r>
        <w:rPr>
          <w:rFonts w:hint="eastAsia"/>
          <w:color w:val="auto"/>
          <w:highlight w:val="none"/>
        </w:rPr>
        <w:t>μ</w:t>
      </w:r>
      <w:r>
        <w:rPr>
          <w:rFonts w:hint="eastAsia"/>
          <w:color w:val="auto"/>
          <w:highlight w:val="none"/>
          <w:lang w:eastAsia="zh-CN"/>
        </w:rPr>
        <w:t>m方孔筛的筛余量不大于5%。灌浆用水泥应妥善保存，严格防潮并缩短存放时间，不得使用受潮结块的水泥；</w:t>
      </w:r>
    </w:p>
    <w:p w14:paraId="7CCB0BEB">
      <w:pPr>
        <w:suppressAutoHyphens/>
        <w:ind w:firstLine="420"/>
        <w:jc w:val="left"/>
        <w:rPr>
          <w:color w:val="auto"/>
          <w:highlight w:val="none"/>
          <w:lang w:eastAsia="zh-CN"/>
        </w:rPr>
      </w:pPr>
      <w:r>
        <w:rPr>
          <w:rFonts w:hint="eastAsia"/>
          <w:color w:val="auto"/>
          <w:highlight w:val="none"/>
          <w:lang w:eastAsia="zh-CN"/>
        </w:rPr>
        <w:t>2）水：灌浆用水应符合拌制混凝土用水的要求，遵守JGJ63的规定，拌浆水的温度不得高于40℃；</w:t>
      </w:r>
    </w:p>
    <w:p w14:paraId="301960C6">
      <w:pPr>
        <w:suppressAutoHyphens/>
        <w:ind w:firstLine="420"/>
        <w:jc w:val="left"/>
        <w:rPr>
          <w:color w:val="auto"/>
          <w:highlight w:val="none"/>
          <w:lang w:eastAsia="zh-CN"/>
        </w:rPr>
      </w:pPr>
      <w:r>
        <w:rPr>
          <w:rFonts w:hint="eastAsia"/>
          <w:color w:val="auto"/>
          <w:highlight w:val="none"/>
          <w:lang w:eastAsia="zh-CN"/>
        </w:rPr>
        <w:t>3）外加剂、掺合料：根据灌浆需要，经监理人批准，承包人可在水泥浆液中掺入外加剂和掺合料。各种外加剂和掺合料的品质、性能及数量，应根据工程情况、室内试验和现场灌浆试验确定，并符合SL62和GB8076的有关规定。各种外加剂能溶于水的宜以水溶液状态加入。</w:t>
      </w:r>
    </w:p>
    <w:p w14:paraId="257739DF">
      <w:pPr>
        <w:suppressAutoHyphens/>
        <w:ind w:firstLine="420"/>
        <w:jc w:val="left"/>
        <w:rPr>
          <w:color w:val="auto"/>
          <w:highlight w:val="none"/>
          <w:lang w:eastAsia="zh-CN"/>
        </w:rPr>
      </w:pPr>
      <w:r>
        <w:rPr>
          <w:rFonts w:hint="eastAsia"/>
          <w:color w:val="auto"/>
          <w:highlight w:val="none"/>
          <w:lang w:eastAsia="zh-CN"/>
        </w:rPr>
        <w:t>（3）超前小导管的钻孔、安装遵守9.2节锚杆相关内容。</w:t>
      </w:r>
    </w:p>
    <w:p w14:paraId="75638ED0">
      <w:pPr>
        <w:ind w:firstLine="420"/>
        <w:jc w:val="left"/>
        <w:rPr>
          <w:color w:val="auto"/>
          <w:highlight w:val="none"/>
          <w:lang w:eastAsia="zh-CN"/>
        </w:rPr>
      </w:pPr>
      <w:r>
        <w:rPr>
          <w:rFonts w:hint="eastAsia"/>
          <w:color w:val="auto"/>
          <w:highlight w:val="none"/>
          <w:lang w:eastAsia="zh-CN"/>
        </w:rPr>
        <w:t>（4）超前小导管注浆要求可参照SL62第5.8节和7.3节相关规定。</w:t>
      </w:r>
    </w:p>
    <w:p w14:paraId="0117EF00">
      <w:pPr>
        <w:pStyle w:val="5"/>
        <w:jc w:val="left"/>
        <w:rPr>
          <w:color w:val="auto"/>
          <w:highlight w:val="none"/>
          <w:lang w:eastAsia="zh-CN"/>
        </w:rPr>
      </w:pPr>
      <w:r>
        <w:rPr>
          <w:color w:val="auto"/>
          <w:highlight w:val="none"/>
          <w:lang w:eastAsia="zh-CN"/>
        </w:rPr>
        <w:t>9.5.5.</w:t>
      </w:r>
      <w:r>
        <w:rPr>
          <w:rFonts w:hint="eastAsia"/>
          <w:color w:val="auto"/>
          <w:highlight w:val="none"/>
          <w:lang w:val="en-US" w:eastAsia="zh-CN"/>
        </w:rPr>
        <w:t>5</w:t>
      </w:r>
      <w:r>
        <w:rPr>
          <w:rFonts w:hint="eastAsia"/>
          <w:color w:val="auto"/>
          <w:highlight w:val="none"/>
          <w:lang w:eastAsia="zh-CN"/>
        </w:rPr>
        <w:t>　安全注意事项</w:t>
      </w:r>
    </w:p>
    <w:p w14:paraId="4738FCAB">
      <w:pPr>
        <w:suppressAutoHyphens/>
        <w:ind w:firstLine="420"/>
        <w:jc w:val="left"/>
        <w:rPr>
          <w:color w:val="auto"/>
          <w:highlight w:val="none"/>
          <w:lang w:eastAsia="zh-CN"/>
        </w:rPr>
      </w:pPr>
      <w:r>
        <w:rPr>
          <w:rFonts w:hint="eastAsia"/>
          <w:color w:val="auto"/>
          <w:highlight w:val="none"/>
          <w:lang w:eastAsia="zh-CN"/>
        </w:rPr>
        <w:t>（1）管棚、超前小导管施工应符合以下规定:</w:t>
      </w:r>
    </w:p>
    <w:p w14:paraId="79D07B04">
      <w:pPr>
        <w:suppressAutoHyphens/>
        <w:ind w:firstLine="420"/>
        <w:jc w:val="left"/>
        <w:rPr>
          <w:color w:val="auto"/>
          <w:highlight w:val="none"/>
          <w:lang w:eastAsia="zh-CN"/>
        </w:rPr>
      </w:pPr>
      <w:r>
        <w:rPr>
          <w:rFonts w:hint="eastAsia"/>
          <w:color w:val="auto"/>
          <w:highlight w:val="none"/>
          <w:lang w:eastAsia="zh-CN"/>
        </w:rPr>
        <w:t>1）作业前应检验作业台架安全性能，施工过程中应保持稳定;</w:t>
      </w:r>
    </w:p>
    <w:p w14:paraId="1713EB76">
      <w:pPr>
        <w:suppressAutoHyphens/>
        <w:ind w:firstLine="420"/>
        <w:jc w:val="left"/>
        <w:rPr>
          <w:color w:val="auto"/>
          <w:highlight w:val="none"/>
          <w:lang w:eastAsia="zh-CN"/>
        </w:rPr>
      </w:pPr>
      <w:r>
        <w:rPr>
          <w:rFonts w:hint="eastAsia"/>
          <w:color w:val="auto"/>
          <w:highlight w:val="none"/>
          <w:lang w:eastAsia="zh-CN"/>
        </w:rPr>
        <w:t>2）施工前应检查钻机、注浆机及配套设备、风水管等施工机具的安全性能，施工过程中应确保钻机稳定牢靠，注浆管接头及高压风水管连接牢固;</w:t>
      </w:r>
    </w:p>
    <w:p w14:paraId="2F6D8E82">
      <w:pPr>
        <w:suppressAutoHyphens/>
        <w:ind w:firstLine="420"/>
        <w:jc w:val="left"/>
        <w:rPr>
          <w:color w:val="auto"/>
          <w:highlight w:val="none"/>
          <w:lang w:eastAsia="zh-CN"/>
        </w:rPr>
      </w:pPr>
      <w:r>
        <w:rPr>
          <w:rFonts w:hint="eastAsia"/>
          <w:color w:val="auto"/>
          <w:highlight w:val="none"/>
          <w:lang w:eastAsia="zh-CN"/>
        </w:rPr>
        <w:t>3）应指定专人负责对开挖工作面进行安全观测和监护;</w:t>
      </w:r>
    </w:p>
    <w:p w14:paraId="5F00EBD9">
      <w:pPr>
        <w:suppressAutoHyphens/>
        <w:ind w:firstLine="420"/>
        <w:jc w:val="left"/>
        <w:rPr>
          <w:color w:val="auto"/>
          <w:highlight w:val="none"/>
          <w:lang w:eastAsia="zh-CN"/>
        </w:rPr>
      </w:pPr>
      <w:r>
        <w:rPr>
          <w:rFonts w:hint="eastAsia"/>
          <w:color w:val="auto"/>
          <w:highlight w:val="none"/>
          <w:lang w:eastAsia="zh-CN"/>
        </w:rPr>
        <w:t>4）应按作业程序和技术要求进行钻进、安装、注浆作业;</w:t>
      </w:r>
    </w:p>
    <w:p w14:paraId="1F71A34E">
      <w:pPr>
        <w:suppressAutoHyphens/>
        <w:ind w:firstLine="420"/>
        <w:jc w:val="left"/>
        <w:rPr>
          <w:color w:val="auto"/>
          <w:highlight w:val="none"/>
          <w:lang w:eastAsia="zh-CN"/>
        </w:rPr>
      </w:pPr>
      <w:r>
        <w:rPr>
          <w:rFonts w:hint="eastAsia"/>
          <w:color w:val="auto"/>
          <w:highlight w:val="none"/>
          <w:lang w:eastAsia="zh-CN"/>
        </w:rPr>
        <w:t>5）管棚作业换钻杆及超前小导管作业顶进钢管时，应防止钻杆、钢管掉落伤人;</w:t>
      </w:r>
    </w:p>
    <w:p w14:paraId="5ED13F77">
      <w:pPr>
        <w:suppressAutoHyphens/>
        <w:ind w:firstLine="420"/>
        <w:jc w:val="left"/>
        <w:rPr>
          <w:color w:val="auto"/>
          <w:highlight w:val="none"/>
          <w:lang w:eastAsia="zh-CN"/>
        </w:rPr>
      </w:pPr>
      <w:r>
        <w:rPr>
          <w:rFonts w:hint="eastAsia"/>
          <w:color w:val="auto"/>
          <w:highlight w:val="none"/>
          <w:lang w:eastAsia="zh-CN"/>
        </w:rPr>
        <w:t>6）管棚作业起吊钻杆及其他物件时，应指定专人指挥，起吊范围内任何人不得进人。</w:t>
      </w:r>
    </w:p>
    <w:p w14:paraId="212B516A">
      <w:pPr>
        <w:suppressAutoHyphens/>
        <w:ind w:firstLine="420"/>
        <w:jc w:val="left"/>
        <w:rPr>
          <w:color w:val="auto"/>
          <w:highlight w:val="none"/>
          <w:lang w:eastAsia="zh-CN"/>
        </w:rPr>
      </w:pPr>
      <w:r>
        <w:rPr>
          <w:rFonts w:hint="eastAsia"/>
          <w:color w:val="auto"/>
          <w:highlight w:val="none"/>
          <w:lang w:eastAsia="zh-CN"/>
        </w:rPr>
        <w:t>（2）高水压隧洞管棚施工，应选择具有防突水、突泥功能的钻孔设备，孔口管应安装满足水压要求的止水阀门；作业时人员不应站在孔口正面。</w:t>
      </w:r>
    </w:p>
    <w:p w14:paraId="7BFDC2D6">
      <w:pPr>
        <w:suppressAutoHyphens/>
        <w:ind w:firstLine="420"/>
        <w:jc w:val="left"/>
        <w:rPr>
          <w:color w:val="auto"/>
          <w:highlight w:val="none"/>
          <w:lang w:eastAsia="zh-CN"/>
        </w:rPr>
      </w:pPr>
      <w:r>
        <w:rPr>
          <w:rFonts w:hint="eastAsia"/>
          <w:color w:val="auto"/>
          <w:highlight w:val="none"/>
          <w:lang w:eastAsia="zh-CN"/>
        </w:rPr>
        <w:t>（3）管棚钻孔过程中，应记录钻进各项技术参数，观察钻渣排出和孔内出水的情况，出现异常应及时报告和处理。</w:t>
      </w:r>
    </w:p>
    <w:p w14:paraId="10086DEE">
      <w:pPr>
        <w:ind w:firstLine="420"/>
        <w:jc w:val="left"/>
        <w:rPr>
          <w:color w:val="auto"/>
          <w:highlight w:val="none"/>
          <w:lang w:eastAsia="zh-CN"/>
        </w:rPr>
      </w:pPr>
      <w:r>
        <w:rPr>
          <w:rFonts w:hint="eastAsia"/>
          <w:color w:val="auto"/>
          <w:highlight w:val="none"/>
          <w:lang w:eastAsia="zh-CN"/>
        </w:rPr>
        <w:t>（4）管棚、小导管在作业平台上临时存放时，应控制存放数量和高度，并采取防坠落措施。在洞内空地堆放时除应采取防止其滚落的措施外，还应设置醒目的安全警示标志。</w:t>
      </w:r>
    </w:p>
    <w:p w14:paraId="645762E1">
      <w:pPr>
        <w:pStyle w:val="5"/>
        <w:jc w:val="left"/>
        <w:rPr>
          <w:rFonts w:hAnsi="Times New Roman" w:cs="楷体"/>
          <w:color w:val="auto"/>
          <w:highlight w:val="none"/>
          <w:lang w:eastAsia="zh-CN"/>
        </w:rPr>
      </w:pPr>
      <w:r>
        <w:rPr>
          <w:rFonts w:hAnsi="Times New Roman" w:cs="Times New Roman"/>
          <w:color w:val="auto"/>
          <w:highlight w:val="none"/>
          <w:lang w:eastAsia="zh-CN"/>
        </w:rPr>
        <w:t>9.5.6</w:t>
      </w:r>
      <w:r>
        <w:rPr>
          <w:rFonts w:hint="eastAsia" w:hAnsi="Times New Roman" w:cs="Times New Roman"/>
          <w:color w:val="auto"/>
          <w:highlight w:val="none"/>
          <w:lang w:eastAsia="zh-CN"/>
        </w:rPr>
        <w:t>　</w:t>
      </w:r>
      <w:r>
        <w:rPr>
          <w:rFonts w:hAnsi="楷体" w:cs="楷体"/>
          <w:color w:val="auto"/>
          <w:highlight w:val="none"/>
          <w:lang w:eastAsia="zh-CN"/>
        </w:rPr>
        <w:t>地下洞室支护的质量检查和验收</w:t>
      </w:r>
    </w:p>
    <w:p w14:paraId="4E97054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）地下洞室支护工程的锚杆、预应力锚索喷射混凝土和钢架</w:t>
      </w:r>
      <w:r>
        <w:rPr>
          <w:rFonts w:hint="eastAsia" w:cs="宋体"/>
          <w:color w:val="auto"/>
          <w:highlight w:val="none"/>
          <w:lang w:eastAsia="zh-CN"/>
        </w:rPr>
        <w:t>、钢筋格栅</w:t>
      </w:r>
      <w:r>
        <w:rPr>
          <w:rFonts w:cs="宋体"/>
          <w:color w:val="auto"/>
          <w:highlight w:val="none"/>
          <w:lang w:eastAsia="zh-CN"/>
        </w:rPr>
        <w:t>支撑的质量检查应遵守本章第</w:t>
      </w:r>
      <w:r>
        <w:rPr>
          <w:rFonts w:hAnsi="Times New Roman" w:cs="Times New Roman"/>
          <w:color w:val="auto"/>
          <w:highlight w:val="none"/>
          <w:lang w:eastAsia="zh-CN"/>
        </w:rPr>
        <w:t>9.2.5</w:t>
      </w:r>
      <w:r>
        <w:rPr>
          <w:rFonts w:cs="宋体"/>
          <w:color w:val="auto"/>
          <w:highlight w:val="none"/>
          <w:lang w:eastAsia="zh-CN"/>
        </w:rPr>
        <w:t>项、第</w:t>
      </w:r>
      <w:r>
        <w:rPr>
          <w:rFonts w:hAnsi="Times New Roman" w:cs="Times New Roman"/>
          <w:color w:val="auto"/>
          <w:highlight w:val="none"/>
          <w:lang w:eastAsia="zh-CN"/>
        </w:rPr>
        <w:t>9.3.7</w:t>
      </w:r>
      <w:r>
        <w:rPr>
          <w:rFonts w:cs="宋体"/>
          <w:color w:val="auto"/>
          <w:highlight w:val="none"/>
          <w:lang w:eastAsia="zh-CN"/>
        </w:rPr>
        <w:t>项、第</w:t>
      </w:r>
      <w:r>
        <w:rPr>
          <w:rFonts w:hAnsi="Times New Roman" w:cs="Times New Roman"/>
          <w:color w:val="auto"/>
          <w:highlight w:val="none"/>
          <w:lang w:eastAsia="zh-CN"/>
        </w:rPr>
        <w:t>9.4.5</w:t>
      </w:r>
      <w:r>
        <w:rPr>
          <w:rFonts w:cs="宋体"/>
          <w:color w:val="auto"/>
          <w:highlight w:val="none"/>
          <w:lang w:eastAsia="zh-CN"/>
        </w:rPr>
        <w:t>项和</w:t>
      </w:r>
      <w:r>
        <w:rPr>
          <w:rFonts w:hAnsi="Times New Roman" w:cs="Times New Roman"/>
          <w:color w:val="auto"/>
          <w:highlight w:val="none"/>
          <w:lang w:eastAsia="zh-CN"/>
        </w:rPr>
        <w:t>9.5.6</w:t>
      </w:r>
      <w:r>
        <w:rPr>
          <w:rFonts w:cs="宋体"/>
          <w:color w:val="auto"/>
          <w:highlight w:val="none"/>
          <w:lang w:eastAsia="zh-CN"/>
        </w:rPr>
        <w:t>项的规定。</w:t>
      </w:r>
    </w:p>
    <w:p w14:paraId="45873FC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）每项地下洞室支护工程完成后，由监理人及时进行检查和验收，承包人应为监理人的检查验收提供以下资料：</w:t>
      </w:r>
    </w:p>
    <w:p w14:paraId="4D0ECA16">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）地下洞室围岩的地质测绘实录。</w:t>
      </w:r>
    </w:p>
    <w:p w14:paraId="4DF44ECE">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）地下洞室开挖和支护过程的围岩稳定的变形监测资料。</w:t>
      </w:r>
    </w:p>
    <w:p w14:paraId="33C1E572">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）经监理人签证的上述第</w:t>
      </w:r>
      <w:r>
        <w:rPr>
          <w:rFonts w:hAnsi="Times New Roman" w:cs="Times New Roman"/>
          <w:color w:val="auto"/>
          <w:highlight w:val="none"/>
          <w:lang w:eastAsia="zh-CN"/>
        </w:rPr>
        <w:t>1</w:t>
      </w:r>
      <w:r>
        <w:rPr>
          <w:rFonts w:cs="宋体"/>
          <w:color w:val="auto"/>
          <w:highlight w:val="none"/>
          <w:lang w:eastAsia="zh-CN"/>
        </w:rPr>
        <w:t>款所列各项地下洞室支护工程的质量检查记录。</w:t>
      </w:r>
    </w:p>
    <w:p w14:paraId="55A8138C">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）各项地下洞室的竣工图和有关设计文件。</w:t>
      </w:r>
    </w:p>
    <w:p w14:paraId="7CA6DFB6">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）质量事故处理报告。</w:t>
      </w:r>
    </w:p>
    <w:p w14:paraId="03CF7404">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）各项地下洞室的施工缺陷实录及其修复记录。</w:t>
      </w:r>
    </w:p>
    <w:p w14:paraId="11716A0F">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）监理人要求提交的其它验收资料。</w:t>
      </w:r>
    </w:p>
    <w:p w14:paraId="78EEDA2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）地下洞室支护工程的验收应由监理人会同承包人共同进行。经监理人检查确认合格，并在验收文件上签字后，作为地下洞室支护工程完工验收报告的附件。</w:t>
      </w:r>
    </w:p>
    <w:p w14:paraId="08E1E13B">
      <w:pPr>
        <w:pStyle w:val="4"/>
        <w:spacing w:beforeLines="0" w:afterLines="0"/>
        <w:jc w:val="both"/>
        <w:rPr>
          <w:rFonts w:hint="eastAsia" w:cs="宋体"/>
          <w:bCs/>
          <w:color w:val="auto"/>
          <w:szCs w:val="24"/>
          <w:highlight w:val="none"/>
          <w:lang w:eastAsia="zh-CN"/>
        </w:rPr>
      </w:pPr>
      <w:bookmarkStart w:id="1955" w:name="_Toc25842"/>
      <w:bookmarkStart w:id="1956" w:name="_Toc21467"/>
      <w:bookmarkStart w:id="1957" w:name="_Toc3438"/>
      <w:r>
        <w:rPr>
          <w:rFonts w:hint="eastAsia" w:cs="宋体"/>
          <w:bCs/>
          <w:color w:val="auto"/>
          <w:szCs w:val="24"/>
          <w:highlight w:val="none"/>
          <w:lang w:eastAsia="zh-CN"/>
        </w:rPr>
        <w:t>9.6　岩石边坡支护工程</w:t>
      </w:r>
      <w:bookmarkEnd w:id="1955"/>
      <w:bookmarkEnd w:id="1956"/>
      <w:bookmarkEnd w:id="1957"/>
    </w:p>
    <w:p w14:paraId="61C3D919">
      <w:pPr>
        <w:pStyle w:val="5"/>
        <w:jc w:val="left"/>
        <w:rPr>
          <w:rFonts w:hAnsi="Times New Roman" w:cs="楷体"/>
          <w:color w:val="auto"/>
          <w:highlight w:val="none"/>
          <w:lang w:eastAsia="zh-CN"/>
        </w:rPr>
      </w:pPr>
      <w:r>
        <w:rPr>
          <w:rFonts w:hAnsi="Times New Roman" w:cs="Times New Roman"/>
          <w:color w:val="auto"/>
          <w:highlight w:val="none"/>
          <w:lang w:eastAsia="zh-CN"/>
        </w:rPr>
        <w:t>9.6.1</w:t>
      </w:r>
      <w:r>
        <w:rPr>
          <w:rFonts w:hint="eastAsia" w:hAnsi="Times New Roman" w:cs="Times New Roman"/>
          <w:color w:val="auto"/>
          <w:highlight w:val="none"/>
          <w:lang w:eastAsia="zh-CN"/>
        </w:rPr>
        <w:t>　</w:t>
      </w:r>
      <w:r>
        <w:rPr>
          <w:rFonts w:hAnsi="楷体" w:cs="楷体"/>
          <w:color w:val="auto"/>
          <w:highlight w:val="none"/>
          <w:lang w:eastAsia="zh-CN"/>
        </w:rPr>
        <w:t>岩石边坡支护措施计划</w:t>
      </w:r>
    </w:p>
    <w:p w14:paraId="28973CA4">
      <w:pPr>
        <w:ind w:firstLine="420"/>
        <w:jc w:val="left"/>
        <w:rPr>
          <w:rFonts w:hAnsi="Times New Roman" w:cs="宋体"/>
          <w:color w:val="auto"/>
          <w:highlight w:val="none"/>
          <w:lang w:eastAsia="zh-CN"/>
        </w:rPr>
      </w:pPr>
      <w:r>
        <w:rPr>
          <w:rFonts w:cs="宋体"/>
          <w:color w:val="auto"/>
          <w:highlight w:val="none"/>
          <w:lang w:eastAsia="zh-CN"/>
        </w:rPr>
        <w:t>岩石边坡的支护作业应由承包人按施工图纸的要求和本章第</w:t>
      </w:r>
      <w:r>
        <w:rPr>
          <w:rFonts w:hAnsi="Times New Roman" w:cs="Times New Roman"/>
          <w:color w:val="auto"/>
          <w:highlight w:val="none"/>
          <w:lang w:eastAsia="zh-CN"/>
        </w:rPr>
        <w:t>9.2</w:t>
      </w:r>
      <w:r>
        <w:rPr>
          <w:rFonts w:cs="宋体"/>
          <w:color w:val="auto"/>
          <w:highlight w:val="none"/>
          <w:lang w:eastAsia="zh-CN"/>
        </w:rPr>
        <w:t>～</w:t>
      </w:r>
      <w:r>
        <w:rPr>
          <w:rFonts w:hAnsi="Times New Roman" w:cs="Times New Roman"/>
          <w:color w:val="auto"/>
          <w:highlight w:val="none"/>
          <w:lang w:eastAsia="zh-CN"/>
        </w:rPr>
        <w:t>9.4</w:t>
      </w:r>
      <w:r>
        <w:rPr>
          <w:rFonts w:cs="宋体"/>
          <w:color w:val="auto"/>
          <w:highlight w:val="none"/>
          <w:lang w:eastAsia="zh-CN"/>
        </w:rPr>
        <w:t>款的规定，编制本工程岩石边坡支护措施计划，提交监理人批准。其内容包括：</w:t>
      </w:r>
    </w:p>
    <w:p w14:paraId="53F9A1A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）岩石边坡的开挖和支护程序。</w:t>
      </w:r>
    </w:p>
    <w:p w14:paraId="7BD3C09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）支护材料和支护方案选择。</w:t>
      </w:r>
    </w:p>
    <w:p w14:paraId="4E4064E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）安全监测措施。</w:t>
      </w:r>
    </w:p>
    <w:p w14:paraId="7C24516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）岩石边坡的特殊支护措施。</w:t>
      </w:r>
    </w:p>
    <w:p w14:paraId="096B8052">
      <w:pPr>
        <w:pStyle w:val="5"/>
        <w:jc w:val="left"/>
        <w:rPr>
          <w:rFonts w:hAnsi="Times New Roman" w:cs="楷体"/>
          <w:color w:val="auto"/>
          <w:highlight w:val="none"/>
          <w:lang w:eastAsia="zh-CN"/>
        </w:rPr>
      </w:pPr>
      <w:r>
        <w:rPr>
          <w:rFonts w:hAnsi="Times New Roman" w:cs="Times New Roman"/>
          <w:color w:val="auto"/>
          <w:highlight w:val="none"/>
          <w:lang w:eastAsia="zh-CN"/>
        </w:rPr>
        <w:t>9.6.2</w:t>
      </w:r>
      <w:r>
        <w:rPr>
          <w:rFonts w:hint="eastAsia" w:hAnsi="Times New Roman" w:cs="Times New Roman"/>
          <w:color w:val="auto"/>
          <w:highlight w:val="none"/>
          <w:lang w:eastAsia="zh-CN"/>
        </w:rPr>
        <w:t>　</w:t>
      </w:r>
      <w:r>
        <w:rPr>
          <w:rFonts w:hAnsi="楷体" w:cs="楷体"/>
          <w:color w:val="auto"/>
          <w:highlight w:val="none"/>
          <w:lang w:eastAsia="zh-CN"/>
        </w:rPr>
        <w:t>岩石边坡的锚杆支护</w:t>
      </w:r>
    </w:p>
    <w:p w14:paraId="70AC586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）岩石边坡的支护锚杆，应采用自上而下边开挖、边支护的方法进行。每次开挖和支护的边坡分层高度应不大于</w:t>
      </w:r>
      <w:r>
        <w:rPr>
          <w:rFonts w:hAnsi="Times New Roman" w:cs="Times New Roman"/>
          <w:color w:val="auto"/>
          <w:highlight w:val="none"/>
          <w:u w:val="single"/>
          <w:lang w:eastAsia="zh-CN"/>
        </w:rPr>
        <w:t>10</w:t>
      </w:r>
      <w:r>
        <w:rPr>
          <w:rFonts w:cs="宋体"/>
          <w:color w:val="auto"/>
          <w:highlight w:val="none"/>
          <w:u w:val="single"/>
          <w:lang w:eastAsia="zh-CN"/>
        </w:rPr>
        <w:t>～</w:t>
      </w:r>
      <w:r>
        <w:rPr>
          <w:rFonts w:hAnsi="Times New Roman" w:cs="Times New Roman"/>
          <w:color w:val="auto"/>
          <w:highlight w:val="none"/>
          <w:u w:val="single"/>
          <w:lang w:eastAsia="zh-CN"/>
        </w:rPr>
        <w:t>15m</w:t>
      </w:r>
      <w:r>
        <w:rPr>
          <w:rFonts w:cs="宋体"/>
          <w:color w:val="auto"/>
          <w:highlight w:val="none"/>
          <w:lang w:eastAsia="zh-CN"/>
        </w:rPr>
        <w:t>。</w:t>
      </w:r>
    </w:p>
    <w:p w14:paraId="1E68039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）监理人认为有必要时，承包人应按监理人的指示，对边坡的局部破碎地带随机增设永久性加强锚杆和（或）钢筋网，并将增设记录提交监理人。</w:t>
      </w:r>
    </w:p>
    <w:p w14:paraId="7CE7E54F">
      <w:pPr>
        <w:pStyle w:val="5"/>
        <w:jc w:val="left"/>
        <w:rPr>
          <w:rFonts w:hAnsi="Times New Roman" w:cs="楷体"/>
          <w:color w:val="auto"/>
          <w:highlight w:val="none"/>
          <w:lang w:eastAsia="zh-CN"/>
        </w:rPr>
      </w:pPr>
      <w:r>
        <w:rPr>
          <w:rFonts w:hAnsi="Times New Roman" w:cs="Times New Roman"/>
          <w:color w:val="auto"/>
          <w:highlight w:val="none"/>
          <w:lang w:eastAsia="zh-CN"/>
        </w:rPr>
        <w:t>9.6.3</w:t>
      </w:r>
      <w:r>
        <w:rPr>
          <w:rFonts w:hint="eastAsia" w:hAnsi="Times New Roman" w:cs="Times New Roman"/>
          <w:color w:val="auto"/>
          <w:highlight w:val="none"/>
          <w:lang w:eastAsia="zh-CN"/>
        </w:rPr>
        <w:t>　</w:t>
      </w:r>
      <w:r>
        <w:rPr>
          <w:rFonts w:hAnsi="楷体" w:cs="楷体"/>
          <w:color w:val="auto"/>
          <w:highlight w:val="none"/>
          <w:lang w:eastAsia="zh-CN"/>
        </w:rPr>
        <w:t>岩石边坡的预应力锚索支护</w:t>
      </w:r>
    </w:p>
    <w:p w14:paraId="0A8E6709">
      <w:pPr>
        <w:ind w:firstLine="420"/>
        <w:jc w:val="left"/>
        <w:rPr>
          <w:rFonts w:hAnsi="Times New Roman" w:cs="宋体"/>
          <w:color w:val="auto"/>
          <w:highlight w:val="none"/>
          <w:lang w:eastAsia="zh-CN"/>
        </w:rPr>
      </w:pPr>
      <w:r>
        <w:rPr>
          <w:rFonts w:hint="eastAsia" w:cs="宋体"/>
          <w:color w:val="auto"/>
          <w:highlight w:val="none"/>
          <w:lang w:val="en-US" w:eastAsia="zh-CN"/>
        </w:rPr>
        <w:t>本标段不涉及</w:t>
      </w:r>
      <w:r>
        <w:rPr>
          <w:rFonts w:cs="宋体"/>
          <w:color w:val="auto"/>
          <w:highlight w:val="none"/>
          <w:lang w:eastAsia="zh-CN"/>
        </w:rPr>
        <w:t>。</w:t>
      </w:r>
    </w:p>
    <w:p w14:paraId="48AA158D">
      <w:pPr>
        <w:pStyle w:val="5"/>
        <w:jc w:val="left"/>
        <w:rPr>
          <w:rFonts w:hAnsi="Times New Roman" w:cs="楷体"/>
          <w:color w:val="auto"/>
          <w:highlight w:val="none"/>
          <w:lang w:eastAsia="zh-CN"/>
        </w:rPr>
      </w:pPr>
      <w:r>
        <w:rPr>
          <w:rFonts w:hAnsi="Times New Roman" w:cs="Times New Roman"/>
          <w:color w:val="auto"/>
          <w:highlight w:val="none"/>
          <w:lang w:eastAsia="zh-CN"/>
        </w:rPr>
        <w:t>9.6.4</w:t>
      </w:r>
      <w:r>
        <w:rPr>
          <w:rFonts w:hint="eastAsia" w:hAnsi="Times New Roman" w:cs="Times New Roman"/>
          <w:color w:val="auto"/>
          <w:highlight w:val="none"/>
          <w:lang w:eastAsia="zh-CN"/>
        </w:rPr>
        <w:t>　</w:t>
      </w:r>
      <w:r>
        <w:rPr>
          <w:rFonts w:hAnsi="楷体" w:cs="楷体"/>
          <w:color w:val="auto"/>
          <w:highlight w:val="none"/>
          <w:lang w:eastAsia="zh-CN"/>
        </w:rPr>
        <w:t>岩石边坡的喷射混凝土支护</w:t>
      </w:r>
    </w:p>
    <w:p w14:paraId="44F83D9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）岩石边坡的喷射混凝土作业应在全部岩石边坡锚杆钻设完成后，立即喷射混凝土。若发现安全监测数据异常，监理人要求在锚杆钻设前喷射混凝土时，承包人应立即执行。</w:t>
      </w:r>
    </w:p>
    <w:p w14:paraId="37478B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）岩石边坡的喷射混凝土施工应按本章第</w:t>
      </w:r>
      <w:r>
        <w:rPr>
          <w:rFonts w:hAnsi="Times New Roman" w:cs="Times New Roman"/>
          <w:color w:val="auto"/>
          <w:highlight w:val="none"/>
          <w:lang w:eastAsia="zh-CN"/>
        </w:rPr>
        <w:t>9.4</w:t>
      </w:r>
      <w:r>
        <w:rPr>
          <w:rFonts w:cs="宋体"/>
          <w:color w:val="auto"/>
          <w:highlight w:val="none"/>
          <w:lang w:eastAsia="zh-CN"/>
        </w:rPr>
        <w:t>款的有关规定进行。混凝土终凝至下一层放炮时间不应少于</w:t>
      </w:r>
      <w:r>
        <w:rPr>
          <w:rFonts w:hAnsi="Times New Roman" w:cs="Times New Roman"/>
          <w:color w:val="auto"/>
          <w:highlight w:val="none"/>
          <w:u w:val="single"/>
          <w:lang w:eastAsia="zh-CN"/>
        </w:rPr>
        <w:t>3</w:t>
      </w:r>
      <w:r>
        <w:rPr>
          <w:rFonts w:cs="宋体"/>
          <w:color w:val="auto"/>
          <w:highlight w:val="none"/>
          <w:lang w:eastAsia="zh-CN"/>
        </w:rPr>
        <w:t>小时。</w:t>
      </w:r>
    </w:p>
    <w:p w14:paraId="7B59676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）岩石边坡的喷射混凝土回弹率应根据边坡坡度，按施工图纸和监理人指示选定。</w:t>
      </w:r>
    </w:p>
    <w:p w14:paraId="6F9BBFE4">
      <w:pPr>
        <w:pStyle w:val="5"/>
        <w:jc w:val="left"/>
        <w:rPr>
          <w:rFonts w:hAnsi="Times New Roman" w:cs="楷体"/>
          <w:color w:val="auto"/>
          <w:highlight w:val="none"/>
          <w:lang w:eastAsia="zh-CN"/>
        </w:rPr>
      </w:pPr>
      <w:r>
        <w:rPr>
          <w:rFonts w:hAnsi="Times New Roman" w:cs="Times New Roman"/>
          <w:color w:val="auto"/>
          <w:highlight w:val="none"/>
          <w:lang w:eastAsia="zh-CN"/>
        </w:rPr>
        <w:t>9.6.5</w:t>
      </w:r>
      <w:r>
        <w:rPr>
          <w:rFonts w:hint="eastAsia" w:hAnsi="Times New Roman" w:cs="Times New Roman"/>
          <w:color w:val="auto"/>
          <w:highlight w:val="none"/>
          <w:lang w:eastAsia="zh-CN"/>
        </w:rPr>
        <w:t>　</w:t>
      </w:r>
      <w:r>
        <w:rPr>
          <w:rFonts w:hAnsi="楷体" w:cs="楷体"/>
          <w:color w:val="auto"/>
          <w:highlight w:val="none"/>
          <w:lang w:eastAsia="zh-CN"/>
        </w:rPr>
        <w:t>边坡支挡结构</w:t>
      </w:r>
    </w:p>
    <w:p w14:paraId="5EB0598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）抗滑洞和抗滑桩。</w:t>
      </w:r>
    </w:p>
    <w:p w14:paraId="7D4C0F49">
      <w:pPr>
        <w:ind w:firstLine="420"/>
        <w:jc w:val="left"/>
        <w:rPr>
          <w:rFonts w:hAnsi="Times New Roman" w:cs="宋体"/>
          <w:color w:val="auto"/>
          <w:highlight w:val="none"/>
          <w:lang w:eastAsia="zh-CN"/>
        </w:rPr>
      </w:pPr>
      <w:r>
        <w:rPr>
          <w:rFonts w:hAnsi="Times New Roman" w:cs="Times New Roman"/>
          <w:color w:val="auto"/>
          <w:highlight w:val="none"/>
          <w:lang w:eastAsia="zh-CN"/>
        </w:rPr>
        <w:t>l</w:t>
      </w:r>
      <w:r>
        <w:rPr>
          <w:rFonts w:cs="宋体"/>
          <w:color w:val="auto"/>
          <w:highlight w:val="none"/>
          <w:lang w:eastAsia="zh-CN"/>
        </w:rPr>
        <w:t>）在同一平面上，抗滑桩的施工应分序进行，根据施工安全要求采取间隔跳桩或由两侧向中部推进的施工顺序。各间隔桩的混凝土浇筑完毕天后，方能进行邻桩开挖。</w:t>
      </w:r>
    </w:p>
    <w:p w14:paraId="68F2624F">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）桩井的洞口和井口，应做好可靠的锁口；开挖过程中应及时做好护壁和排水。</w:t>
      </w:r>
    </w:p>
    <w:p w14:paraId="37F2A0AA">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）每个洞、桩均应连续一次浇筑完成，若分段浇筑，其分缝位置及缝面处理应经监理人批准。</w:t>
      </w:r>
    </w:p>
    <w:p w14:paraId="04B50A8D">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）桩井护壁应与挂壁锚杆可靠锚固和连接，井口锁口盘应与基础有效锚固。</w:t>
      </w:r>
    </w:p>
    <w:p w14:paraId="2F6C92A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）边坡衬砌。</w:t>
      </w:r>
    </w:p>
    <w:p w14:paraId="09322A04">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）边坡衬砌前，应做边坡上部与两侧的危石清理及坡面加固和排水工作。必要时在工作面上方加设防护栏栅。</w:t>
      </w:r>
    </w:p>
    <w:p w14:paraId="3C4C8DA8">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）高陡边坡上部衬砌混凝土，应与一次支护锚杆或加设的插筋可靠连接。已支护的喷混凝土面，应在衬砌前进行凿毛处理。</w:t>
      </w:r>
    </w:p>
    <w:p w14:paraId="6FB02E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）边坡护坡网格和锚固框架结构。</w:t>
      </w:r>
    </w:p>
    <w:p w14:paraId="1A9B3782">
      <w:pPr>
        <w:ind w:firstLine="420"/>
        <w:jc w:val="left"/>
        <w:rPr>
          <w:rFonts w:hAnsi="Times New Roman" w:cs="宋体"/>
          <w:color w:val="auto"/>
          <w:highlight w:val="none"/>
          <w:lang w:eastAsia="zh-CN"/>
        </w:rPr>
      </w:pPr>
      <w:r>
        <w:rPr>
          <w:rFonts w:hAnsi="Times New Roman" w:cs="Times New Roman"/>
          <w:color w:val="auto"/>
          <w:highlight w:val="none"/>
          <w:lang w:eastAsia="zh-CN"/>
        </w:rPr>
        <w:t>l</w:t>
      </w:r>
      <w:r>
        <w:rPr>
          <w:rFonts w:cs="宋体"/>
          <w:color w:val="auto"/>
          <w:highlight w:val="none"/>
          <w:lang w:eastAsia="zh-CN"/>
        </w:rPr>
        <w:t>）护坡网格混凝土或砌体结构应嵌入坡面</w:t>
      </w:r>
      <w:r>
        <w:rPr>
          <w:rFonts w:cs="宋体"/>
          <w:color w:val="auto"/>
          <w:highlight w:val="none"/>
          <w:u w:val="single"/>
          <w:lang w:eastAsia="zh-CN"/>
        </w:rPr>
        <w:t>＿＿</w:t>
      </w:r>
      <w:r>
        <w:rPr>
          <w:rFonts w:cs="宋体"/>
          <w:color w:val="auto"/>
          <w:highlight w:val="none"/>
          <w:lang w:eastAsia="zh-CN"/>
        </w:rPr>
        <w:t>以上，其厚度应大于</w:t>
      </w:r>
      <w:r>
        <w:rPr>
          <w:rFonts w:hAnsi="Times New Roman" w:cs="Times New Roman"/>
          <w:color w:val="auto"/>
          <w:highlight w:val="none"/>
          <w:u w:val="single"/>
          <w:lang w:eastAsia="zh-CN"/>
        </w:rPr>
        <w:t>5cm</w:t>
      </w:r>
      <w:r>
        <w:rPr>
          <w:rFonts w:cs="宋体"/>
          <w:color w:val="auto"/>
          <w:highlight w:val="none"/>
          <w:lang w:eastAsia="zh-CN"/>
        </w:rPr>
        <w:t>。</w:t>
      </w:r>
    </w:p>
    <w:p w14:paraId="35D3CE03">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）边坡锚固框架应按监理人指示设置锚杆，陡坡段除满足施工图纸要求外，还应根据坡比情况，沿框架轴线设置非节点锚杆。</w:t>
      </w:r>
    </w:p>
    <w:p w14:paraId="5928A11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）边坡防护网。</w:t>
      </w:r>
    </w:p>
    <w:p w14:paraId="6D364586">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）边坡防护网是由钢丝绳网、锚杆、钢筋、拉锚绳、基座、减压环、钢柱与专用锚垫板等构成防护结构系统。</w:t>
      </w:r>
    </w:p>
    <w:p w14:paraId="0941D44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）在边坡防护网施工前，承包人应按监理人指示编制边坡防护网施工安全措施，提交监理人批准。</w:t>
      </w:r>
    </w:p>
    <w:p w14:paraId="6C3E0BE4">
      <w:pPr>
        <w:pStyle w:val="5"/>
        <w:jc w:val="left"/>
        <w:rPr>
          <w:rFonts w:hAnsi="Times New Roman" w:cs="楷体"/>
          <w:color w:val="auto"/>
          <w:highlight w:val="none"/>
          <w:lang w:eastAsia="zh-CN"/>
        </w:rPr>
      </w:pPr>
      <w:r>
        <w:rPr>
          <w:rFonts w:hAnsi="Times New Roman" w:cs="Times New Roman"/>
          <w:color w:val="auto"/>
          <w:highlight w:val="none"/>
          <w:lang w:eastAsia="zh-CN"/>
        </w:rPr>
        <w:t>9.6.6</w:t>
      </w:r>
      <w:r>
        <w:rPr>
          <w:rFonts w:hint="eastAsia" w:hAnsi="Times New Roman" w:cs="Times New Roman"/>
          <w:color w:val="auto"/>
          <w:highlight w:val="none"/>
          <w:lang w:eastAsia="zh-CN"/>
        </w:rPr>
        <w:t>　</w:t>
      </w:r>
      <w:r>
        <w:rPr>
          <w:rFonts w:hAnsi="楷体" w:cs="楷体"/>
          <w:color w:val="auto"/>
          <w:highlight w:val="none"/>
          <w:lang w:eastAsia="zh-CN"/>
        </w:rPr>
        <w:t>岩石边坡支护的质量检查和验收</w:t>
      </w:r>
    </w:p>
    <w:p w14:paraId="13835EA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）岩石边坡支护锚杆的质量检查和验收应符合本章第</w:t>
      </w:r>
      <w:r>
        <w:rPr>
          <w:rFonts w:hAnsi="Times New Roman" w:cs="Times New Roman"/>
          <w:color w:val="auto"/>
          <w:highlight w:val="none"/>
          <w:lang w:eastAsia="zh-CN"/>
        </w:rPr>
        <w:t>9.2.5</w:t>
      </w:r>
      <w:r>
        <w:rPr>
          <w:rFonts w:cs="宋体"/>
          <w:color w:val="auto"/>
          <w:highlight w:val="none"/>
          <w:lang w:eastAsia="zh-CN"/>
        </w:rPr>
        <w:t>项的规定。</w:t>
      </w:r>
    </w:p>
    <w:p w14:paraId="799E2B08">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2</w:t>
      </w:r>
      <w:r>
        <w:rPr>
          <w:rFonts w:cs="宋体"/>
          <w:color w:val="auto"/>
          <w:highlight w:val="none"/>
          <w:lang w:eastAsia="zh-CN"/>
        </w:rPr>
        <w:t>）岩石边坡喷射混凝土支护的质量检查和验收应符合本章第</w:t>
      </w:r>
      <w:r>
        <w:rPr>
          <w:rFonts w:hAnsi="Times New Roman" w:cs="Times New Roman"/>
          <w:color w:val="auto"/>
          <w:highlight w:val="none"/>
          <w:lang w:eastAsia="zh-CN"/>
        </w:rPr>
        <w:t>9.4.5</w:t>
      </w:r>
      <w:r>
        <w:rPr>
          <w:rFonts w:cs="宋体"/>
          <w:color w:val="auto"/>
          <w:highlight w:val="none"/>
          <w:lang w:eastAsia="zh-CN"/>
        </w:rPr>
        <w:t>项的规定。</w:t>
      </w:r>
    </w:p>
    <w:p w14:paraId="1AF3D531">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3</w:t>
      </w:r>
      <w:r>
        <w:rPr>
          <w:rFonts w:cs="宋体"/>
          <w:color w:val="auto"/>
          <w:highlight w:val="none"/>
          <w:lang w:eastAsia="zh-CN"/>
        </w:rPr>
        <w:t>）岩石边坡支护工程的各项防护结构的质量检查和验收应参照本技术条款同类结构物的质量检查和验收方法进行。</w:t>
      </w:r>
    </w:p>
    <w:p w14:paraId="287C2975">
      <w:pPr>
        <w:pStyle w:val="5"/>
        <w:jc w:val="left"/>
        <w:rPr>
          <w:rFonts w:hAnsi="Times New Roman" w:cs="楷体"/>
          <w:color w:val="auto"/>
          <w:highlight w:val="none"/>
          <w:lang w:eastAsia="zh-CN"/>
        </w:rPr>
      </w:pPr>
      <w:r>
        <w:rPr>
          <w:rFonts w:hAnsi="Times New Roman" w:cs="Times New Roman"/>
          <w:color w:val="auto"/>
          <w:highlight w:val="none"/>
          <w:lang w:eastAsia="zh-CN"/>
        </w:rPr>
        <w:t>9.6.7</w:t>
      </w:r>
      <w:r>
        <w:rPr>
          <w:rFonts w:hint="eastAsia" w:hAnsi="Times New Roman" w:cs="Times New Roman"/>
          <w:color w:val="auto"/>
          <w:highlight w:val="none"/>
          <w:lang w:eastAsia="zh-CN"/>
        </w:rPr>
        <w:t>　</w:t>
      </w:r>
      <w:r>
        <w:rPr>
          <w:rFonts w:hAnsi="楷体" w:cs="楷体"/>
          <w:color w:val="auto"/>
          <w:highlight w:val="none"/>
          <w:lang w:eastAsia="zh-CN"/>
        </w:rPr>
        <w:t>完工验收</w:t>
      </w:r>
    </w:p>
    <w:p w14:paraId="38582F51">
      <w:pPr>
        <w:ind w:firstLine="420"/>
        <w:jc w:val="left"/>
        <w:rPr>
          <w:rFonts w:hAnsi="Times New Roman" w:cs="宋体"/>
          <w:color w:val="auto"/>
          <w:highlight w:val="none"/>
          <w:lang w:eastAsia="zh-CN"/>
        </w:rPr>
      </w:pPr>
      <w:r>
        <w:rPr>
          <w:rFonts w:cs="宋体"/>
          <w:color w:val="auto"/>
          <w:highlight w:val="none"/>
          <w:lang w:eastAsia="zh-CN"/>
        </w:rPr>
        <w:t>各项支护工程完工后，承包人应向监理人申请完工验收，并提交以下验收资料：</w:t>
      </w:r>
    </w:p>
    <w:p w14:paraId="526B339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）支护工程竣工图。</w:t>
      </w:r>
    </w:p>
    <w:p w14:paraId="3468E1D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）锚杆、喷射混凝土和岩石边坡支护等的原材料试验成果报告。</w:t>
      </w:r>
    </w:p>
    <w:p w14:paraId="3372E67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）现场监测及试验检验记录。</w:t>
      </w:r>
    </w:p>
    <w:p w14:paraId="312BF3D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）质量检查记录和质量事故处理报告。</w:t>
      </w:r>
    </w:p>
    <w:p w14:paraId="50EADAC8">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）监理人要求提交的其它完工资料。</w:t>
      </w:r>
    </w:p>
    <w:p w14:paraId="46E01808">
      <w:pPr>
        <w:pStyle w:val="4"/>
        <w:spacing w:beforeLines="0" w:afterLines="0"/>
        <w:jc w:val="both"/>
        <w:rPr>
          <w:rFonts w:hint="eastAsia" w:cs="宋体"/>
          <w:bCs/>
          <w:color w:val="auto"/>
          <w:szCs w:val="24"/>
          <w:highlight w:val="none"/>
          <w:lang w:eastAsia="zh-CN"/>
        </w:rPr>
      </w:pPr>
      <w:bookmarkStart w:id="1958" w:name="_Toc5990"/>
      <w:bookmarkStart w:id="1959" w:name="_Toc13336"/>
      <w:bookmarkStart w:id="1960" w:name="_Toc8755"/>
      <w:r>
        <w:rPr>
          <w:rFonts w:hint="eastAsia" w:cs="宋体"/>
          <w:bCs/>
          <w:color w:val="auto"/>
          <w:szCs w:val="24"/>
          <w:highlight w:val="none"/>
          <w:lang w:eastAsia="zh-CN"/>
        </w:rPr>
        <w:t>9.7　计量和支付</w:t>
      </w:r>
      <w:bookmarkEnd w:id="1958"/>
      <w:bookmarkEnd w:id="1959"/>
      <w:bookmarkEnd w:id="1960"/>
    </w:p>
    <w:p w14:paraId="4BE4D4B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）锚杆（包括系统锚杆和随机锚杆）按施工图纸所示钢筋强度等级、直径</w:t>
      </w:r>
      <w:r>
        <w:rPr>
          <w:rFonts w:cs="宋体"/>
          <w:strike w:val="0"/>
          <w:dstrike w:val="0"/>
          <w:color w:val="auto"/>
          <w:highlight w:val="none"/>
          <w:lang w:eastAsia="zh-CN"/>
        </w:rPr>
        <w:t>和</w:t>
      </w:r>
      <w:r>
        <w:rPr>
          <w:rFonts w:hint="eastAsia" w:cs="宋体"/>
          <w:color w:val="auto"/>
          <w:highlight w:val="none"/>
          <w:lang w:eastAsia="zh-CN"/>
        </w:rPr>
        <w:t>设计有效</w:t>
      </w:r>
      <w:r>
        <w:rPr>
          <w:rFonts w:cs="宋体"/>
          <w:color w:val="auto"/>
          <w:highlight w:val="none"/>
          <w:lang w:eastAsia="zh-CN"/>
        </w:rPr>
        <w:t>长度的不同划分类别以有效根数计量，由发包人按《工程量清单》相应项目有效工程量的每根工程单价支付。锚杆的外露部分和锚杆的加工、安装过程中的损耗量和附</w:t>
      </w:r>
      <w:r>
        <w:rPr>
          <w:rFonts w:hint="eastAsia" w:cs="宋体"/>
          <w:color w:val="auto"/>
          <w:highlight w:val="none"/>
          <w:lang w:eastAsia="zh-CN"/>
        </w:rPr>
        <w:t>件</w:t>
      </w:r>
      <w:r>
        <w:rPr>
          <w:rFonts w:cs="宋体"/>
          <w:color w:val="auto"/>
          <w:highlight w:val="none"/>
          <w:lang w:eastAsia="zh-CN"/>
        </w:rPr>
        <w:t>工程量所需的费用，包含在锚杆有效工程量的每根工程单价中，发包人不另行支付。</w:t>
      </w:r>
      <w:r>
        <w:rPr>
          <w:rFonts w:hint="eastAsia" w:cs="宋体"/>
          <w:color w:val="auto"/>
          <w:highlight w:val="none"/>
          <w:lang w:eastAsia="zh-CN"/>
        </w:rPr>
        <w:t>工程量清单中</w:t>
      </w:r>
      <w:r>
        <w:rPr>
          <w:rFonts w:cs="宋体"/>
          <w:color w:val="auto"/>
          <w:highlight w:val="none"/>
          <w:lang w:eastAsia="zh-CN"/>
        </w:rPr>
        <w:t>锚杆</w:t>
      </w:r>
      <w:r>
        <w:rPr>
          <w:rFonts w:hint="eastAsia" w:cs="宋体"/>
          <w:color w:val="auto"/>
          <w:highlight w:val="none"/>
          <w:lang w:eastAsia="zh-CN"/>
        </w:rPr>
        <w:t>所示的长度为锚杆的总长度（含</w:t>
      </w:r>
      <w:r>
        <w:rPr>
          <w:rFonts w:cs="宋体"/>
          <w:color w:val="auto"/>
          <w:highlight w:val="none"/>
          <w:lang w:eastAsia="zh-CN"/>
        </w:rPr>
        <w:t>锚杆外露部分的</w:t>
      </w:r>
      <w:r>
        <w:rPr>
          <w:rFonts w:hint="eastAsia" w:cs="宋体"/>
          <w:color w:val="auto"/>
          <w:highlight w:val="none"/>
          <w:lang w:eastAsia="zh-CN"/>
        </w:rPr>
        <w:t>长度）</w:t>
      </w:r>
    </w:p>
    <w:p w14:paraId="0FE7A7E1">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2</w:t>
      </w:r>
      <w:r>
        <w:rPr>
          <w:rFonts w:cs="宋体"/>
          <w:color w:val="auto"/>
          <w:highlight w:val="none"/>
          <w:lang w:eastAsia="zh-CN"/>
        </w:rPr>
        <w:t>）喷射混凝土按施工图纸所示部位，喷射厚度</w:t>
      </w:r>
      <w:r>
        <w:rPr>
          <w:rFonts w:hint="eastAsia" w:cs="宋体"/>
          <w:color w:val="auto"/>
          <w:highlight w:val="none"/>
          <w:lang w:eastAsia="zh-CN"/>
        </w:rPr>
        <w:t>、混凝土标号</w:t>
      </w:r>
      <w:r>
        <w:rPr>
          <w:rFonts w:cs="宋体"/>
          <w:color w:val="auto"/>
          <w:highlight w:val="none"/>
          <w:lang w:eastAsia="zh-CN"/>
        </w:rPr>
        <w:t>和是否挂网划分类别，并计算喷射混凝土有效实体方体积以立方米为单位计量，由发包人按《工程量清单》相应项目有效工程量的每立方米工程单价支付。</w:t>
      </w:r>
    </w:p>
    <w:p w14:paraId="7811DAD5">
      <w:pPr>
        <w:ind w:firstLine="420"/>
        <w:jc w:val="left"/>
        <w:rPr>
          <w:rFonts w:hAnsi="Times New Roman" w:cs="宋体"/>
          <w:color w:val="auto"/>
          <w:highlight w:val="none"/>
          <w:lang w:eastAsia="zh-CN"/>
        </w:rPr>
      </w:pPr>
      <w:r>
        <w:rPr>
          <w:rFonts w:cs="宋体"/>
          <w:color w:val="auto"/>
          <w:highlight w:val="none"/>
          <w:lang w:eastAsia="zh-CN"/>
        </w:rPr>
        <w:t>喷浆按施工图纸所示部位，喷射厚度和是否挂网划分类别，按喷浆有效面积以平方米为单位计量，由发包人按《工程量清单》相应项目有效工程量的每平方米工程单价支付。</w:t>
      </w:r>
    </w:p>
    <w:p w14:paraId="3B40C815">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3</w:t>
      </w:r>
      <w:r>
        <w:rPr>
          <w:rFonts w:cs="宋体"/>
          <w:color w:val="auto"/>
          <w:highlight w:val="none"/>
          <w:lang w:eastAsia="zh-CN"/>
        </w:rPr>
        <w:t>）钢筋网（钢丝网）</w:t>
      </w:r>
    </w:p>
    <w:p w14:paraId="3C06007E">
      <w:pPr>
        <w:ind w:firstLine="420"/>
        <w:jc w:val="left"/>
        <w:rPr>
          <w:rFonts w:cs="宋体"/>
          <w:color w:val="auto"/>
          <w:highlight w:val="none"/>
          <w:lang w:eastAsia="zh-CN"/>
        </w:rPr>
      </w:pPr>
      <w:r>
        <w:rPr>
          <w:rFonts w:cs="宋体"/>
          <w:color w:val="auto"/>
          <w:highlight w:val="none"/>
          <w:lang w:eastAsia="zh-CN"/>
        </w:rPr>
        <w:t>按施工图纸所示尺寸计算的钢筋（或钢丝）有效重量以吨为单位计量，由发包人按《工程量清单》相应项目有效工程量的每吨工程单价支付。采购、运输、加工、安装过程中的损耗量和附加工程量、辅材所需的费用，包含在钢筋网（钢丝网）有效工程量的每吨工程单价中，发包人不另行支付。</w:t>
      </w:r>
    </w:p>
    <w:p w14:paraId="3985D537">
      <w:pPr>
        <w:pStyle w:val="7"/>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）钢架、钢筋格栅</w:t>
      </w:r>
    </w:p>
    <w:p w14:paraId="0516B168">
      <w:pPr>
        <w:suppressAutoHyphens/>
        <w:ind w:firstLine="420"/>
        <w:jc w:val="left"/>
        <w:rPr>
          <w:strike/>
          <w:color w:val="auto"/>
          <w:highlight w:val="none"/>
          <w:lang w:eastAsia="zh-CN"/>
        </w:rPr>
      </w:pPr>
      <w:r>
        <w:rPr>
          <w:rFonts w:hint="eastAsia"/>
          <w:color w:val="auto"/>
          <w:highlight w:val="none"/>
          <w:lang w:eastAsia="zh-CN"/>
        </w:rPr>
        <w:t>钢支撑（含连接钢板、架立钢板）及其纵向连接钢筋按施工图纸所示尺寸计算的有效重量以吨为单位计量，由发包人按《工程量清单》相应项目有效工程量的每吨工程单价支付。加工、安装过程中的损耗量和附加工程量所需的费用及因安装钢支撑所需的附属工作（如螺栓、垫脚砼块等），均包含在钢支撑有效工程量的每吨工程单价中，发包人不另行支付。</w:t>
      </w:r>
    </w:p>
    <w:p w14:paraId="6D31B864">
      <w:pPr>
        <w:pStyle w:val="7"/>
        <w:numPr>
          <w:ilvl w:val="255"/>
          <w:numId w:val="0"/>
        </w:numPr>
        <w:ind w:firstLine="480" w:firstLineChars="200"/>
        <w:jc w:val="left"/>
        <w:rPr>
          <w:color w:val="auto"/>
          <w:highlight w:val="none"/>
          <w:lang w:eastAsia="zh-CN"/>
        </w:rPr>
      </w:pPr>
      <w:r>
        <w:rPr>
          <w:rFonts w:hint="eastAsia"/>
          <w:color w:val="auto"/>
          <w:highlight w:val="none"/>
          <w:lang w:eastAsia="zh-CN"/>
        </w:rPr>
        <w:t>施工图示出的钢拱架、钢筋格栅支撑的锁脚锚杆按不同长度和直径，以监理人签认的合格的锚杆安装数量（根）计量，并按《工程量清单》中相应每根单价支付。锁脚锚杆的钢垫板的费用已包含在锁脚锚杆的单价中，发包人不予单独计量及支付。</w:t>
      </w:r>
    </w:p>
    <w:p w14:paraId="317765A3">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w:t>
      </w:r>
      <w:r>
        <w:rPr>
          <w:rFonts w:hint="eastAsia" w:cs="宋体"/>
          <w:color w:val="auto"/>
          <w:highlight w:val="none"/>
          <w:lang w:eastAsia="zh-CN"/>
        </w:rPr>
        <w:t>管棚</w:t>
      </w:r>
    </w:p>
    <w:p w14:paraId="4B74E6E7">
      <w:pPr>
        <w:ind w:firstLine="420"/>
        <w:jc w:val="left"/>
        <w:rPr>
          <w:rFonts w:cs="宋体"/>
          <w:color w:val="auto"/>
          <w:highlight w:val="none"/>
          <w:lang w:eastAsia="zh-CN"/>
        </w:rPr>
      </w:pPr>
      <w:r>
        <w:rPr>
          <w:rFonts w:cs="宋体"/>
          <w:color w:val="auto"/>
          <w:highlight w:val="none"/>
          <w:lang w:eastAsia="zh-CN"/>
        </w:rPr>
        <w:t>管棚按钢管直径划分类别，按施工图纸所示尺寸计算的有效工程量以米为单位计量，由发包人按《工程量清单》相应项目有效工程量的每米工程单价支付</w:t>
      </w:r>
      <w:r>
        <w:rPr>
          <w:rFonts w:hint="eastAsia" w:cs="宋体"/>
          <w:color w:val="auto"/>
          <w:highlight w:val="none"/>
          <w:lang w:eastAsia="zh-CN"/>
        </w:rPr>
        <w:t>，单价中包括管棚支护材料采购、加工、损耗、搭接、保管、钻孔、安设、注浆以及辅助设施等全部费用</w:t>
      </w:r>
      <w:r>
        <w:rPr>
          <w:rFonts w:cs="宋体"/>
          <w:color w:val="auto"/>
          <w:highlight w:val="none"/>
          <w:lang w:eastAsia="zh-CN"/>
        </w:rPr>
        <w:t>。</w:t>
      </w:r>
    </w:p>
    <w:p w14:paraId="619119D4">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6</w:t>
      </w:r>
      <w:r>
        <w:rPr>
          <w:rFonts w:cs="宋体"/>
          <w:color w:val="auto"/>
          <w:highlight w:val="none"/>
          <w:lang w:eastAsia="zh-CN"/>
        </w:rPr>
        <w:t>）</w:t>
      </w:r>
      <w:r>
        <w:rPr>
          <w:rFonts w:hint="eastAsia" w:cs="宋体"/>
          <w:color w:val="auto"/>
          <w:highlight w:val="none"/>
          <w:lang w:eastAsia="zh-CN"/>
        </w:rPr>
        <w:t>小导管</w:t>
      </w:r>
    </w:p>
    <w:p w14:paraId="4CBE7151">
      <w:pPr>
        <w:ind w:firstLine="420"/>
        <w:jc w:val="left"/>
        <w:rPr>
          <w:rFonts w:hAnsi="Times New Roman" w:cs="宋体"/>
          <w:strike/>
          <w:color w:val="auto"/>
          <w:highlight w:val="none"/>
          <w:lang w:eastAsia="zh-CN"/>
        </w:rPr>
      </w:pPr>
      <w:r>
        <w:rPr>
          <w:rFonts w:cs="宋体"/>
          <w:color w:val="auto"/>
          <w:highlight w:val="none"/>
          <w:lang w:eastAsia="zh-CN"/>
        </w:rPr>
        <w:t>小导管按施工图纸所示管径、长度不同划分类别以有效根数计量，由发包人按《工程量清单》相应项目有效工程量的每根工程单价支付，</w:t>
      </w:r>
      <w:r>
        <w:rPr>
          <w:rFonts w:hint="eastAsia"/>
          <w:color w:val="auto"/>
          <w:highlight w:val="none"/>
          <w:lang w:eastAsia="zh-CN"/>
        </w:rPr>
        <w:t>单价包括材料、劳务、设备、检验、运输及其它为完成超前支护及锁脚锚杆（管）所必须的全部费用。</w:t>
      </w:r>
    </w:p>
    <w:p w14:paraId="3D99000E">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7</w:t>
      </w:r>
      <w:r>
        <w:rPr>
          <w:rFonts w:cs="宋体"/>
          <w:color w:val="auto"/>
          <w:highlight w:val="none"/>
          <w:lang w:eastAsia="zh-CN"/>
        </w:rPr>
        <w:t>）中空注浆锚杆</w:t>
      </w:r>
    </w:p>
    <w:p w14:paraId="7BF056A0">
      <w:pPr>
        <w:ind w:firstLine="420"/>
        <w:jc w:val="left"/>
        <w:rPr>
          <w:rFonts w:hAnsi="Times New Roman" w:cs="宋体"/>
          <w:color w:val="auto"/>
          <w:highlight w:val="none"/>
          <w:lang w:eastAsia="zh-CN"/>
        </w:rPr>
      </w:pPr>
      <w:r>
        <w:rPr>
          <w:rFonts w:cs="宋体"/>
          <w:color w:val="auto"/>
          <w:highlight w:val="none"/>
          <w:lang w:eastAsia="zh-CN"/>
        </w:rPr>
        <w:t>中空注浆锚杆按施工图纸所示规格要求、管径、长度不同划分类别以有效根数计量，由发包人按《工程量清单》相应项目有效工程量的每根工程单价支付。</w:t>
      </w:r>
    </w:p>
    <w:p w14:paraId="24F94A24">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8</w:t>
      </w:r>
      <w:r>
        <w:rPr>
          <w:rFonts w:cs="宋体"/>
          <w:color w:val="auto"/>
          <w:highlight w:val="none"/>
          <w:lang w:eastAsia="zh-CN"/>
        </w:rPr>
        <w:t>）边坡防护结构和防护网：</w:t>
      </w:r>
    </w:p>
    <w:p w14:paraId="507FA70B">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）防护结构所采用的钢筋、型钢、锚杆、土石方、砌石、混凝土等按施工图纸所示尺寸计算有效工程量，以相应专业章节</w:t>
      </w:r>
      <w:r>
        <w:rPr>
          <w:rFonts w:hAnsi="Times New Roman" w:cs="宋体"/>
          <w:color w:val="auto"/>
          <w:highlight w:val="none"/>
          <w:lang w:eastAsia="zh-CN"/>
        </w:rPr>
        <w:t>“</w:t>
      </w:r>
      <w:r>
        <w:rPr>
          <w:rFonts w:cs="宋体"/>
          <w:color w:val="auto"/>
          <w:highlight w:val="none"/>
          <w:lang w:eastAsia="zh-CN"/>
        </w:rPr>
        <w:t>计量与支付</w:t>
      </w:r>
      <w:r>
        <w:rPr>
          <w:rFonts w:hAnsi="Times New Roman" w:cs="宋体"/>
          <w:color w:val="auto"/>
          <w:highlight w:val="none"/>
          <w:lang w:eastAsia="zh-CN"/>
        </w:rPr>
        <w:t>”</w:t>
      </w:r>
      <w:r>
        <w:rPr>
          <w:rFonts w:cs="宋体"/>
          <w:color w:val="auto"/>
          <w:highlight w:val="none"/>
          <w:lang w:eastAsia="zh-CN"/>
        </w:rPr>
        <w:t>中规定的计量单位计量，由发包人按《工程量清单》相应项目有效工程量的工程单价支付。</w:t>
      </w:r>
    </w:p>
    <w:p w14:paraId="47C1DFC6">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边坡主动防护网按施工图纸所示防护区域计算的有效防护面积以平方米为单位计量，边坡被动防护网按施工图纸所示防护网面积以平方米为单位计量，由发包人按《工程量清单》相应项目有效工程量的每平方米工程单价支付。</w:t>
      </w:r>
    </w:p>
    <w:p w14:paraId="360534B7">
      <w:pPr>
        <w:pStyle w:val="3"/>
        <w:spacing w:beforeLines="0" w:afterLines="0" w:line="360" w:lineRule="auto"/>
        <w:jc w:val="both"/>
        <w:outlineLvl w:val="1"/>
        <w:rPr>
          <w:rFonts w:hint="eastAsia" w:cs="宋体"/>
          <w:color w:val="auto"/>
          <w:sz w:val="30"/>
          <w:szCs w:val="30"/>
          <w:highlight w:val="none"/>
        </w:rPr>
      </w:pPr>
      <w:bookmarkStart w:id="1961" w:name="_Toc7108"/>
      <w:bookmarkStart w:id="1962" w:name="_Toc28598"/>
      <w:bookmarkStart w:id="1963" w:name="_Toc8022"/>
      <w:bookmarkStart w:id="1964" w:name="_Toc20167"/>
      <w:bookmarkStart w:id="1965" w:name="_Toc19414"/>
      <w:bookmarkStart w:id="1966" w:name="_Toc26095"/>
      <w:bookmarkStart w:id="1967" w:name="_Toc16577"/>
      <w:bookmarkStart w:id="1968" w:name="_Toc24649"/>
      <w:bookmarkStart w:id="1969" w:name="_Toc13662"/>
      <w:bookmarkStart w:id="1970" w:name="_Toc18564"/>
      <w:bookmarkStart w:id="1971" w:name="_Toc29190"/>
      <w:bookmarkStart w:id="1972" w:name="_Toc31563"/>
      <w:bookmarkStart w:id="1973" w:name="_Toc32018"/>
      <w:bookmarkStart w:id="1974" w:name="_Toc19008"/>
      <w:bookmarkStart w:id="1975" w:name="_Toc25249"/>
      <w:r>
        <w:rPr>
          <w:rFonts w:hint="eastAsia" w:cs="宋体"/>
          <w:color w:val="auto"/>
          <w:sz w:val="30"/>
          <w:szCs w:val="30"/>
          <w:highlight w:val="none"/>
        </w:rPr>
        <w:t>10</w:t>
      </w:r>
      <w:r>
        <w:rPr>
          <w:rFonts w:hint="eastAsia" w:cs="宋体"/>
          <w:color w:val="auto"/>
          <w:sz w:val="30"/>
          <w:szCs w:val="30"/>
          <w:highlight w:val="none"/>
          <w:lang w:eastAsia="zh-CN"/>
        </w:rPr>
        <w:t>　</w:t>
      </w:r>
      <w:r>
        <w:rPr>
          <w:rFonts w:hint="eastAsia" w:cs="宋体"/>
          <w:color w:val="auto"/>
          <w:sz w:val="30"/>
          <w:szCs w:val="30"/>
          <w:highlight w:val="none"/>
        </w:rPr>
        <w:t>钻孔、灌浆和排水工程</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p>
    <w:p w14:paraId="20746E4E">
      <w:pPr>
        <w:pStyle w:val="4"/>
        <w:spacing w:beforeLines="0" w:afterLines="0"/>
        <w:jc w:val="both"/>
        <w:rPr>
          <w:rFonts w:hint="eastAsia" w:cs="宋体"/>
          <w:bCs/>
          <w:color w:val="auto"/>
          <w:szCs w:val="24"/>
          <w:highlight w:val="none"/>
          <w:lang w:eastAsia="zh-CN"/>
        </w:rPr>
      </w:pPr>
      <w:bookmarkStart w:id="1976" w:name="_Toc10531"/>
      <w:bookmarkStart w:id="1977" w:name="_Toc23187"/>
      <w:bookmarkStart w:id="1978" w:name="_Toc25400"/>
      <w:r>
        <w:rPr>
          <w:rFonts w:hint="eastAsia" w:cs="宋体"/>
          <w:bCs/>
          <w:color w:val="auto"/>
          <w:szCs w:val="24"/>
          <w:highlight w:val="none"/>
          <w:lang w:eastAsia="zh-CN"/>
        </w:rPr>
        <w:t>10.1　一般规定</w:t>
      </w:r>
      <w:bookmarkEnd w:id="1976"/>
      <w:bookmarkEnd w:id="1977"/>
      <w:bookmarkEnd w:id="1978"/>
    </w:p>
    <w:p w14:paraId="61C19FE8">
      <w:pPr>
        <w:pStyle w:val="5"/>
        <w:jc w:val="left"/>
        <w:rPr>
          <w:rFonts w:hAnsi="Times New Roman" w:cs="楷体"/>
          <w:color w:val="auto"/>
          <w:highlight w:val="none"/>
          <w:lang w:eastAsia="zh-CN"/>
        </w:rPr>
      </w:pPr>
      <w:r>
        <w:rPr>
          <w:rFonts w:hAnsi="Times New Roman" w:cs="Times New Roman"/>
          <w:color w:val="auto"/>
          <w:highlight w:val="none"/>
          <w:lang w:eastAsia="zh-CN"/>
        </w:rPr>
        <w:t>10.1.1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5E7E3DE6">
      <w:pPr>
        <w:ind w:firstLine="420"/>
        <w:jc w:val="left"/>
        <w:rPr>
          <w:rFonts w:hAnsi="Times New Roman" w:cs="宋体"/>
          <w:color w:val="auto"/>
          <w:highlight w:val="none"/>
          <w:lang w:eastAsia="zh-CN"/>
        </w:rPr>
      </w:pPr>
      <w:r>
        <w:rPr>
          <w:rFonts w:cs="宋体"/>
          <w:color w:val="auto"/>
          <w:highlight w:val="none"/>
          <w:lang w:eastAsia="zh-CN"/>
        </w:rPr>
        <w:t>本章规定适用于本合同施工图纸所示各工程建筑物施工的钻孔</w:t>
      </w:r>
      <w:r>
        <w:rPr>
          <w:rFonts w:hint="eastAsia" w:cs="宋体"/>
          <w:color w:val="auto"/>
          <w:highlight w:val="none"/>
          <w:lang w:eastAsia="zh-CN"/>
        </w:rPr>
        <w:t>、</w:t>
      </w:r>
      <w:r>
        <w:rPr>
          <w:rFonts w:cs="宋体"/>
          <w:color w:val="auto"/>
          <w:highlight w:val="none"/>
          <w:lang w:eastAsia="zh-CN"/>
        </w:rPr>
        <w:t>灌浆</w:t>
      </w:r>
      <w:r>
        <w:rPr>
          <w:rFonts w:hint="eastAsia" w:cs="宋体"/>
          <w:color w:val="auto"/>
          <w:highlight w:val="none"/>
          <w:lang w:eastAsia="zh-CN"/>
        </w:rPr>
        <w:t>和排水</w:t>
      </w:r>
      <w:r>
        <w:rPr>
          <w:rFonts w:cs="宋体"/>
          <w:color w:val="auto"/>
          <w:highlight w:val="none"/>
          <w:lang w:eastAsia="zh-CN"/>
        </w:rPr>
        <w:t>，其内容包括：</w:t>
      </w:r>
    </w:p>
    <w:p w14:paraId="587FA01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）钻孔：包括勘探孔、灌浆孔、检查孔和排水孔的钻孔，以及为钻孔和灌浆工程所需进行的钻取岩芯和试验、钻孔冲洗、压水试验、灌浆前孔口加塞保护等钻孔作业。</w:t>
      </w:r>
    </w:p>
    <w:p w14:paraId="0BE322C8">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灌浆：包括水泥灌浆、化学灌浆和劈裂灌浆。水泥灌浆包括帷幕灌浆、固结灌浆、回填灌浆、接缝灌浆和接触灌浆；化学灌浆包括水工建筑物结构的防渗、堵漏和补强灌浆；土坝劈裂灌浆为消除土坝坝体隐患、提高坝体防渗能力和稳定性的黏土灌浆。</w:t>
      </w:r>
    </w:p>
    <w:p w14:paraId="4A83AD3A">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3）排水孔：边坡排水孔、地下洞室排水孔、排水孔保护</w:t>
      </w:r>
      <w:r>
        <w:rPr>
          <w:rFonts w:hint="eastAsia"/>
          <w:color w:val="auto"/>
          <w:highlight w:val="none"/>
          <w:lang w:eastAsia="zh-CN"/>
        </w:rPr>
        <w:t>、围岩减压孔，超前减压孔</w:t>
      </w:r>
      <w:r>
        <w:rPr>
          <w:rFonts w:hint="eastAsia" w:cs="宋体"/>
          <w:color w:val="auto"/>
          <w:highlight w:val="none"/>
          <w:lang w:eastAsia="zh-CN"/>
        </w:rPr>
        <w:t>、孔口装置及其他由监理人指示的排水孔等。</w:t>
      </w:r>
    </w:p>
    <w:p w14:paraId="32ADFE51">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4）要求钻孔、灌浆的范围完全取决于实际遇到的地质条件。当遇到地质条件改变，监理人随时有可能增加或减少任一部分钻孔、灌浆的范围。</w:t>
      </w:r>
    </w:p>
    <w:p w14:paraId="6C511D9A">
      <w:pPr>
        <w:pStyle w:val="5"/>
        <w:jc w:val="left"/>
        <w:rPr>
          <w:rFonts w:hAnsi="Times New Roman" w:cs="楷体"/>
          <w:color w:val="auto"/>
          <w:highlight w:val="none"/>
          <w:lang w:eastAsia="zh-CN"/>
        </w:rPr>
      </w:pPr>
      <w:r>
        <w:rPr>
          <w:rFonts w:hAnsi="Times New Roman" w:cs="Times New Roman"/>
          <w:color w:val="auto"/>
          <w:highlight w:val="none"/>
          <w:lang w:eastAsia="zh-CN"/>
        </w:rPr>
        <w:t>10.1.2</w:t>
      </w:r>
      <w:r>
        <w:rPr>
          <w:rFonts w:hint="eastAsia" w:hAnsi="Times New Roman" w:cs="Times New Roman"/>
          <w:color w:val="auto"/>
          <w:highlight w:val="none"/>
          <w:lang w:eastAsia="zh-CN"/>
        </w:rPr>
        <w:t>　</w:t>
      </w:r>
      <w:r>
        <w:rPr>
          <w:rFonts w:hAnsi="楷体" w:cs="楷体"/>
          <w:color w:val="auto"/>
          <w:highlight w:val="none"/>
          <w:lang w:eastAsia="zh-CN"/>
        </w:rPr>
        <w:t>承包人的责任</w:t>
      </w:r>
    </w:p>
    <w:p w14:paraId="7BF24C1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）承包人应按施工图纸和监理人的指示，以及本技术条款的规定，完成本工程的全部钻孔</w:t>
      </w:r>
      <w:r>
        <w:rPr>
          <w:rFonts w:hint="eastAsia" w:cs="宋体"/>
          <w:color w:val="auto"/>
          <w:highlight w:val="none"/>
          <w:lang w:eastAsia="zh-CN"/>
        </w:rPr>
        <w:t>、</w:t>
      </w:r>
      <w:r>
        <w:rPr>
          <w:rFonts w:cs="宋体"/>
          <w:color w:val="auto"/>
          <w:highlight w:val="none"/>
          <w:lang w:eastAsia="zh-CN"/>
        </w:rPr>
        <w:t>灌浆</w:t>
      </w:r>
      <w:r>
        <w:rPr>
          <w:rFonts w:hint="eastAsia" w:cs="宋体"/>
          <w:color w:val="auto"/>
          <w:highlight w:val="none"/>
          <w:lang w:eastAsia="zh-CN"/>
        </w:rPr>
        <w:t>、排水作业及相关检查和所有辅助工程</w:t>
      </w:r>
      <w:r>
        <w:rPr>
          <w:rFonts w:cs="宋体"/>
          <w:color w:val="auto"/>
          <w:highlight w:val="none"/>
          <w:lang w:eastAsia="zh-CN"/>
        </w:rPr>
        <w:t>，包括进行灌浆试验，择优选定灌浆施工参数，并提供灌浆所需的人工、材料、设备及其辅助设施。</w:t>
      </w:r>
    </w:p>
    <w:p w14:paraId="42024D7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）承包人应在施工前详细了解工程的地形地质和水文地质情况。在不良地质段进行钻孔和灌浆时，应采取有效的安全保护措施</w:t>
      </w:r>
      <w:r>
        <w:rPr>
          <w:rFonts w:hint="eastAsia"/>
          <w:color w:val="auto"/>
          <w:highlight w:val="none"/>
          <w:lang w:eastAsia="zh-CN"/>
        </w:rPr>
        <w:t>。对特殊不良地质洞段，如大的富水断层带等，承包人应结合超前地质预报分析，根据需要采取超前管棚、超前灌浆等措施先处理再开挖，以保证施工安全。在施工作业过程中发现工程地质或水文地质条件异常时，必须及时将有关资料报送监理人，并根据监理人的指示进行处理</w:t>
      </w:r>
      <w:r>
        <w:rPr>
          <w:rFonts w:cs="宋体"/>
          <w:color w:val="auto"/>
          <w:highlight w:val="none"/>
          <w:lang w:eastAsia="zh-CN"/>
        </w:rPr>
        <w:t>。</w:t>
      </w:r>
    </w:p>
    <w:p w14:paraId="38EBD2D5">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）在埋有观测仪器的建筑物进行钻孔灌浆作业时，承包人应按监理人指示保护好建筑物体内的预埋设施。</w:t>
      </w:r>
    </w:p>
    <w:p w14:paraId="0AD0B14D">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4）承包人应根据灌浆工程施工图纸及技术文件的要求或按监理人指示选定适当区域进行生产性试验，以验证灌浆孔的布置方式、灌浆分段、灌浆压力、浆液配比及施工机具的适应性等施工参数。试验计划应在试验前28d提出，报送监理人审批，计划批准后，方可进行试验。承包人应对灌浆生产试验资料进行整理分析，并提交成果报告报送监理。试验成果经监理人审查批准后方可进行大规模实施。</w:t>
      </w:r>
    </w:p>
    <w:p w14:paraId="2FCDDAA8">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5）灌浆系隐蔽工程，根据施工过程中揭示的具体情况，进行必要的动态优化与完善是灌浆作业应遵循的总体指导原则。工程量清单中基础灌浆及排水工程系根据现行地质资料及设计布置参数的预列量，实际作业过程中，根据生产性试验成果、地质条件、建筑物要求及施工过程中的实际施工情况的变化，监理人可以指示承包人部分或全部改变各类钻孔（含钻排水孔）、灌浆的布置范围、布置形式，增减孔排距、孔深，改变施工方法和施工技术要求。</w:t>
      </w:r>
    </w:p>
    <w:p w14:paraId="701BD9BD">
      <w:pPr>
        <w:ind w:firstLine="420"/>
        <w:jc w:val="left"/>
        <w:rPr>
          <w:color w:val="auto"/>
          <w:highlight w:val="none"/>
          <w:lang w:eastAsia="zh-CN"/>
        </w:rPr>
      </w:pPr>
      <w:r>
        <w:rPr>
          <w:rFonts w:hint="eastAsia" w:cs="宋体"/>
          <w:color w:val="auto"/>
          <w:highlight w:val="none"/>
          <w:lang w:eastAsia="zh-CN"/>
        </w:rPr>
        <w:t>以上修改除另有规定者外，一般按合同变更的有关条款办理，承包人不得拒绝执行，且承包人应承诺不得以实际工程量与预列工程量变化较大或设计参数变化为由而提出更改单价或索赔要求。</w:t>
      </w:r>
    </w:p>
    <w:p w14:paraId="378172B4">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6）承包人在施工作业过程中发现工程地质和水文地质条件与原设计条件有变化时，必须及时将有关资料报送监理人，并根据监理人的指示进行处理。</w:t>
      </w:r>
    </w:p>
    <w:p w14:paraId="66233F40">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7）承包人应积极配合安排有关测试工作，提供一切便利条件</w:t>
      </w:r>
      <w:r>
        <w:rPr>
          <w:rFonts w:hint="eastAsia"/>
          <w:color w:val="auto"/>
          <w:highlight w:val="none"/>
          <w:lang w:eastAsia="zh-CN"/>
        </w:rPr>
        <w:t>。测试工作完毕后，应按相应灌浆部位质量检查孔封孔要求对测试孔进行封孔</w:t>
      </w:r>
      <w:r>
        <w:rPr>
          <w:rFonts w:hint="eastAsia" w:cs="宋体"/>
          <w:color w:val="auto"/>
          <w:highlight w:val="none"/>
          <w:lang w:eastAsia="zh-CN"/>
        </w:rPr>
        <w:t>。</w:t>
      </w:r>
    </w:p>
    <w:p w14:paraId="1AD1460F">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8）承包人在进行各类钻孔、灌浆和排水作业期间，应妥善作好施工期防晒、防雨、防汛、排水工作，在露天、隧洞内施工时，应妥善作好施工期防汛及排水工作，对由此引发隧洞受淹而引起的工期延误、设备和材料损失等一切后果均由承包人负全部责任。</w:t>
      </w:r>
    </w:p>
    <w:p w14:paraId="5E487691">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9）在已完成或正在进行灌浆作业的区域附近30m以内不得进行爆破作业，如必须时，承包人应作出专门的爆破设计，采取必要的减震、防震措施，并控制质点安全振动速度，爆破设计方案报经监理人批准后方可实施。</w:t>
      </w:r>
    </w:p>
    <w:p w14:paraId="51332808">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10）各类钻孔、灌浆和排水的施工进度必须满足相应的设计文件、图纸及监理人指示的要求，对因施工进度延误而造成的一切后果，由承包人负全部责任。</w:t>
      </w:r>
    </w:p>
    <w:p w14:paraId="75FAFB4D">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11）承包人在施工作业期间，应作好各项施工记录和成果资料整理汇总工作，及时报送监理人审查。竣工验收前，应提供竣工资料（除原始记录外）、材料质量检查报告、工程质量检查报告和竣工报告等。</w:t>
      </w:r>
    </w:p>
    <w:p w14:paraId="2D81AE0F">
      <w:pPr>
        <w:pStyle w:val="7"/>
        <w:ind w:firstLine="420"/>
        <w:jc w:val="left"/>
        <w:rPr>
          <w:color w:val="auto"/>
          <w:highlight w:val="none"/>
          <w:lang w:eastAsia="zh-CN"/>
        </w:rPr>
      </w:pPr>
      <w:r>
        <w:rPr>
          <w:rFonts w:hint="eastAsia"/>
          <w:color w:val="auto"/>
          <w:highlight w:val="none"/>
          <w:lang w:eastAsia="zh-CN"/>
        </w:rPr>
        <w:t>（12）承包人应在隧洞衬砌施工后及时完成衬后灌浆和排水作业，以及时发挥防渗、减压及控制地下水排放的作用。</w:t>
      </w:r>
    </w:p>
    <w:p w14:paraId="5B772D25">
      <w:pPr>
        <w:suppressAutoHyphens/>
        <w:ind w:firstLine="420"/>
        <w:jc w:val="left"/>
        <w:rPr>
          <w:color w:val="auto"/>
          <w:highlight w:val="none"/>
          <w:lang w:eastAsia="zh-CN"/>
        </w:rPr>
      </w:pPr>
      <w:r>
        <w:rPr>
          <w:rFonts w:hint="eastAsia"/>
          <w:color w:val="auto"/>
          <w:highlight w:val="none"/>
          <w:lang w:eastAsia="zh-CN"/>
        </w:rPr>
        <w:t>（13）各类钻孔、灌浆和排水的施工进度应满足相应的设计文件、图纸及监理人指示的要求，对因承包人原因导致施工进度延误而造成的一切后果，由承包人负全部责任。</w:t>
      </w:r>
    </w:p>
    <w:p w14:paraId="4B84D975">
      <w:pPr>
        <w:suppressAutoHyphens/>
        <w:ind w:firstLine="420"/>
        <w:jc w:val="left"/>
        <w:rPr>
          <w:color w:val="auto"/>
          <w:highlight w:val="none"/>
          <w:lang w:eastAsia="zh-CN"/>
        </w:rPr>
      </w:pPr>
      <w:r>
        <w:rPr>
          <w:rFonts w:hint="eastAsia"/>
          <w:color w:val="auto"/>
          <w:highlight w:val="none"/>
          <w:lang w:eastAsia="zh-CN"/>
        </w:rPr>
        <w:t>（14）实施钻孔、灌浆和排水作业前，应完成相应的辅助工程和前序工程项目的施工，达到设计要求并经验收合格后方可进行钻孔、灌浆和排水作业。</w:t>
      </w:r>
    </w:p>
    <w:p w14:paraId="62C7F462">
      <w:pPr>
        <w:suppressAutoHyphens/>
        <w:ind w:firstLine="420"/>
        <w:jc w:val="left"/>
        <w:rPr>
          <w:color w:val="auto"/>
          <w:highlight w:val="none"/>
          <w:lang w:eastAsia="zh-CN"/>
        </w:rPr>
      </w:pPr>
      <w:r>
        <w:rPr>
          <w:rFonts w:hint="eastAsia"/>
          <w:color w:val="auto"/>
          <w:highlight w:val="none"/>
          <w:lang w:eastAsia="zh-CN"/>
        </w:rPr>
        <w:t>（15）承包人应编制化学灌浆施工的工艺措施和安全操作规程提交监理人批准，工艺措施和安全操作规程应确保劳动者的健康和安全，化学灌浆操作人员应经考核合格后才能上岗。</w:t>
      </w:r>
    </w:p>
    <w:p w14:paraId="74D1F575">
      <w:pPr>
        <w:suppressAutoHyphens/>
        <w:ind w:firstLine="420"/>
        <w:jc w:val="left"/>
        <w:rPr>
          <w:color w:val="auto"/>
          <w:highlight w:val="none"/>
          <w:lang w:eastAsia="zh-CN"/>
        </w:rPr>
      </w:pPr>
      <w:r>
        <w:rPr>
          <w:rFonts w:hint="eastAsia"/>
          <w:color w:val="auto"/>
          <w:highlight w:val="none"/>
          <w:lang w:eastAsia="zh-CN"/>
        </w:rPr>
        <w:t>（16）承包人应严格按照本章和有关规程规范的要求，提供满足本标段施工的钻孔和灌浆设备及其辅助设备，同时承包人应制定钻孔和灌浆安全手则，加强员工安全教育，组织员工进行安全演练。一旦出现安全事故，承包人应及时采取有效措施进行处理，避免事故进一步扩大，并应及时向监理人报告。</w:t>
      </w:r>
    </w:p>
    <w:p w14:paraId="7EC6E25E">
      <w:pPr>
        <w:pStyle w:val="7"/>
        <w:ind w:firstLine="420"/>
        <w:jc w:val="left"/>
        <w:rPr>
          <w:color w:val="auto"/>
          <w:highlight w:val="none"/>
          <w:lang w:eastAsia="zh-CN"/>
        </w:rPr>
      </w:pPr>
      <w:r>
        <w:rPr>
          <w:rFonts w:hint="eastAsia"/>
          <w:color w:val="auto"/>
          <w:highlight w:val="none"/>
          <w:lang w:eastAsia="zh-CN"/>
        </w:rPr>
        <w:t>（17）承包人应对钻孔、灌浆过程中人员、设备的安全负全部责任。</w:t>
      </w:r>
    </w:p>
    <w:p w14:paraId="6D7A18FC">
      <w:pPr>
        <w:pStyle w:val="5"/>
        <w:jc w:val="left"/>
        <w:rPr>
          <w:rFonts w:hAnsi="Times New Roman" w:cs="楷体"/>
          <w:color w:val="auto"/>
          <w:highlight w:val="none"/>
          <w:lang w:eastAsia="zh-CN"/>
        </w:rPr>
      </w:pPr>
      <w:r>
        <w:rPr>
          <w:rFonts w:hAnsi="Times New Roman" w:cs="Times New Roman"/>
          <w:color w:val="auto"/>
          <w:highlight w:val="none"/>
          <w:lang w:eastAsia="zh-CN"/>
        </w:rPr>
        <w:t>10.1.3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75B0B53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）灌浆作业措施计划</w:t>
      </w:r>
    </w:p>
    <w:p w14:paraId="23642C51">
      <w:pPr>
        <w:ind w:firstLine="420"/>
        <w:jc w:val="left"/>
        <w:rPr>
          <w:rFonts w:hAnsi="Times New Roman" w:cs="宋体"/>
          <w:color w:val="auto"/>
          <w:highlight w:val="none"/>
          <w:lang w:eastAsia="zh-CN"/>
        </w:rPr>
      </w:pPr>
      <w:r>
        <w:rPr>
          <w:rFonts w:cs="宋体"/>
          <w:color w:val="auto"/>
          <w:highlight w:val="none"/>
          <w:lang w:eastAsia="zh-CN"/>
        </w:rPr>
        <w:t>在灌浆作业开始前</w:t>
      </w:r>
      <w:r>
        <w:rPr>
          <w:rFonts w:hAnsi="Times New Roman" w:cs="Times New Roman"/>
          <w:color w:val="auto"/>
          <w:highlight w:val="none"/>
          <w:lang w:eastAsia="zh-CN"/>
        </w:rPr>
        <w:t>28</w:t>
      </w:r>
      <w:r>
        <w:rPr>
          <w:rFonts w:cs="宋体"/>
          <w:color w:val="auto"/>
          <w:highlight w:val="none"/>
          <w:lang w:eastAsia="zh-CN"/>
        </w:rPr>
        <w:t>天，承包人应根据施工图纸及本技术条款的规定，编制钻孔和灌浆作业措施计划，提交监理人批准，其内容包括：</w:t>
      </w:r>
    </w:p>
    <w:p w14:paraId="2D00FE36">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）钻孔和灌浆工程的施工布置图。</w:t>
      </w:r>
    </w:p>
    <w:p w14:paraId="426A7474">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）钻孔和灌浆的材料和设备。</w:t>
      </w:r>
    </w:p>
    <w:p w14:paraId="6AB2EF41">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）钻孔和灌浆的程序和工艺。</w:t>
      </w:r>
    </w:p>
    <w:p w14:paraId="5FAF724B">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w:t>
      </w:r>
      <w:r>
        <w:rPr>
          <w:rFonts w:hint="eastAsia" w:cs="宋体"/>
          <w:color w:val="auto"/>
          <w:highlight w:val="none"/>
          <w:lang w:eastAsia="zh-CN"/>
        </w:rPr>
        <w:t>钻孔、灌浆和排水的</w:t>
      </w:r>
      <w:r>
        <w:rPr>
          <w:rFonts w:cs="宋体"/>
          <w:color w:val="auto"/>
          <w:highlight w:val="none"/>
          <w:lang w:eastAsia="zh-CN"/>
        </w:rPr>
        <w:t>质量保证措施。</w:t>
      </w:r>
    </w:p>
    <w:p w14:paraId="176A8834">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）灌浆试验大纲。</w:t>
      </w:r>
    </w:p>
    <w:p w14:paraId="3B0E097C">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）施工人员配备。</w:t>
      </w:r>
    </w:p>
    <w:p w14:paraId="447514E9">
      <w:pPr>
        <w:ind w:firstLine="420"/>
        <w:jc w:val="left"/>
        <w:rPr>
          <w:rFonts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）施工安全措施等。</w:t>
      </w:r>
    </w:p>
    <w:p w14:paraId="4097CE8D">
      <w:pPr>
        <w:ind w:firstLine="420"/>
        <w:jc w:val="left"/>
        <w:rPr>
          <w:rFonts w:cs="宋体"/>
          <w:color w:val="auto"/>
          <w:highlight w:val="none"/>
          <w:lang w:eastAsia="zh-CN"/>
        </w:rPr>
      </w:pPr>
      <w:r>
        <w:rPr>
          <w:rFonts w:cs="宋体"/>
          <w:color w:val="auto"/>
          <w:highlight w:val="none"/>
          <w:lang w:eastAsia="zh-CN"/>
        </w:rPr>
        <w:t>8）废渣、废浆的排除措施。</w:t>
      </w:r>
    </w:p>
    <w:p w14:paraId="03646AA5">
      <w:pPr>
        <w:ind w:firstLine="420"/>
        <w:jc w:val="left"/>
        <w:rPr>
          <w:rFonts w:cs="宋体"/>
          <w:color w:val="auto"/>
          <w:highlight w:val="none"/>
          <w:lang w:eastAsia="zh-CN"/>
        </w:rPr>
      </w:pPr>
      <w:r>
        <w:rPr>
          <w:rFonts w:cs="宋体"/>
          <w:color w:val="auto"/>
          <w:highlight w:val="none"/>
          <w:lang w:eastAsia="zh-CN"/>
        </w:rPr>
        <w:t>9）施工进度计划等。</w:t>
      </w:r>
    </w:p>
    <w:p w14:paraId="2CD3DB1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）施工记录和质量报表</w:t>
      </w:r>
    </w:p>
    <w:p w14:paraId="0B0A7D11">
      <w:pPr>
        <w:ind w:firstLine="420"/>
        <w:jc w:val="left"/>
        <w:rPr>
          <w:rFonts w:hAnsi="Times New Roman" w:cs="宋体"/>
          <w:color w:val="auto"/>
          <w:highlight w:val="none"/>
          <w:lang w:eastAsia="zh-CN"/>
        </w:rPr>
      </w:pPr>
      <w:r>
        <w:rPr>
          <w:rFonts w:cs="宋体"/>
          <w:color w:val="auto"/>
          <w:highlight w:val="none"/>
          <w:lang w:eastAsia="zh-CN"/>
        </w:rPr>
        <w:t>承包人应提交钻孔和灌浆工程的各项施工记录和质量报表，其内容应包括：</w:t>
      </w:r>
    </w:p>
    <w:p w14:paraId="5C40511D">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）灌浆工程原材料试验和质量检验成果。</w:t>
      </w:r>
    </w:p>
    <w:p w14:paraId="406A0443">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）钻孔灌浆压水施工记录。</w:t>
      </w:r>
    </w:p>
    <w:p w14:paraId="2BBB7CC9">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）钻孔岩芯取样试验成果。</w:t>
      </w:r>
    </w:p>
    <w:p w14:paraId="17BB91F4">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）质量检查和质量事故处理记录。</w:t>
      </w:r>
    </w:p>
    <w:p w14:paraId="32F248A2">
      <w:pPr>
        <w:ind w:firstLine="420"/>
        <w:jc w:val="left"/>
        <w:rPr>
          <w:rFonts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）监理人要求提供的其它资料。</w:t>
      </w:r>
    </w:p>
    <w:p w14:paraId="7030CB8F">
      <w:pPr>
        <w:pStyle w:val="7"/>
        <w:ind w:firstLine="420"/>
        <w:jc w:val="left"/>
        <w:rPr>
          <w:rFonts w:cs="宋体"/>
          <w:color w:val="auto"/>
          <w:highlight w:val="none"/>
          <w:lang w:eastAsia="zh-CN"/>
        </w:rPr>
      </w:pPr>
      <w:r>
        <w:rPr>
          <w:rFonts w:cs="宋体"/>
          <w:color w:val="auto"/>
          <w:highlight w:val="none"/>
          <w:lang w:eastAsia="zh-CN"/>
        </w:rPr>
        <w:t>6）钻孔、灌浆和排水工程各项目完成工程量和累计工程量；</w:t>
      </w:r>
    </w:p>
    <w:p w14:paraId="75AA45EE">
      <w:pPr>
        <w:pStyle w:val="7"/>
        <w:ind w:firstLine="420"/>
        <w:jc w:val="left"/>
        <w:rPr>
          <w:rFonts w:cs="宋体"/>
          <w:color w:val="auto"/>
          <w:highlight w:val="none"/>
          <w:lang w:eastAsia="zh-CN"/>
        </w:rPr>
      </w:pPr>
      <w:r>
        <w:rPr>
          <w:rFonts w:cs="宋体"/>
          <w:color w:val="auto"/>
          <w:highlight w:val="none"/>
          <w:lang w:eastAsia="zh-CN"/>
        </w:rPr>
        <w:t>7）钻孔记录、测斜记录；</w:t>
      </w:r>
    </w:p>
    <w:p w14:paraId="26DDED36">
      <w:pPr>
        <w:pStyle w:val="7"/>
        <w:ind w:firstLine="420"/>
        <w:jc w:val="left"/>
        <w:rPr>
          <w:rFonts w:cs="宋体"/>
          <w:color w:val="auto"/>
          <w:highlight w:val="none"/>
          <w:lang w:eastAsia="zh-CN"/>
        </w:rPr>
      </w:pPr>
      <w:r>
        <w:rPr>
          <w:rFonts w:cs="宋体"/>
          <w:color w:val="auto"/>
          <w:highlight w:val="none"/>
          <w:lang w:eastAsia="zh-CN"/>
        </w:rPr>
        <w:t>8）制浆记录及现场浆液试验记录；</w:t>
      </w:r>
    </w:p>
    <w:p w14:paraId="27F142D5">
      <w:pPr>
        <w:pStyle w:val="7"/>
        <w:ind w:firstLine="420"/>
        <w:jc w:val="left"/>
        <w:rPr>
          <w:rFonts w:cs="宋体"/>
          <w:color w:val="auto"/>
          <w:highlight w:val="none"/>
          <w:lang w:eastAsia="zh-CN"/>
        </w:rPr>
      </w:pPr>
      <w:r>
        <w:rPr>
          <w:rFonts w:cs="宋体"/>
          <w:color w:val="auto"/>
          <w:highlight w:val="none"/>
          <w:lang w:eastAsia="zh-CN"/>
        </w:rPr>
        <w:t>9）灌浆记录综合统计分析成果表及相应图件（包括文字和电子文本）</w:t>
      </w:r>
    </w:p>
    <w:p w14:paraId="1D2AE31D">
      <w:pPr>
        <w:ind w:firstLine="420"/>
        <w:jc w:val="left"/>
        <w:rPr>
          <w:rFonts w:cs="宋体"/>
          <w:color w:val="auto"/>
          <w:highlight w:val="none"/>
          <w:lang w:eastAsia="zh-CN"/>
        </w:rPr>
      </w:pPr>
      <w:r>
        <w:rPr>
          <w:rFonts w:cs="宋体"/>
          <w:color w:val="auto"/>
          <w:highlight w:val="none"/>
          <w:lang w:eastAsia="zh-CN"/>
        </w:rPr>
        <w:t>（3）完工验收资料承包人应为钻孔、灌浆和排水工程的完工验收提交以下资料（包括电子文档）：</w:t>
      </w:r>
    </w:p>
    <w:p w14:paraId="2C91CB71">
      <w:pPr>
        <w:ind w:firstLine="420"/>
        <w:jc w:val="left"/>
        <w:rPr>
          <w:rFonts w:cs="宋体"/>
          <w:color w:val="auto"/>
          <w:highlight w:val="none"/>
          <w:lang w:eastAsia="zh-CN"/>
        </w:rPr>
      </w:pPr>
      <w:r>
        <w:rPr>
          <w:rFonts w:cs="宋体"/>
          <w:color w:val="auto"/>
          <w:highlight w:val="none"/>
          <w:lang w:eastAsia="zh-CN"/>
        </w:rPr>
        <w:t>1）灌浆和排水工程的竣工图；</w:t>
      </w:r>
    </w:p>
    <w:p w14:paraId="2395EB9A">
      <w:pPr>
        <w:ind w:firstLine="420"/>
        <w:jc w:val="left"/>
        <w:rPr>
          <w:rFonts w:cs="宋体"/>
          <w:color w:val="auto"/>
          <w:highlight w:val="none"/>
          <w:lang w:eastAsia="zh-CN"/>
        </w:rPr>
      </w:pPr>
      <w:r>
        <w:rPr>
          <w:rFonts w:cs="宋体"/>
          <w:color w:val="auto"/>
          <w:highlight w:val="none"/>
          <w:lang w:eastAsia="zh-CN"/>
        </w:rPr>
        <w:t>2）各类钻孔、灌浆和排水的施工原始记录及各项试验成果；</w:t>
      </w:r>
    </w:p>
    <w:p w14:paraId="1A4C9DF3">
      <w:pPr>
        <w:ind w:firstLine="420"/>
        <w:jc w:val="left"/>
        <w:rPr>
          <w:rFonts w:cs="宋体"/>
          <w:color w:val="auto"/>
          <w:highlight w:val="none"/>
          <w:lang w:eastAsia="zh-CN"/>
        </w:rPr>
      </w:pPr>
      <w:r>
        <w:rPr>
          <w:rFonts w:cs="宋体"/>
          <w:color w:val="auto"/>
          <w:highlight w:val="none"/>
          <w:lang w:eastAsia="zh-CN"/>
        </w:rPr>
        <w:t>3）各类灌浆及压水试验综合统计分析成果表及相应图件；</w:t>
      </w:r>
    </w:p>
    <w:p w14:paraId="241200D2">
      <w:pPr>
        <w:ind w:firstLine="420"/>
        <w:jc w:val="left"/>
        <w:rPr>
          <w:rFonts w:cs="宋体"/>
          <w:color w:val="auto"/>
          <w:highlight w:val="none"/>
          <w:lang w:eastAsia="zh-CN"/>
        </w:rPr>
      </w:pPr>
      <w:r>
        <w:rPr>
          <w:rFonts w:cs="宋体"/>
          <w:color w:val="auto"/>
          <w:highlight w:val="none"/>
          <w:lang w:eastAsia="zh-CN"/>
        </w:rPr>
        <w:t>4）质量检查和质量事故处理报告；</w:t>
      </w:r>
    </w:p>
    <w:p w14:paraId="26318A5A">
      <w:pPr>
        <w:ind w:firstLine="420"/>
        <w:jc w:val="left"/>
        <w:rPr>
          <w:rFonts w:cs="宋体"/>
          <w:color w:val="auto"/>
          <w:highlight w:val="none"/>
          <w:lang w:eastAsia="zh-CN"/>
        </w:rPr>
      </w:pPr>
      <w:r>
        <w:rPr>
          <w:rFonts w:cs="宋体"/>
          <w:color w:val="auto"/>
          <w:highlight w:val="none"/>
          <w:lang w:eastAsia="zh-CN"/>
        </w:rPr>
        <w:t>5）监理人要求提供的其它完工验收资料等。</w:t>
      </w:r>
    </w:p>
    <w:p w14:paraId="1C3EAFA5">
      <w:pPr>
        <w:pStyle w:val="5"/>
        <w:jc w:val="left"/>
        <w:rPr>
          <w:rFonts w:hAnsi="Times New Roman" w:cs="楷体"/>
          <w:color w:val="auto"/>
          <w:highlight w:val="none"/>
          <w:lang w:eastAsia="zh-CN"/>
        </w:rPr>
      </w:pPr>
      <w:r>
        <w:rPr>
          <w:rFonts w:hAnsi="Times New Roman" w:cs="Times New Roman"/>
          <w:color w:val="auto"/>
          <w:highlight w:val="none"/>
          <w:lang w:eastAsia="zh-CN"/>
        </w:rPr>
        <w:t>10.1.4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79E65BC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）《通用硅酸盐水泥》（</w:t>
      </w:r>
      <w:r>
        <w:rPr>
          <w:rFonts w:hAnsi="Times New Roman" w:cs="Times New Roman"/>
          <w:color w:val="auto"/>
          <w:highlight w:val="none"/>
          <w:lang w:eastAsia="zh-CN"/>
        </w:rPr>
        <w:t>GB175—2007</w:t>
      </w:r>
      <w:r>
        <w:rPr>
          <w:rFonts w:cs="宋体"/>
          <w:color w:val="auto"/>
          <w:highlight w:val="none"/>
          <w:lang w:eastAsia="zh-CN"/>
        </w:rPr>
        <w:t>）。</w:t>
      </w:r>
    </w:p>
    <w:p w14:paraId="5DFB3E1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）《水工混凝土试验规程》（</w:t>
      </w:r>
      <w:r>
        <w:rPr>
          <w:rFonts w:hAnsi="Times New Roman" w:cs="Times New Roman"/>
          <w:color w:val="auto"/>
          <w:highlight w:val="none"/>
          <w:lang w:eastAsia="zh-CN"/>
        </w:rPr>
        <w:t>SL/T352—2020</w:t>
      </w:r>
      <w:r>
        <w:rPr>
          <w:rFonts w:cs="宋体"/>
          <w:color w:val="auto"/>
          <w:highlight w:val="none"/>
          <w:lang w:eastAsia="zh-CN"/>
        </w:rPr>
        <w:t>）。</w:t>
      </w:r>
    </w:p>
    <w:p w14:paraId="36BCD50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）《水利水电工程勘探规程》（</w:t>
      </w:r>
      <w:r>
        <w:rPr>
          <w:rFonts w:hAnsi="Times New Roman" w:cs="Times New Roman"/>
          <w:color w:val="auto"/>
          <w:highlight w:val="none"/>
          <w:lang w:eastAsia="zh-CN"/>
        </w:rPr>
        <w:t>SL/T291.1—2021</w:t>
      </w:r>
      <w:r>
        <w:rPr>
          <w:rFonts w:cs="宋体"/>
          <w:color w:val="auto"/>
          <w:highlight w:val="none"/>
          <w:lang w:eastAsia="zh-CN"/>
        </w:rPr>
        <w:t>）。</w:t>
      </w:r>
    </w:p>
    <w:p w14:paraId="0296E10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）《水利水电工程钻孔压水试验规程》（</w:t>
      </w:r>
      <w:r>
        <w:rPr>
          <w:rFonts w:hAnsi="Times New Roman" w:cs="Times New Roman"/>
          <w:color w:val="auto"/>
          <w:highlight w:val="none"/>
          <w:lang w:eastAsia="zh-CN"/>
        </w:rPr>
        <w:t>SL31—2003</w:t>
      </w:r>
      <w:r>
        <w:rPr>
          <w:rFonts w:cs="宋体"/>
          <w:color w:val="auto"/>
          <w:highlight w:val="none"/>
          <w:lang w:eastAsia="zh-CN"/>
        </w:rPr>
        <w:t>）。</w:t>
      </w:r>
    </w:p>
    <w:p w14:paraId="144B4CD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）《水利水电工程岩石试验规程》（</w:t>
      </w:r>
      <w:r>
        <w:rPr>
          <w:rFonts w:hAnsi="Times New Roman" w:cs="Times New Roman"/>
          <w:color w:val="auto"/>
          <w:highlight w:val="none"/>
          <w:lang w:eastAsia="zh-CN"/>
        </w:rPr>
        <w:t>SL/T264-2020</w:t>
      </w:r>
      <w:r>
        <w:rPr>
          <w:rFonts w:cs="宋体"/>
          <w:color w:val="auto"/>
          <w:highlight w:val="none"/>
          <w:lang w:eastAsia="zh-CN"/>
        </w:rPr>
        <w:t>）。</w:t>
      </w:r>
    </w:p>
    <w:p w14:paraId="3DDCD3C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）《水工建筑物水泥灌浆施工技术规范》（</w:t>
      </w:r>
      <w:r>
        <w:rPr>
          <w:rFonts w:hAnsi="Times New Roman" w:cs="Times New Roman"/>
          <w:color w:val="auto"/>
          <w:highlight w:val="none"/>
          <w:lang w:eastAsia="zh-CN"/>
        </w:rPr>
        <w:t>SL/T62-2020</w:t>
      </w:r>
      <w:r>
        <w:rPr>
          <w:rFonts w:cs="宋体"/>
          <w:color w:val="auto"/>
          <w:highlight w:val="none"/>
          <w:lang w:eastAsia="zh-CN"/>
        </w:rPr>
        <w:t>）。</w:t>
      </w:r>
    </w:p>
    <w:p w14:paraId="5127F64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）《混凝土用水标准》（</w:t>
      </w:r>
      <w:r>
        <w:rPr>
          <w:rFonts w:hAnsi="Times New Roman" w:cs="Times New Roman"/>
          <w:color w:val="auto"/>
          <w:highlight w:val="none"/>
          <w:lang w:eastAsia="zh-CN"/>
        </w:rPr>
        <w:t>JGJ63—2006</w:t>
      </w:r>
      <w:r>
        <w:rPr>
          <w:rFonts w:cs="宋体"/>
          <w:color w:val="auto"/>
          <w:highlight w:val="none"/>
          <w:lang w:eastAsia="zh-CN"/>
        </w:rPr>
        <w:t>）。</w:t>
      </w:r>
    </w:p>
    <w:p w14:paraId="5F91F98D">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）《土坝灌浆技术规范》（</w:t>
      </w:r>
      <w:r>
        <w:rPr>
          <w:rFonts w:hAnsi="Times New Roman" w:cs="Times New Roman"/>
          <w:color w:val="auto"/>
          <w:highlight w:val="none"/>
          <w:lang w:eastAsia="zh-CN"/>
        </w:rPr>
        <w:t>SL564</w:t>
      </w:r>
      <w:r>
        <w:rPr>
          <w:rFonts w:hAnsi="Times New Roman" w:cs="宋体"/>
          <w:color w:val="auto"/>
          <w:highlight w:val="none"/>
          <w:lang w:eastAsia="zh-CN"/>
        </w:rPr>
        <w:t>—</w:t>
      </w:r>
      <w:r>
        <w:rPr>
          <w:rFonts w:hAnsi="Times New Roman" w:cs="Times New Roman"/>
          <w:color w:val="auto"/>
          <w:highlight w:val="none"/>
          <w:lang w:eastAsia="zh-CN"/>
        </w:rPr>
        <w:t>2014</w:t>
      </w:r>
      <w:r>
        <w:rPr>
          <w:rFonts w:cs="宋体"/>
          <w:color w:val="auto"/>
          <w:highlight w:val="none"/>
          <w:lang w:eastAsia="zh-CN"/>
        </w:rPr>
        <w:t>）。</w:t>
      </w:r>
    </w:p>
    <w:p w14:paraId="39E8BB8A">
      <w:pPr>
        <w:ind w:firstLine="420"/>
        <w:jc w:val="left"/>
        <w:rPr>
          <w:rFonts w:cs="宋体"/>
          <w:color w:val="auto"/>
          <w:highlight w:val="none"/>
          <w:lang w:eastAsia="zh-CN"/>
        </w:rPr>
      </w:pPr>
      <w:r>
        <w:rPr>
          <w:rFonts w:cs="宋体"/>
          <w:color w:val="auto"/>
          <w:highlight w:val="none"/>
          <w:lang w:eastAsia="zh-CN"/>
        </w:rPr>
        <w:t>（9）《水工混凝土外加剂技术规程》DL/T5100-2014。</w:t>
      </w:r>
    </w:p>
    <w:p w14:paraId="7CF14157">
      <w:pPr>
        <w:ind w:firstLine="420"/>
        <w:jc w:val="left"/>
        <w:rPr>
          <w:rFonts w:cs="宋体"/>
          <w:color w:val="auto"/>
          <w:highlight w:val="none"/>
          <w:lang w:eastAsia="zh-CN"/>
        </w:rPr>
      </w:pPr>
      <w:r>
        <w:rPr>
          <w:rFonts w:cs="宋体"/>
          <w:color w:val="auto"/>
          <w:highlight w:val="none"/>
          <w:lang w:eastAsia="zh-CN"/>
        </w:rPr>
        <w:t>（10）《水电岩土工程及岩体测试造孔规程》NB/T35114-2018。</w:t>
      </w:r>
    </w:p>
    <w:p w14:paraId="7FCC6D25">
      <w:pPr>
        <w:ind w:firstLine="420"/>
        <w:jc w:val="left"/>
        <w:rPr>
          <w:rFonts w:cs="宋体"/>
          <w:color w:val="auto"/>
          <w:highlight w:val="none"/>
          <w:lang w:eastAsia="zh-CN"/>
        </w:rPr>
      </w:pPr>
      <w:r>
        <w:rPr>
          <w:rFonts w:cs="宋体"/>
          <w:color w:val="auto"/>
          <w:highlight w:val="none"/>
          <w:lang w:eastAsia="zh-CN"/>
        </w:rPr>
        <w:t>（11）《水利水电工程单元工程施工质量验收评定标准-土石方工程》SL631-2012。</w:t>
      </w:r>
    </w:p>
    <w:p w14:paraId="0851280B">
      <w:pPr>
        <w:ind w:firstLine="420"/>
        <w:jc w:val="left"/>
        <w:rPr>
          <w:rFonts w:cs="宋体"/>
          <w:color w:val="auto"/>
          <w:highlight w:val="none"/>
          <w:lang w:eastAsia="zh-CN"/>
        </w:rPr>
      </w:pPr>
      <w:r>
        <w:rPr>
          <w:rFonts w:cs="宋体"/>
          <w:color w:val="auto"/>
          <w:highlight w:val="none"/>
          <w:lang w:eastAsia="zh-CN"/>
        </w:rPr>
        <w:t>（12）《水工混凝土施工规范》SL677-2014。</w:t>
      </w:r>
    </w:p>
    <w:p w14:paraId="56154834">
      <w:pPr>
        <w:ind w:firstLine="420"/>
        <w:jc w:val="left"/>
        <w:rPr>
          <w:rFonts w:cs="宋体"/>
          <w:color w:val="auto"/>
          <w:highlight w:val="none"/>
          <w:lang w:eastAsia="zh-CN"/>
        </w:rPr>
      </w:pPr>
      <w:r>
        <w:rPr>
          <w:rFonts w:cs="宋体"/>
          <w:color w:val="auto"/>
          <w:highlight w:val="none"/>
          <w:lang w:eastAsia="zh-CN"/>
        </w:rPr>
        <w:t>（13）《水电水利工程爆破施工技术规范》DL/T5135-2013。</w:t>
      </w:r>
    </w:p>
    <w:p w14:paraId="272B67FC">
      <w:pPr>
        <w:ind w:firstLine="420"/>
        <w:jc w:val="left"/>
        <w:rPr>
          <w:rFonts w:cs="宋体"/>
          <w:color w:val="auto"/>
          <w:highlight w:val="none"/>
          <w:lang w:eastAsia="zh-CN"/>
        </w:rPr>
      </w:pPr>
      <w:r>
        <w:rPr>
          <w:rFonts w:cs="宋体"/>
          <w:color w:val="auto"/>
          <w:highlight w:val="none"/>
          <w:lang w:eastAsia="zh-CN"/>
        </w:rPr>
        <w:t>（14）《灌浆记录仪技术导则》DL/T5237-2010。</w:t>
      </w:r>
    </w:p>
    <w:p w14:paraId="2369A4DF">
      <w:pPr>
        <w:ind w:firstLine="420"/>
        <w:jc w:val="left"/>
        <w:rPr>
          <w:rFonts w:cs="宋体"/>
          <w:color w:val="auto"/>
          <w:highlight w:val="none"/>
          <w:lang w:eastAsia="zh-CN"/>
        </w:rPr>
      </w:pPr>
      <w:r>
        <w:rPr>
          <w:rFonts w:cs="宋体"/>
          <w:color w:val="auto"/>
          <w:highlight w:val="none"/>
          <w:lang w:eastAsia="zh-CN"/>
        </w:rPr>
        <w:t>（15）《混凝土拌和用水标准》（JGJ63-2006）；</w:t>
      </w:r>
    </w:p>
    <w:p w14:paraId="34FE6C63">
      <w:pPr>
        <w:pStyle w:val="4"/>
        <w:spacing w:beforeLines="0" w:afterLines="0"/>
        <w:jc w:val="both"/>
        <w:rPr>
          <w:rFonts w:hint="eastAsia" w:cs="宋体"/>
          <w:bCs/>
          <w:color w:val="auto"/>
          <w:szCs w:val="24"/>
          <w:highlight w:val="none"/>
          <w:lang w:eastAsia="zh-CN"/>
        </w:rPr>
      </w:pPr>
      <w:bookmarkStart w:id="1979" w:name="_Toc29748"/>
      <w:bookmarkStart w:id="1980" w:name="_Toc4303"/>
      <w:bookmarkStart w:id="1981" w:name="_Toc18258"/>
      <w:r>
        <w:rPr>
          <w:rFonts w:hint="eastAsia" w:cs="宋体"/>
          <w:bCs/>
          <w:color w:val="auto"/>
          <w:szCs w:val="24"/>
          <w:highlight w:val="none"/>
          <w:lang w:eastAsia="zh-CN"/>
        </w:rPr>
        <w:t>10.2　灌浆材料</w:t>
      </w:r>
      <w:bookmarkEnd w:id="1979"/>
      <w:bookmarkEnd w:id="1980"/>
      <w:bookmarkEnd w:id="1981"/>
    </w:p>
    <w:p w14:paraId="0926F9AD">
      <w:pPr>
        <w:pStyle w:val="5"/>
        <w:jc w:val="left"/>
        <w:rPr>
          <w:rFonts w:hAnsi="Times New Roman" w:cs="楷体"/>
          <w:color w:val="auto"/>
          <w:highlight w:val="none"/>
          <w:lang w:eastAsia="zh-CN"/>
        </w:rPr>
      </w:pPr>
      <w:r>
        <w:rPr>
          <w:rFonts w:hAnsi="Times New Roman" w:cs="Times New Roman"/>
          <w:color w:val="auto"/>
          <w:highlight w:val="none"/>
          <w:lang w:eastAsia="zh-CN"/>
        </w:rPr>
        <w:t>10.2.1</w:t>
      </w:r>
      <w:r>
        <w:rPr>
          <w:rFonts w:hint="eastAsia" w:hAnsi="Times New Roman" w:cs="Times New Roman"/>
          <w:color w:val="auto"/>
          <w:highlight w:val="none"/>
          <w:lang w:eastAsia="zh-CN"/>
        </w:rPr>
        <w:t>　</w:t>
      </w:r>
      <w:r>
        <w:rPr>
          <w:rFonts w:hAnsi="楷体" w:cs="楷体"/>
          <w:color w:val="auto"/>
          <w:highlight w:val="none"/>
          <w:lang w:eastAsia="zh-CN"/>
        </w:rPr>
        <w:t>一般要求</w:t>
      </w:r>
    </w:p>
    <w:p w14:paraId="1B46FFE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除合同另有约定外，承包人应负责采购（统供材料除外）、运输、储存、保管钻孔和灌浆所需的全部材料。每批到达现场的水泥、外加剂、掺合料和化学灌浆材料等，均应符合本技术条款规定的材料质量标准，并附有生产厂家的质量证明书</w:t>
      </w:r>
      <w:r>
        <w:rPr>
          <w:rFonts w:hint="eastAsia"/>
          <w:color w:val="auto"/>
          <w:highlight w:val="none"/>
          <w:lang w:eastAsia="zh-CN"/>
        </w:rPr>
        <w:t>。化学灌浆材料的包装标识至少应包含产品名称、生产厂名厂址、净质量、生产日期和保质期等</w:t>
      </w:r>
      <w:r>
        <w:rPr>
          <w:rFonts w:cs="宋体"/>
          <w:color w:val="auto"/>
          <w:highlight w:val="none"/>
          <w:lang w:eastAsia="zh-CN"/>
        </w:rPr>
        <w:t>。</w:t>
      </w:r>
    </w:p>
    <w:p w14:paraId="7705F179">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）每批材料入库前均应由承包人会同监理人进行验收，并将验收清单提交监理人。</w:t>
      </w:r>
    </w:p>
    <w:p w14:paraId="4B4FC58E">
      <w:pPr>
        <w:pStyle w:val="7"/>
        <w:ind w:firstLine="420"/>
        <w:jc w:val="left"/>
        <w:rPr>
          <w:color w:val="auto"/>
          <w:highlight w:val="none"/>
          <w:lang w:eastAsia="zh-CN"/>
        </w:rPr>
      </w:pPr>
      <w:r>
        <w:rPr>
          <w:rFonts w:hint="eastAsia"/>
          <w:color w:val="auto"/>
          <w:highlight w:val="none"/>
          <w:lang w:eastAsia="zh-CN"/>
        </w:rPr>
        <w:t>（3）承包人灌浆所用的各种材料（含外加剂、掺合料）必须符合国家环保要求，不得污染工程区周边环境及地下水环境。</w:t>
      </w:r>
    </w:p>
    <w:p w14:paraId="2E776DC8">
      <w:pPr>
        <w:pStyle w:val="5"/>
        <w:jc w:val="left"/>
        <w:rPr>
          <w:rFonts w:hAnsi="Times New Roman" w:cs="楷体"/>
          <w:color w:val="auto"/>
          <w:highlight w:val="none"/>
          <w:lang w:eastAsia="zh-CN"/>
        </w:rPr>
      </w:pPr>
      <w:r>
        <w:rPr>
          <w:rFonts w:hAnsi="Times New Roman" w:cs="Times New Roman"/>
          <w:color w:val="auto"/>
          <w:highlight w:val="none"/>
          <w:lang w:eastAsia="zh-CN"/>
        </w:rPr>
        <w:t>10.2.2</w:t>
      </w:r>
      <w:r>
        <w:rPr>
          <w:rFonts w:hint="eastAsia" w:hAnsi="Times New Roman" w:cs="Times New Roman"/>
          <w:color w:val="auto"/>
          <w:highlight w:val="none"/>
          <w:lang w:eastAsia="zh-CN"/>
        </w:rPr>
        <w:t>　</w:t>
      </w:r>
      <w:r>
        <w:rPr>
          <w:rFonts w:hAnsi="楷体" w:cs="楷体"/>
          <w:color w:val="auto"/>
          <w:highlight w:val="none"/>
          <w:lang w:eastAsia="zh-CN"/>
        </w:rPr>
        <w:t>水泥</w:t>
      </w:r>
    </w:p>
    <w:p w14:paraId="42B65844">
      <w:pPr>
        <w:ind w:firstLine="420"/>
        <w:jc w:val="left"/>
        <w:rPr>
          <w:rFonts w:cs="宋体"/>
          <w:color w:val="auto"/>
          <w:highlight w:val="none"/>
          <w:lang w:eastAsia="zh-CN"/>
        </w:rPr>
      </w:pPr>
      <w:r>
        <w:rPr>
          <w:rFonts w:cs="宋体"/>
          <w:color w:val="auto"/>
          <w:highlight w:val="none"/>
          <w:lang w:eastAsia="zh-CN"/>
        </w:rPr>
        <w:t>承包人应根据施工图纸或监理人指示，选用灌浆水泥品种。用于各项灌浆工程的水泥遵守《水工建筑物水泥灌浆施工技术规范》（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）的相关规定。</w:t>
      </w:r>
    </w:p>
    <w:p w14:paraId="4C3AF459">
      <w:pPr>
        <w:ind w:firstLine="420"/>
        <w:jc w:val="left"/>
        <w:rPr>
          <w:rFonts w:cs="宋体"/>
          <w:color w:val="auto"/>
          <w:highlight w:val="none"/>
          <w:lang w:eastAsia="zh-CN"/>
        </w:rPr>
      </w:pPr>
      <w:r>
        <w:rPr>
          <w:rFonts w:cs="宋体"/>
          <w:color w:val="auto"/>
          <w:highlight w:val="none"/>
          <w:lang w:eastAsia="zh-CN"/>
        </w:rPr>
        <w:t>（1）灌浆水泥应根据施工图纸或监理人的指示采用与灌浆部位相适应的水泥品种，用于固结灌浆、回填灌浆的水泥强度等级不低于42.5</w:t>
      </w:r>
      <w:r>
        <w:rPr>
          <w:rFonts w:hint="eastAsia"/>
          <w:color w:val="auto"/>
          <w:highlight w:val="none"/>
          <w:lang w:eastAsia="zh-CN"/>
        </w:rPr>
        <w:t>，地下水具有硫酸盐型腐蚀洞段采用高抗硫酸盐水泥</w:t>
      </w:r>
      <w:r>
        <w:rPr>
          <w:rFonts w:cs="宋体"/>
          <w:color w:val="auto"/>
          <w:highlight w:val="none"/>
          <w:lang w:eastAsia="zh-CN"/>
        </w:rPr>
        <w:t>。</w:t>
      </w:r>
    </w:p>
    <w:p w14:paraId="4A9F04BA">
      <w:pPr>
        <w:ind w:firstLine="420"/>
        <w:jc w:val="left"/>
        <w:rPr>
          <w:rFonts w:cs="宋体"/>
          <w:color w:val="auto"/>
          <w:highlight w:val="none"/>
          <w:lang w:eastAsia="zh-CN"/>
        </w:rPr>
      </w:pPr>
      <w:r>
        <w:rPr>
          <w:rFonts w:cs="宋体"/>
          <w:color w:val="auto"/>
          <w:highlight w:val="none"/>
          <w:lang w:eastAsia="zh-CN"/>
        </w:rPr>
        <w:t>（2）灌浆水泥的品质应满足国家标准《通用硅酸盐水泥》（GB175-2007）中的有关要求，普通水泥细度要求通过80μm的方孔筛的筛余量不大于10%。</w:t>
      </w:r>
    </w:p>
    <w:p w14:paraId="730B8DD9">
      <w:pPr>
        <w:ind w:firstLine="420"/>
        <w:jc w:val="left"/>
        <w:rPr>
          <w:rFonts w:cs="宋体"/>
          <w:color w:val="auto"/>
          <w:highlight w:val="none"/>
          <w:lang w:eastAsia="zh-CN"/>
        </w:rPr>
      </w:pPr>
      <w:r>
        <w:rPr>
          <w:rFonts w:cs="宋体"/>
          <w:color w:val="auto"/>
          <w:highlight w:val="none"/>
          <w:lang w:eastAsia="zh-CN"/>
        </w:rPr>
        <w:t>（3）灌浆水泥应尽量使用同一品种、同一强度等级的水泥，同一灌浆孔不得使用不同厂家、不同品种、不同强度等级的水泥。</w:t>
      </w:r>
    </w:p>
    <w:p w14:paraId="5399BF74">
      <w:pPr>
        <w:ind w:firstLine="420"/>
        <w:jc w:val="left"/>
        <w:rPr>
          <w:rFonts w:cs="宋体"/>
          <w:color w:val="auto"/>
          <w:highlight w:val="none"/>
          <w:lang w:eastAsia="zh-CN"/>
        </w:rPr>
      </w:pPr>
      <w:r>
        <w:rPr>
          <w:rFonts w:cs="宋体"/>
          <w:color w:val="auto"/>
          <w:highlight w:val="none"/>
          <w:lang w:eastAsia="zh-CN"/>
        </w:rPr>
        <w:t>（4）灌浆用的水泥必须保持新鲜，不得使用受潮结块的水泥。水泥不应存放过久，出厂期超过三个月的水泥应复检合格方可使用。</w:t>
      </w:r>
    </w:p>
    <w:p w14:paraId="259AC499">
      <w:pPr>
        <w:pStyle w:val="5"/>
        <w:jc w:val="left"/>
        <w:rPr>
          <w:rFonts w:hAnsi="Times New Roman" w:cs="楷体"/>
          <w:color w:val="auto"/>
          <w:highlight w:val="none"/>
          <w:lang w:eastAsia="zh-CN"/>
        </w:rPr>
      </w:pPr>
      <w:r>
        <w:rPr>
          <w:rFonts w:hAnsi="Times New Roman" w:cs="Times New Roman"/>
          <w:color w:val="auto"/>
          <w:highlight w:val="none"/>
          <w:lang w:eastAsia="zh-CN"/>
        </w:rPr>
        <w:t>10.2.3</w:t>
      </w:r>
      <w:r>
        <w:rPr>
          <w:rFonts w:hint="eastAsia" w:hAnsi="Times New Roman" w:cs="Times New Roman"/>
          <w:color w:val="auto"/>
          <w:highlight w:val="none"/>
          <w:lang w:eastAsia="zh-CN"/>
        </w:rPr>
        <w:t>　</w:t>
      </w:r>
      <w:r>
        <w:rPr>
          <w:rFonts w:hAnsi="楷体" w:cs="楷体"/>
          <w:color w:val="auto"/>
          <w:highlight w:val="none"/>
          <w:lang w:eastAsia="zh-CN"/>
        </w:rPr>
        <w:t>水</w:t>
      </w:r>
    </w:p>
    <w:p w14:paraId="701E51FF">
      <w:pPr>
        <w:ind w:firstLine="420"/>
        <w:jc w:val="left"/>
        <w:rPr>
          <w:rFonts w:hAnsi="Times New Roman" w:cs="宋体"/>
          <w:color w:val="auto"/>
          <w:highlight w:val="none"/>
          <w:lang w:eastAsia="zh-CN"/>
        </w:rPr>
      </w:pPr>
      <w:r>
        <w:rPr>
          <w:rFonts w:cs="宋体"/>
          <w:color w:val="auto"/>
          <w:highlight w:val="none"/>
          <w:lang w:eastAsia="zh-CN"/>
        </w:rPr>
        <w:t>灌浆用水应遵守《混凝土用水标准》（</w:t>
      </w:r>
      <w:r>
        <w:rPr>
          <w:rFonts w:hAnsi="Times New Roman" w:cs="Times New Roman"/>
          <w:color w:val="auto"/>
          <w:highlight w:val="none"/>
          <w:lang w:eastAsia="zh-CN"/>
        </w:rPr>
        <w:t>JGJ63—2006</w:t>
      </w:r>
      <w:r>
        <w:rPr>
          <w:rFonts w:cs="宋体"/>
          <w:color w:val="auto"/>
          <w:highlight w:val="none"/>
          <w:lang w:eastAsia="zh-CN"/>
        </w:rPr>
        <w:t>）的规定，拌浆水的温度不得高于</w:t>
      </w:r>
      <w:r>
        <w:rPr>
          <w:rFonts w:hAnsi="Times New Roman" w:cs="Times New Roman"/>
          <w:color w:val="auto"/>
          <w:highlight w:val="none"/>
          <w:u w:val="single"/>
          <w:lang w:eastAsia="zh-CN"/>
        </w:rPr>
        <w:t>40</w:t>
      </w:r>
      <w:r>
        <w:rPr>
          <w:rFonts w:hint="eastAsia" w:hAnsi="Times New Roman" w:cs="宋体"/>
          <w:color w:val="auto"/>
          <w:highlight w:val="none"/>
          <w:u w:val="single"/>
          <w:lang w:eastAsia="zh-CN"/>
        </w:rPr>
        <w:t>℃</w:t>
      </w:r>
      <w:r>
        <w:rPr>
          <w:rFonts w:hAnsi="Times New Roman" w:cs="宋体"/>
          <w:color w:val="auto"/>
          <w:highlight w:val="none"/>
          <w:lang w:eastAsia="zh-CN"/>
        </w:rPr>
        <w:t>,</w:t>
      </w:r>
      <w:r>
        <w:rPr>
          <w:rFonts w:cs="宋体"/>
          <w:color w:val="auto"/>
          <w:highlight w:val="none"/>
          <w:lang w:eastAsia="zh-CN"/>
        </w:rPr>
        <w:t>接缝及接触灌浆拌浆水的温度不得高于</w:t>
      </w:r>
      <w:r>
        <w:rPr>
          <w:rFonts w:hAnsi="Times New Roman" w:cs="Times New Roman"/>
          <w:color w:val="auto"/>
          <w:highlight w:val="none"/>
          <w:u w:val="single"/>
          <w:lang w:eastAsia="zh-CN"/>
        </w:rPr>
        <w:t>20</w:t>
      </w:r>
      <w:r>
        <w:rPr>
          <w:rFonts w:hint="eastAsia" w:hAnsi="Times New Roman" w:cs="宋体"/>
          <w:color w:val="auto"/>
          <w:highlight w:val="none"/>
          <w:u w:val="single"/>
          <w:lang w:eastAsia="zh-CN"/>
        </w:rPr>
        <w:t>℃</w:t>
      </w:r>
      <w:r>
        <w:rPr>
          <w:rFonts w:cs="宋体"/>
          <w:color w:val="auto"/>
          <w:highlight w:val="none"/>
          <w:lang w:eastAsia="zh-CN"/>
        </w:rPr>
        <w:t>。</w:t>
      </w:r>
    </w:p>
    <w:p w14:paraId="38A8CFAE">
      <w:pPr>
        <w:pStyle w:val="5"/>
        <w:jc w:val="left"/>
        <w:rPr>
          <w:rFonts w:hAnsi="Times New Roman" w:cs="楷体"/>
          <w:color w:val="auto"/>
          <w:highlight w:val="none"/>
          <w:lang w:eastAsia="zh-CN"/>
        </w:rPr>
      </w:pPr>
      <w:r>
        <w:rPr>
          <w:rFonts w:hAnsi="Times New Roman" w:cs="Times New Roman"/>
          <w:color w:val="auto"/>
          <w:highlight w:val="none"/>
          <w:lang w:eastAsia="zh-CN"/>
        </w:rPr>
        <w:t>10.2.4</w:t>
      </w:r>
      <w:r>
        <w:rPr>
          <w:rFonts w:hint="eastAsia" w:hAnsi="Times New Roman" w:cs="Times New Roman"/>
          <w:color w:val="auto"/>
          <w:highlight w:val="none"/>
          <w:lang w:eastAsia="zh-CN"/>
        </w:rPr>
        <w:t>　</w:t>
      </w:r>
      <w:r>
        <w:rPr>
          <w:rFonts w:hAnsi="楷体" w:cs="楷体"/>
          <w:color w:val="auto"/>
          <w:highlight w:val="none"/>
          <w:lang w:eastAsia="zh-CN"/>
        </w:rPr>
        <w:t>掺合料</w:t>
      </w:r>
    </w:p>
    <w:p w14:paraId="38681D34">
      <w:pPr>
        <w:suppressAutoHyphens/>
        <w:ind w:firstLine="420"/>
        <w:jc w:val="left"/>
        <w:rPr>
          <w:rFonts w:cs="宋体"/>
          <w:color w:val="auto"/>
          <w:highlight w:val="none"/>
          <w:lang w:eastAsia="zh-CN"/>
        </w:rPr>
      </w:pPr>
      <w:r>
        <w:rPr>
          <w:rFonts w:cs="宋体"/>
          <w:color w:val="auto"/>
          <w:highlight w:val="none"/>
          <w:lang w:eastAsia="zh-CN"/>
        </w:rPr>
        <w:t>经监理人批准，承包人可在水泥浆液中掺入砂、黏性土、粉煤灰和水玻璃等掺合料。各种掺合料的质量应遵守《水工建筑物水泥灌浆施工技术规范》（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）的有关规定，其掺入量应通过试验确定，试验成果应提交监理人。</w:t>
      </w:r>
    </w:p>
    <w:p w14:paraId="3ED29A68">
      <w:pPr>
        <w:suppressAutoHyphens/>
        <w:ind w:firstLine="420"/>
        <w:jc w:val="left"/>
        <w:rPr>
          <w:color w:val="auto"/>
          <w:highlight w:val="none"/>
          <w:lang w:eastAsia="zh-CN"/>
        </w:rPr>
      </w:pPr>
      <w:r>
        <w:rPr>
          <w:rFonts w:hint="eastAsia"/>
          <w:color w:val="auto"/>
          <w:highlight w:val="none"/>
          <w:lang w:eastAsia="zh-CN"/>
        </w:rPr>
        <w:t>根据灌浆需要，掺入水泥浆液中的黏土应满足：塑性指数不小于14，黏粒（粒径小于0.005mm）含量不宜小于25%，含砂量不宜大于5%，有机物含量不宜大于3%。</w:t>
      </w:r>
    </w:p>
    <w:p w14:paraId="2CA72BA1">
      <w:pPr>
        <w:suppressAutoHyphens/>
        <w:ind w:firstLine="420"/>
        <w:jc w:val="left"/>
        <w:rPr>
          <w:color w:val="auto"/>
          <w:highlight w:val="none"/>
          <w:lang w:eastAsia="zh-CN"/>
        </w:rPr>
      </w:pPr>
      <w:r>
        <w:rPr>
          <w:rFonts w:hint="eastAsia"/>
          <w:color w:val="auto"/>
          <w:highlight w:val="none"/>
          <w:lang w:eastAsia="zh-CN"/>
        </w:rPr>
        <w:t>超前灌浆施工中，水泥浆在常规单液水泥浆基础上，根据超前灌浆施工需要，选取聚合物等添加剂，对单液水泥浆进行速凝、早强、遇水不分散等方面性质的改性。</w:t>
      </w:r>
    </w:p>
    <w:p w14:paraId="08E1E86A">
      <w:pPr>
        <w:pStyle w:val="5"/>
        <w:jc w:val="left"/>
        <w:rPr>
          <w:rFonts w:hAnsi="Times New Roman" w:cs="楷体"/>
          <w:color w:val="auto"/>
          <w:highlight w:val="none"/>
          <w:lang w:eastAsia="zh-CN"/>
        </w:rPr>
      </w:pPr>
      <w:r>
        <w:rPr>
          <w:rFonts w:hAnsi="Times New Roman" w:cs="Times New Roman"/>
          <w:color w:val="auto"/>
          <w:highlight w:val="none"/>
          <w:lang w:eastAsia="zh-CN"/>
        </w:rPr>
        <w:t>10.2.5</w:t>
      </w:r>
      <w:r>
        <w:rPr>
          <w:rFonts w:hint="eastAsia" w:hAnsi="Times New Roman" w:cs="Times New Roman"/>
          <w:color w:val="auto"/>
          <w:highlight w:val="none"/>
          <w:lang w:eastAsia="zh-CN"/>
        </w:rPr>
        <w:t>　</w:t>
      </w:r>
      <w:r>
        <w:rPr>
          <w:rFonts w:hAnsi="楷体" w:cs="楷体"/>
          <w:color w:val="auto"/>
          <w:highlight w:val="none"/>
          <w:lang w:eastAsia="zh-CN"/>
        </w:rPr>
        <w:t>外加剂</w:t>
      </w:r>
    </w:p>
    <w:p w14:paraId="5DBB91FD">
      <w:pPr>
        <w:ind w:firstLine="420"/>
        <w:jc w:val="left"/>
        <w:rPr>
          <w:rFonts w:hAnsi="Times New Roman" w:cs="宋体"/>
          <w:color w:val="auto"/>
          <w:highlight w:val="none"/>
          <w:lang w:eastAsia="zh-CN"/>
        </w:rPr>
      </w:pPr>
      <w:r>
        <w:rPr>
          <w:rFonts w:cs="宋体"/>
          <w:color w:val="auto"/>
          <w:highlight w:val="none"/>
          <w:lang w:eastAsia="zh-CN"/>
        </w:rPr>
        <w:t>经监理人批准，承包人可在水泥浆液中掺入速凝剂、减水剂、稳定剂以及监理人指示或批准的其它外加剂。各种外加剂的质量应遵守《水工建筑物水泥灌浆施工技术规范》（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）的有关规定，其最优掺加量应通过室内试验和现场灌浆试验确定，试验成果应提交监理人。所有能溶于水的外加剂均应以水溶液状态加入。</w:t>
      </w:r>
    </w:p>
    <w:p w14:paraId="2C120F0D">
      <w:pPr>
        <w:pStyle w:val="5"/>
        <w:jc w:val="left"/>
        <w:rPr>
          <w:rFonts w:hAnsi="Times New Roman" w:cs="楷体"/>
          <w:color w:val="auto"/>
          <w:highlight w:val="none"/>
          <w:lang w:eastAsia="zh-CN"/>
        </w:rPr>
      </w:pPr>
      <w:r>
        <w:rPr>
          <w:rFonts w:hAnsi="Times New Roman" w:cs="Times New Roman"/>
          <w:color w:val="auto"/>
          <w:highlight w:val="none"/>
          <w:lang w:eastAsia="zh-CN"/>
        </w:rPr>
        <w:t>10.2.6</w:t>
      </w:r>
      <w:r>
        <w:rPr>
          <w:rFonts w:hint="eastAsia" w:hAnsi="Times New Roman" w:cs="Times New Roman"/>
          <w:color w:val="auto"/>
          <w:highlight w:val="none"/>
          <w:lang w:eastAsia="zh-CN"/>
        </w:rPr>
        <w:t>　</w:t>
      </w:r>
      <w:r>
        <w:rPr>
          <w:rFonts w:hAnsi="楷体" w:cs="楷体"/>
          <w:color w:val="auto"/>
          <w:highlight w:val="none"/>
          <w:lang w:eastAsia="zh-CN"/>
        </w:rPr>
        <w:t>化学灌浆材料</w:t>
      </w:r>
    </w:p>
    <w:p w14:paraId="41B4E8F1">
      <w:pPr>
        <w:ind w:firstLine="420"/>
        <w:jc w:val="left"/>
        <w:rPr>
          <w:rFonts w:hAnsi="Times New Roman" w:cs="宋体"/>
          <w:color w:val="auto"/>
          <w:highlight w:val="none"/>
          <w:lang w:eastAsia="zh-CN"/>
        </w:rPr>
      </w:pPr>
      <w:r>
        <w:rPr>
          <w:rFonts w:cs="宋体"/>
          <w:color w:val="auto"/>
          <w:highlight w:val="none"/>
          <w:lang w:eastAsia="zh-CN"/>
        </w:rPr>
        <w:t>承包人应根据施工图纸或监理人指示选用符合本章第</w:t>
      </w:r>
      <w:r>
        <w:rPr>
          <w:rFonts w:hAnsi="Times New Roman" w:cs="Times New Roman"/>
          <w:color w:val="auto"/>
          <w:highlight w:val="none"/>
          <w:lang w:eastAsia="zh-CN"/>
        </w:rPr>
        <w:t>10.11</w:t>
      </w:r>
      <w:r>
        <w:rPr>
          <w:rFonts w:cs="宋体"/>
          <w:color w:val="auto"/>
          <w:highlight w:val="none"/>
          <w:lang w:eastAsia="zh-CN"/>
        </w:rPr>
        <w:t>款规定的化学灌浆材料。</w:t>
      </w:r>
    </w:p>
    <w:p w14:paraId="19A7CDC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）帷幕灌浆中的化学灌浆可采用丙烯酸盐类、环氧树脂类等化学材料，材料的选用应通过室内试验和结合现场实际情况确定。</w:t>
      </w:r>
    </w:p>
    <w:p w14:paraId="2A3696A9">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）固结灌浆中的化学灌浆可采用改性环氧树脂类化学材料，其性能见设计要求。</w:t>
      </w:r>
    </w:p>
    <w:p w14:paraId="79F39739">
      <w:pPr>
        <w:pStyle w:val="5"/>
        <w:jc w:val="left"/>
        <w:rPr>
          <w:rFonts w:hAnsi="Times New Roman" w:cs="楷体"/>
          <w:color w:val="auto"/>
          <w:highlight w:val="none"/>
          <w:lang w:eastAsia="zh-CN"/>
        </w:rPr>
      </w:pPr>
      <w:r>
        <w:rPr>
          <w:rFonts w:hAnsi="Times New Roman" w:cs="Times New Roman"/>
          <w:color w:val="auto"/>
          <w:highlight w:val="none"/>
          <w:lang w:eastAsia="zh-CN"/>
        </w:rPr>
        <w:t>10.2.7</w:t>
      </w:r>
      <w:r>
        <w:rPr>
          <w:rFonts w:hint="eastAsia" w:hAnsi="Times New Roman" w:cs="Times New Roman"/>
          <w:color w:val="auto"/>
          <w:highlight w:val="none"/>
          <w:lang w:eastAsia="zh-CN"/>
        </w:rPr>
        <w:t>　</w:t>
      </w:r>
      <w:r>
        <w:rPr>
          <w:rFonts w:hAnsi="楷体" w:cs="楷体"/>
          <w:color w:val="auto"/>
          <w:highlight w:val="none"/>
          <w:lang w:eastAsia="zh-CN"/>
        </w:rPr>
        <w:t>土坝劈裂灌浆材料</w:t>
      </w:r>
    </w:p>
    <w:p w14:paraId="4A25307A">
      <w:pPr>
        <w:ind w:firstLine="420"/>
        <w:jc w:val="left"/>
        <w:rPr>
          <w:rFonts w:hAnsi="Times New Roman" w:cs="宋体"/>
          <w:color w:val="auto"/>
          <w:highlight w:val="none"/>
          <w:lang w:eastAsia="zh-CN"/>
        </w:rPr>
      </w:pPr>
      <w:r>
        <w:rPr>
          <w:rFonts w:hint="eastAsia" w:cs="宋体"/>
          <w:color w:val="auto"/>
          <w:highlight w:val="none"/>
          <w:lang w:val="en-US" w:eastAsia="zh-CN"/>
        </w:rPr>
        <w:t>本标段不涉及</w:t>
      </w:r>
      <w:r>
        <w:rPr>
          <w:rFonts w:cs="宋体"/>
          <w:color w:val="auto"/>
          <w:highlight w:val="none"/>
          <w:lang w:eastAsia="zh-CN"/>
        </w:rPr>
        <w:t>。</w:t>
      </w:r>
    </w:p>
    <w:p w14:paraId="58ECC9B4">
      <w:pPr>
        <w:pStyle w:val="4"/>
        <w:spacing w:beforeLines="0" w:afterLines="0"/>
        <w:jc w:val="both"/>
        <w:rPr>
          <w:rFonts w:hint="eastAsia" w:cs="宋体"/>
          <w:bCs/>
          <w:color w:val="auto"/>
          <w:szCs w:val="24"/>
          <w:highlight w:val="none"/>
          <w:lang w:eastAsia="zh-CN"/>
        </w:rPr>
      </w:pPr>
      <w:bookmarkStart w:id="1982" w:name="_Toc9955"/>
      <w:bookmarkStart w:id="1983" w:name="_Toc12708"/>
      <w:bookmarkStart w:id="1984" w:name="_Toc27450"/>
      <w:r>
        <w:rPr>
          <w:rFonts w:hint="eastAsia" w:cs="宋体"/>
          <w:bCs/>
          <w:color w:val="auto"/>
          <w:szCs w:val="24"/>
          <w:highlight w:val="none"/>
          <w:lang w:eastAsia="zh-CN"/>
        </w:rPr>
        <w:t>10.3　设备</w:t>
      </w:r>
      <w:bookmarkEnd w:id="1982"/>
      <w:bookmarkEnd w:id="1983"/>
      <w:bookmarkEnd w:id="1984"/>
    </w:p>
    <w:p w14:paraId="48D88AA6">
      <w:pPr>
        <w:ind w:firstLine="420"/>
        <w:jc w:val="left"/>
        <w:rPr>
          <w:rFonts w:cs="宋体"/>
          <w:color w:val="auto"/>
          <w:highlight w:val="none"/>
          <w:lang w:eastAsia="zh-CN"/>
        </w:rPr>
      </w:pPr>
      <w:r>
        <w:rPr>
          <w:rFonts w:cs="宋体"/>
          <w:color w:val="auto"/>
          <w:highlight w:val="none"/>
          <w:lang w:eastAsia="zh-CN"/>
        </w:rPr>
        <w:t>钻孔和灌浆设备和机具的选用应遵守《水工建筑物水泥灌浆施工技术规范》（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5BE6B34E">
      <w:pPr>
        <w:pStyle w:val="5"/>
        <w:jc w:val="left"/>
        <w:rPr>
          <w:rFonts w:cs="宋体"/>
          <w:color w:val="auto"/>
          <w:highlight w:val="none"/>
          <w:lang w:eastAsia="zh-CN"/>
        </w:rPr>
      </w:pPr>
      <w:r>
        <w:rPr>
          <w:rFonts w:cs="宋体"/>
          <w:color w:val="auto"/>
          <w:highlight w:val="none"/>
          <w:lang w:eastAsia="zh-CN"/>
        </w:rPr>
        <w:t>10.3.1</w:t>
      </w:r>
      <w:r>
        <w:rPr>
          <w:rFonts w:hint="eastAsia" w:cs="宋体"/>
          <w:color w:val="auto"/>
          <w:highlight w:val="none"/>
          <w:lang w:eastAsia="zh-CN"/>
        </w:rPr>
        <w:t>　</w:t>
      </w:r>
      <w:r>
        <w:rPr>
          <w:rFonts w:cs="宋体"/>
          <w:color w:val="auto"/>
          <w:highlight w:val="none"/>
          <w:lang w:eastAsia="zh-CN"/>
        </w:rPr>
        <w:t>钻孔设备</w:t>
      </w:r>
    </w:p>
    <w:p w14:paraId="4B7C37CE">
      <w:pPr>
        <w:ind w:firstLine="420"/>
        <w:jc w:val="left"/>
        <w:rPr>
          <w:rFonts w:cs="宋体"/>
          <w:color w:val="auto"/>
          <w:highlight w:val="none"/>
          <w:lang w:eastAsia="zh-CN"/>
        </w:rPr>
      </w:pPr>
      <w:r>
        <w:rPr>
          <w:rFonts w:cs="宋体"/>
          <w:color w:val="auto"/>
          <w:highlight w:val="none"/>
          <w:lang w:eastAsia="zh-CN"/>
        </w:rPr>
        <w:t>1）在所有洞室及其他封闭区域中使用气动钻孔设备时，应带有消音器和除尘装置，一般不得使用内燃机驱动的钻孔设备。</w:t>
      </w:r>
    </w:p>
    <w:p w14:paraId="294CF5A7">
      <w:pPr>
        <w:ind w:firstLine="420"/>
        <w:jc w:val="left"/>
        <w:rPr>
          <w:rFonts w:cs="宋体"/>
          <w:color w:val="auto"/>
          <w:highlight w:val="none"/>
          <w:lang w:eastAsia="zh-CN"/>
        </w:rPr>
      </w:pPr>
      <w:r>
        <w:rPr>
          <w:rFonts w:cs="宋体"/>
          <w:color w:val="auto"/>
          <w:highlight w:val="none"/>
          <w:lang w:eastAsia="zh-CN"/>
        </w:rPr>
        <w:t>2）承包人应配备足够的流量计、压力表、压力软管、供水管及必要的阀门等设备。</w:t>
      </w:r>
    </w:p>
    <w:p w14:paraId="7C00C1DC">
      <w:pPr>
        <w:suppressAutoHyphens/>
        <w:ind w:firstLine="420"/>
        <w:jc w:val="left"/>
        <w:rPr>
          <w:color w:val="auto"/>
          <w:highlight w:val="none"/>
          <w:lang w:eastAsia="zh-CN"/>
        </w:rPr>
      </w:pPr>
      <w:r>
        <w:rPr>
          <w:rFonts w:hint="eastAsia"/>
          <w:color w:val="auto"/>
          <w:highlight w:val="none"/>
          <w:lang w:eastAsia="zh-CN"/>
        </w:rPr>
        <w:t>3）选择的钻孔设备须满足施工场地条件、地质条件、钻孔结构、钻孔孔径、孔深和孔向、取芯等的要求。</w:t>
      </w:r>
    </w:p>
    <w:p w14:paraId="35A72463">
      <w:pPr>
        <w:suppressAutoHyphens/>
        <w:ind w:firstLine="420"/>
        <w:jc w:val="left"/>
        <w:rPr>
          <w:color w:val="auto"/>
          <w:highlight w:val="none"/>
          <w:lang w:eastAsia="zh-CN"/>
        </w:rPr>
      </w:pPr>
      <w:r>
        <w:rPr>
          <w:rFonts w:hint="eastAsia"/>
          <w:color w:val="auto"/>
          <w:highlight w:val="none"/>
          <w:lang w:eastAsia="zh-CN"/>
        </w:rPr>
        <w:t>4）对需取岩芯的各类勘探孔、检查孔、声波测试孔等，宜采用回转式钻机和金刚钻头或硬质合金钻头钻进，不得使用碾砂钻头。</w:t>
      </w:r>
    </w:p>
    <w:p w14:paraId="29A345E4">
      <w:pPr>
        <w:suppressAutoHyphens/>
        <w:ind w:firstLine="420"/>
        <w:jc w:val="left"/>
        <w:rPr>
          <w:color w:val="auto"/>
          <w:highlight w:val="none"/>
          <w:lang w:eastAsia="zh-CN"/>
        </w:rPr>
      </w:pPr>
      <w:r>
        <w:rPr>
          <w:rFonts w:hint="eastAsia"/>
          <w:color w:val="auto"/>
          <w:highlight w:val="none"/>
          <w:lang w:eastAsia="zh-CN"/>
        </w:rPr>
        <w:t>5）抬动观测孔、回填灌浆孔、防渗灌浆孔、固结灌浆孔、超前灌浆孔、堵漏灌浆孔和排水孔除设计、监理人另有指示外，可采用各式合宜的钻机和钻头钻进。</w:t>
      </w:r>
    </w:p>
    <w:p w14:paraId="3C8D96D0">
      <w:pPr>
        <w:suppressAutoHyphens/>
        <w:ind w:firstLine="420"/>
        <w:jc w:val="left"/>
        <w:rPr>
          <w:color w:val="auto"/>
          <w:highlight w:val="none"/>
          <w:lang w:eastAsia="zh-CN"/>
        </w:rPr>
      </w:pPr>
      <w:r>
        <w:rPr>
          <w:rFonts w:hint="eastAsia"/>
          <w:color w:val="auto"/>
          <w:highlight w:val="none"/>
          <w:lang w:eastAsia="zh-CN"/>
        </w:rPr>
        <w:t>6）使用的钻孔冲洗和压水试验设备、水泵，应保证在所有压力下都有足够的供水量，保证压力稳定、出水均匀、工作可靠。</w:t>
      </w:r>
    </w:p>
    <w:p w14:paraId="7458BE62">
      <w:pPr>
        <w:suppressAutoHyphens/>
        <w:ind w:firstLine="420"/>
        <w:jc w:val="left"/>
        <w:rPr>
          <w:color w:val="auto"/>
          <w:highlight w:val="none"/>
          <w:lang w:eastAsia="zh-CN"/>
        </w:rPr>
      </w:pPr>
      <w:r>
        <w:rPr>
          <w:rFonts w:hint="eastAsia"/>
          <w:color w:val="auto"/>
          <w:highlight w:val="none"/>
          <w:lang w:eastAsia="zh-CN"/>
        </w:rPr>
        <w:t>7）承包人应准备足够的流量计、压力表、压力软管、供水管及阀门等物品。</w:t>
      </w:r>
    </w:p>
    <w:p w14:paraId="7BE206CB">
      <w:pPr>
        <w:suppressAutoHyphens/>
        <w:ind w:firstLine="420"/>
        <w:jc w:val="left"/>
        <w:rPr>
          <w:color w:val="auto"/>
          <w:highlight w:val="none"/>
          <w:lang w:eastAsia="zh-CN"/>
        </w:rPr>
      </w:pPr>
      <w:r>
        <w:rPr>
          <w:rFonts w:hint="eastAsia"/>
          <w:color w:val="auto"/>
          <w:highlight w:val="none"/>
          <w:lang w:eastAsia="zh-CN"/>
        </w:rPr>
        <w:t>8）承包人应配备足够数量的钻孔测斜仪，钻孔测斜仪应为经国家有关部门鉴定合格的产品。</w:t>
      </w:r>
    </w:p>
    <w:p w14:paraId="12651302">
      <w:pPr>
        <w:suppressAutoHyphens/>
        <w:ind w:firstLine="420"/>
        <w:jc w:val="left"/>
        <w:rPr>
          <w:color w:val="auto"/>
          <w:highlight w:val="none"/>
          <w:lang w:eastAsia="zh-CN"/>
        </w:rPr>
      </w:pPr>
      <w:r>
        <w:rPr>
          <w:rFonts w:hint="eastAsia"/>
          <w:color w:val="auto"/>
          <w:highlight w:val="none"/>
          <w:lang w:eastAsia="zh-CN"/>
        </w:rPr>
        <w:t>9）定向钻超前灌浆钻孔应综合考虑施工场地条件、地质条件、钻孔结构、埋深和长度、钻进工艺、护壁方式等因素，选择钻深能力大、推力和扭矩大、高低转速调速范围广、钻进工艺适应性强的钻机型号与性能参数。</w:t>
      </w:r>
    </w:p>
    <w:p w14:paraId="14B26D31">
      <w:pPr>
        <w:suppressAutoHyphens/>
        <w:ind w:firstLine="420"/>
        <w:jc w:val="left"/>
        <w:rPr>
          <w:color w:val="auto"/>
          <w:highlight w:val="none"/>
          <w:lang w:eastAsia="zh-CN"/>
        </w:rPr>
      </w:pPr>
      <w:r>
        <w:rPr>
          <w:rFonts w:hint="eastAsia"/>
          <w:color w:val="auto"/>
          <w:highlight w:val="none"/>
          <w:lang w:eastAsia="zh-CN"/>
        </w:rPr>
        <w:t>10）定向钻超前灌浆应准备足够的泥浆泵、冲洗液、无线随钻测斜仪、螺杆钻具、钻杆、无磁钻铤、取心钻头+取心钻具、螺杆马达+钻杆等。</w:t>
      </w:r>
    </w:p>
    <w:p w14:paraId="5A3FF4F5">
      <w:pPr>
        <w:suppressAutoHyphens/>
        <w:ind w:firstLine="420"/>
        <w:jc w:val="left"/>
        <w:rPr>
          <w:color w:val="auto"/>
          <w:highlight w:val="none"/>
          <w:lang w:eastAsia="zh-CN"/>
        </w:rPr>
      </w:pPr>
      <w:r>
        <w:rPr>
          <w:rFonts w:hint="eastAsia"/>
          <w:color w:val="auto"/>
          <w:highlight w:val="none"/>
          <w:lang w:eastAsia="zh-CN"/>
        </w:rPr>
        <w:t>11）定向钻钻孔冲洗液设备主要包括泥浆泵和冲洗液处理系统，其选择应综合考虑场地环境、地质条件、钻孔轨迹、钻孔结构、钻进工法等因素。泥浆泵类型与性能参数应根据钻孔深度、钻孔结构、钻进工法、地层特性、冲洗液类型、试验要求等选择。孔内水压高、地层复杂、护壁及防漏失要求高的钻孔，宜优先选择泵压泵量大且调节范围广性能优异的泥浆泵型号及规格。</w:t>
      </w:r>
    </w:p>
    <w:p w14:paraId="7B58E782">
      <w:pPr>
        <w:suppressAutoHyphens/>
        <w:ind w:firstLine="420"/>
        <w:jc w:val="left"/>
        <w:rPr>
          <w:color w:val="auto"/>
          <w:highlight w:val="none"/>
          <w:lang w:eastAsia="zh-CN"/>
        </w:rPr>
      </w:pPr>
      <w:r>
        <w:rPr>
          <w:color w:val="auto"/>
          <w:highlight w:val="none"/>
          <w:lang w:eastAsia="zh-CN"/>
        </w:rPr>
        <w:t>1</w:t>
      </w:r>
      <w:r>
        <w:rPr>
          <w:rFonts w:hint="eastAsia"/>
          <w:color w:val="auto"/>
          <w:highlight w:val="none"/>
          <w:lang w:val="en-US" w:eastAsia="zh-CN"/>
        </w:rPr>
        <w:t>2</w:t>
      </w:r>
      <w:r>
        <w:rPr>
          <w:color w:val="auto"/>
          <w:highlight w:val="none"/>
          <w:lang w:eastAsia="zh-CN"/>
        </w:rPr>
        <w:t>）定向钻钻孔造斜器具宜包括斜面导向板、偏心楔、连续造斜器、螺杆钻具等类型。</w:t>
      </w:r>
    </w:p>
    <w:p w14:paraId="1CB9AE9D">
      <w:pPr>
        <w:pStyle w:val="7"/>
        <w:ind w:firstLine="420"/>
        <w:jc w:val="left"/>
        <w:rPr>
          <w:color w:val="auto"/>
          <w:highlight w:val="none"/>
          <w:lang w:eastAsia="zh-CN"/>
        </w:rPr>
      </w:pPr>
      <w:r>
        <w:rPr>
          <w:rFonts w:hint="eastAsia"/>
          <w:color w:val="auto"/>
          <w:highlight w:val="none"/>
          <w:lang w:eastAsia="zh-CN"/>
        </w:rPr>
        <w:t>1</w:t>
      </w:r>
      <w:r>
        <w:rPr>
          <w:rFonts w:hint="eastAsia"/>
          <w:color w:val="auto"/>
          <w:highlight w:val="none"/>
          <w:lang w:val="en-US" w:eastAsia="zh-CN"/>
        </w:rPr>
        <w:t>3</w:t>
      </w:r>
      <w:r>
        <w:rPr>
          <w:rFonts w:hint="eastAsia"/>
          <w:color w:val="auto"/>
          <w:highlight w:val="none"/>
          <w:lang w:eastAsia="zh-CN"/>
        </w:rPr>
        <w:t>）定向钻孔应根据钻孔结构、钻进工艺、造斜器具类型、定向偏差要求和是否有磁场干扰等因素选择测控仪器种类与型号。非磁性区宜选用磁感应式测量仪器，如单点测斜仪、多点测斜仪等；磁性区宜选用不受磁场干扰的测量仪器，如陀螺测斜仪、光电测斜仪、应变片式测斜仪。使用偏心楔和连续造斜器定向时，宜采用单点定向仪；使用螺杆钻具造斜时，宜选用随钻测量仪。</w:t>
      </w:r>
    </w:p>
    <w:p w14:paraId="6D4E8AB7">
      <w:pPr>
        <w:pStyle w:val="5"/>
        <w:jc w:val="left"/>
        <w:rPr>
          <w:rFonts w:cs="宋体"/>
          <w:color w:val="auto"/>
          <w:highlight w:val="none"/>
          <w:lang w:eastAsia="zh-CN"/>
        </w:rPr>
      </w:pPr>
      <w:r>
        <w:rPr>
          <w:rFonts w:cs="宋体"/>
          <w:color w:val="auto"/>
          <w:highlight w:val="none"/>
          <w:lang w:eastAsia="zh-CN"/>
        </w:rPr>
        <w:t>10.3.2</w:t>
      </w:r>
      <w:r>
        <w:rPr>
          <w:rFonts w:hint="eastAsia" w:cs="宋体"/>
          <w:color w:val="auto"/>
          <w:highlight w:val="none"/>
          <w:lang w:eastAsia="zh-CN"/>
        </w:rPr>
        <w:t>　</w:t>
      </w:r>
      <w:r>
        <w:rPr>
          <w:rFonts w:cs="宋体"/>
          <w:color w:val="auto"/>
          <w:highlight w:val="none"/>
          <w:lang w:eastAsia="zh-CN"/>
        </w:rPr>
        <w:t>灌浆设备</w:t>
      </w:r>
    </w:p>
    <w:p w14:paraId="57685484">
      <w:pPr>
        <w:ind w:firstLine="420"/>
        <w:jc w:val="left"/>
        <w:rPr>
          <w:rFonts w:cs="宋体"/>
          <w:color w:val="auto"/>
          <w:highlight w:val="none"/>
          <w:lang w:eastAsia="zh-CN"/>
        </w:rPr>
      </w:pPr>
      <w:r>
        <w:rPr>
          <w:rFonts w:cs="宋体"/>
          <w:color w:val="auto"/>
          <w:highlight w:val="none"/>
          <w:lang w:eastAsia="zh-CN"/>
        </w:rPr>
        <w:t>（1）承包人应根据灌浆需要配置高速和低速浆液搅拌机，搅拌机的转速和搅拌能力应分别与所搅拌的浆液类型及灌浆泵排浆量相适应，并应保证均匀、连续地拌制浆液。所有搅拌设备，在用于拌制浆液前应在现场进行试运行。</w:t>
      </w:r>
    </w:p>
    <w:p w14:paraId="57BFFFF2">
      <w:pPr>
        <w:ind w:firstLine="420"/>
        <w:jc w:val="left"/>
        <w:rPr>
          <w:rFonts w:cs="宋体"/>
          <w:color w:val="auto"/>
          <w:highlight w:val="none"/>
          <w:lang w:eastAsia="zh-CN"/>
        </w:rPr>
      </w:pPr>
      <w:r>
        <w:rPr>
          <w:rFonts w:cs="宋体"/>
          <w:color w:val="auto"/>
          <w:highlight w:val="none"/>
          <w:lang w:eastAsia="zh-CN"/>
        </w:rPr>
        <w:t>（2）承包人提供的灌浆泵性能应与灌浆浆液的类型和浓度相适应，其容许工作压力应大于最大灌浆压力的1.5倍，压力波动范围宜小于灌浆压力的20%，并应有足够的排浆量和稳定的工作性能</w:t>
      </w:r>
      <w:r>
        <w:rPr>
          <w:rFonts w:hint="eastAsia"/>
          <w:color w:val="auto"/>
          <w:highlight w:val="none"/>
          <w:lang w:eastAsia="zh-CN"/>
        </w:rPr>
        <w:t>。定向钻超前灌浆灌浆泵额定工作压力宜不小于25MPa，排浆量不小于250L/min</w:t>
      </w:r>
      <w:r>
        <w:rPr>
          <w:rFonts w:cs="宋体"/>
          <w:color w:val="auto"/>
          <w:highlight w:val="none"/>
          <w:lang w:eastAsia="zh-CN"/>
        </w:rPr>
        <w:t>。</w:t>
      </w:r>
    </w:p>
    <w:p w14:paraId="6C298E76">
      <w:pPr>
        <w:ind w:firstLine="420"/>
        <w:jc w:val="left"/>
        <w:rPr>
          <w:rFonts w:cs="宋体"/>
          <w:color w:val="auto"/>
          <w:highlight w:val="none"/>
          <w:lang w:eastAsia="zh-CN"/>
        </w:rPr>
      </w:pPr>
      <w:r>
        <w:rPr>
          <w:rFonts w:cs="宋体"/>
          <w:color w:val="auto"/>
          <w:highlight w:val="none"/>
          <w:lang w:eastAsia="zh-CN"/>
        </w:rPr>
        <w:t>（3）灌浆管路应保证浆液流动畅通，并能承受1.5倍的最大灌浆压力。灌浆泵和灌浆孔口处均应安装压力表。所选用的压力表在使用前及使用过程中应定期进行率定，使用过程中应经常检查核对，不合格和已损坏的压力表严禁使用。压力表和管路之间应设有隔浆装置。</w:t>
      </w:r>
    </w:p>
    <w:p w14:paraId="6D572B9D">
      <w:pPr>
        <w:ind w:firstLine="420"/>
        <w:jc w:val="left"/>
        <w:rPr>
          <w:rFonts w:cs="宋体"/>
          <w:color w:val="auto"/>
          <w:highlight w:val="none"/>
          <w:lang w:eastAsia="zh-CN"/>
        </w:rPr>
      </w:pPr>
      <w:r>
        <w:rPr>
          <w:rFonts w:cs="宋体"/>
          <w:color w:val="auto"/>
          <w:highlight w:val="none"/>
          <w:lang w:eastAsia="zh-CN"/>
        </w:rPr>
        <w:t>（4）灌浆塞应与采用的灌浆方法、灌浆压力及地质条件相适应，胶塞应具有良好的膨胀性和耐压性能，在最大灌浆压力下能可靠地封闭灌浆孔段，并易于安装和卸除。</w:t>
      </w:r>
    </w:p>
    <w:p w14:paraId="4020482F">
      <w:pPr>
        <w:ind w:firstLine="420"/>
        <w:jc w:val="left"/>
        <w:rPr>
          <w:rFonts w:cs="宋体"/>
          <w:color w:val="auto"/>
          <w:highlight w:val="none"/>
          <w:lang w:eastAsia="zh-CN"/>
        </w:rPr>
      </w:pPr>
      <w:r>
        <w:rPr>
          <w:rFonts w:cs="宋体"/>
          <w:color w:val="auto"/>
          <w:highlight w:val="none"/>
          <w:lang w:eastAsia="zh-CN"/>
        </w:rPr>
        <w:t>（5）灌浆、压水的全过程承包人必须使用灌浆自动记录仪进行记录，灌浆自动记录仪应为经国家有关部门鉴定的产品，并能自动、准确记录灌浆压力、注入率、浆液浓度等。</w:t>
      </w:r>
    </w:p>
    <w:p w14:paraId="26C4E269">
      <w:pPr>
        <w:ind w:firstLine="420"/>
        <w:jc w:val="left"/>
        <w:rPr>
          <w:rFonts w:cs="宋体"/>
          <w:color w:val="auto"/>
          <w:highlight w:val="none"/>
          <w:lang w:eastAsia="zh-CN"/>
        </w:rPr>
      </w:pPr>
      <w:r>
        <w:rPr>
          <w:rFonts w:cs="宋体"/>
          <w:color w:val="auto"/>
          <w:highlight w:val="none"/>
          <w:lang w:eastAsia="zh-CN"/>
        </w:rPr>
        <w:t>（6）所有灌浆设备、仪器、仪表均应始终保持工作状态正常，并应配有足够的备用设备。电力驱动的设备，应在接地良好并经确认能保证施工安全时，方可使用。</w:t>
      </w:r>
    </w:p>
    <w:p w14:paraId="3FD2463E">
      <w:pPr>
        <w:suppressAutoHyphens/>
        <w:ind w:firstLine="420"/>
        <w:jc w:val="left"/>
        <w:rPr>
          <w:color w:val="auto"/>
          <w:highlight w:val="none"/>
          <w:lang w:eastAsia="zh-CN"/>
        </w:rPr>
      </w:pPr>
      <w:r>
        <w:rPr>
          <w:rFonts w:hint="eastAsia"/>
          <w:color w:val="auto"/>
          <w:highlight w:val="none"/>
          <w:lang w:eastAsia="zh-CN"/>
        </w:rPr>
        <w:t>（7）化学灌浆设备应耐化学腐蚀，应采用满足固定比例要求的或能调节两组分比例的双液灌浆泵，应设置专用混合装置，两组分的吸浆管应标识清楚，不得混用。</w:t>
      </w:r>
    </w:p>
    <w:p w14:paraId="26283754">
      <w:pPr>
        <w:suppressAutoHyphens/>
        <w:ind w:firstLine="420"/>
        <w:jc w:val="left"/>
        <w:rPr>
          <w:color w:val="auto"/>
          <w:highlight w:val="none"/>
          <w:lang w:eastAsia="zh-CN"/>
        </w:rPr>
      </w:pPr>
      <w:r>
        <w:rPr>
          <w:rFonts w:hint="eastAsia"/>
          <w:color w:val="auto"/>
          <w:highlight w:val="none"/>
          <w:lang w:eastAsia="zh-CN"/>
        </w:rPr>
        <w:t>（8）灌浆管路阀门应采用可承受高压水泥浆液的耐磨灌浆阀门。</w:t>
      </w:r>
    </w:p>
    <w:p w14:paraId="472EDBF7">
      <w:pPr>
        <w:suppressAutoHyphens/>
        <w:ind w:firstLine="420"/>
        <w:jc w:val="left"/>
        <w:rPr>
          <w:color w:val="auto"/>
          <w:highlight w:val="none"/>
          <w:lang w:eastAsia="zh-CN"/>
        </w:rPr>
      </w:pPr>
      <w:r>
        <w:rPr>
          <w:rFonts w:hint="eastAsia"/>
          <w:color w:val="auto"/>
          <w:highlight w:val="none"/>
          <w:lang w:eastAsia="zh-CN"/>
        </w:rPr>
        <w:t>（9）灌浆泵出浆口和灌浆孔口处均应安设压力表。灌浆压力的表程最大标值宜为最大灌浆压力的2.0～2.5倍。</w:t>
      </w:r>
    </w:p>
    <w:p w14:paraId="18279C82">
      <w:pPr>
        <w:suppressAutoHyphens/>
        <w:ind w:firstLine="420"/>
        <w:jc w:val="left"/>
        <w:rPr>
          <w:color w:val="auto"/>
          <w:highlight w:val="none"/>
          <w:lang w:eastAsia="zh-CN"/>
        </w:rPr>
      </w:pPr>
      <w:r>
        <w:rPr>
          <w:rFonts w:hint="eastAsia"/>
          <w:color w:val="auto"/>
          <w:highlight w:val="none"/>
          <w:lang w:eastAsia="zh-CN"/>
        </w:rPr>
        <w:t>（10）化学灌浆结束后，应及时对灌浆设备和管道进行清理。清理应根据灌浆材料的性质，采用相应的溶剂和方法进行。</w:t>
      </w:r>
    </w:p>
    <w:p w14:paraId="09836230">
      <w:pPr>
        <w:ind w:firstLine="420"/>
        <w:jc w:val="left"/>
        <w:rPr>
          <w:color w:val="auto"/>
          <w:highlight w:val="none"/>
          <w:lang w:eastAsia="zh-CN"/>
        </w:rPr>
      </w:pPr>
      <w:r>
        <w:rPr>
          <w:rFonts w:hint="eastAsia"/>
          <w:color w:val="auto"/>
          <w:highlight w:val="none"/>
          <w:lang w:eastAsia="zh-CN"/>
        </w:rPr>
        <w:t>（11）所有灌浆设备应注意维护保养，保证其正常工作状态，并应有备用量。</w:t>
      </w:r>
    </w:p>
    <w:p w14:paraId="1AC17FEE">
      <w:pPr>
        <w:pStyle w:val="5"/>
        <w:jc w:val="left"/>
        <w:rPr>
          <w:rFonts w:cs="宋体"/>
          <w:color w:val="auto"/>
          <w:highlight w:val="none"/>
          <w:lang w:eastAsia="zh-CN"/>
        </w:rPr>
      </w:pPr>
      <w:r>
        <w:rPr>
          <w:rFonts w:cs="宋体"/>
          <w:color w:val="auto"/>
          <w:highlight w:val="none"/>
          <w:lang w:eastAsia="zh-CN"/>
        </w:rPr>
        <w:t>10.3.3</w:t>
      </w:r>
      <w:r>
        <w:rPr>
          <w:rFonts w:hint="eastAsia" w:cs="宋体"/>
          <w:color w:val="auto"/>
          <w:highlight w:val="none"/>
          <w:lang w:eastAsia="zh-CN"/>
        </w:rPr>
        <w:t>　</w:t>
      </w:r>
      <w:r>
        <w:rPr>
          <w:rFonts w:cs="宋体"/>
          <w:color w:val="auto"/>
          <w:highlight w:val="none"/>
          <w:lang w:eastAsia="zh-CN"/>
        </w:rPr>
        <w:t>灌浆</w:t>
      </w:r>
      <w:r>
        <w:rPr>
          <w:rFonts w:hint="eastAsia" w:cs="宋体"/>
          <w:color w:val="auto"/>
          <w:highlight w:val="none"/>
          <w:lang w:eastAsia="zh-CN"/>
        </w:rPr>
        <w:t>记录</w:t>
      </w:r>
      <w:r>
        <w:rPr>
          <w:rFonts w:cs="宋体"/>
          <w:color w:val="auto"/>
          <w:highlight w:val="none"/>
          <w:lang w:eastAsia="zh-CN"/>
        </w:rPr>
        <w:t>设备</w:t>
      </w:r>
    </w:p>
    <w:p w14:paraId="0BFE0944">
      <w:pPr>
        <w:ind w:firstLine="420"/>
        <w:jc w:val="left"/>
        <w:rPr>
          <w:color w:val="auto"/>
          <w:highlight w:val="none"/>
          <w:lang w:eastAsia="zh-CN"/>
        </w:rPr>
      </w:pPr>
      <w:r>
        <w:rPr>
          <w:rFonts w:hint="eastAsia"/>
          <w:color w:val="auto"/>
          <w:highlight w:val="none"/>
          <w:lang w:eastAsia="zh-CN"/>
        </w:rPr>
        <w:t>灌浆自动记录仪由发包人提供，为安装灌浆自动记录仪所需的其它辅助设备由承包人负责提供。灌浆记录仪的安装、运行、维护保养等由承包人负责，修理由发包人负责。灌浆记录仪安装使用的基本要求应符合《灌浆记录仪技术导则》（DL/T5237-2010）及发包人的其它规定。</w:t>
      </w:r>
    </w:p>
    <w:p w14:paraId="027EE7B0">
      <w:pPr>
        <w:pStyle w:val="5"/>
        <w:jc w:val="left"/>
        <w:rPr>
          <w:rFonts w:cs="宋体"/>
          <w:color w:val="auto"/>
          <w:highlight w:val="none"/>
          <w:lang w:eastAsia="zh-CN"/>
        </w:rPr>
      </w:pPr>
      <w:r>
        <w:rPr>
          <w:rFonts w:cs="宋体"/>
          <w:color w:val="auto"/>
          <w:highlight w:val="none"/>
          <w:lang w:eastAsia="zh-CN"/>
        </w:rPr>
        <w:t>10.3.4</w:t>
      </w:r>
      <w:r>
        <w:rPr>
          <w:rFonts w:hint="eastAsia" w:cs="宋体"/>
          <w:color w:val="auto"/>
          <w:highlight w:val="none"/>
          <w:lang w:eastAsia="zh-CN"/>
        </w:rPr>
        <w:t>　辅助设施</w:t>
      </w:r>
    </w:p>
    <w:p w14:paraId="6E06CD86">
      <w:pPr>
        <w:suppressAutoHyphens/>
        <w:ind w:firstLine="420"/>
        <w:jc w:val="left"/>
        <w:rPr>
          <w:color w:val="auto"/>
          <w:highlight w:val="none"/>
          <w:lang w:eastAsia="zh-CN"/>
        </w:rPr>
      </w:pPr>
      <w:r>
        <w:rPr>
          <w:rFonts w:hint="eastAsia"/>
          <w:color w:val="auto"/>
          <w:highlight w:val="none"/>
          <w:lang w:eastAsia="zh-CN"/>
        </w:rPr>
        <w:t>1）为了保证在持续的高峰生产期所有设备都能以最高效率同时进行生产，在各工区内应配备足够的气、水、电。</w:t>
      </w:r>
    </w:p>
    <w:p w14:paraId="66236E7A">
      <w:pPr>
        <w:suppressAutoHyphens/>
        <w:ind w:firstLine="420"/>
        <w:jc w:val="left"/>
        <w:rPr>
          <w:color w:val="auto"/>
          <w:highlight w:val="none"/>
          <w:lang w:eastAsia="zh-CN"/>
        </w:rPr>
      </w:pPr>
      <w:r>
        <w:rPr>
          <w:rFonts w:hint="eastAsia"/>
          <w:color w:val="auto"/>
          <w:highlight w:val="none"/>
          <w:lang w:eastAsia="zh-CN"/>
        </w:rPr>
        <w:t>2）在所有封闭型工区（地下洞室）内要有充足的照明和良好的通风，以保证施工现场环境对施工人员的健康无损害，空气的能见度要便于观测，并满足相关安全规定以及合同文件所提出的安全及健康要求。</w:t>
      </w:r>
    </w:p>
    <w:p w14:paraId="503E94B8">
      <w:pPr>
        <w:pStyle w:val="4"/>
        <w:spacing w:beforeLines="0" w:afterLines="0"/>
        <w:jc w:val="both"/>
        <w:rPr>
          <w:rFonts w:hint="eastAsia" w:cs="宋体"/>
          <w:bCs/>
          <w:color w:val="auto"/>
          <w:szCs w:val="24"/>
          <w:highlight w:val="none"/>
          <w:lang w:eastAsia="zh-CN"/>
        </w:rPr>
      </w:pPr>
      <w:bookmarkStart w:id="1985" w:name="_Toc20315"/>
      <w:bookmarkStart w:id="1986" w:name="_Toc3009"/>
      <w:bookmarkStart w:id="1987" w:name="_Toc9306"/>
      <w:r>
        <w:rPr>
          <w:rFonts w:hint="eastAsia" w:cs="宋体"/>
          <w:bCs/>
          <w:color w:val="auto"/>
          <w:szCs w:val="24"/>
          <w:highlight w:val="none"/>
          <w:lang w:eastAsia="zh-CN"/>
        </w:rPr>
        <w:t>10.4　钻孔</w:t>
      </w:r>
      <w:bookmarkEnd w:id="1985"/>
      <w:bookmarkEnd w:id="1986"/>
      <w:bookmarkEnd w:id="1987"/>
    </w:p>
    <w:p w14:paraId="4A7D957A">
      <w:pPr>
        <w:pStyle w:val="5"/>
        <w:jc w:val="left"/>
        <w:rPr>
          <w:rFonts w:hAnsi="Times New Roman" w:cs="楷体"/>
          <w:color w:val="auto"/>
          <w:highlight w:val="none"/>
          <w:lang w:eastAsia="zh-CN"/>
        </w:rPr>
      </w:pPr>
      <w:r>
        <w:rPr>
          <w:rFonts w:hAnsi="Times New Roman" w:cs="Times New Roman"/>
          <w:color w:val="auto"/>
          <w:highlight w:val="none"/>
          <w:lang w:eastAsia="zh-CN"/>
        </w:rPr>
        <w:t>10.4.1</w:t>
      </w:r>
      <w:r>
        <w:rPr>
          <w:rFonts w:hint="eastAsia" w:hAnsi="Times New Roman" w:cs="Times New Roman"/>
          <w:color w:val="auto"/>
          <w:highlight w:val="none"/>
          <w:lang w:eastAsia="zh-CN"/>
        </w:rPr>
        <w:t>　</w:t>
      </w:r>
      <w:r>
        <w:rPr>
          <w:rFonts w:hAnsi="楷体" w:cs="楷体"/>
          <w:color w:val="auto"/>
          <w:highlight w:val="none"/>
          <w:lang w:eastAsia="zh-CN"/>
        </w:rPr>
        <w:t>坝基灌浆的钻孔</w:t>
      </w:r>
    </w:p>
    <w:p w14:paraId="7E5104E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）坝基帷幕灌浆孔和固结灌浆孔的钻孔应遵守《水工建筑物水泥灌浆施工技术规范》（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17FA6BA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）坝基排水孔的钻孔应按施工图纸和监理人指示的要求进行。排水孔钻孔完毕后，应仔细冲洗干净，加以保护，以防堵塞，若排水孔遭堵塞报废，应按监理人指示重钻。</w:t>
      </w:r>
    </w:p>
    <w:p w14:paraId="60D2DB87">
      <w:pPr>
        <w:pStyle w:val="5"/>
        <w:jc w:val="left"/>
        <w:rPr>
          <w:rFonts w:hAnsi="Times New Roman" w:cs="楷体"/>
          <w:color w:val="auto"/>
          <w:highlight w:val="none"/>
          <w:lang w:eastAsia="zh-CN"/>
        </w:rPr>
      </w:pPr>
      <w:r>
        <w:rPr>
          <w:rFonts w:hAnsi="Times New Roman" w:cs="Times New Roman"/>
          <w:color w:val="auto"/>
          <w:highlight w:val="none"/>
          <w:lang w:eastAsia="zh-CN"/>
        </w:rPr>
        <w:t>10.4.2</w:t>
      </w:r>
      <w:r>
        <w:rPr>
          <w:rFonts w:hint="eastAsia" w:hAnsi="Times New Roman" w:cs="Times New Roman"/>
          <w:color w:val="auto"/>
          <w:highlight w:val="none"/>
          <w:lang w:eastAsia="zh-CN"/>
        </w:rPr>
        <w:t>　</w:t>
      </w:r>
      <w:r>
        <w:rPr>
          <w:rFonts w:hAnsi="楷体" w:cs="楷体"/>
          <w:color w:val="auto"/>
          <w:highlight w:val="none"/>
          <w:lang w:eastAsia="zh-CN"/>
        </w:rPr>
        <w:t>钻孔取芯和芯样试验</w:t>
      </w:r>
    </w:p>
    <w:p w14:paraId="7F13D0D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）承包人应按监理人指示进行勘探孔、灌浆先导孔、观测孔、检查孔等的钻孔取芯，并按取芯次序统一编号、填牌装箱、绘制钻孔柱状图和进行岩芯描述。</w:t>
      </w:r>
    </w:p>
    <w:p w14:paraId="672301E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）钻孔取芯试验应由具有相应资质试验单位完成，所有试验设备应具有产品合格证。</w:t>
      </w:r>
    </w:p>
    <w:p w14:paraId="501D78EE">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）芯样的最大长度应限制在</w:t>
      </w:r>
      <w:r>
        <w:rPr>
          <w:rFonts w:hAnsi="Times New Roman"/>
          <w:color w:val="auto"/>
          <w:highlight w:val="none"/>
          <w:lang w:eastAsia="zh-CN"/>
        </w:rPr>
        <w:t>3m</w:t>
      </w:r>
      <w:r>
        <w:rPr>
          <w:rFonts w:hint="eastAsia"/>
          <w:color w:val="auto"/>
          <w:highlight w:val="none"/>
          <w:lang w:eastAsia="zh-CN"/>
        </w:rPr>
        <w:t>以内，一旦发现芯样卡钻或被磨损，应立即取出。除监理人另有指示，对于</w:t>
      </w:r>
      <w:r>
        <w:rPr>
          <w:rFonts w:hAnsi="Times New Roman"/>
          <w:color w:val="auto"/>
          <w:highlight w:val="none"/>
          <w:lang w:eastAsia="zh-CN"/>
        </w:rPr>
        <w:t>1m</w:t>
      </w:r>
      <w:r>
        <w:rPr>
          <w:rFonts w:hint="eastAsia"/>
          <w:color w:val="auto"/>
          <w:highlight w:val="none"/>
          <w:lang w:eastAsia="zh-CN"/>
        </w:rPr>
        <w:t>或大于</w:t>
      </w:r>
      <w:r>
        <w:rPr>
          <w:rFonts w:hAnsi="Times New Roman"/>
          <w:color w:val="auto"/>
          <w:highlight w:val="none"/>
          <w:lang w:eastAsia="zh-CN"/>
        </w:rPr>
        <w:t>1m</w:t>
      </w:r>
      <w:r>
        <w:rPr>
          <w:rFonts w:hint="eastAsia"/>
          <w:color w:val="auto"/>
          <w:highlight w:val="none"/>
          <w:lang w:eastAsia="zh-CN"/>
        </w:rPr>
        <w:t>的钻进循环，若芯样获得率小于</w:t>
      </w:r>
      <w:r>
        <w:rPr>
          <w:rFonts w:hAnsi="Times New Roman"/>
          <w:color w:val="auto"/>
          <w:highlight w:val="none"/>
          <w:lang w:eastAsia="zh-CN"/>
        </w:rPr>
        <w:t>80%</w:t>
      </w:r>
      <w:r>
        <w:rPr>
          <w:rFonts w:hint="eastAsia"/>
          <w:color w:val="auto"/>
          <w:highlight w:val="none"/>
          <w:lang w:eastAsia="zh-CN"/>
        </w:rPr>
        <w:t>，则下一次应减少循环深度</w:t>
      </w:r>
      <w:r>
        <w:rPr>
          <w:rFonts w:hAnsi="Times New Roman"/>
          <w:color w:val="auto"/>
          <w:highlight w:val="none"/>
          <w:lang w:eastAsia="zh-CN"/>
        </w:rPr>
        <w:t>50%</w:t>
      </w:r>
      <w:r>
        <w:rPr>
          <w:rFonts w:hint="eastAsia"/>
          <w:color w:val="auto"/>
          <w:highlight w:val="none"/>
          <w:lang w:eastAsia="zh-CN"/>
        </w:rPr>
        <w:t>，以后依次减少</w:t>
      </w:r>
      <w:r>
        <w:rPr>
          <w:rFonts w:hAnsi="Times New Roman"/>
          <w:color w:val="auto"/>
          <w:highlight w:val="none"/>
          <w:lang w:eastAsia="zh-CN"/>
        </w:rPr>
        <w:t>50%</w:t>
      </w:r>
      <w:r>
        <w:rPr>
          <w:rFonts w:hint="eastAsia"/>
          <w:color w:val="auto"/>
          <w:highlight w:val="none"/>
          <w:lang w:eastAsia="zh-CN"/>
        </w:rPr>
        <w:t>，直至</w:t>
      </w:r>
      <w:r>
        <w:rPr>
          <w:rFonts w:hAnsi="Times New Roman"/>
          <w:color w:val="auto"/>
          <w:highlight w:val="none"/>
          <w:lang w:eastAsia="zh-CN"/>
        </w:rPr>
        <w:t>50cm</w:t>
      </w:r>
      <w:r>
        <w:rPr>
          <w:rFonts w:hint="eastAsia"/>
          <w:color w:val="auto"/>
          <w:highlight w:val="none"/>
          <w:lang w:eastAsia="zh-CN"/>
        </w:rPr>
        <w:t>为止。如果芯样的回收率很低，应更换钻孔机具或改进钻进方法。</w:t>
      </w:r>
    </w:p>
    <w:p w14:paraId="189B69F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）钻孔过程中，应对钻孔冲洗水、钻孔压力、芯样长度及其它能充分反映岩石或混凝土特性的因素进行监测和记录，并提交监理人。</w:t>
      </w:r>
    </w:p>
    <w:p w14:paraId="2B0465D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）承包人应根据监理人指示，对钻取的岩芯和混凝土芯样进行试验，并将试验记录和成果提交监理人。</w:t>
      </w:r>
    </w:p>
    <w:p w14:paraId="70F2725B">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6</w:t>
      </w:r>
      <w:r>
        <w:rPr>
          <w:rFonts w:hint="eastAsia"/>
          <w:color w:val="auto"/>
          <w:highlight w:val="none"/>
          <w:lang w:eastAsia="zh-CN"/>
        </w:rPr>
        <w:t>）承包人应对每盒或每箱芯样拍两张彩色照片，并做好钻孔操作的详细记录，一并提交监理人。</w:t>
      </w:r>
    </w:p>
    <w:p w14:paraId="66CDBA81">
      <w:pPr>
        <w:ind w:firstLine="420"/>
        <w:jc w:val="left"/>
        <w:rPr>
          <w:rFonts w:hAnsi="Times New Roman" w:cs="宋体"/>
          <w:color w:val="auto"/>
          <w:highlight w:val="none"/>
          <w:lang w:eastAsia="zh-CN"/>
        </w:rPr>
      </w:pPr>
      <w:r>
        <w:rPr>
          <w:rFonts w:hint="eastAsia"/>
          <w:color w:val="auto"/>
          <w:highlight w:val="none"/>
          <w:lang w:eastAsia="zh-CN"/>
        </w:rPr>
        <w:t>（</w:t>
      </w:r>
      <w:r>
        <w:rPr>
          <w:rFonts w:hAnsi="Times New Roman"/>
          <w:color w:val="auto"/>
          <w:highlight w:val="none"/>
          <w:lang w:eastAsia="zh-CN"/>
        </w:rPr>
        <w:t>7</w:t>
      </w:r>
      <w:r>
        <w:rPr>
          <w:rFonts w:hint="eastAsia"/>
          <w:color w:val="auto"/>
          <w:highlight w:val="none"/>
          <w:lang w:eastAsia="zh-CN"/>
        </w:rPr>
        <w:t>）监理人指示应予保存的岩芯，承包人应按指定的地点存放，防止散失和混装。</w:t>
      </w:r>
    </w:p>
    <w:p w14:paraId="7ECDC9D0">
      <w:pPr>
        <w:pStyle w:val="5"/>
        <w:jc w:val="left"/>
        <w:rPr>
          <w:rFonts w:hAnsi="Times New Roman" w:cs="楷体"/>
          <w:color w:val="auto"/>
          <w:highlight w:val="none"/>
          <w:lang w:eastAsia="zh-CN"/>
        </w:rPr>
      </w:pPr>
      <w:r>
        <w:rPr>
          <w:rFonts w:hAnsi="Times New Roman" w:cs="Times New Roman"/>
          <w:color w:val="auto"/>
          <w:highlight w:val="none"/>
          <w:lang w:eastAsia="zh-CN"/>
        </w:rPr>
        <w:t>10.4.3</w:t>
      </w:r>
      <w:r>
        <w:rPr>
          <w:rFonts w:hint="eastAsia" w:hAnsi="Times New Roman" w:cs="Times New Roman"/>
          <w:color w:val="auto"/>
          <w:highlight w:val="none"/>
          <w:lang w:eastAsia="zh-CN"/>
        </w:rPr>
        <w:t>　</w:t>
      </w:r>
      <w:r>
        <w:rPr>
          <w:rFonts w:hAnsi="楷体" w:cs="楷体"/>
          <w:color w:val="auto"/>
          <w:highlight w:val="none"/>
          <w:lang w:eastAsia="zh-CN"/>
        </w:rPr>
        <w:t>钻孔保护</w:t>
      </w:r>
    </w:p>
    <w:p w14:paraId="7FE23230">
      <w:pPr>
        <w:ind w:firstLine="420"/>
        <w:jc w:val="left"/>
        <w:rPr>
          <w:rFonts w:hAnsi="Times New Roman" w:cs="宋体"/>
          <w:color w:val="auto"/>
          <w:highlight w:val="none"/>
          <w:lang w:eastAsia="zh-CN"/>
        </w:rPr>
      </w:pPr>
      <w:r>
        <w:rPr>
          <w:rFonts w:cs="宋体"/>
          <w:color w:val="auto"/>
          <w:highlight w:val="none"/>
          <w:lang w:eastAsia="zh-CN"/>
        </w:rPr>
        <w:t>承包人应妥善保护施工图纸所示的所有钻孔，防止流进污水和落入异物，直到验收合格为止。因承包人过失造成扫孔或重钻的费用由承包人承担。</w:t>
      </w:r>
    </w:p>
    <w:p w14:paraId="3FCEC52D">
      <w:pPr>
        <w:pStyle w:val="4"/>
        <w:spacing w:beforeLines="0" w:afterLines="0"/>
        <w:jc w:val="both"/>
        <w:rPr>
          <w:rFonts w:hint="eastAsia" w:cs="宋体"/>
          <w:bCs/>
          <w:color w:val="auto"/>
          <w:szCs w:val="24"/>
          <w:highlight w:val="none"/>
          <w:lang w:eastAsia="zh-CN"/>
        </w:rPr>
      </w:pPr>
      <w:bookmarkStart w:id="1988" w:name="_Toc7399"/>
      <w:bookmarkStart w:id="1989" w:name="_Toc7767"/>
      <w:bookmarkStart w:id="1990" w:name="_Toc22771"/>
      <w:r>
        <w:rPr>
          <w:rFonts w:hint="eastAsia" w:cs="宋体"/>
          <w:bCs/>
          <w:color w:val="auto"/>
          <w:szCs w:val="24"/>
          <w:highlight w:val="none"/>
          <w:lang w:eastAsia="zh-CN"/>
        </w:rPr>
        <w:t>10.5　钻孔冲洗和压水试验</w:t>
      </w:r>
      <w:bookmarkEnd w:id="1988"/>
      <w:bookmarkEnd w:id="1989"/>
      <w:bookmarkEnd w:id="1990"/>
    </w:p>
    <w:p w14:paraId="0A7F1CCB">
      <w:pPr>
        <w:pStyle w:val="5"/>
        <w:jc w:val="left"/>
        <w:rPr>
          <w:rFonts w:hAnsi="Times New Roman" w:cs="楷体"/>
          <w:color w:val="auto"/>
          <w:highlight w:val="none"/>
          <w:lang w:eastAsia="zh-CN"/>
        </w:rPr>
      </w:pPr>
      <w:r>
        <w:rPr>
          <w:rFonts w:hAnsi="Times New Roman" w:cs="Times New Roman"/>
          <w:color w:val="auto"/>
          <w:highlight w:val="none"/>
          <w:lang w:eastAsia="zh-CN"/>
        </w:rPr>
        <w:t>10.5.1</w:t>
      </w:r>
      <w:r>
        <w:rPr>
          <w:rFonts w:hint="eastAsia" w:hAnsi="Times New Roman" w:cs="Times New Roman"/>
          <w:color w:val="auto"/>
          <w:highlight w:val="none"/>
          <w:lang w:eastAsia="zh-CN"/>
        </w:rPr>
        <w:t>　</w:t>
      </w:r>
      <w:r>
        <w:rPr>
          <w:rFonts w:hAnsi="楷体" w:cs="楷体"/>
          <w:color w:val="auto"/>
          <w:highlight w:val="none"/>
          <w:lang w:eastAsia="zh-CN"/>
        </w:rPr>
        <w:t>一般要求</w:t>
      </w:r>
    </w:p>
    <w:p w14:paraId="1F16519A">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w:t>
      </w:r>
      <w:r>
        <w:rPr>
          <w:rFonts w:hint="eastAsia"/>
          <w:color w:val="auto"/>
          <w:highlight w:val="none"/>
          <w:lang w:eastAsia="zh-CN"/>
        </w:rPr>
        <w:t>围岩固结灌浆孔、围岩防渗灌浆孔各段均应进行钻孔冲洗和裂隙冲洗，其余灌浆孔按设计文件及SL/T62要求执行</w:t>
      </w:r>
      <w:r>
        <w:rPr>
          <w:rFonts w:cs="宋体"/>
          <w:color w:val="auto"/>
          <w:highlight w:val="none"/>
          <w:lang w:eastAsia="zh-CN"/>
        </w:rPr>
        <w:t>。</w:t>
      </w:r>
    </w:p>
    <w:p w14:paraId="420355D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）在岩溶、断层、大裂隙等地质条件较复杂的区域，其裂隙冲洗方法应通过现场试验确定，现场试验记录应提交监理人。</w:t>
      </w:r>
    </w:p>
    <w:p w14:paraId="7CABF0D3">
      <w:pPr>
        <w:pStyle w:val="5"/>
        <w:jc w:val="left"/>
        <w:rPr>
          <w:rFonts w:hint="eastAsia" w:hAnsi="楷体" w:cs="楷体"/>
          <w:color w:val="auto"/>
          <w:highlight w:val="none"/>
          <w:lang w:eastAsia="zh-CN"/>
        </w:rPr>
      </w:pPr>
      <w:r>
        <w:rPr>
          <w:rFonts w:hAnsi="Times New Roman" w:cs="Times New Roman"/>
          <w:color w:val="auto"/>
          <w:highlight w:val="none"/>
          <w:lang w:eastAsia="zh-CN"/>
        </w:rPr>
        <w:t>10.5.2</w:t>
      </w:r>
      <w:r>
        <w:rPr>
          <w:rFonts w:hint="eastAsia" w:hAnsi="Times New Roman" w:cs="Times New Roman"/>
          <w:color w:val="auto"/>
          <w:highlight w:val="none"/>
          <w:lang w:eastAsia="zh-CN"/>
        </w:rPr>
        <w:t>　</w:t>
      </w:r>
      <w:r>
        <w:rPr>
          <w:rFonts w:hAnsi="楷体" w:cs="楷体"/>
          <w:color w:val="auto"/>
          <w:highlight w:val="none"/>
          <w:lang w:eastAsia="zh-CN"/>
        </w:rPr>
        <w:t>钻孔冲洗</w:t>
      </w:r>
      <w:r>
        <w:rPr>
          <w:rFonts w:hint="eastAsia" w:hAnsi="楷体" w:cs="楷体"/>
          <w:color w:val="auto"/>
          <w:highlight w:val="none"/>
          <w:lang w:eastAsia="zh-CN"/>
        </w:rPr>
        <w:t>和裂隙冲洗</w:t>
      </w:r>
    </w:p>
    <w:p w14:paraId="789107A8">
      <w:pPr>
        <w:suppressAutoHyphens/>
        <w:ind w:firstLine="420"/>
        <w:jc w:val="left"/>
        <w:rPr>
          <w:color w:val="auto"/>
          <w:highlight w:val="none"/>
          <w:lang w:eastAsia="zh-CN"/>
        </w:rPr>
      </w:pPr>
      <w:r>
        <w:rPr>
          <w:rFonts w:hint="eastAsia"/>
          <w:color w:val="auto"/>
          <w:highlight w:val="none"/>
          <w:lang w:eastAsia="zh-CN"/>
        </w:rPr>
        <w:t>（1）灌浆孔、物探测试孔、质量检查孔及排水孔均应进行钻孔冲洗。钻孔冲洗应遵守SL/T62的规定。</w:t>
      </w:r>
    </w:p>
    <w:p w14:paraId="478C06A2">
      <w:pPr>
        <w:suppressAutoHyphens/>
        <w:ind w:firstLine="420"/>
        <w:jc w:val="left"/>
        <w:rPr>
          <w:color w:val="auto"/>
          <w:highlight w:val="none"/>
          <w:lang w:eastAsia="zh-CN"/>
        </w:rPr>
      </w:pPr>
      <w:r>
        <w:rPr>
          <w:rFonts w:hint="eastAsia"/>
          <w:color w:val="auto"/>
          <w:highlight w:val="none"/>
          <w:lang w:eastAsia="zh-CN"/>
        </w:rPr>
        <w:t>（2）冲孔应使用大水流或压缩空气冲洗钻孔，钻孔冲洗后的孔内沉积厚度不得超过20cm。</w:t>
      </w:r>
    </w:p>
    <w:p w14:paraId="0939C550">
      <w:pPr>
        <w:suppressAutoHyphens/>
        <w:ind w:firstLine="420"/>
        <w:jc w:val="left"/>
        <w:rPr>
          <w:color w:val="auto"/>
          <w:highlight w:val="none"/>
          <w:lang w:eastAsia="zh-CN"/>
        </w:rPr>
      </w:pPr>
      <w:r>
        <w:rPr>
          <w:rFonts w:hint="eastAsia"/>
          <w:color w:val="auto"/>
          <w:highlight w:val="none"/>
          <w:lang w:eastAsia="zh-CN"/>
        </w:rPr>
        <w:t>（3）采用压力水进行裂隙冲洗时，冲压压力一般采用灌浆压力的80％并不大于1MPa，冲洗时间为20min。裂隙冲洗可结合压水试验进行。多孔串通时，冲洗方法宜通过现场灌浆试验确定。</w:t>
      </w:r>
    </w:p>
    <w:p w14:paraId="5ADD701C">
      <w:pPr>
        <w:pStyle w:val="5"/>
        <w:jc w:val="left"/>
        <w:rPr>
          <w:rFonts w:hAnsi="楷体" w:cs="楷体"/>
          <w:color w:val="auto"/>
          <w:highlight w:val="none"/>
          <w:lang w:eastAsia="zh-CN"/>
        </w:rPr>
      </w:pPr>
      <w:r>
        <w:rPr>
          <w:rFonts w:hAnsi="Times New Roman" w:cs="Times New Roman"/>
          <w:color w:val="auto"/>
          <w:highlight w:val="none"/>
          <w:lang w:eastAsia="zh-CN"/>
        </w:rPr>
        <w:t>10.5.3</w:t>
      </w:r>
      <w:r>
        <w:rPr>
          <w:rFonts w:hint="eastAsia" w:hAnsi="Times New Roman" w:cs="Times New Roman"/>
          <w:color w:val="auto"/>
          <w:highlight w:val="none"/>
          <w:lang w:eastAsia="zh-CN"/>
        </w:rPr>
        <w:t>　</w:t>
      </w:r>
      <w:r>
        <w:rPr>
          <w:rFonts w:hAnsi="楷体" w:cs="楷体"/>
          <w:color w:val="auto"/>
          <w:highlight w:val="none"/>
          <w:lang w:eastAsia="zh-CN"/>
        </w:rPr>
        <w:t>压水试验</w:t>
      </w:r>
    </w:p>
    <w:p w14:paraId="261EB881">
      <w:pPr>
        <w:ind w:firstLine="420"/>
        <w:jc w:val="left"/>
        <w:rPr>
          <w:rFonts w:hAnsi="楷体" w:cs="楷体"/>
          <w:color w:val="auto"/>
          <w:highlight w:val="none"/>
          <w:lang w:eastAsia="zh-CN"/>
        </w:rPr>
      </w:pPr>
      <w:r>
        <w:rPr>
          <w:rFonts w:cs="宋体"/>
          <w:color w:val="auto"/>
          <w:highlight w:val="none"/>
          <w:lang w:eastAsia="zh-CN"/>
        </w:rPr>
        <w:t>帷幕灌浆和固结灌浆的压水试验应遵守《水工建筑物水泥灌浆施工技术规范》（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2F4712FE">
      <w:pPr>
        <w:suppressAutoHyphens/>
        <w:ind w:firstLine="420"/>
        <w:jc w:val="left"/>
        <w:rPr>
          <w:color w:val="auto"/>
          <w:highlight w:val="none"/>
          <w:lang w:eastAsia="zh-CN"/>
        </w:rPr>
      </w:pPr>
      <w:r>
        <w:rPr>
          <w:rFonts w:hint="eastAsia"/>
          <w:color w:val="auto"/>
          <w:highlight w:val="none"/>
          <w:lang w:eastAsia="zh-CN"/>
        </w:rPr>
        <w:t>（1）压水试验应在钻孔冲洗或裂隙冲洗后，灌浆前24h内分段进行。</w:t>
      </w:r>
    </w:p>
    <w:p w14:paraId="55623588">
      <w:pPr>
        <w:suppressAutoHyphens/>
        <w:ind w:firstLine="420"/>
        <w:jc w:val="left"/>
        <w:rPr>
          <w:color w:val="auto"/>
          <w:highlight w:val="none"/>
          <w:lang w:eastAsia="zh-CN"/>
        </w:rPr>
      </w:pPr>
      <w:r>
        <w:rPr>
          <w:rFonts w:hint="eastAsia"/>
          <w:color w:val="auto"/>
          <w:highlight w:val="none"/>
          <w:lang w:eastAsia="zh-CN"/>
        </w:rPr>
        <w:t>（2）压水方式：</w:t>
      </w:r>
    </w:p>
    <w:p w14:paraId="55473935">
      <w:pPr>
        <w:suppressAutoHyphens/>
        <w:ind w:firstLine="420"/>
        <w:jc w:val="left"/>
        <w:rPr>
          <w:color w:val="auto"/>
          <w:highlight w:val="none"/>
          <w:lang w:eastAsia="zh-CN"/>
        </w:rPr>
      </w:pPr>
      <w:r>
        <w:rPr>
          <w:rFonts w:hint="eastAsia"/>
          <w:color w:val="auto"/>
          <w:highlight w:val="none"/>
          <w:lang w:eastAsia="zh-CN"/>
        </w:rPr>
        <w:t>1）围岩防渗灌浆孔和固结灌浆孔可在各序孔中选取不少于5%的灌浆孔在灌浆前进行简易压水试验。简易压水试验可结合裂隙冲洗进行。</w:t>
      </w:r>
    </w:p>
    <w:p w14:paraId="039611AF">
      <w:pPr>
        <w:suppressAutoHyphens/>
        <w:ind w:firstLine="420"/>
        <w:jc w:val="left"/>
        <w:rPr>
          <w:color w:val="auto"/>
          <w:highlight w:val="none"/>
          <w:lang w:eastAsia="zh-CN"/>
        </w:rPr>
      </w:pPr>
      <w:r>
        <w:rPr>
          <w:rFonts w:hint="eastAsia"/>
          <w:color w:val="auto"/>
          <w:highlight w:val="none"/>
          <w:lang w:eastAsia="zh-CN"/>
        </w:rPr>
        <w:t>2）先导孔和质量检查孔一般采用单点法压水试验，特殊部位采用五点法压水试验。</w:t>
      </w:r>
    </w:p>
    <w:p w14:paraId="6F85DB40">
      <w:pPr>
        <w:suppressAutoHyphens/>
        <w:ind w:firstLine="420"/>
        <w:jc w:val="left"/>
        <w:rPr>
          <w:color w:val="auto"/>
          <w:highlight w:val="none"/>
          <w:lang w:eastAsia="zh-CN"/>
        </w:rPr>
      </w:pPr>
      <w:r>
        <w:rPr>
          <w:rFonts w:hint="eastAsia"/>
          <w:color w:val="auto"/>
          <w:highlight w:val="none"/>
          <w:lang w:eastAsia="zh-CN"/>
        </w:rPr>
        <w:t>（3）压水试验压力</w:t>
      </w:r>
    </w:p>
    <w:p w14:paraId="0B9FFE78">
      <w:pPr>
        <w:suppressAutoHyphens/>
        <w:ind w:firstLine="420"/>
        <w:jc w:val="left"/>
        <w:rPr>
          <w:color w:val="auto"/>
          <w:highlight w:val="none"/>
          <w:lang w:eastAsia="zh-CN"/>
        </w:rPr>
      </w:pPr>
      <w:r>
        <w:rPr>
          <w:rFonts w:hint="eastAsia"/>
          <w:color w:val="auto"/>
          <w:highlight w:val="none"/>
          <w:lang w:eastAsia="zh-CN"/>
        </w:rPr>
        <w:t>1）围岩防渗灌浆孔和固结灌浆孔压水试验压力一般采用灌浆压力的80%，并不大于1MPa。</w:t>
      </w:r>
    </w:p>
    <w:p w14:paraId="442F449B">
      <w:pPr>
        <w:suppressAutoHyphens/>
        <w:ind w:firstLine="420"/>
        <w:jc w:val="left"/>
        <w:rPr>
          <w:color w:val="auto"/>
          <w:highlight w:val="none"/>
          <w:lang w:eastAsia="zh-CN"/>
        </w:rPr>
      </w:pPr>
      <w:r>
        <w:rPr>
          <w:rFonts w:hint="eastAsia"/>
          <w:color w:val="auto"/>
          <w:highlight w:val="none"/>
          <w:lang w:eastAsia="zh-CN"/>
        </w:rPr>
        <w:t>2）定向钻超前灌浆压水试验的压力根据按相关设计文件执行。</w:t>
      </w:r>
    </w:p>
    <w:p w14:paraId="6CAFB073">
      <w:pPr>
        <w:suppressAutoHyphens/>
        <w:ind w:firstLine="420"/>
        <w:jc w:val="left"/>
        <w:rPr>
          <w:color w:val="auto"/>
          <w:highlight w:val="none"/>
          <w:lang w:eastAsia="zh-CN"/>
        </w:rPr>
      </w:pPr>
      <w:r>
        <w:rPr>
          <w:rFonts w:hint="eastAsia"/>
          <w:color w:val="auto"/>
          <w:highlight w:val="none"/>
          <w:lang w:eastAsia="zh-CN"/>
        </w:rPr>
        <w:t>（4）压水试验稳定标准</w:t>
      </w:r>
    </w:p>
    <w:p w14:paraId="0419F3DE">
      <w:pPr>
        <w:suppressAutoHyphens/>
        <w:ind w:firstLine="420"/>
        <w:jc w:val="left"/>
        <w:rPr>
          <w:color w:val="auto"/>
          <w:highlight w:val="none"/>
          <w:lang w:eastAsia="zh-CN"/>
        </w:rPr>
      </w:pPr>
      <w:r>
        <w:rPr>
          <w:rFonts w:hint="eastAsia"/>
          <w:color w:val="auto"/>
          <w:highlight w:val="none"/>
          <w:lang w:eastAsia="zh-CN"/>
        </w:rPr>
        <w:t>1）单点法及五点法压水试验：在稳定的压力下，每5min测读一次压入流量，连续4次读数其最大值与最小值之差小于最终值的10%，或最大值与最小值之差小于1L/min，以最终读数作为计算岩体透水率q的计算值。</w:t>
      </w:r>
    </w:p>
    <w:p w14:paraId="0053DBA8">
      <w:pPr>
        <w:ind w:firstLine="420"/>
        <w:jc w:val="left"/>
        <w:rPr>
          <w:color w:val="auto"/>
          <w:highlight w:val="none"/>
          <w:lang w:eastAsia="zh-CN"/>
        </w:rPr>
      </w:pPr>
      <w:r>
        <w:rPr>
          <w:rFonts w:hint="eastAsia"/>
          <w:color w:val="auto"/>
          <w:highlight w:val="none"/>
          <w:lang w:eastAsia="zh-CN"/>
        </w:rPr>
        <w:t>2）简易压水试验：在稳定压力下，压水20min，每5min测读一次压入流量，取最终读数为计算岩体透水率q的计算值。</w:t>
      </w:r>
    </w:p>
    <w:p w14:paraId="6FF88C53">
      <w:pPr>
        <w:pStyle w:val="4"/>
        <w:spacing w:beforeLines="0" w:afterLines="0"/>
        <w:jc w:val="both"/>
        <w:rPr>
          <w:rFonts w:hint="eastAsia" w:cs="宋体"/>
          <w:bCs/>
          <w:color w:val="auto"/>
          <w:szCs w:val="24"/>
          <w:highlight w:val="none"/>
          <w:lang w:eastAsia="zh-CN"/>
        </w:rPr>
      </w:pPr>
      <w:bookmarkStart w:id="1991" w:name="_Toc31375"/>
      <w:bookmarkStart w:id="1992" w:name="_Toc24877"/>
      <w:bookmarkStart w:id="1993" w:name="_Toc31341"/>
      <w:r>
        <w:rPr>
          <w:rFonts w:hint="eastAsia" w:cs="宋体"/>
          <w:bCs/>
          <w:color w:val="auto"/>
          <w:szCs w:val="24"/>
          <w:highlight w:val="none"/>
          <w:lang w:eastAsia="zh-CN"/>
        </w:rPr>
        <w:t>10.6　灌浆试验</w:t>
      </w:r>
      <w:bookmarkEnd w:id="1991"/>
      <w:bookmarkEnd w:id="1992"/>
      <w:bookmarkEnd w:id="1993"/>
    </w:p>
    <w:p w14:paraId="732AE3BA">
      <w:pPr>
        <w:pStyle w:val="5"/>
        <w:jc w:val="left"/>
        <w:rPr>
          <w:rFonts w:hAnsi="Times New Roman" w:cs="楷体"/>
          <w:color w:val="auto"/>
          <w:highlight w:val="none"/>
          <w:lang w:eastAsia="zh-CN"/>
        </w:rPr>
      </w:pPr>
      <w:r>
        <w:rPr>
          <w:rFonts w:hAnsi="Times New Roman" w:cs="Times New Roman"/>
          <w:color w:val="auto"/>
          <w:highlight w:val="none"/>
          <w:lang w:eastAsia="zh-CN"/>
        </w:rPr>
        <w:t>10.6.1</w:t>
      </w:r>
      <w:r>
        <w:rPr>
          <w:rFonts w:hint="eastAsia" w:hAnsi="Times New Roman" w:cs="Times New Roman"/>
          <w:color w:val="auto"/>
          <w:highlight w:val="none"/>
          <w:lang w:eastAsia="zh-CN"/>
        </w:rPr>
        <w:t>　</w:t>
      </w:r>
      <w:r>
        <w:rPr>
          <w:rFonts w:hint="eastAsia" w:hAnsi="楷体" w:cs="楷体"/>
          <w:color w:val="auto"/>
          <w:highlight w:val="none"/>
          <w:lang w:eastAsia="zh-CN"/>
        </w:rPr>
        <w:t>说明</w:t>
      </w:r>
    </w:p>
    <w:p w14:paraId="14BDD873">
      <w:pPr>
        <w:suppressAutoHyphens/>
        <w:ind w:firstLine="420"/>
        <w:jc w:val="left"/>
        <w:rPr>
          <w:color w:val="auto"/>
          <w:highlight w:val="none"/>
          <w:lang w:eastAsia="zh-CN"/>
        </w:rPr>
      </w:pPr>
      <w:r>
        <w:rPr>
          <w:rFonts w:hint="eastAsia"/>
          <w:color w:val="auto"/>
          <w:highlight w:val="none"/>
          <w:lang w:eastAsia="zh-CN"/>
        </w:rPr>
        <w:t>（1）结合本标段隧洞工程特点，为合理确定钻孔灌浆参数，优化灌浆工艺，检验灌浆效果，各类灌浆工程大规模施工前必须结合本标段具体情况在本标段范围内进行生产性灌浆试验，否则不能进行大规模的灌浆施工。</w:t>
      </w:r>
    </w:p>
    <w:p w14:paraId="71AFC2C5">
      <w:pPr>
        <w:ind w:firstLine="420"/>
        <w:jc w:val="left"/>
        <w:rPr>
          <w:rFonts w:cs="宋体"/>
          <w:color w:val="auto"/>
          <w:highlight w:val="none"/>
          <w:lang w:eastAsia="zh-CN"/>
        </w:rPr>
      </w:pPr>
      <w:r>
        <w:rPr>
          <w:rFonts w:hint="eastAsia"/>
          <w:color w:val="auto"/>
          <w:highlight w:val="none"/>
          <w:lang w:eastAsia="zh-CN"/>
        </w:rPr>
        <w:t>（2）</w:t>
      </w:r>
      <w:r>
        <w:rPr>
          <w:rFonts w:cs="宋体"/>
          <w:color w:val="auto"/>
          <w:highlight w:val="none"/>
          <w:lang w:eastAsia="zh-CN"/>
        </w:rPr>
        <w:t>承包人应在灌浆作业开工前</w:t>
      </w:r>
      <w:r>
        <w:rPr>
          <w:rFonts w:hAnsi="Times New Roman" w:cs="宋体"/>
          <w:color w:val="auto"/>
          <w:highlight w:val="none"/>
          <w:lang w:eastAsia="zh-CN"/>
        </w:rPr>
        <w:t>28</w:t>
      </w:r>
      <w:r>
        <w:rPr>
          <w:rFonts w:hint="eastAsia" w:cs="宋体"/>
          <w:color w:val="auto"/>
          <w:highlight w:val="none"/>
          <w:lang w:eastAsia="zh-CN"/>
        </w:rPr>
        <w:t>天</w:t>
      </w:r>
      <w:r>
        <w:rPr>
          <w:rFonts w:cs="宋体"/>
          <w:color w:val="auto"/>
          <w:highlight w:val="none"/>
          <w:lang w:eastAsia="zh-CN"/>
        </w:rPr>
        <w:t>，编制灌浆试验大纲，提交监理人批准。灌浆试验结束后，承包人应将试验记录和试验分析成果提交监理人。</w:t>
      </w:r>
    </w:p>
    <w:p w14:paraId="68CE010A">
      <w:pPr>
        <w:pStyle w:val="7"/>
        <w:ind w:firstLine="420"/>
        <w:jc w:val="left"/>
        <w:rPr>
          <w:color w:val="auto"/>
          <w:highlight w:val="none"/>
          <w:lang w:eastAsia="zh-CN"/>
        </w:rPr>
      </w:pPr>
      <w:r>
        <w:rPr>
          <w:rFonts w:hint="eastAsia"/>
          <w:color w:val="auto"/>
          <w:highlight w:val="none"/>
          <w:lang w:eastAsia="zh-CN"/>
        </w:rPr>
        <w:t>（3）在每一处定向钻超前灌浆部位应选择一个钻孔作为试验孔，进行超前勘探及生产性灌浆试验。后续灌浆孔的孔数、布置及灌浆参数等根据先导孔勘探及灌浆试验的成果进一步研究确定。</w:t>
      </w:r>
    </w:p>
    <w:p w14:paraId="256B437C">
      <w:pPr>
        <w:pStyle w:val="5"/>
        <w:jc w:val="left"/>
        <w:rPr>
          <w:rFonts w:hAnsi="Times New Roman" w:cs="楷体"/>
          <w:color w:val="auto"/>
          <w:highlight w:val="none"/>
          <w:lang w:eastAsia="zh-CN"/>
        </w:rPr>
      </w:pPr>
      <w:r>
        <w:rPr>
          <w:rFonts w:hAnsi="Times New Roman" w:cs="Times New Roman"/>
          <w:color w:val="auto"/>
          <w:highlight w:val="none"/>
          <w:lang w:eastAsia="zh-CN"/>
        </w:rPr>
        <w:t>10.6.2</w:t>
      </w:r>
      <w:r>
        <w:rPr>
          <w:rFonts w:hint="eastAsia" w:hAnsi="Times New Roman" w:cs="Times New Roman"/>
          <w:color w:val="auto"/>
          <w:highlight w:val="none"/>
          <w:lang w:eastAsia="zh-CN"/>
        </w:rPr>
        <w:t>　</w:t>
      </w:r>
      <w:r>
        <w:rPr>
          <w:rFonts w:hAnsi="楷体" w:cs="楷体"/>
          <w:color w:val="auto"/>
          <w:highlight w:val="none"/>
          <w:lang w:eastAsia="zh-CN"/>
        </w:rPr>
        <w:t>室内浆液试验</w:t>
      </w:r>
    </w:p>
    <w:p w14:paraId="6A0828B7">
      <w:pPr>
        <w:ind w:firstLine="420"/>
        <w:jc w:val="left"/>
        <w:rPr>
          <w:rFonts w:hAnsi="Times New Roman" w:cs="宋体"/>
          <w:color w:val="auto"/>
          <w:highlight w:val="none"/>
          <w:lang w:eastAsia="zh-CN"/>
        </w:rPr>
      </w:pPr>
      <w:r>
        <w:rPr>
          <w:rFonts w:cs="宋体"/>
          <w:color w:val="auto"/>
          <w:highlight w:val="none"/>
          <w:lang w:eastAsia="zh-CN"/>
        </w:rPr>
        <w:t>现场灌浆试验前，承包人应按监理人指示，进行浆液试验选择浆液水灰比以及掺合料、外加剂等的品种及其掺量，并将试验成果提交监理人。浆液试验的内容包括：</w:t>
      </w:r>
    </w:p>
    <w:p w14:paraId="7AB9DE3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）浆液配制程序及拌制时间。</w:t>
      </w:r>
    </w:p>
    <w:p w14:paraId="3EDC2C5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）浆液密度测定。</w:t>
      </w:r>
    </w:p>
    <w:p w14:paraId="31DE9D3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）浆液流变参数。</w:t>
      </w:r>
    </w:p>
    <w:p w14:paraId="46E8903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）浆液的沉淀稳定性。</w:t>
      </w:r>
    </w:p>
    <w:p w14:paraId="00C42FC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）浆液凝结时间，包括初凝或终凝时间。</w:t>
      </w:r>
    </w:p>
    <w:p w14:paraId="40EA704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）浆液结石的密度、强度、弹性模量和渗透性。</w:t>
      </w:r>
    </w:p>
    <w:p w14:paraId="503196D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）监理人指示的其它试验内容。</w:t>
      </w:r>
    </w:p>
    <w:p w14:paraId="1F7AE794">
      <w:pPr>
        <w:pStyle w:val="5"/>
        <w:jc w:val="left"/>
        <w:rPr>
          <w:rFonts w:hAnsi="Times New Roman" w:cs="楷体"/>
          <w:color w:val="auto"/>
          <w:highlight w:val="none"/>
          <w:lang w:eastAsia="zh-CN"/>
        </w:rPr>
      </w:pPr>
      <w:r>
        <w:rPr>
          <w:rFonts w:hAnsi="Times New Roman" w:cs="Times New Roman"/>
          <w:color w:val="auto"/>
          <w:highlight w:val="none"/>
          <w:lang w:eastAsia="zh-CN"/>
        </w:rPr>
        <w:t>10.6.3</w:t>
      </w:r>
      <w:r>
        <w:rPr>
          <w:rFonts w:hint="eastAsia" w:hAnsi="Times New Roman" w:cs="Times New Roman"/>
          <w:color w:val="auto"/>
          <w:highlight w:val="none"/>
          <w:lang w:eastAsia="zh-CN"/>
        </w:rPr>
        <w:t>　</w:t>
      </w:r>
      <w:r>
        <w:rPr>
          <w:rFonts w:hAnsi="楷体" w:cs="楷体"/>
          <w:color w:val="auto"/>
          <w:highlight w:val="none"/>
          <w:lang w:eastAsia="zh-CN"/>
        </w:rPr>
        <w:t>现场灌浆试验</w:t>
      </w:r>
    </w:p>
    <w:p w14:paraId="5668EE5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）承包人应按监理人指示，根据工程建筑物布置，选择地质条件中等或偏差地段进行灌浆试验，或与永久灌浆区相似的地段作为灌浆试验区。</w:t>
      </w:r>
    </w:p>
    <w:p w14:paraId="2992263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）承包人应根据施工图纸要求和监理人指示选定试验孔的布置方式、孔深、灌浆分段、灌浆压力等试验参数。</w:t>
      </w:r>
    </w:p>
    <w:p w14:paraId="4445684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）承包人应按批准的灌浆试验大纲进行灌浆试验，检查灌浆效果。承包人应将各序孔和检查孔的单位吸水率、单位耗灰量等试验资料和灌浆试验成果提交监理人。</w:t>
      </w:r>
    </w:p>
    <w:p w14:paraId="728A1F6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）承包人不得在帷幕灌浆线上进行灌浆试验。</w:t>
      </w:r>
    </w:p>
    <w:p w14:paraId="1D51B76F">
      <w:pPr>
        <w:pStyle w:val="5"/>
        <w:jc w:val="left"/>
        <w:rPr>
          <w:rFonts w:hAnsi="Times New Roman" w:cs="楷体"/>
          <w:color w:val="auto"/>
          <w:highlight w:val="none"/>
          <w:lang w:eastAsia="zh-CN"/>
        </w:rPr>
      </w:pPr>
      <w:r>
        <w:rPr>
          <w:rFonts w:hAnsi="Times New Roman" w:cs="Times New Roman"/>
          <w:color w:val="auto"/>
          <w:highlight w:val="none"/>
          <w:lang w:eastAsia="zh-CN"/>
        </w:rPr>
        <w:t>10.6.4</w:t>
      </w:r>
      <w:r>
        <w:rPr>
          <w:rFonts w:hint="eastAsia" w:hAnsi="Times New Roman" w:cs="Times New Roman"/>
          <w:color w:val="auto"/>
          <w:highlight w:val="none"/>
          <w:lang w:eastAsia="zh-CN"/>
        </w:rPr>
        <w:t>　</w:t>
      </w:r>
      <w:r>
        <w:rPr>
          <w:rFonts w:hAnsi="楷体" w:cs="楷体"/>
          <w:color w:val="auto"/>
          <w:highlight w:val="none"/>
          <w:lang w:eastAsia="zh-CN"/>
        </w:rPr>
        <w:t>灌浆试验成果</w:t>
      </w:r>
    </w:p>
    <w:p w14:paraId="4A83B55F">
      <w:pPr>
        <w:ind w:firstLine="420"/>
        <w:jc w:val="left"/>
        <w:rPr>
          <w:rFonts w:hAnsi="Times New Roman"/>
          <w:color w:val="auto"/>
          <w:highlight w:val="none"/>
          <w:lang w:eastAsia="zh-CN"/>
        </w:rPr>
      </w:pPr>
      <w:r>
        <w:rPr>
          <w:rFonts w:hint="eastAsia"/>
          <w:color w:val="auto"/>
          <w:highlight w:val="none"/>
          <w:lang w:eastAsia="zh-CN"/>
        </w:rPr>
        <w:t>每组（次）试验之后，承包人应向监理人、发包人、设计单位报送相应的试验资料（成果），该资料应包括（但不限于）：</w:t>
      </w:r>
    </w:p>
    <w:p w14:paraId="7D4A6855">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1</w:t>
      </w:r>
      <w:r>
        <w:rPr>
          <w:rFonts w:hint="eastAsia"/>
          <w:color w:val="auto"/>
          <w:highlight w:val="none"/>
          <w:lang w:eastAsia="zh-CN"/>
        </w:rPr>
        <w:t>）试验名称、组别及内容。</w:t>
      </w:r>
    </w:p>
    <w:p w14:paraId="16CA8D18">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2</w:t>
      </w:r>
      <w:r>
        <w:rPr>
          <w:rFonts w:hint="eastAsia"/>
          <w:color w:val="auto"/>
          <w:highlight w:val="none"/>
          <w:lang w:eastAsia="zh-CN"/>
        </w:rPr>
        <w:t>）灌浆设计（包括：钻孔布置、灌浆浆材、灌浆分段、灌浆压力、灌浆程序等）。</w:t>
      </w:r>
    </w:p>
    <w:p w14:paraId="380B237A">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3</w:t>
      </w:r>
      <w:r>
        <w:rPr>
          <w:rFonts w:hint="eastAsia"/>
          <w:color w:val="auto"/>
          <w:highlight w:val="none"/>
          <w:lang w:eastAsia="zh-CN"/>
        </w:rPr>
        <w:t>）实际的钻孔布置、灌浆压力、浆材耗用量等记录。</w:t>
      </w:r>
    </w:p>
    <w:p w14:paraId="527A896F">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）岩体声波、压水试验检查记录及成果。</w:t>
      </w:r>
    </w:p>
    <w:p w14:paraId="51B8F780">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）监理人要求报送的其它材料。</w:t>
      </w:r>
    </w:p>
    <w:p w14:paraId="6D6D8F74">
      <w:pPr>
        <w:pStyle w:val="4"/>
        <w:spacing w:beforeLines="0" w:afterLines="0"/>
        <w:jc w:val="both"/>
        <w:rPr>
          <w:rFonts w:hint="eastAsia" w:cs="宋体"/>
          <w:bCs/>
          <w:color w:val="auto"/>
          <w:szCs w:val="24"/>
          <w:highlight w:val="none"/>
          <w:lang w:eastAsia="zh-CN"/>
        </w:rPr>
      </w:pPr>
      <w:bookmarkStart w:id="1994" w:name="_Toc1723"/>
      <w:bookmarkStart w:id="1995" w:name="_Toc17566"/>
      <w:bookmarkStart w:id="1996" w:name="_Toc25811"/>
      <w:r>
        <w:rPr>
          <w:rFonts w:hint="eastAsia" w:cs="宋体"/>
          <w:bCs/>
          <w:color w:val="auto"/>
          <w:szCs w:val="24"/>
          <w:highlight w:val="none"/>
          <w:lang w:eastAsia="zh-CN"/>
        </w:rPr>
        <w:t>10.7　制浆</w:t>
      </w:r>
      <w:bookmarkEnd w:id="1994"/>
      <w:bookmarkEnd w:id="1995"/>
      <w:bookmarkEnd w:id="1996"/>
    </w:p>
    <w:p w14:paraId="40EB1313">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）制浆材料和浆液制备应遵守《水工建筑物水泥灌浆施工技术规范》（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4C641C52">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）帷幕和固结灌浆的制浆应遵守《水工建筑物水泥灌浆施工技术规范》（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61AB5F10">
      <w:pPr>
        <w:pStyle w:val="5"/>
        <w:jc w:val="left"/>
        <w:rPr>
          <w:color w:val="auto"/>
          <w:highlight w:val="none"/>
          <w:lang w:eastAsia="zh-CN"/>
        </w:rPr>
      </w:pPr>
      <w:r>
        <w:rPr>
          <w:rFonts w:cs="宋体"/>
          <w:color w:val="auto"/>
          <w:highlight w:val="none"/>
          <w:lang w:eastAsia="zh-CN"/>
        </w:rPr>
        <w:t>10.7.1</w:t>
      </w:r>
      <w:r>
        <w:rPr>
          <w:rFonts w:hint="eastAsia" w:cs="宋体"/>
          <w:color w:val="auto"/>
          <w:highlight w:val="none"/>
          <w:lang w:eastAsia="zh-CN"/>
        </w:rPr>
        <w:t>　</w:t>
      </w:r>
      <w:r>
        <w:rPr>
          <w:rFonts w:cs="宋体"/>
          <w:color w:val="auto"/>
          <w:highlight w:val="none"/>
          <w:lang w:eastAsia="zh-CN"/>
        </w:rPr>
        <w:t>制浆材料称量</w:t>
      </w:r>
    </w:p>
    <w:p w14:paraId="4F431669">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1）制浆材料应遵守SL/T62－2020的规定。</w:t>
      </w:r>
    </w:p>
    <w:p w14:paraId="214F57E1">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2）制浆材料必须称量，称量误差应小于5%，水泥等固相材料应采用重量称量法。</w:t>
      </w:r>
    </w:p>
    <w:p w14:paraId="35C5A85B">
      <w:pPr>
        <w:pStyle w:val="5"/>
        <w:jc w:val="left"/>
        <w:rPr>
          <w:color w:val="auto"/>
          <w:highlight w:val="none"/>
          <w:lang w:eastAsia="zh-CN"/>
        </w:rPr>
      </w:pPr>
      <w:r>
        <w:rPr>
          <w:rFonts w:cs="宋体"/>
          <w:color w:val="auto"/>
          <w:highlight w:val="none"/>
          <w:lang w:eastAsia="zh-CN"/>
        </w:rPr>
        <w:t>10.7.2</w:t>
      </w:r>
      <w:r>
        <w:rPr>
          <w:rFonts w:hint="eastAsia" w:cs="宋体"/>
          <w:color w:val="auto"/>
          <w:highlight w:val="none"/>
          <w:lang w:eastAsia="zh-CN"/>
        </w:rPr>
        <w:t>　</w:t>
      </w:r>
      <w:r>
        <w:rPr>
          <w:rFonts w:cs="宋体"/>
          <w:color w:val="auto"/>
          <w:highlight w:val="none"/>
          <w:lang w:eastAsia="zh-CN"/>
        </w:rPr>
        <w:t>浆液搅拌</w:t>
      </w:r>
    </w:p>
    <w:p w14:paraId="64B938B5">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1）浆液置备应遵守SL/T62－2020的规定。</w:t>
      </w:r>
    </w:p>
    <w:p w14:paraId="5DA2C05E">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2）各类浆液必须搅拌均匀，使用前应过筛，应测定浆液密度等参数，并作好记录。</w:t>
      </w:r>
    </w:p>
    <w:p w14:paraId="61876DC7">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3）拌制纯水泥浆液，应采用高速搅拌机，纯水泥浆液的搅拌时间：使用普通搅拌机时，应不少于3min；使用高速搅拌机时，应不少于30s。浆液在使用前应过筛，从开始制备至用完的时间应小于4h。</w:t>
      </w:r>
    </w:p>
    <w:p w14:paraId="734E8155">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4）拌制细水泥浆液和稳定浆液，应加入减水剂和采用高速搅拌机，高速搅拌机搅拌转速应大于1200r/min（r为转动一周），搅拌时间应通过试验确定。细水泥浆液的搅拌，从制备至用完的时间应小于2h。</w:t>
      </w:r>
    </w:p>
    <w:p w14:paraId="00C09BB9">
      <w:pPr>
        <w:pStyle w:val="5"/>
        <w:jc w:val="left"/>
        <w:rPr>
          <w:color w:val="auto"/>
          <w:highlight w:val="none"/>
          <w:lang w:eastAsia="zh-CN"/>
        </w:rPr>
      </w:pPr>
      <w:r>
        <w:rPr>
          <w:rFonts w:cs="宋体"/>
          <w:color w:val="auto"/>
          <w:highlight w:val="none"/>
          <w:lang w:eastAsia="zh-CN"/>
        </w:rPr>
        <w:t>10.7.3</w:t>
      </w:r>
      <w:r>
        <w:rPr>
          <w:rFonts w:hint="eastAsia" w:cs="宋体"/>
          <w:color w:val="auto"/>
          <w:highlight w:val="none"/>
          <w:lang w:eastAsia="zh-CN"/>
        </w:rPr>
        <w:t>　</w:t>
      </w:r>
      <w:r>
        <w:rPr>
          <w:rFonts w:cs="宋体"/>
          <w:color w:val="auto"/>
          <w:highlight w:val="none"/>
          <w:lang w:eastAsia="zh-CN"/>
        </w:rPr>
        <w:t>集中制浆</w:t>
      </w:r>
    </w:p>
    <w:p w14:paraId="7FE78B54">
      <w:pPr>
        <w:ind w:firstLine="420"/>
        <w:jc w:val="left"/>
        <w:rPr>
          <w:color w:val="auto"/>
          <w:highlight w:val="none"/>
          <w:lang w:eastAsia="zh-CN"/>
        </w:rPr>
      </w:pPr>
      <w:r>
        <w:rPr>
          <w:rFonts w:hint="eastAsia" w:cs="宋体"/>
          <w:color w:val="auto"/>
          <w:highlight w:val="none"/>
          <w:lang w:eastAsia="zh-CN"/>
        </w:rPr>
        <w:t>集中制浆站应制备水灰比为</w:t>
      </w:r>
      <w:r>
        <w:rPr>
          <w:rFonts w:cs="宋体"/>
          <w:color w:val="auto"/>
          <w:highlight w:val="none"/>
          <w:lang w:eastAsia="zh-CN"/>
        </w:rPr>
        <w:t>0.5:1的纯水泥浆液，输送浆液流速应为1.4～2.0m/s，各灌浆地点应测定来浆密度，并根据各灌浆点的不同需要调整使用。</w:t>
      </w:r>
    </w:p>
    <w:p w14:paraId="01442853">
      <w:pPr>
        <w:pStyle w:val="4"/>
        <w:spacing w:beforeLines="0" w:afterLines="0"/>
        <w:jc w:val="both"/>
        <w:rPr>
          <w:rFonts w:hint="eastAsia" w:cs="宋体"/>
          <w:bCs/>
          <w:color w:val="auto"/>
          <w:szCs w:val="24"/>
          <w:highlight w:val="none"/>
          <w:lang w:eastAsia="zh-CN"/>
        </w:rPr>
      </w:pPr>
      <w:bookmarkStart w:id="1997" w:name="_Toc19733"/>
      <w:bookmarkStart w:id="1998" w:name="_Toc7007"/>
      <w:bookmarkStart w:id="1999" w:name="_Toc4591"/>
      <w:r>
        <w:rPr>
          <w:rFonts w:hint="eastAsia" w:cs="宋体"/>
          <w:bCs/>
          <w:color w:val="auto"/>
          <w:szCs w:val="24"/>
          <w:highlight w:val="none"/>
          <w:lang w:eastAsia="zh-CN"/>
        </w:rPr>
        <w:t>10.8　抬动变形观测</w:t>
      </w:r>
      <w:bookmarkEnd w:id="1997"/>
      <w:bookmarkEnd w:id="1998"/>
      <w:bookmarkEnd w:id="1999"/>
    </w:p>
    <w:p w14:paraId="05FA93A0">
      <w:pPr>
        <w:suppressAutoHyphens/>
        <w:ind w:firstLine="420"/>
        <w:jc w:val="left"/>
        <w:rPr>
          <w:color w:val="auto"/>
          <w:highlight w:val="none"/>
          <w:lang w:eastAsia="zh-CN"/>
        </w:rPr>
      </w:pPr>
      <w:r>
        <w:rPr>
          <w:rFonts w:hint="eastAsia"/>
          <w:color w:val="auto"/>
          <w:highlight w:val="none"/>
          <w:lang w:eastAsia="zh-CN"/>
        </w:rPr>
        <w:t>（1）压水和灌浆过程中，应对隧洞的围岩稳定性加强观测，如发现异常情况及时降压或暂停施工。</w:t>
      </w:r>
    </w:p>
    <w:p w14:paraId="06DF2B61">
      <w:pPr>
        <w:suppressAutoHyphens/>
        <w:ind w:firstLine="420"/>
        <w:jc w:val="left"/>
        <w:rPr>
          <w:color w:val="auto"/>
          <w:highlight w:val="none"/>
          <w:lang w:eastAsia="zh-CN"/>
        </w:rPr>
      </w:pPr>
      <w:r>
        <w:rPr>
          <w:rFonts w:hint="eastAsia"/>
          <w:color w:val="auto"/>
          <w:highlight w:val="none"/>
          <w:lang w:eastAsia="zh-CN"/>
        </w:rPr>
        <w:t>（2）设有抬动变形观测的部位，须待抬动观测仪器装置完毕，方可进行灌浆作业，其观测孔临近10m～20m范围内的灌浆孔段在裂隙冲洗、压水试验及灌浆过程中均应进行观测，并将观测成果报监理人审查。</w:t>
      </w:r>
    </w:p>
    <w:p w14:paraId="1D5521B4">
      <w:pPr>
        <w:suppressAutoHyphens/>
        <w:ind w:firstLine="420"/>
        <w:jc w:val="left"/>
        <w:rPr>
          <w:color w:val="auto"/>
          <w:highlight w:val="none"/>
          <w:lang w:eastAsia="zh-CN"/>
        </w:rPr>
      </w:pPr>
      <w:r>
        <w:rPr>
          <w:rFonts w:hint="eastAsia"/>
          <w:color w:val="auto"/>
          <w:highlight w:val="none"/>
          <w:lang w:eastAsia="zh-CN"/>
        </w:rPr>
        <w:t>（3）单段抬动变形允许值暂定200</w:t>
      </w:r>
      <w:r>
        <w:rPr>
          <w:rFonts w:hint="eastAsia"/>
          <w:color w:val="auto"/>
          <w:highlight w:val="none"/>
        </w:rPr>
        <w:t>μ</w:t>
      </w:r>
      <w:r>
        <w:rPr>
          <w:rFonts w:hint="eastAsia"/>
          <w:color w:val="auto"/>
          <w:highlight w:val="none"/>
          <w:lang w:eastAsia="zh-CN"/>
        </w:rPr>
        <w:t>m。</w:t>
      </w:r>
    </w:p>
    <w:p w14:paraId="340F7765">
      <w:pPr>
        <w:suppressAutoHyphens/>
        <w:ind w:firstLine="420"/>
        <w:jc w:val="left"/>
        <w:rPr>
          <w:color w:val="auto"/>
          <w:highlight w:val="none"/>
          <w:lang w:eastAsia="zh-CN"/>
        </w:rPr>
      </w:pPr>
      <w:r>
        <w:rPr>
          <w:rFonts w:hint="eastAsia"/>
          <w:color w:val="auto"/>
          <w:highlight w:val="none"/>
          <w:lang w:eastAsia="zh-CN"/>
        </w:rPr>
        <w:t>（4）抬动变形观测应采用具有变形自动记录及超值自动报警功能的观测装置，同时应委派专人进行连续观测记录，在裂隙冲洗、压水试验及灌浆等作业过程中，当变形值接近变形允许值或变形值上升速度较快时，应及时报告各工序操作人员采取降低压力措施，防止发生抬动破坏。如施工中发现超过规定的允许值，应立即停止施工，报告监理研究处理措施。</w:t>
      </w:r>
    </w:p>
    <w:p w14:paraId="6A295972">
      <w:pPr>
        <w:suppressAutoHyphens/>
        <w:ind w:firstLine="420"/>
        <w:jc w:val="left"/>
        <w:rPr>
          <w:color w:val="auto"/>
          <w:highlight w:val="none"/>
          <w:lang w:eastAsia="zh-CN"/>
        </w:rPr>
      </w:pPr>
      <w:r>
        <w:rPr>
          <w:rFonts w:hint="eastAsia"/>
          <w:color w:val="auto"/>
          <w:highlight w:val="none"/>
          <w:lang w:eastAsia="zh-CN"/>
        </w:rPr>
        <w:t>（5）抬动变形观测使用的千分表，应经常检查，确保其灵敏性和准确性。</w:t>
      </w:r>
    </w:p>
    <w:p w14:paraId="31E92C6D">
      <w:pPr>
        <w:suppressAutoHyphens/>
        <w:ind w:firstLine="420"/>
        <w:jc w:val="left"/>
        <w:rPr>
          <w:color w:val="auto"/>
          <w:highlight w:val="none"/>
          <w:lang w:eastAsia="zh-CN"/>
        </w:rPr>
      </w:pPr>
      <w:r>
        <w:rPr>
          <w:rFonts w:hint="eastAsia"/>
          <w:color w:val="auto"/>
          <w:highlight w:val="none"/>
          <w:lang w:eastAsia="zh-CN"/>
        </w:rPr>
        <w:t>（6）抬动变形观测过程中，应严格防止碰撞观测装置，保证在正常工作状态下观测，确保测试精度。</w:t>
      </w:r>
    </w:p>
    <w:p w14:paraId="3111F2E1">
      <w:pPr>
        <w:suppressAutoHyphens/>
        <w:ind w:firstLine="420"/>
        <w:jc w:val="left"/>
        <w:rPr>
          <w:color w:val="auto"/>
          <w:highlight w:val="none"/>
          <w:lang w:eastAsia="zh-CN"/>
        </w:rPr>
      </w:pPr>
      <w:r>
        <w:rPr>
          <w:rFonts w:hint="eastAsia"/>
          <w:color w:val="auto"/>
          <w:highlight w:val="none"/>
          <w:lang w:eastAsia="zh-CN"/>
        </w:rPr>
        <w:t>（7）灌浆工作结束后，抬动观测孔应按监理人的要求进行封孔处理。</w:t>
      </w:r>
    </w:p>
    <w:p w14:paraId="22F406C2">
      <w:pPr>
        <w:pStyle w:val="4"/>
        <w:spacing w:beforeLines="0" w:afterLines="0"/>
        <w:jc w:val="both"/>
        <w:rPr>
          <w:rFonts w:hint="eastAsia" w:cs="宋体"/>
          <w:bCs/>
          <w:color w:val="auto"/>
          <w:szCs w:val="24"/>
          <w:highlight w:val="none"/>
          <w:lang w:eastAsia="zh-CN"/>
        </w:rPr>
      </w:pPr>
      <w:bookmarkStart w:id="2000" w:name="_Toc4456"/>
      <w:bookmarkStart w:id="2001" w:name="_Toc29583"/>
      <w:bookmarkStart w:id="2002" w:name="_Toc5043"/>
      <w:r>
        <w:rPr>
          <w:rFonts w:hint="eastAsia" w:cs="宋体"/>
          <w:bCs/>
          <w:color w:val="auto"/>
          <w:szCs w:val="24"/>
          <w:highlight w:val="none"/>
          <w:lang w:eastAsia="zh-CN"/>
        </w:rPr>
        <w:t>10.9　地下洞室灌浆</w:t>
      </w:r>
      <w:bookmarkEnd w:id="2000"/>
      <w:bookmarkEnd w:id="2001"/>
      <w:bookmarkEnd w:id="2002"/>
    </w:p>
    <w:p w14:paraId="35BF9EBE">
      <w:pPr>
        <w:pStyle w:val="5"/>
        <w:jc w:val="left"/>
        <w:rPr>
          <w:rFonts w:hAnsi="Times New Roman" w:cs="楷体"/>
          <w:color w:val="auto"/>
          <w:highlight w:val="none"/>
          <w:lang w:eastAsia="zh-CN"/>
        </w:rPr>
      </w:pPr>
      <w:r>
        <w:rPr>
          <w:rFonts w:hAnsi="Times New Roman" w:cs="Times New Roman"/>
          <w:color w:val="auto"/>
          <w:highlight w:val="none"/>
          <w:lang w:eastAsia="zh-CN"/>
        </w:rPr>
        <w:t>10.9.1</w:t>
      </w:r>
      <w:r>
        <w:rPr>
          <w:rFonts w:hint="eastAsia" w:hAnsi="Times New Roman" w:cs="Times New Roman"/>
          <w:color w:val="auto"/>
          <w:highlight w:val="none"/>
          <w:lang w:eastAsia="zh-CN"/>
        </w:rPr>
        <w:t>　</w:t>
      </w:r>
      <w:r>
        <w:rPr>
          <w:rFonts w:hAnsi="楷体" w:cs="楷体"/>
          <w:color w:val="auto"/>
          <w:highlight w:val="none"/>
          <w:lang w:eastAsia="zh-CN"/>
        </w:rPr>
        <w:t>一般要求</w:t>
      </w:r>
    </w:p>
    <w:p w14:paraId="11568AC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）地下洞室的回填灌浆应在衬砌混凝土达到</w:t>
      </w:r>
      <w:r>
        <w:rPr>
          <w:rFonts w:hAnsi="Times New Roman" w:cs="Times New Roman"/>
          <w:color w:val="auto"/>
          <w:highlight w:val="none"/>
          <w:u w:val="single"/>
          <w:lang w:eastAsia="zh-CN"/>
        </w:rPr>
        <w:t>70</w:t>
      </w:r>
      <w:r>
        <w:rPr>
          <w:rFonts w:cs="宋体"/>
          <w:color w:val="auto"/>
          <w:highlight w:val="none"/>
          <w:u w:val="single"/>
          <w:lang w:eastAsia="zh-CN"/>
        </w:rPr>
        <w:t>％</w:t>
      </w:r>
      <w:r>
        <w:rPr>
          <w:rFonts w:cs="宋体"/>
          <w:color w:val="auto"/>
          <w:highlight w:val="none"/>
          <w:lang w:eastAsia="zh-CN"/>
        </w:rPr>
        <w:t>设计强度后进行，固结灌浆应在该部位的回填灌浆结束</w:t>
      </w:r>
      <w:r>
        <w:rPr>
          <w:rFonts w:hAnsi="Times New Roman" w:cs="Times New Roman"/>
          <w:color w:val="auto"/>
          <w:highlight w:val="none"/>
          <w:lang w:eastAsia="zh-CN"/>
        </w:rPr>
        <w:t>7</w:t>
      </w:r>
      <w:r>
        <w:rPr>
          <w:rFonts w:cs="宋体"/>
          <w:color w:val="auto"/>
          <w:highlight w:val="none"/>
          <w:lang w:eastAsia="zh-CN"/>
        </w:rPr>
        <w:t>天后进行。</w:t>
      </w:r>
    </w:p>
    <w:p w14:paraId="0E96CAA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）灌浆结束后，应按监理人指示，对往外流浆或往上返浆的灌浆孔</w:t>
      </w:r>
      <w:r>
        <w:rPr>
          <w:rFonts w:hint="eastAsia" w:cs="宋体"/>
          <w:color w:val="auto"/>
          <w:highlight w:val="none"/>
          <w:lang w:eastAsia="zh-CN"/>
        </w:rPr>
        <w:t>在设计最大压力下</w:t>
      </w:r>
      <w:r>
        <w:rPr>
          <w:rFonts w:cs="宋体"/>
          <w:color w:val="auto"/>
          <w:highlight w:val="none"/>
          <w:lang w:eastAsia="zh-CN"/>
        </w:rPr>
        <w:t>进行闭浆待凝处理，</w:t>
      </w:r>
      <w:r>
        <w:rPr>
          <w:rFonts w:hint="eastAsia" w:cs="宋体"/>
          <w:color w:val="auto"/>
          <w:highlight w:val="none"/>
          <w:lang w:eastAsia="zh-CN"/>
        </w:rPr>
        <w:t>待凝时间不少于</w:t>
      </w:r>
      <w:r>
        <w:rPr>
          <w:rFonts w:hAnsi="Times New Roman" w:cs="宋体"/>
          <w:color w:val="auto"/>
          <w:highlight w:val="none"/>
          <w:lang w:eastAsia="zh-CN"/>
        </w:rPr>
        <w:t>24h</w:t>
      </w:r>
      <w:r>
        <w:rPr>
          <w:rFonts w:hint="eastAsia" w:cs="宋体"/>
          <w:color w:val="auto"/>
          <w:highlight w:val="none"/>
          <w:lang w:eastAsia="zh-CN"/>
        </w:rPr>
        <w:t>或按监理人指示的时间控制</w:t>
      </w:r>
      <w:r>
        <w:rPr>
          <w:rFonts w:cs="宋体"/>
          <w:color w:val="auto"/>
          <w:highlight w:val="none"/>
          <w:lang w:eastAsia="zh-CN"/>
        </w:rPr>
        <w:t>。</w:t>
      </w:r>
    </w:p>
    <w:p w14:paraId="56320E5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）监理人认为必要时，承包人应在灌浆过程中监测岩石及衬砌混凝土变形，并作好记录</w:t>
      </w:r>
    </w:p>
    <w:p w14:paraId="3B6EDE91">
      <w:pPr>
        <w:ind w:firstLine="420"/>
        <w:jc w:val="left"/>
        <w:rPr>
          <w:rFonts w:hAnsi="Times New Roman"/>
          <w:color w:val="auto"/>
          <w:highlight w:val="none"/>
          <w:lang w:eastAsia="zh-CN"/>
        </w:rPr>
      </w:pPr>
      <w:r>
        <w:rPr>
          <w:rFonts w:hint="eastAsia"/>
          <w:color w:val="auto"/>
          <w:highlight w:val="none"/>
          <w:lang w:eastAsia="zh-CN"/>
        </w:rPr>
        <w:t>（</w:t>
      </w:r>
      <w:r>
        <w:rPr>
          <w:rFonts w:hAnsi="Times New Roman"/>
          <w:color w:val="auto"/>
          <w:highlight w:val="none"/>
          <w:lang w:eastAsia="zh-CN"/>
        </w:rPr>
        <w:t>4</w:t>
      </w:r>
      <w:r>
        <w:rPr>
          <w:rFonts w:hint="eastAsia"/>
          <w:color w:val="auto"/>
          <w:highlight w:val="none"/>
          <w:lang w:eastAsia="zh-CN"/>
        </w:rPr>
        <w:t>）灌浆孔灌浆结束后，应排除钻孔内的积水和污物，采用</w:t>
      </w:r>
      <w:r>
        <w:rPr>
          <w:rFonts w:hAnsi="Times New Roman"/>
          <w:color w:val="auto"/>
          <w:highlight w:val="none"/>
          <w:lang w:eastAsia="zh-CN"/>
        </w:rPr>
        <w:t>“</w:t>
      </w:r>
      <w:r>
        <w:rPr>
          <w:rFonts w:hint="eastAsia"/>
          <w:color w:val="auto"/>
          <w:highlight w:val="none"/>
          <w:lang w:eastAsia="zh-CN"/>
        </w:rPr>
        <w:t>全孔灌浆封孔法</w:t>
      </w:r>
      <w:r>
        <w:rPr>
          <w:rFonts w:hAnsi="Times New Roman"/>
          <w:color w:val="auto"/>
          <w:highlight w:val="none"/>
          <w:lang w:eastAsia="zh-CN"/>
        </w:rPr>
        <w:t>”</w:t>
      </w:r>
      <w:r>
        <w:rPr>
          <w:rFonts w:hint="eastAsia"/>
          <w:color w:val="auto"/>
          <w:highlight w:val="none"/>
          <w:lang w:eastAsia="zh-CN"/>
        </w:rPr>
        <w:t>或</w:t>
      </w:r>
      <w:r>
        <w:rPr>
          <w:rFonts w:hAnsi="Times New Roman"/>
          <w:color w:val="auto"/>
          <w:highlight w:val="none"/>
          <w:lang w:eastAsia="zh-CN"/>
        </w:rPr>
        <w:t>“</w:t>
      </w:r>
      <w:r>
        <w:rPr>
          <w:rFonts w:hint="eastAsia"/>
          <w:color w:val="auto"/>
          <w:highlight w:val="none"/>
          <w:lang w:eastAsia="zh-CN"/>
        </w:rPr>
        <w:t>导管注浆封孔法</w:t>
      </w:r>
      <w:r>
        <w:rPr>
          <w:rFonts w:hAnsi="Times New Roman"/>
          <w:color w:val="auto"/>
          <w:highlight w:val="none"/>
          <w:lang w:eastAsia="zh-CN"/>
        </w:rPr>
        <w:t>”</w:t>
      </w:r>
      <w:r>
        <w:rPr>
          <w:rFonts w:hint="eastAsia"/>
          <w:color w:val="auto"/>
          <w:highlight w:val="none"/>
          <w:lang w:eastAsia="zh-CN"/>
        </w:rPr>
        <w:t>封孔。</w:t>
      </w:r>
    </w:p>
    <w:p w14:paraId="2D82F4BD">
      <w:pPr>
        <w:ind w:firstLine="420"/>
        <w:jc w:val="left"/>
        <w:rPr>
          <w:color w:val="auto"/>
          <w:highlight w:val="none"/>
          <w:lang w:eastAsia="zh-CN"/>
        </w:rPr>
      </w:pPr>
      <w:r>
        <w:rPr>
          <w:rFonts w:hint="eastAsia"/>
          <w:color w:val="auto"/>
          <w:highlight w:val="none"/>
          <w:lang w:eastAsia="zh-CN"/>
        </w:rPr>
        <w:t>（</w:t>
      </w:r>
      <w:r>
        <w:rPr>
          <w:rFonts w:hAnsi="Times New Roman"/>
          <w:color w:val="auto"/>
          <w:highlight w:val="none"/>
          <w:lang w:eastAsia="zh-CN"/>
        </w:rPr>
        <w:t>5</w:t>
      </w:r>
      <w:r>
        <w:rPr>
          <w:rFonts w:hint="eastAsia"/>
          <w:color w:val="auto"/>
          <w:highlight w:val="none"/>
          <w:lang w:eastAsia="zh-CN"/>
        </w:rPr>
        <w:t>）承包人应保证灌浆作业环境的清洁。喷溅到永久建筑物上的浆液必须立即清除。</w:t>
      </w:r>
    </w:p>
    <w:p w14:paraId="12956CF8">
      <w:pPr>
        <w:pStyle w:val="5"/>
        <w:jc w:val="left"/>
        <w:rPr>
          <w:rFonts w:hAnsi="楷体" w:cs="楷体"/>
          <w:color w:val="auto"/>
          <w:highlight w:val="none"/>
          <w:lang w:eastAsia="zh-CN"/>
        </w:rPr>
      </w:pPr>
      <w:r>
        <w:rPr>
          <w:rFonts w:hAnsi="Times New Roman" w:cs="Times New Roman"/>
          <w:color w:val="auto"/>
          <w:highlight w:val="none"/>
          <w:lang w:eastAsia="zh-CN"/>
        </w:rPr>
        <w:t>10.9.2</w:t>
      </w:r>
      <w:r>
        <w:rPr>
          <w:rFonts w:hint="eastAsia" w:hAnsi="Times New Roman" w:cs="Times New Roman"/>
          <w:color w:val="auto"/>
          <w:highlight w:val="none"/>
          <w:lang w:eastAsia="zh-CN"/>
        </w:rPr>
        <w:t>　</w:t>
      </w:r>
      <w:r>
        <w:rPr>
          <w:rFonts w:hint="eastAsia" w:hAnsi="楷体" w:cs="楷体"/>
          <w:color w:val="auto"/>
          <w:highlight w:val="none"/>
          <w:lang w:eastAsia="zh-CN"/>
        </w:rPr>
        <w:t>超前</w:t>
      </w:r>
      <w:r>
        <w:rPr>
          <w:rFonts w:hAnsi="楷体" w:cs="楷体"/>
          <w:color w:val="auto"/>
          <w:highlight w:val="none"/>
          <w:lang w:eastAsia="zh-CN"/>
        </w:rPr>
        <w:t>灌浆</w:t>
      </w:r>
    </w:p>
    <w:p w14:paraId="0EB5A007">
      <w:pPr>
        <w:pStyle w:val="5"/>
        <w:jc w:val="left"/>
        <w:outlineLvl w:val="9"/>
        <w:rPr>
          <w:rFonts w:eastAsia="宋体"/>
          <w:color w:val="auto"/>
          <w:highlight w:val="none"/>
          <w:lang w:eastAsia="zh-CN"/>
        </w:rPr>
      </w:pPr>
      <w:bookmarkStart w:id="2003" w:name="_Toc12983"/>
      <w:bookmarkStart w:id="2004" w:name="_Toc7538"/>
      <w:r>
        <w:rPr>
          <w:rFonts w:eastAsia="宋体"/>
          <w:color w:val="auto"/>
          <w:highlight w:val="none"/>
          <w:lang w:eastAsia="zh-CN"/>
        </w:rPr>
        <w:t>10.9.2.1</w:t>
      </w:r>
      <w:r>
        <w:rPr>
          <w:rFonts w:hint="eastAsia"/>
          <w:color w:val="auto"/>
          <w:highlight w:val="none"/>
          <w:lang w:eastAsia="zh-CN"/>
        </w:rPr>
        <w:t>　</w:t>
      </w:r>
      <w:r>
        <w:rPr>
          <w:rFonts w:hint="eastAsia" w:eastAsia="宋体"/>
          <w:color w:val="auto"/>
          <w:highlight w:val="none"/>
          <w:lang w:eastAsia="zh-CN"/>
        </w:rPr>
        <w:t>一般要求</w:t>
      </w:r>
      <w:bookmarkEnd w:id="2003"/>
      <w:bookmarkEnd w:id="2004"/>
    </w:p>
    <w:p w14:paraId="664EA8FF">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为确保施工安全，在特殊不良地质洞段，承包人应根据掌子面前方超前地质预报判断的围岩破碎和赋水情况，高度重视超前灌浆的重要性和复杂性，按照设计文件总体要求，提出针对性的开挖支护措施及超前处理具体措施（不限于超前灌浆）报监理人批准，或按监理人指示实施。</w:t>
      </w:r>
    </w:p>
    <w:p w14:paraId="59F389AF">
      <w:pPr>
        <w:suppressAutoHyphens/>
        <w:ind w:firstLine="420"/>
        <w:jc w:val="left"/>
        <w:rPr>
          <w:color w:val="auto"/>
          <w:highlight w:val="none"/>
          <w:lang w:eastAsia="zh-CN"/>
        </w:rPr>
      </w:pPr>
      <w:r>
        <w:rPr>
          <w:rFonts w:hint="eastAsia"/>
          <w:color w:val="auto"/>
          <w:highlight w:val="none"/>
          <w:lang w:eastAsia="zh-CN"/>
        </w:rPr>
        <w:t>（2）承包人应充分重视地质预测预报工作，并作充分的技术准备、设备设施准备以及应急预案准备。</w:t>
      </w:r>
    </w:p>
    <w:p w14:paraId="6CD21CE3">
      <w:pPr>
        <w:suppressAutoHyphens/>
        <w:ind w:firstLine="420"/>
        <w:jc w:val="left"/>
        <w:rPr>
          <w:color w:val="auto"/>
          <w:highlight w:val="none"/>
          <w:lang w:eastAsia="zh-CN"/>
        </w:rPr>
      </w:pPr>
      <w:r>
        <w:rPr>
          <w:rFonts w:hint="eastAsia"/>
          <w:color w:val="auto"/>
          <w:highlight w:val="none"/>
          <w:lang w:eastAsia="zh-CN"/>
        </w:rPr>
        <w:t>（3）各部位超前灌浆实施初期，承包人应按设计文件要求或监理人指示，布置1～2个先导孔，以进一步勘探地层情况，先导孔深度可较超前灌浆长度长5m～10m，先导孔地质资料（含出水情况）应及时提交监理人，以根据先导孔情况进一步调整超前灌浆实施方案。</w:t>
      </w:r>
    </w:p>
    <w:p w14:paraId="78DCB19B">
      <w:pPr>
        <w:pStyle w:val="5"/>
        <w:jc w:val="left"/>
        <w:outlineLvl w:val="9"/>
        <w:rPr>
          <w:rFonts w:eastAsia="宋体"/>
          <w:color w:val="auto"/>
          <w:highlight w:val="none"/>
          <w:lang w:eastAsia="zh-CN"/>
        </w:rPr>
      </w:pPr>
      <w:bookmarkStart w:id="2005" w:name="_Toc9887"/>
      <w:bookmarkStart w:id="2006" w:name="_Toc2151"/>
      <w:r>
        <w:rPr>
          <w:rFonts w:eastAsia="宋体"/>
          <w:color w:val="auto"/>
          <w:highlight w:val="none"/>
          <w:lang w:eastAsia="zh-CN"/>
        </w:rPr>
        <w:t>10.9.2.2</w:t>
      </w:r>
      <w:r>
        <w:rPr>
          <w:rFonts w:hint="eastAsia"/>
          <w:color w:val="auto"/>
          <w:highlight w:val="none"/>
          <w:lang w:eastAsia="zh-CN"/>
        </w:rPr>
        <w:t>　</w:t>
      </w:r>
      <w:r>
        <w:rPr>
          <w:rFonts w:hint="eastAsia" w:eastAsia="宋体"/>
          <w:color w:val="auto"/>
          <w:highlight w:val="none"/>
          <w:lang w:eastAsia="zh-CN"/>
        </w:rPr>
        <w:t>洞内常规超前灌浆</w:t>
      </w:r>
      <w:bookmarkEnd w:id="2005"/>
      <w:bookmarkEnd w:id="2006"/>
    </w:p>
    <w:p w14:paraId="26D52875">
      <w:pPr>
        <w:suppressAutoHyphens/>
        <w:ind w:firstLine="420"/>
        <w:jc w:val="left"/>
        <w:rPr>
          <w:color w:val="auto"/>
          <w:highlight w:val="none"/>
          <w:lang w:eastAsia="zh-CN"/>
        </w:rPr>
      </w:pPr>
      <w:r>
        <w:rPr>
          <w:rFonts w:hint="eastAsia"/>
          <w:color w:val="auto"/>
          <w:highlight w:val="none"/>
          <w:lang w:eastAsia="zh-CN"/>
        </w:rPr>
        <w:t>（1）针对未进行地表超前灌浆、洞内定向钻超前灌浆处理的涌水突泥（含大流量涌水）高风险洞段，使用洞内常规超前灌浆进行处理。</w:t>
      </w:r>
    </w:p>
    <w:p w14:paraId="33216C2C">
      <w:pPr>
        <w:suppressAutoHyphens/>
        <w:ind w:firstLine="420"/>
        <w:jc w:val="left"/>
        <w:rPr>
          <w:color w:val="auto"/>
          <w:highlight w:val="none"/>
          <w:lang w:eastAsia="zh-CN"/>
        </w:rPr>
      </w:pPr>
      <w:r>
        <w:rPr>
          <w:rFonts w:hint="eastAsia"/>
          <w:color w:val="auto"/>
          <w:highlight w:val="none"/>
          <w:lang w:eastAsia="zh-CN"/>
        </w:rPr>
        <w:t>（2）钻爆法开挖洞段洞内常规超前灌浆为在掌子面设置止浆墙形成工作面，由工作面向开挖方向钻伞型辐射状灌浆孔进行超前灌浆。每循环灌浆完成后隧洞开挖保留一定厚度的止浆岩盘，再进行下一循环超前钻孔和灌浆。</w:t>
      </w:r>
    </w:p>
    <w:p w14:paraId="1CB7EE62">
      <w:pPr>
        <w:suppressAutoHyphens/>
        <w:ind w:firstLine="420"/>
        <w:jc w:val="left"/>
        <w:rPr>
          <w:color w:val="auto"/>
          <w:highlight w:val="none"/>
          <w:lang w:eastAsia="zh-CN"/>
        </w:rPr>
      </w:pPr>
      <w:r>
        <w:rPr>
          <w:rFonts w:hint="eastAsia"/>
          <w:color w:val="auto"/>
          <w:highlight w:val="none"/>
          <w:lang w:eastAsia="zh-CN"/>
        </w:rPr>
        <w:t>（3）超前灌浆根据掌子面前围岩情况可对掌子面前方围岩周圈、周圈的局部、部分断面或全断面进行超前灌浆。</w:t>
      </w:r>
    </w:p>
    <w:p w14:paraId="2B955A1A">
      <w:pPr>
        <w:suppressAutoHyphens/>
        <w:ind w:firstLine="420"/>
        <w:jc w:val="left"/>
        <w:rPr>
          <w:color w:val="auto"/>
          <w:highlight w:val="none"/>
          <w:lang w:eastAsia="zh-CN"/>
        </w:rPr>
      </w:pPr>
      <w:r>
        <w:rPr>
          <w:rFonts w:hint="eastAsia"/>
          <w:color w:val="auto"/>
          <w:highlight w:val="none"/>
          <w:lang w:eastAsia="zh-CN"/>
        </w:rPr>
        <w:t>（4）洞内常规超前灌浆采用自外而里分段，纯压式灌浆。灌浆顺序按照先周边后中间的顺序，由外向内灌注。同一圈孔分两序或三序施工。</w:t>
      </w:r>
    </w:p>
    <w:p w14:paraId="63376B46">
      <w:pPr>
        <w:suppressAutoHyphens/>
        <w:ind w:firstLine="420"/>
        <w:jc w:val="left"/>
        <w:rPr>
          <w:color w:val="auto"/>
          <w:highlight w:val="none"/>
          <w:lang w:eastAsia="zh-CN"/>
        </w:rPr>
      </w:pPr>
      <w:r>
        <w:rPr>
          <w:rFonts w:hint="eastAsia"/>
          <w:color w:val="auto"/>
          <w:highlight w:val="none"/>
          <w:lang w:eastAsia="zh-CN"/>
        </w:rPr>
        <w:t>（5）超前灌浆材料一般采用纯水泥浆液或水泥-水玻璃双液灌浆进行灌浆。针对地下水特备丰富或者钻孔涌水量很大的部位，视需要采用聚氨酯进行化学灌浆。针对断层泥、泥化碎屑带等普通水泥灌后不满足要求的部位，视需要采用水泥—环氧树脂复合灌浆。洞内常规超前灌浆具体灌浆工艺和参数需根据现场灌浆试验进一步研究确定。</w:t>
      </w:r>
    </w:p>
    <w:p w14:paraId="03DA4744">
      <w:pPr>
        <w:suppressAutoHyphens/>
        <w:ind w:firstLine="420"/>
        <w:jc w:val="left"/>
        <w:rPr>
          <w:color w:val="auto"/>
          <w:highlight w:val="none"/>
          <w:lang w:eastAsia="zh-CN"/>
        </w:rPr>
      </w:pPr>
      <w:r>
        <w:rPr>
          <w:rFonts w:hint="eastAsia"/>
          <w:color w:val="auto"/>
          <w:highlight w:val="none"/>
          <w:lang w:eastAsia="zh-CN"/>
        </w:rPr>
        <w:t>（6）采用普通水泥灌注时，浆液一般采用2：1、1：1、0.7：1、0.5：1（重量比）等四个比级。灌浆浆液应由稀到浓逐级变换，浆液变换遵守SL/T62-2020相关内容。</w:t>
      </w:r>
    </w:p>
    <w:p w14:paraId="492FAA90">
      <w:pPr>
        <w:suppressAutoHyphens/>
        <w:ind w:firstLine="420"/>
        <w:jc w:val="left"/>
        <w:rPr>
          <w:color w:val="auto"/>
          <w:highlight w:val="none"/>
          <w:lang w:eastAsia="zh-CN"/>
        </w:rPr>
      </w:pPr>
      <w:r>
        <w:rPr>
          <w:rFonts w:hint="eastAsia"/>
          <w:color w:val="auto"/>
          <w:highlight w:val="none"/>
          <w:lang w:eastAsia="zh-CN"/>
        </w:rPr>
        <w:t>（7）最大灌浆压力暂定为4MPa～6MPa或2倍实测灌浆段所在部位的外水压力，具体需根据围岩地质条件及外水压力情况，并经灌浆试验确定。升压过程中应保持灌浆压力与注入率相匹配，防止发生岩体抬动。</w:t>
      </w:r>
    </w:p>
    <w:p w14:paraId="62E967A9">
      <w:pPr>
        <w:suppressAutoHyphens/>
        <w:ind w:firstLine="420"/>
        <w:jc w:val="left"/>
        <w:rPr>
          <w:color w:val="auto"/>
          <w:highlight w:val="none"/>
          <w:lang w:eastAsia="zh-CN"/>
        </w:rPr>
      </w:pPr>
      <w:r>
        <w:rPr>
          <w:rFonts w:hint="eastAsia"/>
          <w:color w:val="auto"/>
          <w:highlight w:val="none"/>
          <w:lang w:eastAsia="zh-CN"/>
        </w:rPr>
        <w:t>（8）采用水泥-水玻璃双液灌浆灌注时，灌浆材料满足JC/T2536中相关要求，且不得污染工程区周边环境水文地质条件。水玻璃可在水泥浆液中掺入。水玻璃的品种及掺量、浆液变换原则等，应根据工程情况、室内试验和灌浆试验确定。</w:t>
      </w:r>
    </w:p>
    <w:p w14:paraId="677ED0A3">
      <w:pPr>
        <w:suppressAutoHyphens/>
        <w:ind w:firstLine="420"/>
        <w:jc w:val="left"/>
        <w:rPr>
          <w:color w:val="auto"/>
          <w:highlight w:val="none"/>
          <w:lang w:eastAsia="zh-CN"/>
        </w:rPr>
      </w:pPr>
      <w:r>
        <w:rPr>
          <w:rFonts w:hint="eastAsia"/>
          <w:color w:val="auto"/>
          <w:highlight w:val="none"/>
          <w:lang w:eastAsia="zh-CN"/>
        </w:rPr>
        <w:t>（9）采用聚氨酯或环氧树脂进行灌注时，灌浆压力和灌浆结束标准应按化灌材料的供货说明书的要求和监理人的指示，并通过现场化学灌浆试验选定，试验成果应提交监理人。</w:t>
      </w:r>
    </w:p>
    <w:p w14:paraId="36865D42">
      <w:pPr>
        <w:suppressAutoHyphens/>
        <w:ind w:firstLine="420"/>
        <w:jc w:val="left"/>
        <w:rPr>
          <w:color w:val="auto"/>
          <w:highlight w:val="none"/>
          <w:lang w:eastAsia="zh-CN"/>
        </w:rPr>
      </w:pPr>
      <w:r>
        <w:rPr>
          <w:rFonts w:hint="eastAsia"/>
          <w:color w:val="auto"/>
          <w:highlight w:val="none"/>
          <w:lang w:eastAsia="zh-CN"/>
        </w:rPr>
        <w:t>（10）对孔口有涌水的孔段，灌浆前应测记涌水压力和涌水量，根据涌水情况，按监理人的指示可选用下述方法综合处理：</w:t>
      </w:r>
    </w:p>
    <w:p w14:paraId="7457ADF6">
      <w:pPr>
        <w:suppressAutoHyphens/>
        <w:ind w:firstLine="420"/>
        <w:jc w:val="left"/>
        <w:rPr>
          <w:color w:val="auto"/>
          <w:highlight w:val="none"/>
          <w:lang w:eastAsia="zh-CN"/>
        </w:rPr>
      </w:pPr>
      <w:r>
        <w:rPr>
          <w:rFonts w:hint="eastAsia"/>
          <w:color w:val="auto"/>
          <w:highlight w:val="none"/>
          <w:lang w:eastAsia="zh-CN"/>
        </w:rPr>
        <w:t>1）缩短段长，对涌水段单独灌浆；</w:t>
      </w:r>
    </w:p>
    <w:p w14:paraId="430345BB">
      <w:pPr>
        <w:suppressAutoHyphens/>
        <w:ind w:firstLine="420"/>
        <w:jc w:val="left"/>
        <w:rPr>
          <w:color w:val="auto"/>
          <w:highlight w:val="none"/>
          <w:lang w:eastAsia="zh-CN"/>
        </w:rPr>
      </w:pPr>
      <w:r>
        <w:rPr>
          <w:rFonts w:hint="eastAsia"/>
          <w:color w:val="auto"/>
          <w:highlight w:val="none"/>
          <w:lang w:eastAsia="zh-CN"/>
        </w:rPr>
        <w:t>2）相应提高灌浆压力，一般按设计灌浆压力+涌水压力作为实际灌浆压力控制；</w:t>
      </w:r>
    </w:p>
    <w:p w14:paraId="682C0FDE">
      <w:pPr>
        <w:suppressAutoHyphens/>
        <w:ind w:firstLine="420"/>
        <w:jc w:val="left"/>
        <w:rPr>
          <w:color w:val="auto"/>
          <w:highlight w:val="none"/>
          <w:lang w:eastAsia="zh-CN"/>
        </w:rPr>
      </w:pPr>
      <w:r>
        <w:rPr>
          <w:rFonts w:hint="eastAsia"/>
          <w:color w:val="auto"/>
          <w:highlight w:val="none"/>
          <w:lang w:eastAsia="zh-CN"/>
        </w:rPr>
        <w:t>3）灌浆结束后采取屏浆措施，屏浆时间不少于1h；</w:t>
      </w:r>
    </w:p>
    <w:p w14:paraId="11428E68">
      <w:pPr>
        <w:suppressAutoHyphens/>
        <w:ind w:firstLine="420"/>
        <w:jc w:val="left"/>
        <w:rPr>
          <w:color w:val="auto"/>
          <w:highlight w:val="none"/>
          <w:lang w:eastAsia="zh-CN"/>
        </w:rPr>
      </w:pPr>
      <w:r>
        <w:rPr>
          <w:rFonts w:hint="eastAsia"/>
          <w:color w:val="auto"/>
          <w:highlight w:val="none"/>
          <w:lang w:eastAsia="zh-CN"/>
        </w:rPr>
        <w:t>4）闭浆待凝。灌浆管路系统拆除后应将孔内注满浓浆，孔口封闭待凝，闭浆待凝时间根据涌水压力和注入量决定。</w:t>
      </w:r>
    </w:p>
    <w:p w14:paraId="68F2133D">
      <w:pPr>
        <w:suppressAutoHyphens/>
        <w:ind w:firstLine="420"/>
        <w:jc w:val="left"/>
        <w:rPr>
          <w:color w:val="auto"/>
          <w:highlight w:val="none"/>
          <w:lang w:eastAsia="zh-CN"/>
        </w:rPr>
      </w:pPr>
      <w:r>
        <w:rPr>
          <w:rFonts w:hint="eastAsia"/>
          <w:color w:val="auto"/>
          <w:highlight w:val="none"/>
          <w:lang w:eastAsia="zh-CN"/>
        </w:rPr>
        <w:t>5）涌水孔段经上述处理后，扫孔至该段孔底，观察涌水情况，视需要进行复灌。必要时，可在浆液中掺加适量速凝剂，浆液胶凝时间按不小于30min控制，其掺量需通过现场和室内试验确定。</w:t>
      </w:r>
    </w:p>
    <w:p w14:paraId="08BF5AEE">
      <w:pPr>
        <w:suppressAutoHyphens/>
        <w:ind w:firstLine="420"/>
        <w:jc w:val="left"/>
        <w:rPr>
          <w:color w:val="auto"/>
          <w:highlight w:val="none"/>
          <w:lang w:eastAsia="zh-CN"/>
        </w:rPr>
      </w:pPr>
      <w:r>
        <w:rPr>
          <w:rFonts w:hint="eastAsia"/>
          <w:color w:val="auto"/>
          <w:highlight w:val="none"/>
          <w:lang w:eastAsia="zh-CN"/>
        </w:rPr>
        <w:t>6）孔口设置孔口管并采用速凝材料镶铸，同时备足阻塞器等应急设备和物质，发生大的涌水时，根据监理人指示视需要阻塞灌浆孔，防止倒灌等安全事故。</w:t>
      </w:r>
    </w:p>
    <w:p w14:paraId="3ACAB0CD">
      <w:pPr>
        <w:suppressAutoHyphens/>
        <w:ind w:firstLine="420"/>
        <w:jc w:val="left"/>
        <w:rPr>
          <w:color w:val="auto"/>
          <w:highlight w:val="none"/>
          <w:lang w:eastAsia="zh-CN"/>
        </w:rPr>
      </w:pPr>
      <w:r>
        <w:rPr>
          <w:rFonts w:hint="eastAsia"/>
          <w:color w:val="auto"/>
          <w:highlight w:val="none"/>
          <w:lang w:eastAsia="zh-CN"/>
        </w:rPr>
        <w:t>（11）超前灌浆检查标准应以分析检查孔涌水量为主，结合压水试验成果、物探测试成果、钻孔岩芯、灌浆记录等进行综合评定。检查孔压水试验检查合格标准暂定为灌后基岩透水率q≤3Lu，涌水量检查合格标准暂定小于0.5L/m·min。超前灌浆具体质量检查标准等需结合灌浆试验进一步研究确定。</w:t>
      </w:r>
    </w:p>
    <w:p w14:paraId="6502AF51">
      <w:pPr>
        <w:pStyle w:val="5"/>
        <w:jc w:val="left"/>
        <w:outlineLvl w:val="9"/>
        <w:rPr>
          <w:rFonts w:eastAsia="宋体"/>
          <w:color w:val="auto"/>
          <w:highlight w:val="none"/>
          <w:lang w:eastAsia="zh-CN"/>
        </w:rPr>
      </w:pPr>
      <w:bookmarkStart w:id="2007" w:name="_Toc7000"/>
      <w:bookmarkStart w:id="2008" w:name="_Toc3491"/>
      <w:r>
        <w:rPr>
          <w:rFonts w:eastAsia="宋体"/>
          <w:color w:val="auto"/>
          <w:highlight w:val="none"/>
          <w:lang w:eastAsia="zh-CN"/>
        </w:rPr>
        <w:t>10.9.2.3</w:t>
      </w:r>
      <w:r>
        <w:rPr>
          <w:rFonts w:hint="eastAsia"/>
          <w:color w:val="auto"/>
          <w:highlight w:val="none"/>
          <w:lang w:eastAsia="zh-CN"/>
        </w:rPr>
        <w:t>　</w:t>
      </w:r>
      <w:r>
        <w:rPr>
          <w:rFonts w:hint="eastAsia" w:eastAsia="宋体"/>
          <w:color w:val="auto"/>
          <w:highlight w:val="none"/>
          <w:lang w:eastAsia="zh-CN"/>
        </w:rPr>
        <w:t>定向钻超前灌浆</w:t>
      </w:r>
      <w:bookmarkEnd w:id="2007"/>
      <w:bookmarkEnd w:id="2008"/>
    </w:p>
    <w:p w14:paraId="48E7F7ED">
      <w:pPr>
        <w:suppressAutoHyphens/>
        <w:ind w:firstLine="420"/>
        <w:jc w:val="left"/>
        <w:rPr>
          <w:color w:val="auto"/>
          <w:highlight w:val="none"/>
          <w:lang w:eastAsia="zh-CN"/>
        </w:rPr>
      </w:pPr>
      <w:r>
        <w:rPr>
          <w:rFonts w:hint="eastAsia"/>
          <w:color w:val="auto"/>
          <w:highlight w:val="none"/>
          <w:lang w:eastAsia="zh-CN"/>
        </w:rPr>
        <w:t>（1）定向钻超前灌浆为地表定向钻超前灌浆。</w:t>
      </w:r>
    </w:p>
    <w:p w14:paraId="162A4FEC">
      <w:pPr>
        <w:suppressAutoHyphens/>
        <w:ind w:firstLine="420"/>
        <w:jc w:val="left"/>
        <w:rPr>
          <w:color w:val="auto"/>
          <w:highlight w:val="none"/>
          <w:lang w:eastAsia="zh-CN"/>
        </w:rPr>
      </w:pPr>
      <w:r>
        <w:rPr>
          <w:rFonts w:hint="eastAsia"/>
          <w:color w:val="auto"/>
          <w:highlight w:val="none"/>
          <w:lang w:eastAsia="zh-CN"/>
        </w:rPr>
        <w:t>（2）地表定向钻超前灌浆一般用于TBM施工的涌水突泥极高风险和高外水问题的洞段，具体地表定向钻灌浆的部位，根据施工期进一步分析研究后确定。定向钻灌浆实施方案报监理人批准，经监理人同意后，方可开始进场和施工。</w:t>
      </w:r>
    </w:p>
    <w:p w14:paraId="04AC298F">
      <w:pPr>
        <w:suppressAutoHyphens/>
        <w:ind w:firstLine="420"/>
        <w:jc w:val="left"/>
        <w:rPr>
          <w:color w:val="auto"/>
          <w:highlight w:val="none"/>
          <w:lang w:eastAsia="zh-CN"/>
        </w:rPr>
      </w:pPr>
      <w:r>
        <w:rPr>
          <w:rFonts w:hint="eastAsia"/>
          <w:color w:val="auto"/>
          <w:highlight w:val="none"/>
          <w:lang w:eastAsia="zh-CN"/>
        </w:rPr>
        <w:t>（3）为更精确了解断裂带及影响带的地质情况，试验地表定向钻施工工艺，为后续施工提供参考，在每一处地表定向钻超前灌浆部位选择一个钻孔作为试验孔，进行超前勘探及生产性灌浆试验。后续灌浆孔的孔数、布置及灌浆参数等根据先导孔勘探及灌浆试验的成果进一步研究确定。</w:t>
      </w:r>
    </w:p>
    <w:p w14:paraId="58E083B6">
      <w:pPr>
        <w:suppressAutoHyphens/>
        <w:ind w:firstLine="420"/>
        <w:jc w:val="left"/>
        <w:rPr>
          <w:color w:val="auto"/>
          <w:highlight w:val="none"/>
          <w:lang w:eastAsia="zh-CN"/>
        </w:rPr>
      </w:pPr>
      <w:r>
        <w:rPr>
          <w:rFonts w:hint="eastAsia"/>
          <w:color w:val="auto"/>
          <w:highlight w:val="none"/>
          <w:lang w:eastAsia="zh-CN"/>
        </w:rPr>
        <w:t>（4）定向钻超前灌浆一般采用改性单液水泥浆液或水泥-水玻璃双浆液进行灌浆，水泥采用42.5级普通硅酸盐水泥。针对地下水特别丰富或者钻孔涌水量很大的部位，采用聚氨酯进行化学灌浆。当断层物质成分含泥量高，或以碎粉岩、细砂为主时，水泥灌浆存在可灌性差、灌后结石强度低等问题，灌浆圈岩体灌后强度及抗渗性能难以满足要求，存在洞段开挖后高外水压力下渗透破坏击穿的风险，视需要可采用改性水玻璃或环氧树脂等材料进行复合灌浆。具体灌浆材料需根据灌浆试验进一步研究确定。</w:t>
      </w:r>
    </w:p>
    <w:p w14:paraId="6D48AD3B">
      <w:pPr>
        <w:suppressAutoHyphens/>
        <w:ind w:firstLine="420"/>
        <w:jc w:val="left"/>
        <w:rPr>
          <w:color w:val="auto"/>
          <w:highlight w:val="none"/>
          <w:lang w:eastAsia="zh-CN"/>
        </w:rPr>
      </w:pPr>
      <w:r>
        <w:rPr>
          <w:rFonts w:hint="eastAsia"/>
          <w:color w:val="auto"/>
          <w:highlight w:val="none"/>
          <w:lang w:eastAsia="zh-CN"/>
        </w:rPr>
        <w:t>（5）地表定向钻超前灌浆根据各部位不同的地质条件，采用（但不限于）自上而下花管灌浆法、孔口封闭灌浆法或定向钻套阀管灌浆法，最终根据灌浆试验成果确定。各灌浆方法的要求为：</w:t>
      </w:r>
    </w:p>
    <w:p w14:paraId="577D2D30">
      <w:pPr>
        <w:suppressAutoHyphens/>
        <w:ind w:firstLine="420"/>
        <w:jc w:val="left"/>
        <w:rPr>
          <w:color w:val="auto"/>
          <w:highlight w:val="none"/>
          <w:lang w:eastAsia="zh-CN"/>
        </w:rPr>
      </w:pPr>
      <w:r>
        <w:rPr>
          <w:rFonts w:hint="eastAsia"/>
          <w:color w:val="auto"/>
          <w:highlight w:val="none"/>
          <w:lang w:eastAsia="zh-CN"/>
        </w:rPr>
        <w:t>1）自上而下花管灌浆法</w:t>
      </w:r>
    </w:p>
    <w:p w14:paraId="61F300E9">
      <w:pPr>
        <w:suppressAutoHyphens/>
        <w:ind w:firstLine="420"/>
        <w:jc w:val="left"/>
        <w:rPr>
          <w:color w:val="auto"/>
          <w:highlight w:val="none"/>
          <w:lang w:eastAsia="zh-CN"/>
        </w:rPr>
      </w:pPr>
      <w:r>
        <w:rPr>
          <w:rFonts w:hint="eastAsia"/>
          <w:color w:val="auto"/>
          <w:highlight w:val="none"/>
          <w:lang w:eastAsia="zh-CN"/>
        </w:rPr>
        <w:t>钻孔由上到下分为孔口段、造斜段和灌浆段三部分，钻孔结构分为三级，下入石油套管，分别为：①一开孔口表土段，孔径</w:t>
      </w:r>
      <w:r>
        <w:rPr>
          <w:rFonts w:hint="eastAsia"/>
          <w:color w:val="auto"/>
          <w:highlight w:val="none"/>
        </w:rPr>
        <w:t>Φ</w:t>
      </w:r>
      <w:r>
        <w:rPr>
          <w:rFonts w:hint="eastAsia"/>
          <w:color w:val="auto"/>
          <w:highlight w:val="none"/>
          <w:lang w:eastAsia="zh-CN"/>
        </w:rPr>
        <w:t>311.1mm，下入</w:t>
      </w:r>
      <w:r>
        <w:rPr>
          <w:rFonts w:hint="eastAsia"/>
          <w:color w:val="auto"/>
          <w:highlight w:val="none"/>
        </w:rPr>
        <w:t>Φ</w:t>
      </w:r>
      <w:r>
        <w:rPr>
          <w:rFonts w:hint="eastAsia"/>
          <w:color w:val="auto"/>
          <w:highlight w:val="none"/>
          <w:lang w:eastAsia="zh-CN"/>
        </w:rPr>
        <w:t>244.5×8.94mm套管串，并用水泥浆全段固管至孔口；②二开造斜段，孔径</w:t>
      </w:r>
      <w:r>
        <w:rPr>
          <w:rFonts w:hint="eastAsia"/>
          <w:color w:val="auto"/>
          <w:highlight w:val="none"/>
        </w:rPr>
        <w:t>Φ</w:t>
      </w:r>
      <w:r>
        <w:rPr>
          <w:rFonts w:hint="eastAsia"/>
          <w:color w:val="auto"/>
          <w:highlight w:val="none"/>
          <w:lang w:eastAsia="zh-CN"/>
        </w:rPr>
        <w:t>215.9mm，在主孔造斜段下入</w:t>
      </w:r>
      <w:r>
        <w:rPr>
          <w:rFonts w:hint="eastAsia"/>
          <w:color w:val="auto"/>
          <w:highlight w:val="none"/>
        </w:rPr>
        <w:t>Φ</w:t>
      </w:r>
      <w:r>
        <w:rPr>
          <w:rFonts w:hint="eastAsia"/>
          <w:color w:val="auto"/>
          <w:highlight w:val="none"/>
          <w:lang w:eastAsia="zh-CN"/>
        </w:rPr>
        <w:t>177.8×8.05mm套管串，底部至分支孔的分叉点，并用水泥浆全段固管至孔口；③三开水平灌浆段，孔径</w:t>
      </w:r>
      <w:r>
        <w:rPr>
          <w:rFonts w:hint="eastAsia"/>
          <w:color w:val="auto"/>
          <w:highlight w:val="none"/>
        </w:rPr>
        <w:t>Φ</w:t>
      </w:r>
      <w:r>
        <w:rPr>
          <w:rFonts w:hint="eastAsia"/>
          <w:color w:val="auto"/>
          <w:highlight w:val="none"/>
          <w:lang w:eastAsia="zh-CN"/>
        </w:rPr>
        <w:t>152.4mm，下入</w:t>
      </w:r>
      <w:r>
        <w:rPr>
          <w:rFonts w:hint="eastAsia"/>
          <w:color w:val="auto"/>
          <w:highlight w:val="none"/>
        </w:rPr>
        <w:t>Φ</w:t>
      </w:r>
      <w:r>
        <w:rPr>
          <w:rFonts w:hint="eastAsia"/>
          <w:color w:val="auto"/>
          <w:highlight w:val="none"/>
          <w:lang w:eastAsia="zh-CN"/>
        </w:rPr>
        <w:t>133×6mm花管串至孔底。</w:t>
      </w:r>
    </w:p>
    <w:p w14:paraId="2CEF7769">
      <w:pPr>
        <w:suppressAutoHyphens/>
        <w:ind w:firstLine="420"/>
        <w:jc w:val="left"/>
        <w:rPr>
          <w:color w:val="auto"/>
          <w:highlight w:val="none"/>
          <w:lang w:eastAsia="zh-CN"/>
        </w:rPr>
      </w:pPr>
      <w:r>
        <w:rPr>
          <w:rFonts w:hint="eastAsia"/>
          <w:color w:val="auto"/>
          <w:highlight w:val="none"/>
          <w:lang w:eastAsia="zh-CN"/>
        </w:rPr>
        <w:t>灌浆主要针对隧洞周边的三开水平段进行，分为两阶段，包括“成孔”灌浆和“加固”灌浆。“成孔”灌浆在随三开水平灌浆段钻进过程中进行，采用自上而下分段灌浆，钻进一段灌浆一段，灌浆目的为固结孔壁及封堵大的过水通道，保证水平灌浆段钻孔成孔，为水平灌浆孔内钢花管的下放创造条件，灌浆段长30m～60m，灌浆压力暂定3MPa～6MPa。水平段成孔条件较好部位，也可以不进行“成孔”灌浆。</w:t>
      </w:r>
    </w:p>
    <w:p w14:paraId="7888FA69">
      <w:pPr>
        <w:suppressAutoHyphens/>
        <w:ind w:firstLine="420"/>
        <w:jc w:val="left"/>
        <w:rPr>
          <w:color w:val="auto"/>
          <w:highlight w:val="none"/>
          <w:lang w:eastAsia="zh-CN"/>
        </w:rPr>
      </w:pPr>
      <w:r>
        <w:rPr>
          <w:rFonts w:hint="eastAsia"/>
          <w:color w:val="auto"/>
          <w:highlight w:val="none"/>
          <w:lang w:eastAsia="zh-CN"/>
        </w:rPr>
        <w:t>“成孔”灌浆完成后在水平灌浆段下放钢花管，并填充填料铸管，花管固管完成后，在花管内采用阻塞器分段阻塞，自上而下分段灌浆，“加固”灌浆阶段灌浆段长一般为10m～30m，在施工过程中可以依据施工情况进行动态调整。</w:t>
      </w:r>
    </w:p>
    <w:p w14:paraId="1949AF8C">
      <w:pPr>
        <w:suppressAutoHyphens/>
        <w:ind w:firstLine="420"/>
        <w:jc w:val="left"/>
        <w:rPr>
          <w:color w:val="auto"/>
          <w:highlight w:val="none"/>
          <w:lang w:eastAsia="zh-CN"/>
        </w:rPr>
      </w:pPr>
      <w:r>
        <w:rPr>
          <w:rFonts w:hint="eastAsia"/>
          <w:color w:val="auto"/>
          <w:highlight w:val="none"/>
          <w:lang w:eastAsia="zh-CN"/>
        </w:rPr>
        <w:t>2）孔口封闭灌浆法</w:t>
      </w:r>
    </w:p>
    <w:p w14:paraId="5524207F">
      <w:pPr>
        <w:suppressAutoHyphens/>
        <w:ind w:firstLine="420"/>
        <w:jc w:val="left"/>
        <w:rPr>
          <w:color w:val="auto"/>
          <w:highlight w:val="none"/>
          <w:lang w:eastAsia="zh-CN"/>
        </w:rPr>
      </w:pPr>
      <w:r>
        <w:rPr>
          <w:rFonts w:hint="eastAsia"/>
          <w:color w:val="auto"/>
          <w:highlight w:val="none"/>
          <w:lang w:eastAsia="zh-CN"/>
        </w:rPr>
        <w:t>孔口封闭灌浆法钻孔结构与自上而下花管灌浆法一致，灌浆的主要区别为：合并“成孔”灌浆和“加固”灌浆，为防止软弱破碎部位灌浆阻塞下放困难、卡塞或浆液绕塞的问题，保证灌浆阻塞效果，阻塞器定点阻塞在已灌浆段基岩或上部较完整岩体中，自上而下分段钻进和灌浆，段长为10m～30m。</w:t>
      </w:r>
    </w:p>
    <w:p w14:paraId="0FABD065">
      <w:pPr>
        <w:suppressAutoHyphens/>
        <w:ind w:firstLine="420"/>
        <w:jc w:val="left"/>
        <w:rPr>
          <w:color w:val="auto"/>
          <w:highlight w:val="none"/>
          <w:lang w:eastAsia="zh-CN"/>
        </w:rPr>
      </w:pPr>
      <w:r>
        <w:rPr>
          <w:rFonts w:hint="eastAsia"/>
          <w:color w:val="auto"/>
          <w:highlight w:val="none"/>
          <w:lang w:eastAsia="zh-CN"/>
        </w:rPr>
        <w:t>3）套阀管灌浆法</w:t>
      </w:r>
    </w:p>
    <w:p w14:paraId="39211E8E">
      <w:pPr>
        <w:suppressAutoHyphens/>
        <w:ind w:firstLine="420"/>
        <w:jc w:val="left"/>
        <w:rPr>
          <w:color w:val="auto"/>
          <w:highlight w:val="none"/>
          <w:lang w:eastAsia="zh-CN"/>
        </w:rPr>
      </w:pPr>
      <w:r>
        <w:rPr>
          <w:rFonts w:hint="eastAsia"/>
          <w:color w:val="auto"/>
          <w:highlight w:val="none"/>
          <w:lang w:eastAsia="zh-CN"/>
        </w:rPr>
        <w:t>定向钻套阀管灌浆施工程序中，钻孔程序、钻孔结构、“成孔”灌浆、下管与自上而下花管灌浆法基本一致，灌浆的区别在于：花管替换为套阀管，在套阀管内安装双灌浆塞，分段进行灌浆，灌浆自下而上连续进行，采用纯压式灌浆，每次灌注长度暂定为3m～8m，结束后上提灌浆塞灌注下一段。</w:t>
      </w:r>
    </w:p>
    <w:p w14:paraId="2833D275">
      <w:pPr>
        <w:suppressAutoHyphens/>
        <w:ind w:firstLine="420"/>
        <w:jc w:val="left"/>
        <w:rPr>
          <w:color w:val="auto"/>
          <w:highlight w:val="none"/>
          <w:lang w:eastAsia="zh-CN"/>
        </w:rPr>
      </w:pPr>
      <w:r>
        <w:rPr>
          <w:rFonts w:hint="eastAsia"/>
          <w:color w:val="auto"/>
          <w:highlight w:val="none"/>
          <w:lang w:eastAsia="zh-CN"/>
        </w:rPr>
        <w:t>（6）定向钻超前灌浆顺序一般分两序施工。</w:t>
      </w:r>
    </w:p>
    <w:p w14:paraId="47F4A327">
      <w:pPr>
        <w:suppressAutoHyphens/>
        <w:ind w:firstLine="420"/>
        <w:jc w:val="left"/>
        <w:rPr>
          <w:color w:val="auto"/>
          <w:highlight w:val="none"/>
          <w:lang w:eastAsia="zh-CN"/>
        </w:rPr>
      </w:pPr>
      <w:r>
        <w:rPr>
          <w:rFonts w:hint="eastAsia"/>
          <w:color w:val="auto"/>
          <w:highlight w:val="none"/>
          <w:lang w:eastAsia="zh-CN"/>
        </w:rPr>
        <w:t>（7）灌浆压力初拟为6MPa～15MPa。孔深小于或等于400m的灌浆段终压值一般为静水压力的2.5～3倍；孔深大于400m的灌浆段终压值一般为静水压力值的2～2.5倍。化学浆液灌浆时，灌浆压力应适当降低。</w:t>
      </w:r>
    </w:p>
    <w:p w14:paraId="360BC6B1">
      <w:pPr>
        <w:suppressAutoHyphens/>
        <w:ind w:firstLine="420"/>
        <w:jc w:val="left"/>
        <w:rPr>
          <w:color w:val="auto"/>
          <w:highlight w:val="none"/>
          <w:lang w:eastAsia="zh-CN"/>
        </w:rPr>
      </w:pPr>
      <w:r>
        <w:rPr>
          <w:rFonts w:hint="eastAsia"/>
          <w:color w:val="auto"/>
          <w:highlight w:val="none"/>
          <w:lang w:eastAsia="zh-CN"/>
        </w:rPr>
        <w:t>（8）由于定向钻超前灌浆压力大，定向灌浆应在临近或相关隧洞开挖之前实施完成；灌浆过程中应对周边地面、水塘、水井及建（构）筑物进行巡视，避免灌浆影响周边地表环境或建（构）筑物安全及正常使用，发现异常及时降压或暂停灌注，并报告监理人。</w:t>
      </w:r>
    </w:p>
    <w:p w14:paraId="0881C4CE">
      <w:pPr>
        <w:ind w:firstLine="420"/>
        <w:jc w:val="left"/>
        <w:rPr>
          <w:rFonts w:hAnsi="楷体" w:cs="楷体"/>
          <w:color w:val="auto"/>
          <w:highlight w:val="none"/>
          <w:lang w:eastAsia="zh-CN"/>
        </w:rPr>
      </w:pPr>
      <w:r>
        <w:rPr>
          <w:rFonts w:hint="eastAsia"/>
          <w:color w:val="auto"/>
          <w:highlight w:val="none"/>
          <w:lang w:eastAsia="zh-CN"/>
        </w:rPr>
        <w:t>（9）地表定向钻超前灌浆质量检查标准基于灌浆资料分析、钻孔压水检查、孔内声波测试、取芯测试及物探等方法综合评定，具体包括：①分析灌前压水试验成果及各序钻孔灌浆过程中灌浆压力、灌浆量、灌浆流量、P-Q-t曲线；②分析检查钻孔取芯率，利用检查孔进行压水试验；③测试结石体的力学指标，如强度、弹性模量等。④物探方法：孔内电视摄像、音频大地电磁测深等。超前灌浆具体质量检查标准等需结合灌浆试验进一步研究确定。</w:t>
      </w:r>
    </w:p>
    <w:p w14:paraId="30BA70BC">
      <w:pPr>
        <w:pStyle w:val="5"/>
        <w:jc w:val="left"/>
        <w:rPr>
          <w:rFonts w:cs="黑体"/>
          <w:color w:val="auto"/>
          <w:highlight w:val="none"/>
          <w:lang w:eastAsia="zh-CN"/>
        </w:rPr>
      </w:pPr>
      <w:r>
        <w:rPr>
          <w:rFonts w:hAnsi="Times New Roman" w:cs="Times New Roman"/>
          <w:color w:val="auto"/>
          <w:highlight w:val="none"/>
          <w:lang w:eastAsia="zh-CN"/>
        </w:rPr>
        <w:t>10.9.3</w:t>
      </w:r>
      <w:r>
        <w:rPr>
          <w:rFonts w:hint="eastAsia" w:hAnsi="Times New Roman" w:cs="Times New Roman"/>
          <w:color w:val="auto"/>
          <w:highlight w:val="none"/>
          <w:lang w:eastAsia="zh-CN"/>
        </w:rPr>
        <w:t>　</w:t>
      </w:r>
      <w:r>
        <w:rPr>
          <w:rFonts w:hint="eastAsia"/>
          <w:color w:val="auto"/>
          <w:highlight w:val="none"/>
          <w:lang w:eastAsia="zh-CN"/>
        </w:rPr>
        <w:t>围岩</w:t>
      </w:r>
      <w:r>
        <w:rPr>
          <w:rFonts w:hint="eastAsia" w:cs="黑体"/>
          <w:color w:val="auto"/>
          <w:highlight w:val="none"/>
          <w:lang w:eastAsia="zh-CN"/>
        </w:rPr>
        <w:t>防渗灌浆和团结灌浆</w:t>
      </w:r>
    </w:p>
    <w:p w14:paraId="36FAAC1C">
      <w:pPr>
        <w:suppressAutoHyphens/>
        <w:ind w:firstLine="420"/>
        <w:jc w:val="left"/>
        <w:rPr>
          <w:color w:val="auto"/>
          <w:highlight w:val="none"/>
          <w:lang w:eastAsia="zh-CN"/>
        </w:rPr>
      </w:pPr>
      <w:r>
        <w:rPr>
          <w:rFonts w:hint="eastAsia"/>
          <w:color w:val="auto"/>
          <w:highlight w:val="none"/>
          <w:lang w:eastAsia="zh-CN"/>
        </w:rPr>
        <w:t>（1）围岩防渗灌浆和固结灌浆孔的钻孔应按施工图纸或监理人指示的孔位采用适宜的钻孔机械进行钻孔，孔深和孔向均应满足施工图纸要求。钢筋混凝土衬砌段在混凝土衬砌预埋导向管中钻孔；管片衬砌段在管片预留孔中钻孔。导向管采用钢管，内径不小于钻孔直径，导向管应孔向准确，浇筑混凝土时固定牢固。</w:t>
      </w:r>
    </w:p>
    <w:p w14:paraId="72BDEC2C">
      <w:pPr>
        <w:suppressAutoHyphens/>
        <w:ind w:firstLine="420"/>
        <w:jc w:val="left"/>
        <w:rPr>
          <w:color w:val="auto"/>
          <w:highlight w:val="none"/>
          <w:lang w:eastAsia="zh-CN"/>
        </w:rPr>
      </w:pPr>
      <w:r>
        <w:rPr>
          <w:rFonts w:hint="eastAsia"/>
          <w:color w:val="auto"/>
          <w:highlight w:val="none"/>
          <w:lang w:eastAsia="zh-CN"/>
        </w:rPr>
        <w:t>（2）隧洞围岩防渗灌浆和固结灌浆应在隧洞混凝土衬砌、顶拱回填灌浆、管片豆砾石回填完成并检查合格后方可开始实施。</w:t>
      </w:r>
    </w:p>
    <w:p w14:paraId="401C8412">
      <w:pPr>
        <w:suppressAutoHyphens/>
        <w:ind w:firstLine="420"/>
        <w:jc w:val="left"/>
        <w:rPr>
          <w:color w:val="auto"/>
          <w:highlight w:val="none"/>
          <w:lang w:eastAsia="zh-CN"/>
        </w:rPr>
      </w:pPr>
      <w:r>
        <w:rPr>
          <w:rFonts w:hint="eastAsia"/>
          <w:color w:val="auto"/>
          <w:highlight w:val="none"/>
          <w:lang w:eastAsia="zh-CN"/>
        </w:rPr>
        <w:t>（3）为避免围岩渗流压力影响隧洞结构稳定性，承包人应针对性组织好隧洞混凝土衬砌、回填灌浆、管片豆砾石回填、隧洞围岩灌浆、固结灌浆和减压孔施工。隧洞围岩防渗灌浆、固结灌浆及减压孔对洞室安全有影响的洞段，应根据参建各方的要求及时完成围岩防渗灌浆、固结灌浆及减压孔施工。</w:t>
      </w:r>
    </w:p>
    <w:p w14:paraId="04FF5F17">
      <w:pPr>
        <w:suppressAutoHyphens/>
        <w:ind w:firstLine="420"/>
        <w:jc w:val="left"/>
        <w:rPr>
          <w:color w:val="auto"/>
          <w:highlight w:val="none"/>
          <w:lang w:eastAsia="zh-CN"/>
        </w:rPr>
      </w:pPr>
      <w:r>
        <w:rPr>
          <w:rFonts w:hint="eastAsia"/>
          <w:color w:val="auto"/>
          <w:highlight w:val="none"/>
          <w:lang w:eastAsia="zh-CN"/>
        </w:rPr>
        <w:t>（4）围岩防渗灌浆和固结灌浆应按施工图纸要求或监理人指示，按环间分序、环内加密的原则进行。</w:t>
      </w:r>
      <w:r>
        <w:rPr>
          <w:rFonts w:hint="eastAsia" w:cs="宋体"/>
          <w:color w:val="auto"/>
          <w:highlight w:val="none"/>
          <w:lang w:eastAsia="zh-CN"/>
        </w:rPr>
        <w:t>围岩防渗灌浆</w:t>
      </w:r>
      <w:r>
        <w:rPr>
          <w:rFonts w:hint="eastAsia"/>
          <w:color w:val="auto"/>
          <w:highlight w:val="none"/>
          <w:lang w:eastAsia="zh-CN"/>
        </w:rPr>
        <w:t>和固结灌浆</w:t>
      </w:r>
      <w:r>
        <w:rPr>
          <w:rFonts w:hint="eastAsia" w:cs="宋体"/>
          <w:color w:val="auto"/>
          <w:highlight w:val="none"/>
          <w:lang w:eastAsia="zh-CN"/>
        </w:rPr>
        <w:t>分两序施工，局部Ⅰ序孔注入量小的部位，视现场情况优化调整Ⅱ序孔。</w:t>
      </w:r>
    </w:p>
    <w:p w14:paraId="3DEE062B">
      <w:pPr>
        <w:suppressAutoHyphens/>
        <w:ind w:firstLine="420"/>
        <w:jc w:val="left"/>
        <w:rPr>
          <w:color w:val="auto"/>
          <w:highlight w:val="none"/>
          <w:lang w:eastAsia="zh-CN"/>
        </w:rPr>
      </w:pPr>
      <w:r>
        <w:rPr>
          <w:rFonts w:hint="eastAsia"/>
          <w:color w:val="auto"/>
          <w:highlight w:val="none"/>
          <w:lang w:eastAsia="zh-CN"/>
        </w:rPr>
        <w:t>（5）围岩防渗灌浆和固结灌浆压水试验和灌浆过程中，应严密监视岩体变形、表面裂缝的产生及发展等，当注入率异常或衬砌（喷混凝土层）开裂时不再升压，并报监理人研究讨论处理方案。</w:t>
      </w:r>
    </w:p>
    <w:p w14:paraId="14BC1CE7">
      <w:pPr>
        <w:suppressAutoHyphens/>
        <w:ind w:firstLine="420"/>
        <w:jc w:val="left"/>
        <w:rPr>
          <w:color w:val="auto"/>
          <w:highlight w:val="none"/>
          <w:lang w:eastAsia="zh-CN"/>
        </w:rPr>
      </w:pPr>
      <w:r>
        <w:rPr>
          <w:rFonts w:hint="eastAsia"/>
          <w:color w:val="auto"/>
          <w:highlight w:val="none"/>
          <w:lang w:eastAsia="zh-CN"/>
        </w:rPr>
        <w:t>（6）承包人应在灌浆前，对灌浆孔（段）进行钻孔冲洗、裂隙冲洗，冲洗压力可为灌浆压力的80%，若该值大于1MPa时，采用1MPa。</w:t>
      </w:r>
    </w:p>
    <w:p w14:paraId="7F3A3E7E">
      <w:pPr>
        <w:suppressAutoHyphens/>
        <w:ind w:firstLine="420"/>
        <w:jc w:val="left"/>
        <w:rPr>
          <w:color w:val="auto"/>
          <w:highlight w:val="none"/>
          <w:lang w:eastAsia="zh-CN"/>
        </w:rPr>
      </w:pPr>
      <w:r>
        <w:rPr>
          <w:rFonts w:hint="eastAsia"/>
          <w:color w:val="auto"/>
          <w:highlight w:val="none"/>
          <w:lang w:eastAsia="zh-CN"/>
        </w:rPr>
        <w:t>（7）围岩防渗灌浆和固结灌浆孔可在各序孔中选取不少于5%的灌浆孔在灌浆前进行简易压水试验。简易压水试验可结合裂隙冲洗进行。</w:t>
      </w:r>
    </w:p>
    <w:p w14:paraId="204875D8">
      <w:pPr>
        <w:suppressAutoHyphens/>
        <w:ind w:firstLine="420"/>
        <w:jc w:val="left"/>
        <w:rPr>
          <w:color w:val="auto"/>
          <w:highlight w:val="none"/>
          <w:lang w:eastAsia="zh-CN"/>
        </w:rPr>
      </w:pPr>
      <w:r>
        <w:rPr>
          <w:rFonts w:hint="eastAsia"/>
          <w:color w:val="auto"/>
          <w:highlight w:val="none"/>
          <w:lang w:eastAsia="zh-CN"/>
        </w:rPr>
        <w:t>（8）围岩防渗灌浆和固结灌浆孔采用自上而下分段（自孔口至孔底）阻塞灌浆法施工。灌浆段长划分一般为：第1段（孔口段）3m，第2段及以下各段长度为5m，终孔段（孔底段）长度可根据实际情况适当调整，但最大段长不得大于7m。当围岩固结灌浆孔入岩深度不大于6m时，可采用全孔一段灌浆。</w:t>
      </w:r>
    </w:p>
    <w:p w14:paraId="7AB17E53">
      <w:pPr>
        <w:suppressAutoHyphens/>
        <w:ind w:firstLine="420"/>
        <w:jc w:val="left"/>
        <w:rPr>
          <w:color w:val="auto"/>
          <w:highlight w:val="none"/>
          <w:lang w:eastAsia="zh-CN"/>
        </w:rPr>
      </w:pPr>
      <w:r>
        <w:rPr>
          <w:rFonts w:hint="eastAsia"/>
          <w:color w:val="auto"/>
          <w:highlight w:val="none"/>
          <w:lang w:eastAsia="zh-CN"/>
        </w:rPr>
        <w:t>（9）灌浆孔接触段阻塞底部在基岩内0.5m处，其余各段阻塞在灌浆段顶以上0.5m～1.0m处。</w:t>
      </w:r>
    </w:p>
    <w:p w14:paraId="71090A54">
      <w:pPr>
        <w:suppressAutoHyphens/>
        <w:ind w:firstLine="420"/>
        <w:jc w:val="left"/>
        <w:rPr>
          <w:color w:val="auto"/>
          <w:highlight w:val="none"/>
          <w:lang w:eastAsia="zh-CN"/>
        </w:rPr>
      </w:pPr>
      <w:r>
        <w:rPr>
          <w:rFonts w:hint="eastAsia"/>
          <w:color w:val="auto"/>
          <w:highlight w:val="none"/>
        </w:rPr>
        <w:t>（10）灌浆压力初定为：Ⅰ序孔第1段0.6MPa～0.8MPa，第2段1.2MPa～1.5MPa，第3段1.5MPa～2.0MPa；Ⅱ序孔第1段0.8MPa～1.0MPa，第2段1.5MPa～2.0MPa，第3段2.0MPa～2.5MPa。</w:t>
      </w:r>
      <w:r>
        <w:rPr>
          <w:rFonts w:hint="eastAsia"/>
          <w:color w:val="auto"/>
          <w:highlight w:val="none"/>
          <w:lang w:eastAsia="zh-CN"/>
        </w:rPr>
        <w:t>具体灌浆压力根据现场灌浆试验成果进一步确定。升压过程中应保持灌浆压力与注入率相匹配，同时加强周边结构的检查和巡视，防止发生岩体或建筑物抬动破坏。</w:t>
      </w:r>
    </w:p>
    <w:p w14:paraId="3838E99A">
      <w:pPr>
        <w:suppressAutoHyphens/>
        <w:ind w:firstLine="420"/>
        <w:jc w:val="left"/>
        <w:rPr>
          <w:color w:val="auto"/>
          <w:highlight w:val="none"/>
          <w:lang w:eastAsia="zh-CN"/>
        </w:rPr>
      </w:pPr>
      <w:r>
        <w:rPr>
          <w:rFonts w:hint="eastAsia"/>
          <w:color w:val="auto"/>
          <w:highlight w:val="none"/>
          <w:lang w:eastAsia="zh-CN"/>
        </w:rPr>
        <w:t>（11）一般部位采用水泥灌浆，水泥采用42.5级普通硅酸盐水泥，地下水具有硫酸盐型腐蚀洞段采用抗硫酸盐水泥。针对微裂隙发育部位，视需要采用超细水泥灌浆。浆液由稀到浓逐级变换。普通水泥浆液水灰比采用3:1、2:1、1:1、0.7:1、0.5:1（重量比）等5个比级，超细水泥浆液水灰比采用3:1、2:1、1:1、0.5:1（重量比）等4个比级。水泥浆液开灌水灰比3:1。</w:t>
      </w:r>
    </w:p>
    <w:p w14:paraId="7F28D4AD">
      <w:pPr>
        <w:suppressAutoHyphens/>
        <w:ind w:firstLine="420"/>
        <w:jc w:val="left"/>
        <w:rPr>
          <w:color w:val="auto"/>
          <w:highlight w:val="none"/>
          <w:lang w:eastAsia="zh-CN"/>
        </w:rPr>
      </w:pPr>
      <w:r>
        <w:rPr>
          <w:rFonts w:hint="eastAsia"/>
          <w:color w:val="auto"/>
          <w:highlight w:val="none"/>
          <w:lang w:eastAsia="zh-CN"/>
        </w:rPr>
        <w:t>（12）当遇断（裂）层破碎带物质成分含泥量高，或以碎粉岩、细砂为主时，水泥灌浆难以满足要求时，视需要采用环氧树脂、丙烯酸盐进行复合灌浆，即先采用水泥浆液进行灌浆，再采用环氧树脂或丙烯酸盐进行化学灌浆。化学灌浆压力和灌浆结束标准应通过现场化学灌浆试验选定。试验成果应提交监理人。</w:t>
      </w:r>
    </w:p>
    <w:p w14:paraId="5299CF58">
      <w:pPr>
        <w:suppressAutoHyphens/>
        <w:ind w:firstLine="420"/>
        <w:jc w:val="left"/>
        <w:rPr>
          <w:color w:val="auto"/>
          <w:highlight w:val="none"/>
          <w:lang w:eastAsia="zh-CN"/>
        </w:rPr>
      </w:pPr>
      <w:r>
        <w:rPr>
          <w:rFonts w:hint="eastAsia"/>
          <w:color w:val="auto"/>
          <w:highlight w:val="none"/>
          <w:lang w:eastAsia="zh-CN"/>
        </w:rPr>
        <w:t>（13）对孔口有涌水的孔段，灌浆前应测记涌水压力和涌水量，根据涌水情况，按监理人的指示可选用下述方法综合处理：</w:t>
      </w:r>
    </w:p>
    <w:p w14:paraId="14995931">
      <w:pPr>
        <w:suppressAutoHyphens/>
        <w:ind w:firstLine="420"/>
        <w:jc w:val="left"/>
        <w:rPr>
          <w:color w:val="auto"/>
          <w:highlight w:val="none"/>
          <w:lang w:eastAsia="zh-CN"/>
        </w:rPr>
      </w:pPr>
      <w:r>
        <w:rPr>
          <w:rFonts w:hint="eastAsia"/>
          <w:color w:val="auto"/>
          <w:highlight w:val="none"/>
          <w:lang w:eastAsia="zh-CN"/>
        </w:rPr>
        <w:t>1）缩短段长，对涌水段单独灌浆；</w:t>
      </w:r>
    </w:p>
    <w:p w14:paraId="6A392626">
      <w:pPr>
        <w:suppressAutoHyphens/>
        <w:ind w:firstLine="420"/>
        <w:jc w:val="left"/>
        <w:rPr>
          <w:color w:val="auto"/>
          <w:highlight w:val="none"/>
          <w:lang w:eastAsia="zh-CN"/>
        </w:rPr>
      </w:pPr>
      <w:r>
        <w:rPr>
          <w:rFonts w:hint="eastAsia"/>
          <w:color w:val="auto"/>
          <w:highlight w:val="none"/>
          <w:lang w:eastAsia="zh-CN"/>
        </w:rPr>
        <w:t>2）相应提高灌浆压力，一般按设计灌浆压力+涌水压力作为实际灌浆压力控制；</w:t>
      </w:r>
    </w:p>
    <w:p w14:paraId="2BB887D9">
      <w:pPr>
        <w:suppressAutoHyphens/>
        <w:ind w:firstLine="420"/>
        <w:jc w:val="left"/>
        <w:rPr>
          <w:color w:val="auto"/>
          <w:highlight w:val="none"/>
          <w:lang w:eastAsia="zh-CN"/>
        </w:rPr>
      </w:pPr>
      <w:r>
        <w:rPr>
          <w:rFonts w:hint="eastAsia"/>
          <w:color w:val="auto"/>
          <w:highlight w:val="none"/>
          <w:lang w:eastAsia="zh-CN"/>
        </w:rPr>
        <w:t>3）灌浆结束后采取屏浆措施，屏浆时间不少于1h；</w:t>
      </w:r>
    </w:p>
    <w:p w14:paraId="0932630B">
      <w:pPr>
        <w:suppressAutoHyphens/>
        <w:ind w:firstLine="420"/>
        <w:jc w:val="left"/>
        <w:rPr>
          <w:color w:val="auto"/>
          <w:highlight w:val="none"/>
          <w:lang w:eastAsia="zh-CN"/>
        </w:rPr>
      </w:pPr>
      <w:r>
        <w:rPr>
          <w:rFonts w:hint="eastAsia"/>
          <w:color w:val="auto"/>
          <w:highlight w:val="none"/>
          <w:lang w:eastAsia="zh-CN"/>
        </w:rPr>
        <w:t>4）闭浆待凝。灌浆管路系统拆除后应将孔内注满浓浆，孔口封闭待凝，闭浆待凝时间根据涌水压力和注入量决定。一般涌水压力小于0.1MPa，且单位注入量小于20kg/m时，待凝不少于12h；涌水压力大于0.1MPa，或单位注入量大于20kg/m时，待凝不少于24h。</w:t>
      </w:r>
    </w:p>
    <w:p w14:paraId="1AC70DF6">
      <w:pPr>
        <w:suppressAutoHyphens/>
        <w:ind w:firstLine="420"/>
        <w:jc w:val="left"/>
        <w:rPr>
          <w:color w:val="auto"/>
          <w:highlight w:val="none"/>
          <w:lang w:eastAsia="zh-CN"/>
        </w:rPr>
      </w:pPr>
      <w:r>
        <w:rPr>
          <w:rFonts w:hint="eastAsia"/>
          <w:color w:val="auto"/>
          <w:highlight w:val="none"/>
          <w:lang w:eastAsia="zh-CN"/>
        </w:rPr>
        <w:t>5）涌水孔段经上述处理后，扫孔至该段孔底，观察涌水情况。若无涌水或涌水较小（≤3L/min），可进行下一段灌浆，若仍有较大涌水（＞3L/min），应再次测记涌水流量、涌水压力，并进行复灌。必要时，可在浆液中掺加适量速凝剂，浆液胶凝时间按不小于30min控制，其掺量需通过现场和室内试验确定。</w:t>
      </w:r>
    </w:p>
    <w:p w14:paraId="5DDB9C7B">
      <w:pPr>
        <w:suppressAutoHyphens/>
        <w:ind w:firstLine="420"/>
        <w:jc w:val="left"/>
        <w:rPr>
          <w:color w:val="auto"/>
          <w:highlight w:val="none"/>
          <w:lang w:eastAsia="zh-CN"/>
        </w:rPr>
      </w:pPr>
      <w:r>
        <w:rPr>
          <w:rFonts w:hint="eastAsia"/>
          <w:color w:val="auto"/>
          <w:highlight w:val="none"/>
          <w:lang w:eastAsia="zh-CN"/>
        </w:rPr>
        <w:t>5）有涌水孔段计算基岩透水率时应考虑涌水压力。</w:t>
      </w:r>
    </w:p>
    <w:p w14:paraId="19C60A06">
      <w:pPr>
        <w:suppressAutoHyphens/>
        <w:ind w:firstLine="420"/>
        <w:jc w:val="left"/>
        <w:rPr>
          <w:color w:val="auto"/>
          <w:highlight w:val="none"/>
          <w:lang w:eastAsia="zh-CN"/>
        </w:rPr>
      </w:pPr>
      <w:r>
        <w:rPr>
          <w:rFonts w:hint="eastAsia"/>
          <w:color w:val="auto"/>
          <w:highlight w:val="none"/>
          <w:lang w:eastAsia="zh-CN"/>
        </w:rPr>
        <w:t>（14）灌浆段在最大设计压力下，当注入率不大于1L/min后，屏浆30min，屏浆期间平均注入率不大于1L/min时，可结束灌浆。</w:t>
      </w:r>
    </w:p>
    <w:p w14:paraId="702F7970">
      <w:pPr>
        <w:suppressAutoHyphens/>
        <w:ind w:firstLine="420"/>
        <w:jc w:val="left"/>
        <w:rPr>
          <w:color w:val="auto"/>
          <w:highlight w:val="none"/>
          <w:lang w:eastAsia="zh-CN"/>
        </w:rPr>
      </w:pPr>
      <w:r>
        <w:rPr>
          <w:rFonts w:hint="eastAsia"/>
          <w:color w:val="auto"/>
          <w:highlight w:val="none"/>
          <w:lang w:eastAsia="zh-CN"/>
        </w:rPr>
        <w:t>（15）防渗灌浆和固结灌浆孔封孔应采用全孔灌浆法封孔，封孔必须使用新鲜的普通水泥浆液，水灰比采用</w:t>
      </w:r>
      <w:r>
        <w:rPr>
          <w:color w:val="auto"/>
          <w:highlight w:val="none"/>
          <w:lang w:eastAsia="zh-CN"/>
        </w:rPr>
        <w:t>0.5:1</w:t>
      </w:r>
      <w:r>
        <w:rPr>
          <w:rFonts w:hint="eastAsia"/>
          <w:color w:val="auto"/>
          <w:highlight w:val="none"/>
          <w:lang w:eastAsia="zh-CN"/>
        </w:rPr>
        <w:t>。封孔灌浆完成，待孔内水泥浆液凝固后，应清除孔内污水、浮浆，若上部空余孔段大于</w:t>
      </w:r>
      <w:r>
        <w:rPr>
          <w:color w:val="auto"/>
          <w:highlight w:val="none"/>
          <w:lang w:eastAsia="zh-CN"/>
        </w:rPr>
        <w:t>3m</w:t>
      </w:r>
      <w:r>
        <w:rPr>
          <w:rFonts w:hint="eastAsia"/>
          <w:color w:val="auto"/>
          <w:highlight w:val="none"/>
          <w:lang w:eastAsia="zh-CN"/>
        </w:rPr>
        <w:t>时，继续采用“导管注浆法”进行封孔；小于</w:t>
      </w:r>
      <w:r>
        <w:rPr>
          <w:color w:val="auto"/>
          <w:highlight w:val="none"/>
          <w:lang w:eastAsia="zh-CN"/>
        </w:rPr>
        <w:t>3m</w:t>
      </w:r>
      <w:r>
        <w:rPr>
          <w:rFonts w:hint="eastAsia"/>
          <w:color w:val="auto"/>
          <w:highlight w:val="none"/>
          <w:lang w:eastAsia="zh-CN"/>
        </w:rPr>
        <w:t>时可使用水泥砂浆封填密实；最后孔口用微膨胀水泥砂浆抹平，水泥砂浆强度等级不低于C40，防渗等级不低于W12。</w:t>
      </w:r>
    </w:p>
    <w:p w14:paraId="2BF4E78E">
      <w:pPr>
        <w:suppressAutoHyphens/>
        <w:ind w:firstLine="420"/>
        <w:jc w:val="left"/>
        <w:rPr>
          <w:color w:val="auto"/>
          <w:highlight w:val="none"/>
          <w:lang w:eastAsia="zh-CN"/>
        </w:rPr>
      </w:pPr>
      <w:r>
        <w:rPr>
          <w:rFonts w:hint="eastAsia"/>
          <w:color w:val="auto"/>
          <w:highlight w:val="none"/>
          <w:lang w:eastAsia="zh-CN"/>
        </w:rPr>
        <w:t>（16）围岩防渗灌浆检查标准以分析检查孔压水试验成果、物探声波测试、钻孔岩芯、灌浆记录和洞室减压孔渗漏情况等进行综合评定。压水试验检查合格标准为：一般洞段灌后基岩透水率q≤3Lu，渗水量大（Q≥10m</w:t>
      </w:r>
      <w:r>
        <w:rPr>
          <w:color w:val="auto"/>
          <w:highlight w:val="none"/>
          <w:vertAlign w:val="superscript"/>
          <w:lang w:eastAsia="zh-CN"/>
        </w:rPr>
        <w:t>3</w:t>
      </w:r>
      <w:r>
        <w:rPr>
          <w:rFonts w:hint="eastAsia"/>
          <w:color w:val="auto"/>
          <w:highlight w:val="none"/>
          <w:lang w:eastAsia="zh-CN"/>
        </w:rPr>
        <w:t>/d·m）的洞段和断层部位灌后基岩透水率q≤2Lu。渗水量合格标准为：一般洞段部位灌后渗水量Q＜3m</w:t>
      </w:r>
      <w:r>
        <w:rPr>
          <w:color w:val="auto"/>
          <w:highlight w:val="none"/>
          <w:vertAlign w:val="superscript"/>
          <w:lang w:eastAsia="zh-CN"/>
        </w:rPr>
        <w:t>3</w:t>
      </w:r>
      <w:r>
        <w:rPr>
          <w:rFonts w:hint="eastAsia"/>
          <w:color w:val="auto"/>
          <w:highlight w:val="none"/>
          <w:lang w:eastAsia="zh-CN"/>
        </w:rPr>
        <w:t>/d·m，渗水量大（Q≥18m</w:t>
      </w:r>
      <w:r>
        <w:rPr>
          <w:color w:val="auto"/>
          <w:highlight w:val="none"/>
          <w:vertAlign w:val="superscript"/>
          <w:lang w:eastAsia="zh-CN"/>
        </w:rPr>
        <w:t>3</w:t>
      </w:r>
      <w:r>
        <w:rPr>
          <w:rFonts w:hint="eastAsia"/>
          <w:color w:val="auto"/>
          <w:highlight w:val="none"/>
          <w:lang w:eastAsia="zh-CN"/>
        </w:rPr>
        <w:t>/d·m）的洞段和断层部位灌后渗水量Q＜10m</w:t>
      </w:r>
      <w:r>
        <w:rPr>
          <w:color w:val="auto"/>
          <w:highlight w:val="none"/>
          <w:vertAlign w:val="superscript"/>
          <w:lang w:eastAsia="zh-CN"/>
        </w:rPr>
        <w:t>3</w:t>
      </w:r>
      <w:r>
        <w:rPr>
          <w:rFonts w:hint="eastAsia"/>
          <w:color w:val="auto"/>
          <w:highlight w:val="none"/>
          <w:lang w:eastAsia="zh-CN"/>
        </w:rPr>
        <w:t>/d·m。物探测试合格标准分岩性和围岩类别按单孔声波和跨孔声波进行控制，具体根据现场生产性试验成果确定。</w:t>
      </w:r>
    </w:p>
    <w:p w14:paraId="415A08CF">
      <w:pPr>
        <w:suppressAutoHyphens/>
        <w:ind w:firstLine="420"/>
        <w:jc w:val="left"/>
        <w:rPr>
          <w:color w:val="auto"/>
          <w:highlight w:val="none"/>
          <w:lang w:eastAsia="zh-CN"/>
        </w:rPr>
      </w:pPr>
      <w:r>
        <w:rPr>
          <w:rFonts w:hint="eastAsia"/>
          <w:color w:val="auto"/>
          <w:highlight w:val="none"/>
          <w:lang w:eastAsia="zh-CN"/>
        </w:rPr>
        <w:t>（17）固结灌浆检查以分析检查孔压水试验成果、物探测试成果、钻孔岩芯、灌浆记录等进行综合评定。压水试验检查合格标准为灌后基岩透水率q≤3Lu。物探测试合格标准分岩性和围岩类别按单孔声波和跨孔声波进行控制，具体根据现场生产性试验成果确定。</w:t>
      </w:r>
    </w:p>
    <w:p w14:paraId="387E73E0">
      <w:pPr>
        <w:suppressAutoHyphens/>
        <w:ind w:firstLine="420"/>
        <w:jc w:val="left"/>
        <w:rPr>
          <w:color w:val="auto"/>
          <w:highlight w:val="none"/>
          <w:lang w:eastAsia="zh-CN"/>
        </w:rPr>
      </w:pPr>
      <w:r>
        <w:rPr>
          <w:rFonts w:hint="eastAsia"/>
          <w:color w:val="auto"/>
          <w:highlight w:val="none"/>
          <w:lang w:eastAsia="zh-CN"/>
        </w:rPr>
        <w:t>（18）围岩防渗灌浆和固结灌浆压水试验检查应在该部位灌浆结束3天后进行，灌浆结束后，承包人应按要求在指定的时间内将灌浆记录和有关资料提交给监理人，以便拟定检查孔的孔位。检查孔的数量不应少于灌浆孔总数的5％，检查孔一般利用混凝土衬砌或管片内预留的减压孔孔位布置。压水试验试验采用单点法，按SL/T62执行，孔段合格率应在85％以上，不合格孔段的透水率值不超过设计规定值的150％，且不集中，灌浆质量可认为合格。</w:t>
      </w:r>
    </w:p>
    <w:p w14:paraId="11C89F76">
      <w:pPr>
        <w:suppressAutoHyphens/>
        <w:ind w:firstLine="420"/>
        <w:jc w:val="left"/>
        <w:rPr>
          <w:color w:val="auto"/>
          <w:highlight w:val="none"/>
          <w:lang w:eastAsia="zh-CN"/>
        </w:rPr>
      </w:pPr>
      <w:r>
        <w:rPr>
          <w:rFonts w:hint="eastAsia"/>
          <w:color w:val="auto"/>
          <w:highlight w:val="none"/>
          <w:lang w:eastAsia="zh-CN"/>
        </w:rPr>
        <w:t>（19）在检查工作结束后，应按SL/T62要求对设计减压孔深度以下的孔段封孔，上部作为减压孔。</w:t>
      </w:r>
    </w:p>
    <w:p w14:paraId="4498E615">
      <w:pPr>
        <w:ind w:firstLine="420"/>
        <w:jc w:val="left"/>
        <w:rPr>
          <w:rFonts w:cs="黑体"/>
          <w:color w:val="auto"/>
          <w:highlight w:val="none"/>
          <w:lang w:eastAsia="zh-CN"/>
        </w:rPr>
      </w:pPr>
      <w:r>
        <w:rPr>
          <w:rFonts w:hint="eastAsia"/>
          <w:color w:val="auto"/>
          <w:highlight w:val="none"/>
          <w:lang w:eastAsia="zh-CN"/>
        </w:rPr>
        <w:t>（20）地下洞室灌浆工作结束后，承包人应向监理人提交地下洞室灌浆质量检查报告，并应将检查记录提交监理人。</w:t>
      </w:r>
    </w:p>
    <w:p w14:paraId="4B10E060">
      <w:pPr>
        <w:pStyle w:val="5"/>
        <w:jc w:val="left"/>
        <w:rPr>
          <w:rFonts w:hAnsi="楷体" w:cs="楷体"/>
          <w:color w:val="auto"/>
          <w:highlight w:val="none"/>
          <w:lang w:eastAsia="zh-CN"/>
        </w:rPr>
      </w:pPr>
      <w:r>
        <w:rPr>
          <w:rFonts w:hAnsi="Times New Roman" w:cs="Times New Roman"/>
          <w:color w:val="auto"/>
          <w:highlight w:val="none"/>
          <w:lang w:eastAsia="zh-CN"/>
        </w:rPr>
        <w:t>10.9.4</w:t>
      </w:r>
      <w:r>
        <w:rPr>
          <w:rFonts w:hint="eastAsia" w:hAnsi="Times New Roman" w:cs="Times New Roman"/>
          <w:color w:val="auto"/>
          <w:highlight w:val="none"/>
          <w:lang w:eastAsia="zh-CN"/>
        </w:rPr>
        <w:t>　</w:t>
      </w:r>
      <w:r>
        <w:rPr>
          <w:rFonts w:hAnsi="楷体" w:cs="楷体"/>
          <w:color w:val="auto"/>
          <w:highlight w:val="none"/>
          <w:lang w:eastAsia="zh-CN"/>
        </w:rPr>
        <w:t>钢衬接触灌浆</w:t>
      </w:r>
    </w:p>
    <w:p w14:paraId="28F05AC2">
      <w:pPr>
        <w:ind w:firstLine="420"/>
        <w:jc w:val="left"/>
        <w:rPr>
          <w:rFonts w:hAnsi="楷体" w:cs="楷体"/>
          <w:color w:val="auto"/>
          <w:highlight w:val="none"/>
          <w:lang w:eastAsia="zh-CN"/>
        </w:rPr>
      </w:pPr>
      <w:r>
        <w:rPr>
          <w:rFonts w:hint="eastAsia"/>
          <w:color w:val="auto"/>
          <w:highlight w:val="none"/>
          <w:lang w:eastAsia="zh-CN"/>
        </w:rPr>
        <w:t>钢管接触灌浆系指地下埋管在管外混凝土浇筑完成60d后，对钢管外壁与混凝土之间进行灌浆，使钢管结构能更好地与混凝土和围岩共同工作。接触灌浆宜安排在温度最低时段进行。</w:t>
      </w:r>
    </w:p>
    <w:p w14:paraId="361278B5">
      <w:pPr>
        <w:ind w:firstLine="420"/>
        <w:jc w:val="left"/>
        <w:rPr>
          <w:rFonts w:cs="宋体"/>
          <w:color w:val="auto"/>
          <w:highlight w:val="none"/>
          <w:lang w:eastAsia="zh-CN"/>
        </w:rPr>
      </w:pPr>
      <w:r>
        <w:rPr>
          <w:rFonts w:cs="宋体"/>
          <w:color w:val="auto"/>
          <w:highlight w:val="none"/>
          <w:lang w:eastAsia="zh-CN"/>
        </w:rPr>
        <w:t>钢衬接触灌浆应遵守《水工建筑物水泥灌浆施工技术规范》（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2BEB82BA">
      <w:pPr>
        <w:suppressAutoHyphens/>
        <w:ind w:firstLine="420"/>
        <w:jc w:val="left"/>
        <w:rPr>
          <w:color w:val="auto"/>
          <w:highlight w:val="none"/>
          <w:lang w:eastAsia="zh-CN"/>
        </w:rPr>
      </w:pPr>
      <w:r>
        <w:rPr>
          <w:rFonts w:hint="eastAsia"/>
          <w:color w:val="auto"/>
          <w:highlight w:val="none"/>
          <w:lang w:eastAsia="zh-CN"/>
        </w:rPr>
        <w:t>（1）接触灌浆的压力为0.2MPa，承包人若采用大于0.2MPa的压力灌浆时，应经监理人批准。</w:t>
      </w:r>
    </w:p>
    <w:p w14:paraId="4B5E37EB">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）在安装钢管时，应按施工图纸所示的预留灌浆孔位灌浆。</w:t>
      </w:r>
    </w:p>
    <w:p w14:paraId="0A1718E4">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3</w:t>
      </w:r>
      <w:r>
        <w:rPr>
          <w:rFonts w:hint="eastAsia"/>
          <w:color w:val="auto"/>
          <w:highlight w:val="none"/>
          <w:lang w:eastAsia="zh-CN"/>
        </w:rPr>
        <w:t>）在现场灌浆过程中，一般不应在钢管上开孔。为补灌需要，确需开孔的，需报送开孔工艺及封孔措施，经监理人批准后实施。</w:t>
      </w:r>
    </w:p>
    <w:p w14:paraId="141247E0">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4</w:t>
      </w:r>
      <w:r>
        <w:rPr>
          <w:rFonts w:hint="eastAsia"/>
          <w:color w:val="auto"/>
          <w:highlight w:val="none"/>
          <w:lang w:eastAsia="zh-CN"/>
        </w:rPr>
        <w:t>）浇注混凝土前，应在补强板上抹油，防止补强板与混凝土黏结，灌不进浆。</w:t>
      </w:r>
    </w:p>
    <w:p w14:paraId="59A44AB0">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5</w:t>
      </w:r>
      <w:r>
        <w:rPr>
          <w:rFonts w:hint="eastAsia"/>
          <w:color w:val="auto"/>
          <w:highlight w:val="none"/>
          <w:lang w:eastAsia="zh-CN"/>
        </w:rPr>
        <w:t>）埋管的外围混凝土凝固后，进行平洞回填灌浆和围岩固结灌浆前，旋开孔塞，旋上保护圈，防止钻孔时打坏螺纹。平洞回填灌浆和固结灌浆后，堵塞混凝土中的灌浆孔，不得有渗水进入，然后进行接触灌浆。</w:t>
      </w:r>
    </w:p>
    <w:p w14:paraId="7B693AF8">
      <w:pPr>
        <w:ind w:firstLine="420"/>
        <w:jc w:val="left"/>
        <w:rPr>
          <w:color w:val="auto"/>
          <w:highlight w:val="none"/>
          <w:lang w:eastAsia="zh-CN"/>
        </w:rPr>
      </w:pPr>
      <w:r>
        <w:rPr>
          <w:rFonts w:hint="eastAsia"/>
          <w:color w:val="auto"/>
          <w:highlight w:val="none"/>
          <w:lang w:eastAsia="zh-CN"/>
        </w:rPr>
        <w:t>（</w:t>
      </w:r>
      <w:r>
        <w:rPr>
          <w:color w:val="auto"/>
          <w:highlight w:val="none"/>
          <w:lang w:eastAsia="zh-CN"/>
        </w:rPr>
        <w:t>6</w:t>
      </w:r>
      <w:r>
        <w:rPr>
          <w:rFonts w:hint="eastAsia"/>
          <w:color w:val="auto"/>
          <w:highlight w:val="none"/>
          <w:lang w:eastAsia="zh-CN"/>
        </w:rPr>
        <w:t>）接触灌浆前，采用稍高于灌浆压力的水（其压力不高于钢管抗外压的安全压力）挤开补强板与混凝土间的缝隙。</w:t>
      </w:r>
    </w:p>
    <w:p w14:paraId="164B4EA7">
      <w:pPr>
        <w:suppressAutoHyphens/>
        <w:ind w:firstLine="420"/>
        <w:jc w:val="left"/>
        <w:rPr>
          <w:color w:val="auto"/>
          <w:highlight w:val="none"/>
          <w:lang w:eastAsia="zh-CN"/>
        </w:rPr>
      </w:pPr>
      <w:r>
        <w:rPr>
          <w:rFonts w:hint="eastAsia"/>
          <w:color w:val="auto"/>
          <w:highlight w:val="none"/>
          <w:lang w:eastAsia="zh-CN"/>
        </w:rPr>
        <w:t>（7）接触灌浆应采用循环灌浆法。单排作一序孔，双排作二序孔。一序孔灌浆时，二序孔作排气孔兼出浆孔。二序孔灌浆时，留顶上一孔排气及出浆。浆液水灰比（重量比）可用（0.8～0.5）：1。缝隙越大，浆液越浓，二序浆液较稀。在规定的灌浆压力下，最大浓度浆液停止吸浆5min后可停灌。</w:t>
      </w:r>
    </w:p>
    <w:p w14:paraId="232845F1">
      <w:pPr>
        <w:suppressAutoHyphens/>
        <w:ind w:firstLine="420"/>
        <w:jc w:val="left"/>
        <w:rPr>
          <w:color w:val="auto"/>
          <w:highlight w:val="none"/>
          <w:lang w:eastAsia="zh-CN"/>
        </w:rPr>
      </w:pPr>
      <w:r>
        <w:rPr>
          <w:rFonts w:hint="eastAsia"/>
          <w:color w:val="auto"/>
          <w:highlight w:val="none"/>
          <w:lang w:eastAsia="zh-CN"/>
        </w:rPr>
        <w:t>（8）灌浆压力应按施工图纸或监理人指示确定，承包人应按监理人指示严格控制进浆压力，并在灌浆孔旁设置变位计，观测钢管变位，防止管壁失稳。</w:t>
      </w:r>
    </w:p>
    <w:p w14:paraId="5776C250">
      <w:pPr>
        <w:suppressAutoHyphens/>
        <w:ind w:firstLine="420"/>
        <w:jc w:val="left"/>
        <w:rPr>
          <w:color w:val="auto"/>
          <w:highlight w:val="none"/>
          <w:lang w:eastAsia="zh-CN"/>
        </w:rPr>
      </w:pPr>
      <w:r>
        <w:rPr>
          <w:rFonts w:hint="eastAsia"/>
          <w:color w:val="auto"/>
          <w:highlight w:val="none"/>
          <w:lang w:eastAsia="zh-CN"/>
        </w:rPr>
        <w:t>（9）承包人在灌浆过程中，应随班记录孔位、配比、吃浆量和钢管变形等，原始记录应提交监理人。</w:t>
      </w:r>
    </w:p>
    <w:p w14:paraId="665E4CA7">
      <w:pPr>
        <w:suppressAutoHyphens/>
        <w:ind w:firstLine="420"/>
        <w:jc w:val="left"/>
        <w:rPr>
          <w:color w:val="auto"/>
          <w:highlight w:val="none"/>
          <w:lang w:eastAsia="zh-CN"/>
        </w:rPr>
      </w:pPr>
      <w:r>
        <w:rPr>
          <w:rFonts w:hint="eastAsia"/>
          <w:color w:val="auto"/>
          <w:highlight w:val="none"/>
          <w:lang w:eastAsia="zh-CN"/>
        </w:rPr>
        <w:t>（10）如一次灌浆未能满足设计要求，可采取复灌、改用细水泥浆液或化学浆液等措施处理。</w:t>
      </w:r>
    </w:p>
    <w:p w14:paraId="6FFED144">
      <w:pPr>
        <w:pStyle w:val="7"/>
        <w:ind w:firstLine="420"/>
        <w:jc w:val="left"/>
        <w:rPr>
          <w:color w:val="auto"/>
          <w:highlight w:val="none"/>
          <w:lang w:eastAsia="zh-CN"/>
        </w:rPr>
      </w:pPr>
      <w:r>
        <w:rPr>
          <w:rFonts w:hint="eastAsia"/>
          <w:color w:val="auto"/>
          <w:highlight w:val="none"/>
          <w:lang w:eastAsia="zh-CN"/>
        </w:rPr>
        <w:t>（11）接触灌浆后，旋下保护圈，清除灌浆孔中杂物，旋上孔塞及防渗石棉，烤干预留焊缝坡口，以补强板作外层垫板，封焊灌浆孔；磨平过高的余高及飞溅物等残迹后补刷涂料。焊缝质量检验要求同钢管焊缝质量。</w:t>
      </w:r>
    </w:p>
    <w:p w14:paraId="5A6C521E">
      <w:pPr>
        <w:pStyle w:val="5"/>
        <w:jc w:val="left"/>
        <w:rPr>
          <w:rFonts w:hAnsi="Times New Roman" w:cs="楷体"/>
          <w:color w:val="auto"/>
          <w:highlight w:val="none"/>
          <w:lang w:eastAsia="zh-CN"/>
        </w:rPr>
      </w:pPr>
      <w:r>
        <w:rPr>
          <w:rFonts w:hAnsi="Times New Roman" w:cs="Times New Roman"/>
          <w:color w:val="auto"/>
          <w:highlight w:val="none"/>
          <w:lang w:eastAsia="zh-CN"/>
        </w:rPr>
        <w:t>10.9.5</w:t>
      </w:r>
      <w:r>
        <w:rPr>
          <w:rFonts w:hint="eastAsia" w:hAnsi="Times New Roman" w:cs="Times New Roman"/>
          <w:color w:val="auto"/>
          <w:highlight w:val="none"/>
          <w:lang w:eastAsia="zh-CN"/>
        </w:rPr>
        <w:t>　</w:t>
      </w:r>
      <w:r>
        <w:rPr>
          <w:rFonts w:hAnsi="楷体" w:cs="楷体"/>
          <w:color w:val="auto"/>
          <w:highlight w:val="none"/>
          <w:lang w:eastAsia="zh-CN"/>
        </w:rPr>
        <w:t>隧洞封堵灌浆</w:t>
      </w:r>
    </w:p>
    <w:p w14:paraId="7BF9BCCE">
      <w:pPr>
        <w:ind w:firstLine="420"/>
        <w:jc w:val="left"/>
        <w:rPr>
          <w:rFonts w:cs="宋体"/>
          <w:color w:val="auto"/>
          <w:highlight w:val="none"/>
          <w:lang w:eastAsia="zh-CN"/>
        </w:rPr>
      </w:pPr>
      <w:r>
        <w:rPr>
          <w:rFonts w:cs="宋体"/>
          <w:color w:val="auto"/>
          <w:highlight w:val="none"/>
          <w:lang w:eastAsia="zh-CN"/>
        </w:rPr>
        <w:t>隧洞封堵灌浆应遵守《水工建筑物水泥灌浆施工技术规范》（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）第</w:t>
      </w:r>
      <w:r>
        <w:rPr>
          <w:rFonts w:hAnsi="Times New Roman" w:cs="Times New Roman"/>
          <w:color w:val="auto"/>
          <w:highlight w:val="none"/>
          <w:lang w:eastAsia="zh-CN"/>
        </w:rPr>
        <w:t>7.5</w:t>
      </w:r>
      <w:r>
        <w:rPr>
          <w:rFonts w:cs="宋体"/>
          <w:color w:val="auto"/>
          <w:highlight w:val="none"/>
          <w:lang w:eastAsia="zh-CN"/>
        </w:rPr>
        <w:t>节的规定。</w:t>
      </w:r>
    </w:p>
    <w:p w14:paraId="2C767C98">
      <w:pPr>
        <w:pStyle w:val="5"/>
        <w:jc w:val="left"/>
        <w:outlineLvl w:val="9"/>
        <w:rPr>
          <w:rFonts w:eastAsia="宋体"/>
          <w:color w:val="auto"/>
          <w:highlight w:val="none"/>
          <w:lang w:eastAsia="zh-CN"/>
        </w:rPr>
      </w:pPr>
      <w:bookmarkStart w:id="2009" w:name="_Toc22200"/>
      <w:bookmarkStart w:id="2010" w:name="_Toc1037"/>
      <w:r>
        <w:rPr>
          <w:rFonts w:eastAsia="宋体"/>
          <w:color w:val="auto"/>
          <w:highlight w:val="none"/>
          <w:lang w:eastAsia="zh-CN"/>
        </w:rPr>
        <w:t>10.9.5.1</w:t>
      </w:r>
      <w:r>
        <w:rPr>
          <w:rFonts w:hint="eastAsia"/>
          <w:color w:val="auto"/>
          <w:highlight w:val="none"/>
          <w:lang w:eastAsia="zh-CN"/>
        </w:rPr>
        <w:t>　</w:t>
      </w:r>
      <w:r>
        <w:rPr>
          <w:rFonts w:hint="eastAsia" w:eastAsia="宋体"/>
          <w:color w:val="auto"/>
          <w:highlight w:val="none"/>
          <w:lang w:eastAsia="zh-CN"/>
        </w:rPr>
        <w:t>一般要求</w:t>
      </w:r>
      <w:bookmarkEnd w:id="2009"/>
      <w:bookmarkEnd w:id="2010"/>
    </w:p>
    <w:p w14:paraId="0BC445A8">
      <w:pPr>
        <w:suppressAutoHyphens/>
        <w:ind w:firstLine="420"/>
        <w:jc w:val="left"/>
        <w:rPr>
          <w:color w:val="auto"/>
          <w:highlight w:val="none"/>
          <w:lang w:eastAsia="zh-CN"/>
        </w:rPr>
      </w:pPr>
      <w:r>
        <w:rPr>
          <w:rFonts w:hint="eastAsia"/>
          <w:color w:val="auto"/>
          <w:highlight w:val="none"/>
          <w:lang w:eastAsia="zh-CN"/>
        </w:rPr>
        <w:t>（1）承包人对隧洞开挖揭示的渗水应进行观测和记录，主要包括开挖揭示渗流部位、揭示时间、渗流量、水压及其变化状态等，渗水情况应及时报监理人。</w:t>
      </w:r>
    </w:p>
    <w:p w14:paraId="282C93A8">
      <w:pPr>
        <w:suppressAutoHyphens/>
        <w:ind w:firstLine="420"/>
        <w:jc w:val="left"/>
        <w:rPr>
          <w:color w:val="auto"/>
          <w:highlight w:val="none"/>
          <w:lang w:eastAsia="zh-CN"/>
        </w:rPr>
      </w:pPr>
      <w:r>
        <w:rPr>
          <w:rFonts w:hint="eastAsia"/>
          <w:color w:val="auto"/>
          <w:highlight w:val="none"/>
          <w:lang w:eastAsia="zh-CN"/>
        </w:rPr>
        <w:t>（2）承包人应根据设计文件总体要求，结合各渗水点具体地质情况和渗漏情况，及时针对性编制堵漏灌浆实施方案，包括裂隙封闭措施、减压和灌浆孔位布置、灌浆材料及施工工艺、施工组织及其它辅助措施（不限于堵漏灌浆）等，报监理人批准后实施。</w:t>
      </w:r>
    </w:p>
    <w:p w14:paraId="2F2DC7C4">
      <w:pPr>
        <w:suppressAutoHyphens/>
        <w:ind w:firstLine="420"/>
        <w:jc w:val="left"/>
        <w:rPr>
          <w:color w:val="auto"/>
          <w:highlight w:val="none"/>
          <w:lang w:eastAsia="zh-CN"/>
        </w:rPr>
      </w:pPr>
      <w:r>
        <w:rPr>
          <w:rFonts w:hint="eastAsia"/>
          <w:color w:val="auto"/>
          <w:highlight w:val="none"/>
          <w:lang w:eastAsia="zh-CN"/>
        </w:rPr>
        <w:t>（3）为控制隧洞开挖排水量，降低工程安全风险，随机堵漏灌浆应按监理人的要求及时实施完成；高压大流量涌水应采取有效措施控制后，方可继续进行隧洞开挖。</w:t>
      </w:r>
    </w:p>
    <w:p w14:paraId="3C7D41F6">
      <w:pPr>
        <w:pStyle w:val="5"/>
        <w:jc w:val="left"/>
        <w:outlineLvl w:val="9"/>
        <w:rPr>
          <w:rFonts w:eastAsia="宋体"/>
          <w:color w:val="auto"/>
          <w:highlight w:val="none"/>
          <w:lang w:eastAsia="zh-CN"/>
        </w:rPr>
      </w:pPr>
      <w:bookmarkStart w:id="2011" w:name="_Toc1741"/>
      <w:bookmarkStart w:id="2012" w:name="_Toc3264"/>
      <w:r>
        <w:rPr>
          <w:rFonts w:eastAsia="宋体"/>
          <w:color w:val="auto"/>
          <w:highlight w:val="none"/>
          <w:lang w:eastAsia="zh-CN"/>
        </w:rPr>
        <w:t>10.9.5.2</w:t>
      </w:r>
      <w:r>
        <w:rPr>
          <w:rFonts w:hint="eastAsia"/>
          <w:color w:val="auto"/>
          <w:highlight w:val="none"/>
          <w:lang w:eastAsia="zh-CN"/>
        </w:rPr>
        <w:t>　</w:t>
      </w:r>
      <w:r>
        <w:rPr>
          <w:rFonts w:hint="eastAsia" w:eastAsia="宋体"/>
          <w:color w:val="auto"/>
          <w:highlight w:val="none"/>
          <w:lang w:eastAsia="zh-CN"/>
        </w:rPr>
        <w:t>低压小流量渗水处理</w:t>
      </w:r>
      <w:bookmarkEnd w:id="2011"/>
      <w:bookmarkEnd w:id="2012"/>
    </w:p>
    <w:p w14:paraId="02461E9E">
      <w:pPr>
        <w:suppressAutoHyphens/>
        <w:ind w:firstLine="420"/>
        <w:jc w:val="left"/>
        <w:rPr>
          <w:color w:val="auto"/>
          <w:highlight w:val="none"/>
          <w:lang w:eastAsia="zh-CN"/>
        </w:rPr>
      </w:pPr>
      <w:r>
        <w:rPr>
          <w:rFonts w:hint="eastAsia"/>
          <w:color w:val="auto"/>
          <w:highlight w:val="none"/>
          <w:lang w:eastAsia="zh-CN"/>
        </w:rPr>
        <w:t>（1）对于钻爆段洞段，对于开挖完成后低压小流量渗水或线状流水洞段（小于18m</w:t>
      </w:r>
      <w:r>
        <w:rPr>
          <w:color w:val="auto"/>
          <w:highlight w:val="none"/>
          <w:vertAlign w:val="superscript"/>
          <w:lang w:eastAsia="zh-CN"/>
        </w:rPr>
        <w:t>3</w:t>
      </w:r>
      <w:r>
        <w:rPr>
          <w:color w:val="auto"/>
          <w:highlight w:val="none"/>
          <w:lang w:eastAsia="zh-CN"/>
        </w:rPr>
        <w:t>/d·</w:t>
      </w:r>
      <w:r>
        <w:rPr>
          <w:rFonts w:hint="eastAsia"/>
          <w:color w:val="auto"/>
          <w:highlight w:val="none"/>
          <w:lang w:eastAsia="zh-CN"/>
        </w:rPr>
        <w:t>m），根据施工图纸的布孔原则、施工方式及本节规定进行灌注。</w:t>
      </w:r>
    </w:p>
    <w:p w14:paraId="43C884D6">
      <w:pPr>
        <w:suppressAutoHyphens/>
        <w:ind w:firstLine="420"/>
        <w:jc w:val="left"/>
        <w:rPr>
          <w:color w:val="auto"/>
          <w:highlight w:val="none"/>
          <w:lang w:eastAsia="zh-CN"/>
        </w:rPr>
      </w:pPr>
      <w:r>
        <w:rPr>
          <w:rFonts w:hint="eastAsia"/>
          <w:color w:val="auto"/>
          <w:highlight w:val="none"/>
          <w:lang w:eastAsia="zh-CN"/>
        </w:rPr>
        <w:t>（2）低压小流量渗水或线状流水洞段堵漏灌浆应在隧洞一次支护后实施，承包人应准备钢钎、棉纱、快硬水泥砂浆等堵漏辅助材料，灌浆发生外漏时，应采取堵漏措施减少外漏，保证正常灌注。</w:t>
      </w:r>
    </w:p>
    <w:p w14:paraId="35E2F4AC">
      <w:pPr>
        <w:suppressAutoHyphens/>
        <w:ind w:firstLine="420"/>
        <w:jc w:val="left"/>
        <w:rPr>
          <w:color w:val="auto"/>
          <w:highlight w:val="none"/>
          <w:lang w:eastAsia="zh-CN"/>
        </w:rPr>
      </w:pPr>
      <w:r>
        <w:rPr>
          <w:rFonts w:hint="eastAsia"/>
          <w:color w:val="auto"/>
          <w:highlight w:val="none"/>
          <w:lang w:eastAsia="zh-CN"/>
        </w:rPr>
        <w:t>（3）为防止灌浆过程中沿裂隙发生渗漏、影响灌浆效果，在灌浆前对渗水点附近裂隙进行封堵。首先采用高压水和高压空气对裂缝进行冲洗，然后采用速凝水泥基材料对裂隙进行封堵。如速凝水泥基材料对裂隙封堵效果较差时，也可利用浅层岩体盖重，对渗水点附近裂隙采用固结灌浆加固。</w:t>
      </w:r>
    </w:p>
    <w:p w14:paraId="17D0C36F">
      <w:pPr>
        <w:suppressAutoHyphens/>
        <w:ind w:firstLine="420"/>
        <w:jc w:val="left"/>
        <w:rPr>
          <w:color w:val="auto"/>
          <w:highlight w:val="none"/>
          <w:lang w:eastAsia="zh-CN"/>
        </w:rPr>
      </w:pPr>
      <w:r>
        <w:rPr>
          <w:rFonts w:hint="eastAsia"/>
          <w:color w:val="auto"/>
          <w:highlight w:val="none"/>
          <w:lang w:eastAsia="zh-CN"/>
        </w:rPr>
        <w:t>（4）低压小流量渗水堵漏灌浆一般采用纯压式灌浆，灌浆孔的基岩灌浆段长小于6m时，可采用一次灌浆；大于6m时，宜自上而下分段灌浆。灌浆压力初定为单个灌浆孔测得的地下水压力值加0.5MPa～2.0MPa。</w:t>
      </w:r>
    </w:p>
    <w:p w14:paraId="31C591B6">
      <w:pPr>
        <w:suppressAutoHyphens/>
        <w:ind w:firstLine="420"/>
        <w:jc w:val="left"/>
        <w:rPr>
          <w:color w:val="auto"/>
          <w:highlight w:val="none"/>
          <w:lang w:eastAsia="zh-CN"/>
        </w:rPr>
      </w:pPr>
      <w:r>
        <w:rPr>
          <w:rFonts w:hint="eastAsia"/>
          <w:color w:val="auto"/>
          <w:highlight w:val="none"/>
          <w:lang w:eastAsia="zh-CN"/>
        </w:rPr>
        <w:t>（5）低压小流量渗水堵漏灌浆一般采用水泥—水玻璃双浆液或纯水泥浆液进行灌浆，水泥采用42.5普通硅酸盐水泥。针对地下水特别丰富或者钻孔涌水量大的部位，水泥—水玻璃双浆液封堵不能满足要求时，采用聚氨酯进行化学灌浆。</w:t>
      </w:r>
    </w:p>
    <w:p w14:paraId="3B2FA489">
      <w:pPr>
        <w:suppressAutoHyphens/>
        <w:ind w:firstLine="420"/>
        <w:jc w:val="left"/>
        <w:rPr>
          <w:color w:val="auto"/>
          <w:highlight w:val="none"/>
          <w:lang w:eastAsia="zh-CN"/>
        </w:rPr>
      </w:pPr>
      <w:r>
        <w:rPr>
          <w:rFonts w:hint="eastAsia"/>
          <w:color w:val="auto"/>
          <w:highlight w:val="none"/>
          <w:lang w:eastAsia="zh-CN"/>
        </w:rPr>
        <w:t>（6）采用普通水泥灌注时，浆液一般采用2：1、1：1、0.7：1、0.5：1（重量比）等四个比级。灌浆浆液应由稀到浓逐级变换，浆液变换遵守SL/T62相关内容。</w:t>
      </w:r>
    </w:p>
    <w:p w14:paraId="0A25096E">
      <w:pPr>
        <w:suppressAutoHyphens/>
        <w:ind w:firstLine="420"/>
        <w:jc w:val="left"/>
        <w:rPr>
          <w:color w:val="auto"/>
          <w:highlight w:val="none"/>
          <w:lang w:eastAsia="zh-CN"/>
        </w:rPr>
      </w:pPr>
      <w:r>
        <w:rPr>
          <w:rFonts w:hint="eastAsia"/>
          <w:color w:val="auto"/>
          <w:highlight w:val="none"/>
          <w:lang w:eastAsia="zh-CN"/>
        </w:rPr>
        <w:t>（7）采用水泥-水玻璃双液灌浆灌注时，灌浆材料满足JC/T2536中相关要求，且不得污染工程区周边环境和地下水环境。水玻璃可在水泥浆液中掺入。外加剂的品种及掺量、浆液变换原则等，应根据工程情况、室内试验和灌浆试验确定。</w:t>
      </w:r>
    </w:p>
    <w:p w14:paraId="6F00AFB4">
      <w:pPr>
        <w:suppressAutoHyphens/>
        <w:ind w:firstLine="420"/>
        <w:jc w:val="left"/>
        <w:rPr>
          <w:color w:val="auto"/>
          <w:highlight w:val="none"/>
          <w:lang w:eastAsia="zh-CN"/>
        </w:rPr>
      </w:pPr>
      <w:r>
        <w:rPr>
          <w:rFonts w:hint="eastAsia"/>
          <w:color w:val="auto"/>
          <w:highlight w:val="none"/>
          <w:lang w:eastAsia="zh-CN"/>
        </w:rPr>
        <w:t>（8）采用聚氨酯进行灌注时，灌浆压力和灌浆结束标准等通过现场化学灌浆试验选定，试验成果应提交监理人。</w:t>
      </w:r>
    </w:p>
    <w:p w14:paraId="6D1ABB8B">
      <w:pPr>
        <w:suppressAutoHyphens/>
        <w:ind w:firstLine="420"/>
        <w:jc w:val="left"/>
        <w:rPr>
          <w:color w:val="auto"/>
          <w:highlight w:val="none"/>
          <w:lang w:eastAsia="zh-CN"/>
        </w:rPr>
      </w:pPr>
      <w:r>
        <w:rPr>
          <w:rFonts w:hint="eastAsia"/>
          <w:color w:val="auto"/>
          <w:highlight w:val="none"/>
          <w:lang w:eastAsia="zh-CN"/>
        </w:rPr>
        <w:t>（9）低压小流量渗水堵漏灌浆合格标准暂定为：灌后洞段无线状渗水，单个渗水部位渗水量Q＜3m</w:t>
      </w:r>
      <w:r>
        <w:rPr>
          <w:color w:val="auto"/>
          <w:highlight w:val="none"/>
          <w:vertAlign w:val="superscript"/>
          <w:lang w:eastAsia="zh-CN"/>
        </w:rPr>
        <w:t>3</w:t>
      </w:r>
      <w:r>
        <w:rPr>
          <w:rFonts w:hint="eastAsia"/>
          <w:color w:val="auto"/>
          <w:highlight w:val="none"/>
          <w:lang w:eastAsia="zh-CN"/>
        </w:rPr>
        <w:t>/d·m。</w:t>
      </w:r>
    </w:p>
    <w:p w14:paraId="3F15E46C">
      <w:pPr>
        <w:pStyle w:val="5"/>
        <w:jc w:val="left"/>
        <w:outlineLvl w:val="9"/>
        <w:rPr>
          <w:rFonts w:eastAsia="宋体"/>
          <w:color w:val="auto"/>
          <w:highlight w:val="none"/>
          <w:lang w:eastAsia="zh-CN"/>
        </w:rPr>
      </w:pPr>
      <w:bookmarkStart w:id="2013" w:name="_Toc9184"/>
      <w:bookmarkStart w:id="2014" w:name="_Toc21379"/>
      <w:r>
        <w:rPr>
          <w:rFonts w:eastAsia="宋体"/>
          <w:color w:val="auto"/>
          <w:highlight w:val="none"/>
          <w:lang w:eastAsia="zh-CN"/>
        </w:rPr>
        <w:t>10.9.5.3</w:t>
      </w:r>
      <w:r>
        <w:rPr>
          <w:rFonts w:hint="eastAsia"/>
          <w:color w:val="auto"/>
          <w:highlight w:val="none"/>
          <w:lang w:eastAsia="zh-CN"/>
        </w:rPr>
        <w:t>　</w:t>
      </w:r>
      <w:r>
        <w:rPr>
          <w:rFonts w:hint="eastAsia" w:eastAsia="宋体"/>
          <w:color w:val="auto"/>
          <w:highlight w:val="none"/>
          <w:lang w:eastAsia="zh-CN"/>
        </w:rPr>
        <w:t>高压大流量涌水处理</w:t>
      </w:r>
      <w:bookmarkEnd w:id="2013"/>
      <w:bookmarkEnd w:id="2014"/>
    </w:p>
    <w:p w14:paraId="671F1EEE">
      <w:pPr>
        <w:suppressAutoHyphens/>
        <w:ind w:firstLine="420"/>
        <w:jc w:val="left"/>
        <w:rPr>
          <w:color w:val="auto"/>
          <w:highlight w:val="none"/>
          <w:lang w:eastAsia="zh-CN"/>
        </w:rPr>
      </w:pPr>
      <w:r>
        <w:rPr>
          <w:rFonts w:hint="eastAsia"/>
          <w:color w:val="auto"/>
          <w:highlight w:val="none"/>
          <w:lang w:eastAsia="zh-CN"/>
        </w:rPr>
        <w:t>（1）高压大流量涌水的处理遵循“先加固后处理、先分流减压后封堵”的原则，采用综合手段及工艺进行处理。</w:t>
      </w:r>
    </w:p>
    <w:p w14:paraId="62B8AB7F">
      <w:pPr>
        <w:suppressAutoHyphens/>
        <w:ind w:firstLine="420"/>
        <w:jc w:val="left"/>
        <w:rPr>
          <w:color w:val="auto"/>
          <w:highlight w:val="none"/>
          <w:lang w:eastAsia="zh-CN"/>
        </w:rPr>
      </w:pPr>
      <w:r>
        <w:rPr>
          <w:rFonts w:hint="eastAsia"/>
          <w:color w:val="auto"/>
          <w:highlight w:val="none"/>
          <w:lang w:eastAsia="zh-CN"/>
        </w:rPr>
        <w:t>（2）高压大流量涌水处理按照“先排后堵、深排浅堵、远排近堵、择机收口”的顺序进行处理。施工工艺流程为：围岩支护及加固→渗流路径查探→分流→封堵主通道→分流孔灌浆封堵。</w:t>
      </w:r>
    </w:p>
    <w:p w14:paraId="4D23D789">
      <w:pPr>
        <w:suppressAutoHyphens/>
        <w:ind w:firstLine="420"/>
        <w:jc w:val="left"/>
        <w:rPr>
          <w:color w:val="auto"/>
          <w:highlight w:val="none"/>
          <w:lang w:eastAsia="zh-CN"/>
        </w:rPr>
      </w:pPr>
      <w:r>
        <w:rPr>
          <w:rFonts w:hint="eastAsia"/>
          <w:color w:val="auto"/>
          <w:highlight w:val="none"/>
          <w:lang w:eastAsia="zh-CN"/>
        </w:rPr>
        <w:t>1）先排后堵：对于大的出水点，一般应先考虑有序引排，系统布置分流减压孔，逼迫水流由预设的分流减压孔改道排放，以分散和释放原集中涌水点的流量和压力，再封堵原出水点。</w:t>
      </w:r>
    </w:p>
    <w:p w14:paraId="7418DC22">
      <w:pPr>
        <w:suppressAutoHyphens/>
        <w:ind w:firstLine="420"/>
        <w:jc w:val="left"/>
        <w:rPr>
          <w:color w:val="auto"/>
          <w:highlight w:val="none"/>
          <w:lang w:eastAsia="zh-CN"/>
        </w:rPr>
      </w:pPr>
      <w:r>
        <w:rPr>
          <w:rFonts w:hint="eastAsia"/>
          <w:color w:val="auto"/>
          <w:highlight w:val="none"/>
          <w:lang w:eastAsia="zh-CN"/>
        </w:rPr>
        <w:t>2）深排浅堵、远排近堵：对于预设的分流减压孔按先封堵浅层排水孔和距离原出水口近的出水孔，让水再次改道和束流并由深层排水孔和远距离排水孔排放。</w:t>
      </w:r>
    </w:p>
    <w:p w14:paraId="0C63D72F">
      <w:pPr>
        <w:suppressAutoHyphens/>
        <w:ind w:firstLine="420"/>
        <w:jc w:val="left"/>
        <w:rPr>
          <w:color w:val="auto"/>
          <w:highlight w:val="none"/>
          <w:lang w:eastAsia="zh-CN"/>
        </w:rPr>
      </w:pPr>
      <w:r>
        <w:rPr>
          <w:rFonts w:hint="eastAsia"/>
          <w:color w:val="auto"/>
          <w:highlight w:val="none"/>
          <w:lang w:eastAsia="zh-CN"/>
        </w:rPr>
        <w:t>3）择机收口：在完成围岩系统加固，确认围岩安全后，择机对剩余的排水孔进行封堵或可控排放，完成施工。如主通道和排水孔封堵后还存在较大渗水，应针对性加密钻孔和灌浆封堵，直至封堵满足要求。</w:t>
      </w:r>
    </w:p>
    <w:p w14:paraId="407C4EBE">
      <w:pPr>
        <w:suppressAutoHyphens/>
        <w:ind w:firstLine="420"/>
        <w:jc w:val="left"/>
        <w:rPr>
          <w:color w:val="auto"/>
          <w:highlight w:val="none"/>
          <w:lang w:eastAsia="zh-CN"/>
        </w:rPr>
      </w:pPr>
      <w:r>
        <w:rPr>
          <w:rFonts w:hint="eastAsia"/>
          <w:color w:val="auto"/>
          <w:highlight w:val="none"/>
          <w:lang w:eastAsia="zh-CN"/>
        </w:rPr>
        <w:t>（3）高压大流量涌水处理主要工艺</w:t>
      </w:r>
    </w:p>
    <w:p w14:paraId="45CB664B">
      <w:pPr>
        <w:suppressAutoHyphens/>
        <w:ind w:firstLine="420"/>
        <w:jc w:val="left"/>
        <w:rPr>
          <w:color w:val="auto"/>
          <w:highlight w:val="none"/>
          <w:lang w:eastAsia="zh-CN"/>
        </w:rPr>
      </w:pPr>
      <w:r>
        <w:rPr>
          <w:rFonts w:hint="eastAsia"/>
          <w:color w:val="auto"/>
          <w:highlight w:val="none"/>
          <w:lang w:eastAsia="zh-CN"/>
        </w:rPr>
        <w:t>1）分流减压</w:t>
      </w:r>
    </w:p>
    <w:p w14:paraId="1E23F910">
      <w:pPr>
        <w:suppressAutoHyphens/>
        <w:ind w:firstLine="420"/>
        <w:jc w:val="left"/>
        <w:rPr>
          <w:color w:val="auto"/>
          <w:highlight w:val="none"/>
          <w:lang w:eastAsia="zh-CN"/>
        </w:rPr>
      </w:pPr>
      <w:r>
        <w:rPr>
          <w:rFonts w:hint="eastAsia"/>
          <w:color w:val="auto"/>
          <w:highlight w:val="none"/>
          <w:lang w:eastAsia="zh-CN"/>
        </w:rPr>
        <w:t>围绕涌水点附近布置排水孔或根据查明的渗流路径在距离涌水点较远处布置深排水孔。对未出水的分流减压孔，钻孔结束后，采用水泥浆液灌浆封孔。</w:t>
      </w:r>
    </w:p>
    <w:p w14:paraId="251DABD5">
      <w:pPr>
        <w:suppressAutoHyphens/>
        <w:ind w:firstLine="420"/>
        <w:jc w:val="left"/>
        <w:rPr>
          <w:color w:val="auto"/>
          <w:highlight w:val="none"/>
          <w:lang w:eastAsia="zh-CN"/>
        </w:rPr>
      </w:pPr>
      <w:r>
        <w:rPr>
          <w:rFonts w:hint="eastAsia"/>
          <w:color w:val="auto"/>
          <w:highlight w:val="none"/>
          <w:lang w:eastAsia="zh-CN"/>
        </w:rPr>
        <w:t>2）主通道封堵</w:t>
      </w:r>
    </w:p>
    <w:p w14:paraId="72B080FA">
      <w:pPr>
        <w:suppressAutoHyphens/>
        <w:ind w:firstLine="420"/>
        <w:jc w:val="left"/>
        <w:rPr>
          <w:color w:val="auto"/>
          <w:highlight w:val="none"/>
          <w:lang w:eastAsia="zh-CN"/>
        </w:rPr>
      </w:pPr>
      <w:r>
        <w:rPr>
          <w:rFonts w:hint="eastAsia"/>
          <w:color w:val="auto"/>
          <w:highlight w:val="none"/>
          <w:lang w:eastAsia="zh-CN"/>
        </w:rPr>
        <w:t>对于钻爆段，若原出水通道水量和压力减小、降低至达到进行封堵主通道的条件，则对主通道进行灌浆封堵。</w:t>
      </w:r>
    </w:p>
    <w:p w14:paraId="7AB2D887">
      <w:pPr>
        <w:suppressAutoHyphens/>
        <w:ind w:firstLine="420"/>
        <w:jc w:val="left"/>
        <w:rPr>
          <w:color w:val="auto"/>
          <w:highlight w:val="none"/>
          <w:lang w:eastAsia="zh-CN"/>
        </w:rPr>
      </w:pPr>
      <w:r>
        <w:rPr>
          <w:rFonts w:hint="eastAsia"/>
          <w:color w:val="auto"/>
          <w:highlight w:val="none"/>
          <w:lang w:eastAsia="zh-CN"/>
        </w:rPr>
        <w:t>主通道灌浆一般可采用模袋灌浆技术。一种为单管模袋注浆法，不能通过钻孔将浆液灌注到岩体裂隙或管道中，但可形成阻水屏障，让地下水被迫改道，进入别的出水通道或其他引排孔，用于串浆严重的地下出水通道处理；另一种为双管模袋灌浆法，其中一注浆管用于水泥浆液充填模袋形成模袋塞封高压涌水孔，另一射浆管向地下出水通道或岩体裂隙中注浆封堵地下渗涌水。</w:t>
      </w:r>
    </w:p>
    <w:p w14:paraId="70EC3A5B">
      <w:pPr>
        <w:suppressAutoHyphens/>
        <w:ind w:firstLine="420"/>
        <w:jc w:val="left"/>
        <w:rPr>
          <w:color w:val="auto"/>
          <w:highlight w:val="none"/>
          <w:lang w:eastAsia="zh-CN"/>
        </w:rPr>
      </w:pPr>
      <w:r>
        <w:rPr>
          <w:rFonts w:hint="eastAsia"/>
          <w:color w:val="auto"/>
          <w:highlight w:val="none"/>
          <w:lang w:eastAsia="zh-CN"/>
        </w:rPr>
        <w:t>3）灌浆封堵分流孔</w:t>
      </w:r>
    </w:p>
    <w:p w14:paraId="46C70493">
      <w:pPr>
        <w:suppressAutoHyphens/>
        <w:ind w:firstLine="420"/>
        <w:jc w:val="left"/>
        <w:rPr>
          <w:color w:val="auto"/>
          <w:highlight w:val="none"/>
          <w:lang w:eastAsia="zh-CN"/>
        </w:rPr>
      </w:pPr>
      <w:r>
        <w:rPr>
          <w:rFonts w:hint="eastAsia"/>
          <w:color w:val="auto"/>
          <w:highlight w:val="none"/>
          <w:lang w:eastAsia="zh-CN"/>
        </w:rPr>
        <w:t>主通道封堵后，分流孔一般涌水量会加大、压力会升高。分流孔封堵时，须由近孔开始灌浆，向远孔推进。灌浆过程中，所有引排孔阀门打开，观察串浆情况，如发生串浆则待所串浆液达到一定浓度后关闭串浆孔或增加灌浆设备并联进行灌注。</w:t>
      </w:r>
    </w:p>
    <w:p w14:paraId="36F3350B">
      <w:pPr>
        <w:suppressAutoHyphens/>
        <w:ind w:firstLine="420"/>
        <w:jc w:val="left"/>
        <w:rPr>
          <w:color w:val="auto"/>
          <w:highlight w:val="none"/>
          <w:lang w:eastAsia="zh-CN"/>
        </w:rPr>
      </w:pPr>
      <w:r>
        <w:rPr>
          <w:rFonts w:hint="eastAsia"/>
          <w:color w:val="auto"/>
          <w:highlight w:val="none"/>
          <w:lang w:eastAsia="zh-CN"/>
        </w:rPr>
        <w:t>（4）超前灌浆难以起效的大流量集中涌水点，可开挖平行绕行支洞，将涌水通过高压钢管引至支洞中设置的集水坑抽排，然后再进行隧洞混凝土衬砌和堵漏灌浆，最后关闭钢管尾端阀门，并完成对支洞的封堵。</w:t>
      </w:r>
    </w:p>
    <w:p w14:paraId="1D520340">
      <w:pPr>
        <w:suppressAutoHyphens/>
        <w:ind w:firstLine="420"/>
        <w:jc w:val="left"/>
        <w:rPr>
          <w:color w:val="auto"/>
          <w:highlight w:val="none"/>
          <w:lang w:eastAsia="zh-CN"/>
        </w:rPr>
      </w:pPr>
      <w:r>
        <w:rPr>
          <w:rFonts w:hint="eastAsia"/>
          <w:color w:val="auto"/>
          <w:highlight w:val="none"/>
          <w:lang w:eastAsia="zh-CN"/>
        </w:rPr>
        <w:t>（5）高压大流量堵漏灌浆灌浆压力暂定为4MPa～6MPa或灌浆孔测得的地下水压力加2MPa～3MPa，具体根据现场涌水实际情况调整。</w:t>
      </w:r>
    </w:p>
    <w:p w14:paraId="4369829D">
      <w:pPr>
        <w:suppressAutoHyphens/>
        <w:ind w:firstLine="420"/>
        <w:jc w:val="left"/>
        <w:rPr>
          <w:color w:val="auto"/>
          <w:highlight w:val="none"/>
          <w:lang w:eastAsia="zh-CN"/>
        </w:rPr>
      </w:pPr>
      <w:r>
        <w:rPr>
          <w:rFonts w:hint="eastAsia"/>
          <w:color w:val="auto"/>
          <w:highlight w:val="none"/>
          <w:lang w:eastAsia="zh-CN"/>
        </w:rPr>
        <w:t>（6）高压大流量堵漏灌浆浆液以纯水泥浆材为主，视需要在水泥浆中添加外加剂，对水泥浆进行速凝、早强、遇水不分散等方面性质的改性，必要时辅助特殊材料，如水玻璃、模袋、微纤维等。</w:t>
      </w:r>
    </w:p>
    <w:p w14:paraId="08585251">
      <w:pPr>
        <w:ind w:firstLine="420"/>
        <w:jc w:val="left"/>
        <w:rPr>
          <w:color w:val="auto"/>
          <w:highlight w:val="none"/>
          <w:lang w:eastAsia="zh-CN"/>
        </w:rPr>
      </w:pPr>
      <w:r>
        <w:rPr>
          <w:rFonts w:hint="eastAsia"/>
          <w:color w:val="auto"/>
          <w:highlight w:val="none"/>
          <w:lang w:eastAsia="zh-CN"/>
        </w:rPr>
        <w:t>（7）高压大流量涌水部位堵漏完成后应满足现场抽排要求，具体根据现场情况进一步确定。</w:t>
      </w:r>
    </w:p>
    <w:p w14:paraId="406CD39A">
      <w:pPr>
        <w:pStyle w:val="5"/>
        <w:jc w:val="left"/>
        <w:rPr>
          <w:rFonts w:hAnsi="楷体" w:cs="楷体"/>
          <w:color w:val="auto"/>
          <w:highlight w:val="none"/>
          <w:lang w:eastAsia="zh-CN"/>
        </w:rPr>
      </w:pPr>
      <w:r>
        <w:rPr>
          <w:rFonts w:hAnsi="Times New Roman" w:cs="Times New Roman"/>
          <w:color w:val="auto"/>
          <w:highlight w:val="none"/>
          <w:lang w:eastAsia="zh-CN"/>
        </w:rPr>
        <w:t>10.9.6</w:t>
      </w:r>
      <w:r>
        <w:rPr>
          <w:rFonts w:hint="eastAsia" w:hAnsi="Times New Roman" w:cs="Times New Roman"/>
          <w:color w:val="auto"/>
          <w:highlight w:val="none"/>
          <w:lang w:eastAsia="zh-CN"/>
        </w:rPr>
        <w:t>　</w:t>
      </w:r>
      <w:r>
        <w:rPr>
          <w:rFonts w:hint="eastAsia" w:hAnsi="楷体" w:cs="楷体"/>
          <w:color w:val="auto"/>
          <w:highlight w:val="none"/>
          <w:lang w:eastAsia="zh-CN"/>
        </w:rPr>
        <w:t>隧洞衬砌回填灌浆</w:t>
      </w:r>
    </w:p>
    <w:p w14:paraId="3997C2A4">
      <w:pPr>
        <w:suppressAutoHyphens/>
        <w:ind w:firstLine="420"/>
        <w:jc w:val="left"/>
        <w:rPr>
          <w:color w:val="auto"/>
          <w:highlight w:val="none"/>
          <w:lang w:eastAsia="zh-CN"/>
        </w:rPr>
      </w:pPr>
      <w:r>
        <w:rPr>
          <w:rFonts w:hint="eastAsia"/>
          <w:color w:val="auto"/>
          <w:highlight w:val="none"/>
          <w:lang w:eastAsia="zh-CN"/>
        </w:rPr>
        <w:t>（1）在钢筋混凝土衬砌中的回填灌浆孔应采用在预埋导向管中钻孔的方法，孔深深入岩石20cm，并测记混凝土厚度和空腔尺寸。回填灌浆孔位可部分结合隧洞顶拱围岩防渗灌浆和固结灌浆孔位。</w:t>
      </w:r>
    </w:p>
    <w:p w14:paraId="6ED333E3">
      <w:pPr>
        <w:suppressAutoHyphens/>
        <w:ind w:firstLine="420"/>
        <w:jc w:val="left"/>
        <w:rPr>
          <w:color w:val="auto"/>
          <w:highlight w:val="none"/>
          <w:lang w:eastAsia="zh-CN"/>
        </w:rPr>
      </w:pPr>
      <w:r>
        <w:rPr>
          <w:rFonts w:hint="eastAsia"/>
          <w:color w:val="auto"/>
          <w:highlight w:val="none"/>
          <w:lang w:eastAsia="zh-CN"/>
        </w:rPr>
        <w:t>（2）隧洞的回填灌浆应在衬砌混凝土达到70％设计强度后进行。</w:t>
      </w:r>
    </w:p>
    <w:p w14:paraId="51D87F47">
      <w:pPr>
        <w:suppressAutoHyphens/>
        <w:ind w:firstLine="420"/>
        <w:jc w:val="left"/>
        <w:rPr>
          <w:color w:val="auto"/>
          <w:highlight w:val="none"/>
          <w:lang w:eastAsia="zh-CN"/>
        </w:rPr>
      </w:pPr>
      <w:r>
        <w:rPr>
          <w:rFonts w:hint="eastAsia"/>
          <w:color w:val="auto"/>
          <w:highlight w:val="none"/>
          <w:lang w:eastAsia="zh-CN"/>
        </w:rPr>
        <w:t>（3）遇有围岩塌陷、超挖较大或设计有特殊要求等情况时，应在该部位预埋灌浆管路，或者由承包人制定特殊灌浆措施，并报送监理人审批。</w:t>
      </w:r>
    </w:p>
    <w:p w14:paraId="66571093">
      <w:pPr>
        <w:suppressAutoHyphens/>
        <w:ind w:firstLine="420"/>
        <w:jc w:val="left"/>
        <w:rPr>
          <w:color w:val="auto"/>
          <w:highlight w:val="none"/>
          <w:lang w:eastAsia="zh-CN"/>
        </w:rPr>
      </w:pPr>
      <w:r>
        <w:rPr>
          <w:rFonts w:hint="eastAsia"/>
          <w:color w:val="auto"/>
          <w:highlight w:val="none"/>
          <w:lang w:eastAsia="zh-CN"/>
        </w:rPr>
        <w:t>（4）回填灌浆应按划分的灌浆区段分序加密进行，分序序数和分序方法应根据地质情况和工程要求确定，区段长度划分按施工图要求执行，区段端部必须封堵严密。</w:t>
      </w:r>
    </w:p>
    <w:p w14:paraId="1D182230">
      <w:pPr>
        <w:suppressAutoHyphens/>
        <w:ind w:firstLine="420"/>
        <w:jc w:val="left"/>
        <w:rPr>
          <w:rFonts w:hint="eastAsia"/>
          <w:color w:val="auto"/>
          <w:highlight w:val="none"/>
          <w:lang w:eastAsia="zh-CN"/>
        </w:rPr>
      </w:pPr>
      <w:r>
        <w:rPr>
          <w:rFonts w:hint="eastAsia"/>
          <w:color w:val="auto"/>
          <w:highlight w:val="none"/>
          <w:lang w:eastAsia="zh-CN"/>
        </w:rPr>
        <w:t>（5）回填灌浆施工应自较低的一端向较高的一端推赶灌浆。同一区段内的同一次序孔可全部或部分钻出后，再进行灌浆，也可单孔分序钻进和灌浆。</w:t>
      </w:r>
    </w:p>
    <w:p w14:paraId="7C554D04">
      <w:pPr>
        <w:suppressAutoHyphens/>
        <w:ind w:firstLine="420"/>
        <w:jc w:val="left"/>
        <w:rPr>
          <w:color w:val="auto"/>
          <w:highlight w:val="none"/>
          <w:lang w:eastAsia="zh-CN"/>
        </w:rPr>
      </w:pPr>
      <w:r>
        <w:rPr>
          <w:rFonts w:hint="eastAsia"/>
          <w:color w:val="auto"/>
          <w:highlight w:val="none"/>
          <w:lang w:eastAsia="zh-CN"/>
        </w:rPr>
        <w:t>（6）灌浆前应对衬砌混凝土的施工缝和混凝土缺陷等进行全面检查，对可能漏浆的部位应先行处理。</w:t>
      </w:r>
    </w:p>
    <w:p w14:paraId="1912D32A">
      <w:pPr>
        <w:suppressAutoHyphens/>
        <w:ind w:firstLine="420"/>
        <w:jc w:val="left"/>
        <w:rPr>
          <w:color w:val="auto"/>
          <w:highlight w:val="none"/>
          <w:lang w:eastAsia="zh-CN"/>
        </w:rPr>
      </w:pPr>
      <w:r>
        <w:rPr>
          <w:rFonts w:hint="eastAsia"/>
          <w:color w:val="auto"/>
          <w:highlight w:val="none"/>
          <w:lang w:eastAsia="zh-CN"/>
        </w:rPr>
        <w:t>（7）除施工图纸和监理人另有指示外，回填灌浆的压力在钢筋混凝土衬砌中采用0.2～0.4MPa，其中Ⅰ序孔宜取低值，Ⅱ序孔宜取高值。Ⅰ序孔采用水灰比0.5：1的水泥浆灌注，Ⅱ序孔采用1：1和0.5：1两个比级的水泥浆灌注。空隙大的部位应灌注水泥砂浆，但掺砂量不应大于水泥重量的200%。</w:t>
      </w:r>
    </w:p>
    <w:p w14:paraId="15C4241D">
      <w:pPr>
        <w:suppressAutoHyphens/>
        <w:ind w:firstLine="420"/>
        <w:jc w:val="left"/>
        <w:rPr>
          <w:color w:val="auto"/>
          <w:highlight w:val="none"/>
          <w:lang w:eastAsia="zh-CN"/>
        </w:rPr>
      </w:pPr>
      <w:r>
        <w:rPr>
          <w:rFonts w:hint="eastAsia"/>
          <w:color w:val="auto"/>
          <w:highlight w:val="none"/>
          <w:lang w:eastAsia="zh-CN"/>
        </w:rPr>
        <w:t>（8）回填灌浆在规定的压力下，灌浆孔停止吸浆后，屏浆10min即可结束。</w:t>
      </w:r>
    </w:p>
    <w:p w14:paraId="6502805C">
      <w:pPr>
        <w:suppressAutoHyphens/>
        <w:ind w:firstLine="420"/>
        <w:jc w:val="left"/>
        <w:rPr>
          <w:color w:val="auto"/>
          <w:highlight w:val="none"/>
          <w:lang w:eastAsia="zh-CN"/>
        </w:rPr>
      </w:pPr>
      <w:r>
        <w:rPr>
          <w:rFonts w:hint="eastAsia"/>
          <w:color w:val="auto"/>
          <w:highlight w:val="none"/>
          <w:lang w:eastAsia="zh-CN"/>
        </w:rPr>
        <w:t>（9）回填灌浆因故中断时，承包人应及早恢复灌浆，中断时间大于30min，应设法清洗至原孔深后恢复灌浆，此时若灌浆孔仍不吸浆，则应重新就近钻孔进行灌浆。</w:t>
      </w:r>
    </w:p>
    <w:p w14:paraId="0849DE6B">
      <w:pPr>
        <w:suppressAutoHyphens/>
        <w:ind w:firstLine="420"/>
        <w:jc w:val="left"/>
        <w:rPr>
          <w:color w:val="auto"/>
          <w:highlight w:val="none"/>
          <w:lang w:eastAsia="zh-CN"/>
        </w:rPr>
      </w:pPr>
      <w:r>
        <w:rPr>
          <w:rFonts w:hint="eastAsia"/>
          <w:color w:val="auto"/>
          <w:highlight w:val="none"/>
          <w:lang w:eastAsia="zh-CN"/>
        </w:rPr>
        <w:t>（10）灌浆结束后，应排除钻孔内积水和污物，采用干硬性水泥砂浆将全孔封填密实，孔口抹平，露出衬砌混凝土表面的埋管应割除。</w:t>
      </w:r>
    </w:p>
    <w:p w14:paraId="4CDAF7FC">
      <w:pPr>
        <w:suppressAutoHyphens/>
        <w:ind w:firstLine="420"/>
        <w:jc w:val="left"/>
        <w:rPr>
          <w:color w:val="auto"/>
          <w:highlight w:val="none"/>
          <w:lang w:eastAsia="zh-CN"/>
        </w:rPr>
      </w:pPr>
      <w:r>
        <w:rPr>
          <w:rFonts w:hint="eastAsia"/>
          <w:color w:val="auto"/>
          <w:highlight w:val="none"/>
          <w:lang w:eastAsia="zh-CN"/>
        </w:rPr>
        <w:t>（11）回填灌浆质量检查</w:t>
      </w:r>
    </w:p>
    <w:p w14:paraId="48507C3E">
      <w:pPr>
        <w:suppressAutoHyphens/>
        <w:ind w:firstLine="420"/>
        <w:jc w:val="left"/>
        <w:rPr>
          <w:color w:val="auto"/>
          <w:highlight w:val="none"/>
          <w:lang w:eastAsia="zh-CN"/>
        </w:rPr>
      </w:pPr>
      <w:r>
        <w:rPr>
          <w:rFonts w:hint="eastAsia"/>
          <w:color w:val="auto"/>
          <w:highlight w:val="none"/>
          <w:lang w:eastAsia="zh-CN"/>
        </w:rPr>
        <w:t>1）回填灌浆质量检查采用注浆试验法，应在该部位灌浆结束7d后进行。灌浆结束后，承包人应将灌浆记录和有关资料提交监理人，以供监理人与承包人共同确定检查孔孔位。检查孔应布置在顶拱中心线上脱空较大及灌浆情况异常的部位。每10m～15m隧洞长度至少布置一个检查孔，并应深入围岩石10cm。</w:t>
      </w:r>
    </w:p>
    <w:p w14:paraId="34A381FF">
      <w:pPr>
        <w:suppressAutoHyphens/>
        <w:ind w:firstLine="420"/>
        <w:jc w:val="left"/>
        <w:rPr>
          <w:color w:val="auto"/>
          <w:highlight w:val="none"/>
          <w:lang w:eastAsia="zh-CN"/>
        </w:rPr>
      </w:pPr>
      <w:r>
        <w:rPr>
          <w:rFonts w:hint="eastAsia"/>
          <w:color w:val="auto"/>
          <w:highlight w:val="none"/>
          <w:lang w:eastAsia="zh-CN"/>
        </w:rPr>
        <w:t>2）钻孔注浆法检查方法为：应向孔内注入水灰比2</w:t>
      </w:r>
      <w:r>
        <w:rPr>
          <w:color w:val="auto"/>
          <w:highlight w:val="none"/>
          <w:lang w:eastAsia="zh-CN"/>
        </w:rPr>
        <w:t>:</w:t>
      </w:r>
      <w:r>
        <w:rPr>
          <w:rFonts w:hint="eastAsia"/>
          <w:color w:val="auto"/>
          <w:highlight w:val="none"/>
          <w:lang w:eastAsia="zh-CN"/>
        </w:rPr>
        <w:t>1的浆液，在规定压力下，初始10min内注入量不超过10L，即为合格。否则，应按监理人指示或批准的措施进行处理。</w:t>
      </w:r>
    </w:p>
    <w:p w14:paraId="0FBDDE37">
      <w:pPr>
        <w:suppressAutoHyphens/>
        <w:ind w:firstLine="420"/>
        <w:jc w:val="left"/>
        <w:rPr>
          <w:color w:val="auto"/>
          <w:highlight w:val="none"/>
          <w:lang w:eastAsia="zh-CN"/>
        </w:rPr>
      </w:pPr>
      <w:r>
        <w:rPr>
          <w:rFonts w:hint="eastAsia"/>
          <w:color w:val="auto"/>
          <w:highlight w:val="none"/>
          <w:lang w:eastAsia="zh-CN"/>
        </w:rPr>
        <w:t>3）回填灌浆工程质量检查也可以采用双孔联通试验和检查孔取芯的方法，按SL/T62的规定进行。</w:t>
      </w:r>
    </w:p>
    <w:p w14:paraId="088D3CAC">
      <w:pPr>
        <w:ind w:firstLine="420"/>
        <w:jc w:val="left"/>
        <w:rPr>
          <w:color w:val="auto"/>
          <w:highlight w:val="none"/>
          <w:lang w:eastAsia="zh-CN"/>
        </w:rPr>
      </w:pPr>
      <w:r>
        <w:rPr>
          <w:rFonts w:hint="eastAsia"/>
          <w:color w:val="auto"/>
          <w:highlight w:val="none"/>
          <w:lang w:eastAsia="zh-CN"/>
        </w:rPr>
        <w:t>4）回填灌浆孔灌浆和检查孔注浆试验结束后，均应采用水泥砂浆将钻孔封填密实，最后孔口用微膨胀水泥砂浆抹平，水泥砂浆强度等级不低于C40，防渗等级不低于W12。</w:t>
      </w:r>
    </w:p>
    <w:p w14:paraId="7679D790">
      <w:pPr>
        <w:pStyle w:val="5"/>
        <w:jc w:val="left"/>
        <w:rPr>
          <w:rFonts w:hAnsi="楷体" w:cs="楷体"/>
          <w:color w:val="auto"/>
          <w:highlight w:val="none"/>
          <w:lang w:eastAsia="zh-CN"/>
        </w:rPr>
      </w:pPr>
      <w:r>
        <w:rPr>
          <w:rFonts w:hAnsi="Times New Roman" w:cs="Times New Roman"/>
          <w:color w:val="auto"/>
          <w:highlight w:val="none"/>
          <w:lang w:eastAsia="zh-CN"/>
        </w:rPr>
        <w:t>10.9.7</w:t>
      </w:r>
      <w:r>
        <w:rPr>
          <w:rFonts w:hint="eastAsia" w:hAnsi="Times New Roman" w:cs="Times New Roman"/>
          <w:color w:val="auto"/>
          <w:highlight w:val="none"/>
          <w:lang w:eastAsia="zh-CN"/>
        </w:rPr>
        <w:t>　</w:t>
      </w:r>
      <w:r>
        <w:rPr>
          <w:rFonts w:hint="eastAsia" w:hAnsi="楷体" w:cs="楷体"/>
          <w:color w:val="auto"/>
          <w:highlight w:val="none"/>
          <w:lang w:eastAsia="zh-CN"/>
        </w:rPr>
        <w:t>排水</w:t>
      </w:r>
    </w:p>
    <w:p w14:paraId="1BBF909E">
      <w:pPr>
        <w:pStyle w:val="5"/>
        <w:jc w:val="left"/>
        <w:outlineLvl w:val="9"/>
        <w:rPr>
          <w:rFonts w:eastAsia="宋体"/>
          <w:color w:val="auto"/>
          <w:highlight w:val="none"/>
          <w:lang w:eastAsia="zh-CN"/>
        </w:rPr>
      </w:pPr>
      <w:bookmarkStart w:id="2015" w:name="_Toc7623"/>
      <w:bookmarkStart w:id="2016" w:name="_Toc6573"/>
      <w:r>
        <w:rPr>
          <w:rFonts w:eastAsia="宋体"/>
          <w:color w:val="auto"/>
          <w:highlight w:val="none"/>
          <w:lang w:eastAsia="zh-CN"/>
        </w:rPr>
        <w:t>10.9.7.1</w:t>
      </w:r>
      <w:r>
        <w:rPr>
          <w:rFonts w:hint="eastAsia"/>
          <w:color w:val="auto"/>
          <w:highlight w:val="none"/>
          <w:lang w:eastAsia="zh-CN"/>
        </w:rPr>
        <w:t>　</w:t>
      </w:r>
      <w:r>
        <w:rPr>
          <w:rFonts w:hint="eastAsia" w:eastAsia="宋体" w:cs="方正小标宋_GBK"/>
          <w:color w:val="auto"/>
          <w:highlight w:val="none"/>
          <w:lang w:eastAsia="zh-CN"/>
        </w:rPr>
        <w:t>排水孔的钻孔</w:t>
      </w:r>
      <w:bookmarkEnd w:id="2015"/>
      <w:bookmarkEnd w:id="2016"/>
    </w:p>
    <w:p w14:paraId="19BC2B75">
      <w:pPr>
        <w:suppressAutoHyphens/>
        <w:ind w:firstLine="420"/>
        <w:jc w:val="left"/>
        <w:rPr>
          <w:color w:val="auto"/>
          <w:highlight w:val="none"/>
          <w:lang w:eastAsia="zh-CN"/>
        </w:rPr>
      </w:pPr>
      <w:r>
        <w:rPr>
          <w:rFonts w:hint="eastAsia"/>
          <w:color w:val="auto"/>
          <w:highlight w:val="none"/>
          <w:lang w:eastAsia="zh-CN"/>
        </w:rPr>
        <w:t>（1）排水孔应在相应部位灌浆检查合格后进行。</w:t>
      </w:r>
    </w:p>
    <w:p w14:paraId="37EA56A9">
      <w:pPr>
        <w:suppressAutoHyphens/>
        <w:ind w:firstLine="420"/>
        <w:jc w:val="left"/>
        <w:rPr>
          <w:color w:val="auto"/>
          <w:highlight w:val="none"/>
          <w:lang w:eastAsia="zh-CN"/>
        </w:rPr>
      </w:pPr>
      <w:r>
        <w:rPr>
          <w:rFonts w:hint="eastAsia"/>
          <w:color w:val="auto"/>
          <w:highlight w:val="none"/>
          <w:lang w:eastAsia="zh-CN"/>
        </w:rPr>
        <w:t>（2）钻孔的孔位、深度、孔径、钻孔顺序和孔斜等应按施工图纸要求和监理人指示执行。</w:t>
      </w:r>
    </w:p>
    <w:p w14:paraId="5C1EDA77">
      <w:pPr>
        <w:suppressAutoHyphens/>
        <w:ind w:firstLine="420"/>
        <w:jc w:val="left"/>
        <w:rPr>
          <w:color w:val="auto"/>
          <w:highlight w:val="none"/>
          <w:lang w:eastAsia="zh-CN"/>
        </w:rPr>
      </w:pPr>
      <w:r>
        <w:rPr>
          <w:rFonts w:hint="eastAsia"/>
          <w:color w:val="auto"/>
          <w:highlight w:val="none"/>
          <w:lang w:eastAsia="zh-CN"/>
        </w:rPr>
        <w:t>（3）钻孔结束，承包人应会同监理人进行检查验收，检查合格，并经监理人签认后，方可进行下一步操作。</w:t>
      </w:r>
    </w:p>
    <w:p w14:paraId="4680D05C">
      <w:pPr>
        <w:suppressAutoHyphens/>
        <w:ind w:firstLine="420"/>
        <w:jc w:val="left"/>
        <w:rPr>
          <w:color w:val="auto"/>
          <w:highlight w:val="none"/>
          <w:lang w:eastAsia="zh-CN"/>
        </w:rPr>
      </w:pPr>
      <w:r>
        <w:rPr>
          <w:rFonts w:hint="eastAsia"/>
          <w:color w:val="auto"/>
          <w:highlight w:val="none"/>
          <w:lang w:eastAsia="zh-CN"/>
        </w:rPr>
        <w:t>（4）排水孔钻进过程中，如遇有断层破碎带或软弱岩体等特殊情况，承包人应及时通知监理人，并按监理人的指示进行处理。若钻进中排水孔遭堵塞，则应按监理人指示重钻。</w:t>
      </w:r>
    </w:p>
    <w:p w14:paraId="45FEE559">
      <w:pPr>
        <w:pStyle w:val="5"/>
        <w:jc w:val="left"/>
        <w:outlineLvl w:val="9"/>
        <w:rPr>
          <w:rFonts w:eastAsia="宋体"/>
          <w:color w:val="auto"/>
          <w:highlight w:val="none"/>
          <w:lang w:eastAsia="zh-CN"/>
        </w:rPr>
      </w:pPr>
      <w:bookmarkStart w:id="2017" w:name="_Toc14526"/>
      <w:bookmarkStart w:id="2018" w:name="_Toc14697"/>
      <w:r>
        <w:rPr>
          <w:rFonts w:eastAsia="宋体"/>
          <w:color w:val="auto"/>
          <w:highlight w:val="none"/>
          <w:lang w:eastAsia="zh-CN"/>
        </w:rPr>
        <w:t>10.9.7.2</w:t>
      </w:r>
      <w:r>
        <w:rPr>
          <w:rFonts w:hint="eastAsia"/>
          <w:color w:val="auto"/>
          <w:highlight w:val="none"/>
          <w:lang w:eastAsia="zh-CN"/>
        </w:rPr>
        <w:t>　</w:t>
      </w:r>
      <w:r>
        <w:rPr>
          <w:rFonts w:hint="eastAsia" w:eastAsia="宋体" w:cs="方正小标宋_GBK"/>
          <w:color w:val="auto"/>
          <w:highlight w:val="none"/>
          <w:lang w:eastAsia="zh-CN"/>
        </w:rPr>
        <w:t>排水孔的孔内保护</w:t>
      </w:r>
      <w:bookmarkEnd w:id="2017"/>
      <w:bookmarkEnd w:id="2018"/>
    </w:p>
    <w:p w14:paraId="55CEF004">
      <w:pPr>
        <w:suppressAutoHyphens/>
        <w:ind w:firstLine="420"/>
        <w:jc w:val="left"/>
        <w:rPr>
          <w:color w:val="auto"/>
          <w:highlight w:val="none"/>
          <w:lang w:eastAsia="zh-CN"/>
        </w:rPr>
      </w:pPr>
      <w:r>
        <w:rPr>
          <w:rFonts w:hint="eastAsia"/>
          <w:color w:val="auto"/>
          <w:highlight w:val="none"/>
          <w:lang w:eastAsia="zh-CN"/>
        </w:rPr>
        <w:t>（1）钻孔完成后，对Ⅳ、Ⅴ类围岩及其他岩体破碎、夹泥等洞段按施工图纸要求或监理人的指示及时放入孔内保护装置，并将其固定在孔壁上。</w:t>
      </w:r>
    </w:p>
    <w:p w14:paraId="3503DD0B">
      <w:pPr>
        <w:suppressAutoHyphens/>
        <w:ind w:firstLine="420"/>
        <w:jc w:val="left"/>
        <w:rPr>
          <w:color w:val="auto"/>
          <w:highlight w:val="none"/>
          <w:lang w:eastAsia="zh-CN"/>
        </w:rPr>
      </w:pPr>
      <w:r>
        <w:rPr>
          <w:rFonts w:hint="eastAsia"/>
          <w:color w:val="auto"/>
          <w:highlight w:val="none"/>
          <w:lang w:eastAsia="zh-CN"/>
        </w:rPr>
        <w:t>（2）超前减压孔钻进过程中遇塌孔或涌水突泥时，应根据设计文件和监理人的指示安装孔内保护装置，根据减压孔的不同深度，孔内保护装置采用硬质U-PVC排水花管外包锦纶平网或双层套管结构。</w:t>
      </w:r>
    </w:p>
    <w:p w14:paraId="705577C8">
      <w:pPr>
        <w:suppressAutoHyphens/>
        <w:ind w:firstLine="420"/>
        <w:jc w:val="left"/>
        <w:rPr>
          <w:color w:val="auto"/>
          <w:highlight w:val="none"/>
          <w:lang w:eastAsia="zh-CN"/>
        </w:rPr>
      </w:pPr>
      <w:r>
        <w:rPr>
          <w:rFonts w:hint="eastAsia"/>
          <w:color w:val="auto"/>
          <w:highlight w:val="none"/>
          <w:lang w:eastAsia="zh-CN"/>
        </w:rPr>
        <w:t>（3）围岩减压孔孔内保护装置采用滤芯可拆换式防淤堵排水管；孔内保护装置的外径应与钻孔孔径相匹配，保证空隙不大于5mm，并防止发生脱移式移位。</w:t>
      </w:r>
    </w:p>
    <w:p w14:paraId="633A8C8F">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4）滤芯可拆换式防淤堵排水管要求为：内、外管厚度不小于5mm,开孔率15%～19%；滤芯厚度&gt;20mm,等效渗透系数＞1</w:t>
      </w:r>
      <w:r>
        <w:rPr>
          <w:rFonts w:hint="eastAsia"/>
          <w:color w:val="auto"/>
          <w:highlight w:val="none"/>
          <w:lang w:eastAsia="zh-CN"/>
        </w:rPr>
        <w:t>×</w:t>
      </w:r>
      <w:r>
        <w:rPr>
          <w:color w:val="auto"/>
          <w:highlight w:val="none"/>
          <w:lang w:eastAsia="zh-CN"/>
        </w:rPr>
        <w:t>10</w:t>
      </w:r>
      <w:r>
        <w:rPr>
          <w:color w:val="auto"/>
          <w:highlight w:val="none"/>
          <w:vertAlign w:val="superscript"/>
          <w:lang w:eastAsia="zh-CN"/>
        </w:rPr>
        <w:t>-1</w:t>
      </w:r>
      <w:r>
        <w:rPr>
          <w:color w:val="auto"/>
          <w:highlight w:val="none"/>
          <w:lang w:eastAsia="zh-CN"/>
        </w:rPr>
        <w:t>cm/s,长期稳定性及环保要求应满足相关规范。</w:t>
      </w:r>
    </w:p>
    <w:p w14:paraId="27389995">
      <w:pPr>
        <w:suppressAutoHyphens/>
        <w:ind w:firstLine="420"/>
        <w:jc w:val="left"/>
        <w:rPr>
          <w:color w:val="auto"/>
          <w:highlight w:val="none"/>
          <w:lang w:eastAsia="zh-CN"/>
        </w:rPr>
      </w:pPr>
      <w:r>
        <w:rPr>
          <w:rFonts w:hint="eastAsia"/>
          <w:color w:val="auto"/>
          <w:highlight w:val="none"/>
          <w:lang w:eastAsia="zh-CN"/>
        </w:rPr>
        <w:t>（5）排水孔必须按施工详图或监理人规定的位置、方向和深度钻进。其平面位置的偏差不应大于10cm；孔的倾斜度误差不应大于1%；孔深误差一般不应大于或小于孔深的2%，围岩减压孔不应欠深且孔深误差不应大于10cm。在工程施工中，直至进行下一道工序前，每个孔都应在钻孔上加盖帽或采取措施加以保护，以避免堵塞。在作业完成前，所有堵塞的孔都必须进行扫孔或用别的孔代替，由此增加的费用应由承包人负担。</w:t>
      </w:r>
    </w:p>
    <w:p w14:paraId="18DC328D">
      <w:pPr>
        <w:pStyle w:val="5"/>
        <w:jc w:val="left"/>
        <w:outlineLvl w:val="9"/>
        <w:rPr>
          <w:rFonts w:eastAsia="宋体"/>
          <w:color w:val="auto"/>
          <w:highlight w:val="none"/>
          <w:lang w:eastAsia="zh-CN"/>
        </w:rPr>
      </w:pPr>
      <w:bookmarkStart w:id="2019" w:name="_Toc13548"/>
      <w:bookmarkStart w:id="2020" w:name="_Toc25487"/>
      <w:r>
        <w:rPr>
          <w:rFonts w:eastAsia="宋体"/>
          <w:color w:val="auto"/>
          <w:highlight w:val="none"/>
          <w:lang w:eastAsia="zh-CN"/>
        </w:rPr>
        <w:t>10.9.7.3</w:t>
      </w:r>
      <w:r>
        <w:rPr>
          <w:rFonts w:hint="eastAsia"/>
          <w:color w:val="auto"/>
          <w:highlight w:val="none"/>
          <w:lang w:eastAsia="zh-CN"/>
        </w:rPr>
        <w:t>　</w:t>
      </w:r>
      <w:r>
        <w:rPr>
          <w:rFonts w:hint="eastAsia" w:eastAsia="宋体"/>
          <w:color w:val="auto"/>
          <w:highlight w:val="none"/>
          <w:lang w:eastAsia="zh-CN"/>
        </w:rPr>
        <w:t>塑料排水盲板</w:t>
      </w:r>
      <w:bookmarkEnd w:id="2019"/>
      <w:bookmarkEnd w:id="2020"/>
    </w:p>
    <w:p w14:paraId="2A096F69">
      <w:pPr>
        <w:suppressAutoHyphens/>
        <w:ind w:firstLine="420"/>
        <w:jc w:val="left"/>
        <w:rPr>
          <w:color w:val="auto"/>
          <w:highlight w:val="none"/>
          <w:lang w:eastAsia="zh-CN"/>
        </w:rPr>
      </w:pPr>
      <w:r>
        <w:rPr>
          <w:rFonts w:hint="eastAsia"/>
          <w:color w:val="auto"/>
          <w:highlight w:val="none"/>
          <w:lang w:eastAsia="zh-CN"/>
        </w:rPr>
        <w:t>（1）塑料排水盲板用于输水隧洞钻爆法开挖揭示断裂带中V类或V</w:t>
      </w:r>
      <w:r>
        <w:rPr>
          <w:color w:val="auto"/>
          <w:highlight w:val="none"/>
          <w:vertAlign w:val="subscript"/>
          <w:lang w:eastAsia="zh-CN"/>
        </w:rPr>
        <w:t>T</w:t>
      </w:r>
      <w:r>
        <w:rPr>
          <w:rFonts w:hint="eastAsia"/>
          <w:color w:val="auto"/>
          <w:highlight w:val="none"/>
          <w:lang w:eastAsia="zh-CN"/>
        </w:rPr>
        <w:t>类围岩洞段的喷射混凝土层与永久衬砌的系统排水。</w:t>
      </w:r>
    </w:p>
    <w:p w14:paraId="3088976D">
      <w:pPr>
        <w:suppressAutoHyphens/>
        <w:ind w:firstLine="420"/>
        <w:jc w:val="left"/>
        <w:rPr>
          <w:color w:val="auto"/>
          <w:highlight w:val="none"/>
          <w:lang w:eastAsia="zh-CN"/>
        </w:rPr>
      </w:pPr>
      <w:r>
        <w:rPr>
          <w:rFonts w:hint="eastAsia"/>
          <w:color w:val="auto"/>
          <w:highlight w:val="none"/>
          <w:lang w:eastAsia="zh-CN"/>
        </w:rPr>
        <w:t>（2）塑料排水盲板：由热塑性合成树脂加热溶化后通过喷嘴挤压出纤维丝状多孔材料叠置而成,耐久性不低于100a（需提供第三方证明材料），塑料排水盲板主要性能技术参数见表10.15.3-1。纤维丝外表面包裹一周聚丙烯纤维透水模板布，靠近岩壁侧2</w:t>
      </w:r>
      <w:r>
        <w:rPr>
          <w:color w:val="auto"/>
          <w:highlight w:val="none"/>
          <w:lang w:eastAsia="zh-CN"/>
        </w:rPr>
        <w:t>0cm</w:t>
      </w:r>
      <w:r>
        <w:rPr>
          <w:rFonts w:hint="eastAsia"/>
          <w:color w:val="auto"/>
          <w:highlight w:val="none"/>
          <w:lang w:eastAsia="zh-CN"/>
        </w:rPr>
        <w:t>长边贴4</w:t>
      </w:r>
      <w:r>
        <w:rPr>
          <w:color w:val="auto"/>
          <w:highlight w:val="none"/>
          <w:lang w:eastAsia="zh-CN"/>
        </w:rPr>
        <w:t>00g/</w:t>
      </w:r>
      <w:r>
        <w:rPr>
          <w:rFonts w:hint="eastAsia"/>
          <w:color w:val="auto"/>
          <w:highlight w:val="none"/>
          <w:lang w:eastAsia="zh-CN"/>
        </w:rPr>
        <w:t>m²的土工布，透水模板布过滤层朝外。</w:t>
      </w:r>
    </w:p>
    <w:p w14:paraId="06F2BE6B">
      <w:pPr>
        <w:pStyle w:val="56"/>
        <w:suppressAutoHyphens/>
        <w:ind w:firstLine="482" w:firstLineChars="200"/>
        <w:jc w:val="left"/>
        <w:outlineLvl w:val="9"/>
        <w:rPr>
          <w:rFonts w:ascii="宋体" w:eastAsia="宋体"/>
          <w:b/>
          <w:bCs/>
          <w:color w:val="auto"/>
          <w:highlight w:val="none"/>
          <w:lang w:eastAsia="zh-CN"/>
        </w:rPr>
      </w:pPr>
      <w:r>
        <w:rPr>
          <w:rFonts w:hint="eastAsia" w:ascii="宋体" w:eastAsia="宋体"/>
          <w:b/>
          <w:bCs/>
          <w:color w:val="auto"/>
          <w:highlight w:val="none"/>
          <w:lang w:eastAsia="zh-CN"/>
        </w:rPr>
        <w:t>表</w:t>
      </w:r>
      <w:r>
        <w:rPr>
          <w:rFonts w:ascii="宋体" w:eastAsia="宋体"/>
          <w:b/>
          <w:bCs/>
          <w:color w:val="auto"/>
          <w:highlight w:val="none"/>
          <w:lang w:eastAsia="zh-CN"/>
        </w:rPr>
        <w:t>10.9.7.3-1</w:t>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hint="eastAsia" w:ascii="宋体" w:eastAsia="宋体"/>
          <w:b/>
          <w:bCs/>
          <w:color w:val="auto"/>
          <w:highlight w:val="none"/>
          <w:lang w:val="en-US" w:eastAsia="zh-CN"/>
        </w:rPr>
        <w:tab/>
      </w:r>
      <w:r>
        <w:rPr>
          <w:rFonts w:ascii="宋体" w:eastAsia="宋体"/>
          <w:b/>
          <w:bCs/>
          <w:color w:val="auto"/>
          <w:highlight w:val="none"/>
          <w:lang w:eastAsia="zh-CN"/>
        </w:rPr>
        <w:t>塑料排水盲板主要性能技术参数</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296"/>
        <w:gridCol w:w="2938"/>
        <w:gridCol w:w="4609"/>
      </w:tblGrid>
      <w:tr w14:paraId="5E3B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tblHeader/>
          <w:jc w:val="center"/>
        </w:trPr>
        <w:tc>
          <w:tcPr>
            <w:tcW w:w="2394" w:type="pct"/>
            <w:gridSpan w:val="2"/>
            <w:vMerge w:val="restart"/>
            <w:tcBorders>
              <w:tl2br w:val="nil"/>
              <w:tr2bl w:val="nil"/>
            </w:tcBorders>
            <w:shd w:val="clear" w:color="auto" w:fill="auto"/>
            <w:vAlign w:val="center"/>
          </w:tcPr>
          <w:p w14:paraId="0DADA80B">
            <w:pPr>
              <w:pStyle w:val="55"/>
              <w:jc w:val="right"/>
              <w:rPr>
                <w:color w:val="auto"/>
                <w:sz w:val="21"/>
                <w:szCs w:val="21"/>
                <w:highlight w:val="none"/>
              </w:rPr>
            </w:pPr>
            <w:r>
              <w:rPr>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2540</wp:posOffset>
                      </wp:positionH>
                      <wp:positionV relativeFrom="paragraph">
                        <wp:posOffset>6350</wp:posOffset>
                      </wp:positionV>
                      <wp:extent cx="2760980" cy="375920"/>
                      <wp:effectExtent l="635" t="4445" r="12065" b="15875"/>
                      <wp:wrapNone/>
                      <wp:docPr id="4" name="直接箭头连接符 1281372369"/>
                      <wp:cNvGraphicFramePr/>
                      <a:graphic xmlns:a="http://schemas.openxmlformats.org/drawingml/2006/main">
                        <a:graphicData uri="http://schemas.microsoft.com/office/word/2010/wordprocessingShape">
                          <wps:wsp>
                            <wps:cNvCnPr>
                              <a:cxnSpLocks noChangeShapeType="1"/>
                            </wps:cNvCnPr>
                            <wps:spPr bwMode="auto">
                              <a:xfrm>
                                <a:off x="0" y="0"/>
                                <a:ext cx="2760980" cy="375920"/>
                              </a:xfrm>
                              <a:prstGeom prst="straightConnector1">
                                <a:avLst/>
                              </a:prstGeom>
                              <a:noFill/>
                              <a:ln w="6350">
                                <a:solidFill>
                                  <a:srgbClr val="000000"/>
                                </a:solidFill>
                                <a:round/>
                              </a:ln>
                              <a:effectLst/>
                            </wps:spPr>
                            <wps:bodyPr/>
                          </wps:wsp>
                        </a:graphicData>
                      </a:graphic>
                    </wp:anchor>
                  </w:drawing>
                </mc:Choice>
                <mc:Fallback>
                  <w:pict>
                    <v:shape id="直接箭头连接符 1281372369" o:spid="_x0000_s1026" o:spt="32" type="#_x0000_t32" style="position:absolute;left:0pt;margin-left:0.2pt;margin-top:0.5pt;height:29.6pt;width:217.4pt;z-index:251662336;mso-width-relative:page;mso-height-relative:page;" filled="f" stroked="t" coordsize="21600,21600" o:gfxdata="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4oxznUAAAABQEAAA8AAAAAAAAAAQAgAAAAIgAAAGRy&#10;cy9kb3ducmV2LnhtbFBLAQIUABQAAAAIAIdO4kB9/ufqCQIAANoDAAAOAAAAAAAAAAEAIAAAACMB&#10;AABkcnMvZTJvRG9jLnhtbFBLBQYAAAAABgAGAFkBAACeBQAAAAA=&#10;">
                      <v:fill on="f" focussize="0,0"/>
                      <v:stroke weight="0.5pt" color="#000000" joinstyle="round"/>
                      <v:imagedata o:title=""/>
                      <o:lock v:ext="edit" aspectratio="f"/>
                    </v:shape>
                  </w:pict>
                </mc:Fallback>
              </mc:AlternateContent>
            </w:r>
            <w:r>
              <w:rPr>
                <w:rFonts w:hint="eastAsia"/>
                <w:color w:val="auto"/>
                <w:sz w:val="21"/>
                <w:szCs w:val="21"/>
                <w:highlight w:val="none"/>
              </w:rPr>
              <w:t>规格</w:t>
            </w:r>
          </w:p>
          <w:p w14:paraId="6A38B3DF">
            <w:pPr>
              <w:pStyle w:val="55"/>
              <w:jc w:val="left"/>
              <w:rPr>
                <w:color w:val="auto"/>
                <w:sz w:val="21"/>
                <w:szCs w:val="21"/>
                <w:highlight w:val="none"/>
              </w:rPr>
            </w:pPr>
            <w:r>
              <w:rPr>
                <w:rFonts w:hint="eastAsia"/>
                <w:color w:val="auto"/>
                <w:sz w:val="21"/>
                <w:szCs w:val="21"/>
                <w:highlight w:val="none"/>
              </w:rPr>
              <w:t>型号</w:t>
            </w:r>
          </w:p>
        </w:tc>
        <w:tc>
          <w:tcPr>
            <w:tcW w:w="2606" w:type="pct"/>
            <w:tcBorders>
              <w:tl2br w:val="nil"/>
              <w:tr2bl w:val="nil"/>
            </w:tcBorders>
            <w:shd w:val="clear" w:color="auto" w:fill="auto"/>
            <w:vAlign w:val="center"/>
          </w:tcPr>
          <w:p w14:paraId="2D352804">
            <w:pPr>
              <w:pStyle w:val="55"/>
              <w:rPr>
                <w:color w:val="auto"/>
                <w:sz w:val="21"/>
                <w:szCs w:val="21"/>
                <w:highlight w:val="none"/>
              </w:rPr>
            </w:pPr>
            <w:r>
              <w:rPr>
                <w:rFonts w:hint="eastAsia"/>
                <w:color w:val="auto"/>
                <w:sz w:val="21"/>
                <w:szCs w:val="21"/>
                <w:highlight w:val="none"/>
              </w:rPr>
              <w:t>长方型断面</w:t>
            </w:r>
          </w:p>
        </w:tc>
      </w:tr>
      <w:tr w14:paraId="29F78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tblHeader/>
          <w:jc w:val="center"/>
        </w:trPr>
        <w:tc>
          <w:tcPr>
            <w:tcW w:w="2394" w:type="pct"/>
            <w:gridSpan w:val="2"/>
            <w:vMerge w:val="continue"/>
            <w:tcBorders>
              <w:tl2br w:val="nil"/>
              <w:tr2bl w:val="nil"/>
            </w:tcBorders>
            <w:shd w:val="clear" w:color="auto" w:fill="auto"/>
            <w:vAlign w:val="center"/>
          </w:tcPr>
          <w:p w14:paraId="2CB3D4ED">
            <w:pPr>
              <w:pStyle w:val="55"/>
              <w:rPr>
                <w:color w:val="auto"/>
                <w:sz w:val="21"/>
                <w:szCs w:val="21"/>
                <w:highlight w:val="none"/>
              </w:rPr>
            </w:pPr>
          </w:p>
        </w:tc>
        <w:tc>
          <w:tcPr>
            <w:tcW w:w="2606" w:type="pct"/>
            <w:tcBorders>
              <w:tl2br w:val="nil"/>
              <w:tr2bl w:val="nil"/>
            </w:tcBorders>
            <w:shd w:val="clear" w:color="auto" w:fill="auto"/>
            <w:vAlign w:val="center"/>
          </w:tcPr>
          <w:p w14:paraId="3241DCF1">
            <w:pPr>
              <w:pStyle w:val="55"/>
              <w:rPr>
                <w:color w:val="auto"/>
                <w:sz w:val="21"/>
                <w:szCs w:val="21"/>
                <w:highlight w:val="none"/>
              </w:rPr>
            </w:pPr>
            <w:r>
              <w:rPr>
                <w:color w:val="auto"/>
                <w:sz w:val="21"/>
                <w:szCs w:val="21"/>
                <w:highlight w:val="none"/>
              </w:rPr>
              <w:t>20cm</w:t>
            </w:r>
            <w:r>
              <w:rPr>
                <w:rFonts w:hint="eastAsia"/>
                <w:color w:val="auto"/>
                <w:sz w:val="21"/>
                <w:szCs w:val="21"/>
                <w:highlight w:val="none"/>
              </w:rPr>
              <w:t>×</w:t>
            </w:r>
            <w:r>
              <w:rPr>
                <w:color w:val="auto"/>
                <w:sz w:val="21"/>
                <w:szCs w:val="21"/>
                <w:highlight w:val="none"/>
              </w:rPr>
              <w:t>4cm</w:t>
            </w:r>
          </w:p>
        </w:tc>
      </w:tr>
      <w:tr w14:paraId="0A2F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733" w:type="pct"/>
            <w:vMerge w:val="restart"/>
            <w:tcBorders>
              <w:tl2br w:val="nil"/>
              <w:tr2bl w:val="nil"/>
            </w:tcBorders>
            <w:shd w:val="clear" w:color="auto" w:fill="auto"/>
            <w:vAlign w:val="center"/>
          </w:tcPr>
          <w:p w14:paraId="3F408639">
            <w:pPr>
              <w:pStyle w:val="55"/>
              <w:rPr>
                <w:rFonts w:hAnsi="Times New Roman"/>
                <w:color w:val="auto"/>
                <w:sz w:val="21"/>
                <w:szCs w:val="21"/>
                <w:highlight w:val="none"/>
              </w:rPr>
            </w:pPr>
            <w:r>
              <w:rPr>
                <w:rFonts w:hint="eastAsia" w:hAnsi="Times New Roman"/>
                <w:color w:val="auto"/>
                <w:sz w:val="21"/>
                <w:szCs w:val="21"/>
                <w:highlight w:val="none"/>
              </w:rPr>
              <w:t>外型尺寸</w:t>
            </w:r>
          </w:p>
        </w:tc>
        <w:tc>
          <w:tcPr>
            <w:tcW w:w="1661" w:type="pct"/>
            <w:tcBorders>
              <w:tl2br w:val="nil"/>
              <w:tr2bl w:val="nil"/>
            </w:tcBorders>
            <w:shd w:val="clear" w:color="auto" w:fill="auto"/>
            <w:vAlign w:val="center"/>
          </w:tcPr>
          <w:p w14:paraId="19596C23">
            <w:pPr>
              <w:pStyle w:val="55"/>
              <w:rPr>
                <w:rFonts w:hAnsi="Times New Roman"/>
                <w:color w:val="auto"/>
                <w:sz w:val="21"/>
                <w:szCs w:val="21"/>
                <w:highlight w:val="none"/>
              </w:rPr>
            </w:pPr>
            <w:r>
              <w:rPr>
                <w:rFonts w:hint="eastAsia" w:hAnsi="Times New Roman"/>
                <w:color w:val="auto"/>
                <w:sz w:val="21"/>
                <w:szCs w:val="21"/>
                <w:highlight w:val="none"/>
              </w:rPr>
              <w:t>宽度mm±4</w:t>
            </w:r>
          </w:p>
        </w:tc>
        <w:tc>
          <w:tcPr>
            <w:tcW w:w="2606" w:type="pct"/>
            <w:tcBorders>
              <w:tl2br w:val="nil"/>
              <w:tr2bl w:val="nil"/>
            </w:tcBorders>
            <w:shd w:val="clear" w:color="auto" w:fill="auto"/>
            <w:vAlign w:val="center"/>
          </w:tcPr>
          <w:p w14:paraId="13FC64C7">
            <w:pPr>
              <w:pStyle w:val="55"/>
              <w:rPr>
                <w:rFonts w:hAnsi="Times New Roman"/>
                <w:color w:val="auto"/>
                <w:sz w:val="21"/>
                <w:szCs w:val="21"/>
                <w:highlight w:val="none"/>
              </w:rPr>
            </w:pPr>
            <w:r>
              <w:rPr>
                <w:rFonts w:hAnsi="Times New Roman"/>
                <w:color w:val="auto"/>
                <w:sz w:val="21"/>
                <w:szCs w:val="21"/>
                <w:highlight w:val="none"/>
              </w:rPr>
              <w:t>200</w:t>
            </w:r>
          </w:p>
        </w:tc>
      </w:tr>
      <w:tr w14:paraId="3557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733" w:type="pct"/>
            <w:vMerge w:val="continue"/>
            <w:tcBorders>
              <w:tl2br w:val="nil"/>
              <w:tr2bl w:val="nil"/>
            </w:tcBorders>
            <w:shd w:val="clear" w:color="auto" w:fill="auto"/>
            <w:vAlign w:val="center"/>
          </w:tcPr>
          <w:p w14:paraId="13413AD6">
            <w:pPr>
              <w:pStyle w:val="55"/>
              <w:rPr>
                <w:rFonts w:hAnsi="Times New Roman"/>
                <w:color w:val="auto"/>
                <w:sz w:val="21"/>
                <w:szCs w:val="21"/>
                <w:highlight w:val="none"/>
              </w:rPr>
            </w:pPr>
          </w:p>
        </w:tc>
        <w:tc>
          <w:tcPr>
            <w:tcW w:w="1661" w:type="pct"/>
            <w:tcBorders>
              <w:tl2br w:val="nil"/>
              <w:tr2bl w:val="nil"/>
            </w:tcBorders>
            <w:shd w:val="clear" w:color="auto" w:fill="auto"/>
            <w:vAlign w:val="center"/>
          </w:tcPr>
          <w:p w14:paraId="0AD05345">
            <w:pPr>
              <w:pStyle w:val="55"/>
              <w:rPr>
                <w:rFonts w:hAnsi="Times New Roman"/>
                <w:color w:val="auto"/>
                <w:sz w:val="21"/>
                <w:szCs w:val="21"/>
                <w:highlight w:val="none"/>
              </w:rPr>
            </w:pPr>
            <w:r>
              <w:rPr>
                <w:rFonts w:hint="eastAsia" w:hAnsi="Times New Roman"/>
                <w:color w:val="auto"/>
                <w:sz w:val="21"/>
                <w:szCs w:val="21"/>
                <w:highlight w:val="none"/>
              </w:rPr>
              <w:t>厚度mm±2</w:t>
            </w:r>
          </w:p>
        </w:tc>
        <w:tc>
          <w:tcPr>
            <w:tcW w:w="2606" w:type="pct"/>
            <w:tcBorders>
              <w:tl2br w:val="nil"/>
              <w:tr2bl w:val="nil"/>
            </w:tcBorders>
            <w:shd w:val="clear" w:color="auto" w:fill="auto"/>
            <w:vAlign w:val="center"/>
          </w:tcPr>
          <w:p w14:paraId="432AC5C9">
            <w:pPr>
              <w:pStyle w:val="55"/>
              <w:rPr>
                <w:rFonts w:hAnsi="Times New Roman"/>
                <w:color w:val="auto"/>
                <w:sz w:val="21"/>
                <w:szCs w:val="21"/>
                <w:highlight w:val="none"/>
              </w:rPr>
            </w:pPr>
            <w:r>
              <w:rPr>
                <w:rFonts w:hAnsi="Times New Roman"/>
                <w:color w:val="auto"/>
                <w:sz w:val="21"/>
                <w:szCs w:val="21"/>
                <w:highlight w:val="none"/>
              </w:rPr>
              <w:t>40</w:t>
            </w:r>
          </w:p>
        </w:tc>
      </w:tr>
      <w:tr w14:paraId="787C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394" w:type="pct"/>
            <w:gridSpan w:val="2"/>
            <w:tcBorders>
              <w:tl2br w:val="nil"/>
              <w:tr2bl w:val="nil"/>
            </w:tcBorders>
            <w:shd w:val="clear" w:color="auto" w:fill="auto"/>
            <w:vAlign w:val="center"/>
          </w:tcPr>
          <w:p w14:paraId="46F29344">
            <w:pPr>
              <w:pStyle w:val="55"/>
              <w:rPr>
                <w:rFonts w:hAnsi="Times New Roman"/>
                <w:color w:val="auto"/>
                <w:sz w:val="21"/>
                <w:szCs w:val="21"/>
                <w:highlight w:val="none"/>
                <w:lang w:eastAsia="zh-CN"/>
              </w:rPr>
            </w:pPr>
            <w:r>
              <w:rPr>
                <w:rFonts w:hint="eastAsia" w:hAnsi="Times New Roman"/>
                <w:color w:val="auto"/>
                <w:sz w:val="21"/>
                <w:szCs w:val="21"/>
                <w:highlight w:val="none"/>
                <w:lang w:eastAsia="zh-CN"/>
              </w:rPr>
              <w:t>单位面积质量（g/m</w:t>
            </w:r>
            <w:r>
              <w:rPr>
                <w:rFonts w:hint="eastAsia"/>
                <w:color w:val="auto"/>
                <w:sz w:val="21"/>
                <w:szCs w:val="21"/>
                <w:highlight w:val="none"/>
                <w:lang w:eastAsia="zh-CN"/>
              </w:rPr>
              <w:t>）≥</w:t>
            </w:r>
          </w:p>
        </w:tc>
        <w:tc>
          <w:tcPr>
            <w:tcW w:w="2606" w:type="pct"/>
            <w:tcBorders>
              <w:tl2br w:val="nil"/>
              <w:tr2bl w:val="nil"/>
            </w:tcBorders>
            <w:shd w:val="clear" w:color="auto" w:fill="auto"/>
            <w:vAlign w:val="center"/>
          </w:tcPr>
          <w:p w14:paraId="0D5DC6F2">
            <w:pPr>
              <w:pStyle w:val="55"/>
              <w:rPr>
                <w:rFonts w:hAnsi="Times New Roman"/>
                <w:color w:val="auto"/>
                <w:sz w:val="21"/>
                <w:szCs w:val="21"/>
                <w:highlight w:val="none"/>
              </w:rPr>
            </w:pPr>
            <w:r>
              <w:rPr>
                <w:rFonts w:hAnsi="Times New Roman"/>
                <w:color w:val="auto"/>
                <w:sz w:val="21"/>
                <w:szCs w:val="21"/>
                <w:highlight w:val="none"/>
              </w:rPr>
              <w:t>750</w:t>
            </w:r>
          </w:p>
        </w:tc>
      </w:tr>
      <w:tr w14:paraId="5D07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394" w:type="pct"/>
            <w:gridSpan w:val="2"/>
            <w:tcBorders>
              <w:tl2br w:val="nil"/>
              <w:tr2bl w:val="nil"/>
            </w:tcBorders>
            <w:shd w:val="clear" w:color="auto" w:fill="auto"/>
            <w:vAlign w:val="center"/>
          </w:tcPr>
          <w:p w14:paraId="4AB391B8">
            <w:pPr>
              <w:pStyle w:val="55"/>
              <w:rPr>
                <w:rFonts w:hAnsi="Times New Roman"/>
                <w:color w:val="auto"/>
                <w:sz w:val="21"/>
                <w:szCs w:val="21"/>
                <w:highlight w:val="none"/>
              </w:rPr>
            </w:pPr>
            <w:r>
              <w:rPr>
                <w:rFonts w:hint="eastAsia" w:hAnsi="Times New Roman"/>
                <w:color w:val="auto"/>
                <w:sz w:val="21"/>
                <w:szCs w:val="21"/>
                <w:highlight w:val="none"/>
              </w:rPr>
              <w:t>空隙率（%）</w:t>
            </w:r>
          </w:p>
        </w:tc>
        <w:tc>
          <w:tcPr>
            <w:tcW w:w="2606" w:type="pct"/>
            <w:tcBorders>
              <w:tl2br w:val="nil"/>
              <w:tr2bl w:val="nil"/>
            </w:tcBorders>
            <w:shd w:val="clear" w:color="auto" w:fill="auto"/>
            <w:vAlign w:val="center"/>
          </w:tcPr>
          <w:p w14:paraId="33848815">
            <w:pPr>
              <w:pStyle w:val="55"/>
              <w:rPr>
                <w:rFonts w:hAnsi="Times New Roman"/>
                <w:color w:val="auto"/>
                <w:sz w:val="21"/>
                <w:szCs w:val="21"/>
                <w:highlight w:val="none"/>
              </w:rPr>
            </w:pPr>
            <w:r>
              <w:rPr>
                <w:rFonts w:hAnsi="Times New Roman"/>
                <w:color w:val="auto"/>
                <w:sz w:val="21"/>
                <w:szCs w:val="21"/>
                <w:highlight w:val="none"/>
              </w:rPr>
              <w:t>80</w:t>
            </w:r>
            <w:r>
              <w:rPr>
                <w:rFonts w:hint="eastAsia" w:hAnsi="Times New Roman"/>
                <w:color w:val="auto"/>
                <w:sz w:val="21"/>
                <w:szCs w:val="21"/>
                <w:highlight w:val="none"/>
              </w:rPr>
              <w:t>～9</w:t>
            </w:r>
            <w:r>
              <w:rPr>
                <w:rFonts w:hAnsi="Times New Roman"/>
                <w:color w:val="auto"/>
                <w:sz w:val="21"/>
                <w:szCs w:val="21"/>
                <w:highlight w:val="none"/>
              </w:rPr>
              <w:t>5</w:t>
            </w:r>
          </w:p>
        </w:tc>
      </w:tr>
      <w:tr w14:paraId="4417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733" w:type="pct"/>
            <w:tcBorders>
              <w:tl2br w:val="nil"/>
              <w:tr2bl w:val="nil"/>
            </w:tcBorders>
            <w:shd w:val="clear" w:color="auto" w:fill="auto"/>
            <w:vAlign w:val="center"/>
          </w:tcPr>
          <w:p w14:paraId="41E19FA8">
            <w:pPr>
              <w:pStyle w:val="55"/>
              <w:rPr>
                <w:rFonts w:hAnsi="Times New Roman"/>
                <w:color w:val="auto"/>
                <w:sz w:val="21"/>
                <w:szCs w:val="21"/>
                <w:highlight w:val="none"/>
              </w:rPr>
            </w:pPr>
            <w:r>
              <w:rPr>
                <w:rFonts w:hint="eastAsia" w:hAnsi="Times New Roman"/>
                <w:color w:val="auto"/>
                <w:sz w:val="21"/>
                <w:szCs w:val="21"/>
                <w:highlight w:val="none"/>
              </w:rPr>
              <w:t>抗压强度k</w:t>
            </w:r>
            <w:r>
              <w:rPr>
                <w:rFonts w:hAnsi="Times New Roman"/>
                <w:color w:val="auto"/>
                <w:sz w:val="21"/>
                <w:szCs w:val="21"/>
                <w:highlight w:val="none"/>
              </w:rPr>
              <w:t>Pa</w:t>
            </w:r>
          </w:p>
        </w:tc>
        <w:tc>
          <w:tcPr>
            <w:tcW w:w="1661" w:type="pct"/>
            <w:tcBorders>
              <w:tl2br w:val="nil"/>
              <w:tr2bl w:val="nil"/>
            </w:tcBorders>
            <w:shd w:val="clear" w:color="auto" w:fill="auto"/>
            <w:vAlign w:val="center"/>
          </w:tcPr>
          <w:p w14:paraId="5813C1C3">
            <w:pPr>
              <w:pStyle w:val="55"/>
              <w:rPr>
                <w:rFonts w:hAnsi="Times New Roman"/>
                <w:color w:val="auto"/>
                <w:sz w:val="21"/>
                <w:szCs w:val="21"/>
                <w:highlight w:val="none"/>
              </w:rPr>
            </w:pPr>
            <w:r>
              <w:rPr>
                <w:rFonts w:hint="eastAsia" w:hAnsi="Times New Roman"/>
                <w:color w:val="auto"/>
                <w:sz w:val="21"/>
                <w:szCs w:val="21"/>
                <w:highlight w:val="none"/>
              </w:rPr>
              <w:t>压缩量</w:t>
            </w:r>
            <w:r>
              <w:rPr>
                <w:rFonts w:hint="eastAsia"/>
                <w:color w:val="auto"/>
                <w:sz w:val="21"/>
                <w:szCs w:val="21"/>
                <w:highlight w:val="none"/>
              </w:rPr>
              <w:t>≥</w:t>
            </w:r>
            <w:r>
              <w:rPr>
                <w:rFonts w:hint="eastAsia" w:hAnsi="Times New Roman"/>
                <w:color w:val="auto"/>
                <w:sz w:val="21"/>
                <w:szCs w:val="21"/>
                <w:highlight w:val="none"/>
              </w:rPr>
              <w:t>10%时</w:t>
            </w:r>
          </w:p>
        </w:tc>
        <w:tc>
          <w:tcPr>
            <w:tcW w:w="2606" w:type="pct"/>
            <w:tcBorders>
              <w:tl2br w:val="nil"/>
              <w:tr2bl w:val="nil"/>
            </w:tcBorders>
            <w:shd w:val="clear" w:color="auto" w:fill="auto"/>
            <w:vAlign w:val="center"/>
          </w:tcPr>
          <w:p w14:paraId="24AC2C43">
            <w:pPr>
              <w:pStyle w:val="55"/>
              <w:rPr>
                <w:rFonts w:hAnsi="Times New Roman"/>
                <w:color w:val="auto"/>
                <w:sz w:val="21"/>
                <w:szCs w:val="21"/>
                <w:highlight w:val="none"/>
              </w:rPr>
            </w:pPr>
            <w:r>
              <w:rPr>
                <w:rFonts w:hAnsi="Times New Roman"/>
                <w:color w:val="auto"/>
                <w:sz w:val="21"/>
                <w:szCs w:val="21"/>
                <w:highlight w:val="none"/>
              </w:rPr>
              <w:t>250</w:t>
            </w:r>
          </w:p>
        </w:tc>
      </w:tr>
    </w:tbl>
    <w:p w14:paraId="2B8DBCC3">
      <w:pPr>
        <w:suppressAutoHyphens/>
        <w:ind w:firstLine="420"/>
        <w:jc w:val="left"/>
        <w:rPr>
          <w:rFonts w:hint="eastAsia"/>
          <w:color w:val="auto"/>
          <w:highlight w:val="none"/>
          <w:lang w:eastAsia="zh-CN"/>
        </w:rPr>
      </w:pPr>
    </w:p>
    <w:p w14:paraId="1345ED75">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3</w:t>
      </w:r>
      <w:r>
        <w:rPr>
          <w:rFonts w:hint="eastAsia"/>
          <w:color w:val="auto"/>
          <w:highlight w:val="none"/>
          <w:lang w:eastAsia="zh-CN"/>
        </w:rPr>
        <w:t>）聚丙烯纤维透水模板布：单位面积质量≥</w:t>
      </w:r>
      <w:r>
        <w:rPr>
          <w:color w:val="auto"/>
          <w:highlight w:val="none"/>
          <w:lang w:eastAsia="zh-CN"/>
        </w:rPr>
        <w:t>380g/m</w:t>
      </w:r>
      <w:r>
        <w:rPr>
          <w:color w:val="auto"/>
          <w:highlight w:val="none"/>
          <w:vertAlign w:val="superscript"/>
          <w:lang w:eastAsia="zh-CN"/>
        </w:rPr>
        <w:t>2</w:t>
      </w:r>
      <w:r>
        <w:rPr>
          <w:rFonts w:hint="eastAsia"/>
          <w:color w:val="auto"/>
          <w:highlight w:val="none"/>
          <w:lang w:eastAsia="zh-CN"/>
        </w:rPr>
        <w:t>；聚丙烯纤维透水模板布试样在水温</w:t>
      </w:r>
      <w:r>
        <w:rPr>
          <w:color w:val="auto"/>
          <w:highlight w:val="none"/>
          <w:lang w:eastAsia="zh-CN"/>
        </w:rPr>
        <w:t>20</w:t>
      </w:r>
      <w:r>
        <w:rPr>
          <w:rFonts w:hint="eastAsia" w:cs="宋体"/>
          <w:color w:val="auto"/>
          <w:highlight w:val="none"/>
          <w:lang w:eastAsia="zh-CN"/>
        </w:rPr>
        <w:t>℃</w:t>
      </w:r>
      <w:r>
        <w:rPr>
          <w:rFonts w:hAnsi="Calibri" w:cs="Calibri"/>
          <w:color w:val="auto"/>
          <w:highlight w:val="none"/>
          <w:lang w:eastAsia="zh-CN"/>
        </w:rPr>
        <w:t>±</w:t>
      </w:r>
      <w:r>
        <w:rPr>
          <w:color w:val="auto"/>
          <w:highlight w:val="none"/>
          <w:lang w:eastAsia="zh-CN"/>
        </w:rPr>
        <w:t>2</w:t>
      </w:r>
      <w:r>
        <w:rPr>
          <w:rFonts w:hint="eastAsia" w:cs="宋体"/>
          <w:color w:val="auto"/>
          <w:highlight w:val="none"/>
          <w:lang w:eastAsia="zh-CN"/>
        </w:rPr>
        <w:t>℃</w:t>
      </w:r>
      <w:r>
        <w:rPr>
          <w:rFonts w:hint="eastAsia"/>
          <w:color w:val="auto"/>
          <w:highlight w:val="none"/>
          <w:lang w:eastAsia="zh-CN"/>
        </w:rPr>
        <w:t>条件下，垂直渗透系数K应满足K≥</w:t>
      </w:r>
      <w:r>
        <w:rPr>
          <w:color w:val="auto"/>
          <w:highlight w:val="none"/>
          <w:lang w:eastAsia="zh-CN"/>
        </w:rPr>
        <w:t>1.0×10</w:t>
      </w:r>
      <w:r>
        <w:rPr>
          <w:color w:val="auto"/>
          <w:highlight w:val="none"/>
          <w:vertAlign w:val="superscript"/>
          <w:lang w:eastAsia="zh-CN"/>
        </w:rPr>
        <w:t>-3</w:t>
      </w:r>
      <w:r>
        <w:rPr>
          <w:color w:val="auto"/>
          <w:highlight w:val="none"/>
          <w:lang w:eastAsia="zh-CN"/>
        </w:rPr>
        <w:t>cm/s</w:t>
      </w:r>
      <w:r>
        <w:rPr>
          <w:rFonts w:hint="eastAsia"/>
          <w:color w:val="auto"/>
          <w:highlight w:val="none"/>
          <w:lang w:eastAsia="zh-CN"/>
        </w:rPr>
        <w:t>。200kPa厚度压缩比不大于</w:t>
      </w:r>
      <w:r>
        <w:rPr>
          <w:color w:val="auto"/>
          <w:highlight w:val="none"/>
          <w:lang w:eastAsia="zh-CN"/>
        </w:rPr>
        <w:t>30</w:t>
      </w:r>
      <w:r>
        <w:rPr>
          <w:rFonts w:hint="eastAsia"/>
          <w:color w:val="auto"/>
          <w:highlight w:val="none"/>
          <w:lang w:eastAsia="zh-CN"/>
        </w:rPr>
        <w:t>%，其他技术指标和质量检验符合现行《混凝土工程用透水模板布》（</w:t>
      </w:r>
      <w:r>
        <w:rPr>
          <w:color w:val="auto"/>
          <w:highlight w:val="none"/>
          <w:lang w:eastAsia="zh-CN"/>
        </w:rPr>
        <w:t>JT/T736</w:t>
      </w:r>
      <w:r>
        <w:rPr>
          <w:rFonts w:hint="eastAsia"/>
          <w:color w:val="auto"/>
          <w:highlight w:val="none"/>
          <w:lang w:eastAsia="zh-CN"/>
        </w:rPr>
        <w:t>）。</w:t>
      </w:r>
    </w:p>
    <w:p w14:paraId="5967D541">
      <w:pPr>
        <w:suppressAutoHyphens/>
        <w:ind w:firstLine="420"/>
        <w:jc w:val="left"/>
        <w:rPr>
          <w:color w:val="auto"/>
          <w:highlight w:val="none"/>
          <w:lang w:eastAsia="zh-CN"/>
        </w:rPr>
      </w:pPr>
      <w:r>
        <w:rPr>
          <w:rFonts w:hint="eastAsia"/>
          <w:color w:val="auto"/>
          <w:highlight w:val="none"/>
          <w:lang w:eastAsia="zh-CN"/>
        </w:rPr>
        <w:t>（</w:t>
      </w:r>
      <w:r>
        <w:rPr>
          <w:color w:val="auto"/>
          <w:highlight w:val="none"/>
          <w:lang w:eastAsia="zh-CN"/>
        </w:rPr>
        <w:t>4</w:t>
      </w:r>
      <w:r>
        <w:rPr>
          <w:rFonts w:hint="eastAsia"/>
          <w:color w:val="auto"/>
          <w:highlight w:val="none"/>
          <w:lang w:eastAsia="zh-CN"/>
        </w:rPr>
        <w:t>）透水模板布过滤层之间连接应采用与土工织物材质相适应的专用环保胶水粘贴防止水泥浆渗入堵塞排水盲沟，粘接工艺及方案可进行完整性试验，应经监理人审批后实施。</w:t>
      </w:r>
    </w:p>
    <w:p w14:paraId="01875597">
      <w:pPr>
        <w:suppressAutoHyphens/>
        <w:ind w:firstLine="420"/>
        <w:jc w:val="left"/>
        <w:rPr>
          <w:color w:val="auto"/>
          <w:highlight w:val="none"/>
          <w:lang w:eastAsia="zh-CN"/>
        </w:rPr>
      </w:pPr>
      <w:r>
        <w:rPr>
          <w:rFonts w:hint="eastAsia"/>
          <w:color w:val="auto"/>
          <w:highlight w:val="none"/>
          <w:lang w:eastAsia="zh-CN"/>
        </w:rPr>
        <w:t>（5）塑料排水盲板（靠近岩壁侧20cm长边）粘贴的无纺土工布CBR顶破强力值不低于8.5kN，纵横向断裂强度不低于50.0kN/m，等效孔径不小于0.05mm，材料指标及检验符合现行国家标准GB/T17639的规定。</w:t>
      </w:r>
    </w:p>
    <w:p w14:paraId="6DF9AD8C">
      <w:pPr>
        <w:suppressAutoHyphens/>
        <w:ind w:firstLine="420"/>
        <w:jc w:val="left"/>
        <w:rPr>
          <w:color w:val="auto"/>
          <w:highlight w:val="none"/>
          <w:lang w:eastAsia="zh-CN"/>
        </w:rPr>
      </w:pPr>
      <w:r>
        <w:rPr>
          <w:rFonts w:hint="eastAsia"/>
          <w:color w:val="auto"/>
          <w:highlight w:val="none"/>
          <w:lang w:eastAsia="zh-CN"/>
        </w:rPr>
        <w:t>（6）塑料排水盲板在衬砌浇筑前按监理人指示安装，用钢钉固定沿隧洞环向和纵向在喷射混凝土层上并做好标记，围岩减压孔施作时应在其中心线位置打穿排水盲板。</w:t>
      </w:r>
    </w:p>
    <w:p w14:paraId="39BCBACA">
      <w:pPr>
        <w:pStyle w:val="5"/>
        <w:jc w:val="left"/>
        <w:outlineLvl w:val="9"/>
        <w:rPr>
          <w:rFonts w:eastAsia="宋体"/>
          <w:color w:val="auto"/>
          <w:highlight w:val="none"/>
          <w:lang w:eastAsia="zh-CN"/>
        </w:rPr>
      </w:pPr>
      <w:bookmarkStart w:id="2021" w:name="_Toc29958"/>
      <w:bookmarkStart w:id="2022" w:name="_Toc22490"/>
      <w:r>
        <w:rPr>
          <w:rFonts w:eastAsia="宋体"/>
          <w:color w:val="auto"/>
          <w:highlight w:val="none"/>
          <w:lang w:eastAsia="zh-CN"/>
        </w:rPr>
        <w:t>10.9.7.4</w:t>
      </w:r>
      <w:r>
        <w:rPr>
          <w:rFonts w:hint="eastAsia"/>
          <w:color w:val="auto"/>
          <w:highlight w:val="none"/>
          <w:lang w:eastAsia="zh-CN"/>
        </w:rPr>
        <w:t>　</w:t>
      </w:r>
      <w:r>
        <w:rPr>
          <w:rFonts w:hint="eastAsia" w:eastAsia="宋体" w:cs="方正小标宋_GBK"/>
          <w:color w:val="auto"/>
          <w:highlight w:val="none"/>
          <w:lang w:eastAsia="zh-CN"/>
        </w:rPr>
        <w:t>排水孔质量检查</w:t>
      </w:r>
      <w:bookmarkEnd w:id="2021"/>
      <w:bookmarkEnd w:id="2022"/>
    </w:p>
    <w:p w14:paraId="79CF8C88">
      <w:pPr>
        <w:suppressAutoHyphens/>
        <w:ind w:firstLine="420"/>
        <w:jc w:val="left"/>
        <w:rPr>
          <w:color w:val="auto"/>
          <w:highlight w:val="none"/>
          <w:lang w:eastAsia="zh-CN"/>
        </w:rPr>
      </w:pPr>
      <w:r>
        <w:rPr>
          <w:rFonts w:hint="eastAsia"/>
          <w:color w:val="auto"/>
          <w:highlight w:val="none"/>
          <w:lang w:eastAsia="zh-CN"/>
        </w:rPr>
        <w:t>（1）排水孔作业完成后，由监理人根据承包人提供的施工资料进行现场抽检排水孔的孔斜、孔深的安装质量。</w:t>
      </w:r>
    </w:p>
    <w:p w14:paraId="6502114C">
      <w:pPr>
        <w:suppressAutoHyphens/>
        <w:ind w:firstLine="420"/>
        <w:jc w:val="left"/>
        <w:rPr>
          <w:color w:val="auto"/>
          <w:highlight w:val="none"/>
          <w:lang w:eastAsia="zh-CN"/>
        </w:rPr>
      </w:pPr>
      <w:r>
        <w:rPr>
          <w:rFonts w:hint="eastAsia"/>
          <w:color w:val="auto"/>
          <w:highlight w:val="none"/>
          <w:lang w:eastAsia="zh-CN"/>
        </w:rPr>
        <w:t>（2）排水孔抽检孔数不少于总排水孔数的5%。</w:t>
      </w:r>
    </w:p>
    <w:p w14:paraId="1D42D755">
      <w:pPr>
        <w:suppressAutoHyphens/>
        <w:ind w:firstLine="420"/>
        <w:jc w:val="left"/>
        <w:rPr>
          <w:color w:val="auto"/>
          <w:highlight w:val="none"/>
          <w:lang w:eastAsia="zh-CN"/>
        </w:rPr>
      </w:pPr>
      <w:r>
        <w:rPr>
          <w:rFonts w:hint="eastAsia"/>
          <w:color w:val="auto"/>
          <w:highlight w:val="none"/>
          <w:lang w:eastAsia="zh-CN"/>
        </w:rPr>
        <w:t>（3）合格标准：孔深误差不大于孔深的1%，围岩减压孔不应欠深且孔深误差不应大于10cm。开孔位置误差不大于10cm。</w:t>
      </w:r>
    </w:p>
    <w:p w14:paraId="5E2F2349">
      <w:pPr>
        <w:suppressAutoHyphens/>
        <w:ind w:firstLine="420"/>
        <w:jc w:val="left"/>
        <w:rPr>
          <w:color w:val="auto"/>
          <w:highlight w:val="none"/>
          <w:lang w:eastAsia="zh-CN"/>
        </w:rPr>
      </w:pPr>
      <w:r>
        <w:rPr>
          <w:rFonts w:hint="eastAsia"/>
          <w:color w:val="auto"/>
          <w:highlight w:val="none"/>
          <w:lang w:eastAsia="zh-CN"/>
        </w:rPr>
        <w:t>（4）不合格的钻孔、孔内保护，承包人应按监理人指示重新施工。</w:t>
      </w:r>
    </w:p>
    <w:p w14:paraId="65D27E20">
      <w:pPr>
        <w:ind w:firstLine="420"/>
        <w:jc w:val="left"/>
        <w:rPr>
          <w:color w:val="auto"/>
          <w:highlight w:val="none"/>
          <w:lang w:eastAsia="zh-CN"/>
        </w:rPr>
      </w:pPr>
      <w:r>
        <w:rPr>
          <w:rFonts w:hint="eastAsia"/>
          <w:color w:val="auto"/>
          <w:highlight w:val="none"/>
          <w:lang w:eastAsia="zh-CN"/>
        </w:rPr>
        <w:t>（5）排水盲板作业完成后，由监理人根据承包人提供的施工资料进行现场抽检塑料排水盲板的粘接质量。</w:t>
      </w:r>
    </w:p>
    <w:p w14:paraId="7768BAA8">
      <w:pPr>
        <w:pStyle w:val="5"/>
        <w:jc w:val="left"/>
        <w:rPr>
          <w:rFonts w:hAnsi="Times New Roman" w:cs="楷体"/>
          <w:color w:val="auto"/>
          <w:highlight w:val="none"/>
          <w:lang w:eastAsia="zh-CN"/>
        </w:rPr>
      </w:pPr>
      <w:r>
        <w:rPr>
          <w:rFonts w:hAnsi="Times New Roman" w:cs="Times New Roman"/>
          <w:color w:val="auto"/>
          <w:highlight w:val="none"/>
          <w:lang w:eastAsia="zh-CN"/>
        </w:rPr>
        <w:t>10.9.8</w:t>
      </w:r>
      <w:r>
        <w:rPr>
          <w:rFonts w:hint="eastAsia" w:hAnsi="Times New Roman" w:cs="Times New Roman"/>
          <w:color w:val="auto"/>
          <w:highlight w:val="none"/>
          <w:lang w:eastAsia="zh-CN"/>
        </w:rPr>
        <w:t>　</w:t>
      </w:r>
      <w:r>
        <w:rPr>
          <w:rFonts w:hAnsi="楷体" w:cs="楷体"/>
          <w:color w:val="auto"/>
          <w:highlight w:val="none"/>
          <w:lang w:eastAsia="zh-CN"/>
        </w:rPr>
        <w:t>灌浆质量检查</w:t>
      </w:r>
    </w:p>
    <w:p w14:paraId="41D9EA0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）回填灌浆的质量检查应遵守《水工建筑物水泥灌浆施工技术规范》（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）的有关规定；固结灌浆的质量检查应遵守《水工建筑物水泥灌浆施工技术规范》（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69BF4568">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）承包人应按监理人指示进行钻孔探测和岩芯检查。孔内浆液结实，并充填饱满为合格品，达不到此标准的，应按监理人指示进行处理。</w:t>
      </w:r>
      <w:r>
        <w:rPr>
          <w:rFonts w:hint="eastAsia" w:cs="宋体"/>
          <w:color w:val="auto"/>
          <w:highlight w:val="none"/>
          <w:lang w:eastAsia="zh-CN"/>
        </w:rPr>
        <w:t>灌浆质量标准应遵守《水利水电工程单元工程施工质量验收评定标准－地基处理及基础工程》（</w:t>
      </w:r>
      <w:r>
        <w:rPr>
          <w:rFonts w:cs="宋体"/>
          <w:color w:val="auto"/>
          <w:highlight w:val="none"/>
          <w:lang w:eastAsia="zh-CN"/>
        </w:rPr>
        <w:t>SL633－2012）第4章的规定。</w:t>
      </w:r>
    </w:p>
    <w:p w14:paraId="77AF4E21">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）钢衬接触灌浆的质量检查应遵守《水工建筑物水泥灌浆施工技术规范》（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1779E445">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）隧洞封堵灌浆的质量检查应遵守《水工建筑物水泥灌浆施工技术规范》（</w:t>
      </w:r>
      <w:r>
        <w:rPr>
          <w:rFonts w:hAnsi="Times New Roman" w:cs="Times New Roman"/>
          <w:color w:val="auto"/>
          <w:highlight w:val="none"/>
          <w:lang w:eastAsia="zh-CN"/>
        </w:rPr>
        <w:t>SL/T62-2020</w:t>
      </w:r>
      <w:r>
        <w:rPr>
          <w:rFonts w:cs="宋体"/>
          <w:color w:val="auto"/>
          <w:highlight w:val="none"/>
          <w:lang w:eastAsia="zh-CN"/>
        </w:rPr>
        <w:t>）的有关规定。</w:t>
      </w:r>
    </w:p>
    <w:p w14:paraId="75944EC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）地下洞室灌浆工作结束后，承包人应向监理人提交地下洞室灌浆质量检查报告，并应将检查记录提交监理人。</w:t>
      </w:r>
    </w:p>
    <w:p w14:paraId="156885B5">
      <w:pPr>
        <w:pStyle w:val="4"/>
        <w:spacing w:beforeLines="0" w:afterLines="0"/>
        <w:jc w:val="both"/>
        <w:rPr>
          <w:rFonts w:hint="eastAsia" w:cs="宋体"/>
          <w:bCs/>
          <w:color w:val="auto"/>
          <w:szCs w:val="24"/>
          <w:highlight w:val="none"/>
          <w:lang w:eastAsia="zh-CN"/>
        </w:rPr>
      </w:pPr>
      <w:bookmarkStart w:id="2023" w:name="_Toc19727"/>
      <w:bookmarkStart w:id="2024" w:name="_Toc27805"/>
      <w:bookmarkStart w:id="2025" w:name="_Toc30357"/>
      <w:r>
        <w:rPr>
          <w:rFonts w:hint="eastAsia" w:cs="宋体"/>
          <w:bCs/>
          <w:color w:val="auto"/>
          <w:szCs w:val="24"/>
          <w:highlight w:val="none"/>
          <w:lang w:eastAsia="zh-CN"/>
        </w:rPr>
        <w:t>10.10　混凝土坝接缝灌浆</w:t>
      </w:r>
      <w:bookmarkEnd w:id="2023"/>
      <w:bookmarkEnd w:id="2024"/>
      <w:bookmarkEnd w:id="2025"/>
    </w:p>
    <w:p w14:paraId="331294F5">
      <w:pPr>
        <w:ind w:firstLine="420"/>
        <w:jc w:val="left"/>
        <w:rPr>
          <w:color w:val="auto"/>
          <w:highlight w:val="none"/>
          <w:lang w:eastAsia="zh-CN"/>
        </w:rPr>
      </w:pPr>
      <w:r>
        <w:rPr>
          <w:rFonts w:hint="eastAsia"/>
          <w:color w:val="auto"/>
          <w:highlight w:val="none"/>
          <w:lang w:eastAsia="zh-CN"/>
        </w:rPr>
        <w:t>本标段不涉及</w:t>
      </w:r>
    </w:p>
    <w:p w14:paraId="205A3B7A">
      <w:pPr>
        <w:pStyle w:val="4"/>
        <w:spacing w:beforeLines="0" w:afterLines="0"/>
        <w:jc w:val="both"/>
        <w:rPr>
          <w:rFonts w:hint="eastAsia" w:cs="宋体"/>
          <w:bCs/>
          <w:color w:val="auto"/>
          <w:szCs w:val="24"/>
          <w:highlight w:val="none"/>
          <w:lang w:eastAsia="zh-CN"/>
        </w:rPr>
      </w:pPr>
      <w:bookmarkStart w:id="2026" w:name="_Toc15328"/>
      <w:bookmarkStart w:id="2027" w:name="_Toc6423"/>
      <w:bookmarkStart w:id="2028" w:name="_Toc10227"/>
      <w:r>
        <w:rPr>
          <w:rFonts w:hint="eastAsia" w:cs="宋体"/>
          <w:bCs/>
          <w:color w:val="auto"/>
          <w:szCs w:val="24"/>
          <w:highlight w:val="none"/>
          <w:lang w:eastAsia="zh-CN"/>
        </w:rPr>
        <w:t>10.11　化学灌浆</w:t>
      </w:r>
      <w:bookmarkEnd w:id="2026"/>
      <w:bookmarkEnd w:id="2027"/>
      <w:bookmarkEnd w:id="2028"/>
    </w:p>
    <w:p w14:paraId="6FE52E55">
      <w:pPr>
        <w:pStyle w:val="5"/>
        <w:jc w:val="left"/>
        <w:rPr>
          <w:rFonts w:hAnsi="Times New Roman" w:cs="楷体"/>
          <w:color w:val="auto"/>
          <w:highlight w:val="none"/>
          <w:lang w:eastAsia="zh-CN"/>
        </w:rPr>
      </w:pPr>
      <w:r>
        <w:rPr>
          <w:rFonts w:hAnsi="Times New Roman" w:cs="Times New Roman"/>
          <w:color w:val="auto"/>
          <w:highlight w:val="none"/>
          <w:lang w:eastAsia="zh-CN"/>
        </w:rPr>
        <w:t>10.11.1</w:t>
      </w:r>
      <w:r>
        <w:rPr>
          <w:rFonts w:hint="eastAsia" w:hAnsi="Times New Roman" w:cs="Times New Roman"/>
          <w:color w:val="auto"/>
          <w:highlight w:val="none"/>
          <w:lang w:eastAsia="zh-CN"/>
        </w:rPr>
        <w:t>　</w:t>
      </w:r>
      <w:r>
        <w:rPr>
          <w:rFonts w:hAnsi="楷体" w:cs="楷体"/>
          <w:color w:val="auto"/>
          <w:highlight w:val="none"/>
          <w:lang w:eastAsia="zh-CN"/>
        </w:rPr>
        <w:t>一般要求</w:t>
      </w:r>
    </w:p>
    <w:p w14:paraId="6EEC3CB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）本节规定适用于本工程施工图纸所示以下工程部位的化学灌浆：</w:t>
      </w:r>
    </w:p>
    <w:p w14:paraId="01BCDCBE">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）灌浆地层的裂隙与孔隙较小，悬浊液型材料不能灌入的区域。</w:t>
      </w:r>
    </w:p>
    <w:p w14:paraId="1529ED24">
      <w:pPr>
        <w:ind w:firstLine="420"/>
        <w:jc w:val="both"/>
        <w:rPr>
          <w:rFonts w:ascii="宋体" w:hAnsi="宋体" w:eastAsia="宋体" w:cs="宋体"/>
          <w:snapToGrid w:val="0"/>
          <w:color w:val="auto"/>
          <w:sz w:val="24"/>
          <w:szCs w:val="21"/>
          <w:highlight w:val="none"/>
          <w:lang w:val="en-US" w:eastAsia="zh-CN" w:bidi="ar-SA"/>
        </w:rPr>
      </w:pPr>
      <w:r>
        <w:rPr>
          <w:rFonts w:hAnsi="Times New Roman" w:cs="Times New Roman"/>
          <w:color w:val="auto"/>
          <w:highlight w:val="none"/>
          <w:lang w:eastAsia="zh-CN"/>
        </w:rPr>
        <w:t>2</w:t>
      </w:r>
      <w:r>
        <w:rPr>
          <w:rFonts w:cs="宋体"/>
          <w:color w:val="auto"/>
          <w:highlight w:val="none"/>
          <w:lang w:eastAsia="zh-CN"/>
        </w:rPr>
        <w:t>）灌浆地层的防渗或加固要求较高，悬浊液型材料不能满足工程要求的部位。</w:t>
      </w:r>
      <w:r>
        <w:rPr>
          <w:rFonts w:ascii="Arial" w:hAnsi="宋体" w:eastAsia="宋体" w:cs="宋体"/>
          <w:snapToGrid w:val="0"/>
          <w:color w:val="auto"/>
          <w:sz w:val="21"/>
          <w:szCs w:val="21"/>
          <w:highlight w:val="none"/>
          <w:lang w:val="en-US" w:eastAsia="en-US" w:bidi="ar-SA"/>
        </w:rPr>
        <w:t>3</w:t>
      </w:r>
      <w:r>
        <w:rPr>
          <w:rFonts w:ascii="宋体" w:hAnsi="宋体" w:eastAsia="宋体" w:cs="宋体"/>
          <w:snapToGrid w:val="0"/>
          <w:color w:val="auto"/>
          <w:sz w:val="24"/>
          <w:szCs w:val="21"/>
          <w:highlight w:val="none"/>
          <w:lang w:val="en-US" w:eastAsia="zh-CN" w:bidi="ar-SA"/>
        </w:rPr>
        <w:t>）渗透水量较大，其它悬浊液型材料不能封堵的部位。</w:t>
      </w:r>
    </w:p>
    <w:p w14:paraId="513B8870">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）混凝土建筑物内部缺陷修复，悬浊液型材料灌浆不能满足工程要求的部位。（</w:t>
      </w:r>
      <w:r>
        <w:rPr>
          <w:rFonts w:hAnsi="Times New Roman" w:cs="Times New Roman"/>
          <w:color w:val="auto"/>
          <w:highlight w:val="none"/>
          <w:lang w:eastAsia="zh-CN"/>
        </w:rPr>
        <w:t>2</w:t>
      </w:r>
      <w:r>
        <w:rPr>
          <w:rFonts w:cs="宋体"/>
          <w:color w:val="auto"/>
          <w:highlight w:val="none"/>
          <w:lang w:eastAsia="zh-CN"/>
        </w:rPr>
        <w:t>）承包人应按施工图纸所示和监理人指示，根据选定的化学灌浆材料进行现场化灌试验，选择化学灌浆工艺。试验报告应提交监理人批准。</w:t>
      </w:r>
    </w:p>
    <w:p w14:paraId="41263F0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）承包人应负责提供化学灌浆的材料和设备，包括制浆所需的主剂、固化剂、催化剂、活性剂、缓凝剂和中和剂等。</w:t>
      </w:r>
    </w:p>
    <w:p w14:paraId="792F76D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）承包人应按现场化学灌浆试验成果，编制化学灌浆的施工程序和方法，提交监理人批准。</w:t>
      </w:r>
    </w:p>
    <w:p w14:paraId="72EB6BFA">
      <w:pPr>
        <w:pStyle w:val="5"/>
        <w:jc w:val="left"/>
        <w:rPr>
          <w:rFonts w:hAnsi="Times New Roman" w:cs="楷体"/>
          <w:color w:val="auto"/>
          <w:highlight w:val="none"/>
          <w:lang w:eastAsia="zh-CN"/>
        </w:rPr>
      </w:pPr>
      <w:r>
        <w:rPr>
          <w:rFonts w:hAnsi="Times New Roman" w:cs="Times New Roman"/>
          <w:color w:val="auto"/>
          <w:highlight w:val="none"/>
          <w:lang w:eastAsia="zh-CN"/>
        </w:rPr>
        <w:t>10.11.2</w:t>
      </w:r>
      <w:r>
        <w:rPr>
          <w:rFonts w:hint="eastAsia" w:hAnsi="Times New Roman" w:cs="Times New Roman"/>
          <w:color w:val="auto"/>
          <w:highlight w:val="none"/>
          <w:lang w:eastAsia="zh-CN"/>
        </w:rPr>
        <w:t>　</w:t>
      </w:r>
      <w:r>
        <w:rPr>
          <w:rFonts w:hAnsi="楷体" w:cs="楷体"/>
          <w:color w:val="auto"/>
          <w:highlight w:val="none"/>
          <w:lang w:eastAsia="zh-CN"/>
        </w:rPr>
        <w:t>化学灌浆材料的选用</w:t>
      </w:r>
    </w:p>
    <w:p w14:paraId="6ED4DB9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）承包人应按施工图纸要求和监理人的指示，选用以下各项化学灌浆材料：</w:t>
      </w:r>
      <w:r>
        <w:rPr>
          <w:rFonts w:hAnsi="Times New Roman" w:cs="Times New Roman"/>
          <w:color w:val="auto"/>
          <w:highlight w:val="none"/>
          <w:lang w:eastAsia="zh-CN"/>
        </w:rPr>
        <w:t>1</w:t>
      </w:r>
      <w:r>
        <w:rPr>
          <w:rFonts w:cs="宋体"/>
          <w:color w:val="auto"/>
          <w:highlight w:val="none"/>
          <w:lang w:eastAsia="zh-CN"/>
        </w:rPr>
        <w:t>）防渗止水类：有水玻璃、水溶性聚氨酯、弹性聚氨酯和木质素浆等。</w:t>
      </w:r>
    </w:p>
    <w:p w14:paraId="0C05409D">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）加固补强类：环氧树脂、甲基丙烯酸甲脂、非水酯浆等。</w:t>
      </w:r>
    </w:p>
    <w:p w14:paraId="6E9D90A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）承包人采购的化学灌浆材料应附有生产厂家的质量证明书和产品使用说明书。所有化学灌浆材料应按生产厂家推荐的方法装运、储存和使用。</w:t>
      </w:r>
    </w:p>
    <w:p w14:paraId="385BC928">
      <w:pPr>
        <w:pStyle w:val="5"/>
        <w:jc w:val="left"/>
        <w:rPr>
          <w:rFonts w:hAnsi="Times New Roman" w:cs="楷体"/>
          <w:color w:val="auto"/>
          <w:highlight w:val="none"/>
          <w:lang w:eastAsia="zh-CN"/>
        </w:rPr>
      </w:pPr>
      <w:r>
        <w:rPr>
          <w:rFonts w:hAnsi="Times New Roman" w:cs="Times New Roman"/>
          <w:color w:val="auto"/>
          <w:highlight w:val="none"/>
          <w:lang w:eastAsia="zh-CN"/>
        </w:rPr>
        <w:t>10.11.3</w:t>
      </w:r>
      <w:r>
        <w:rPr>
          <w:rFonts w:hint="eastAsia" w:hAnsi="Times New Roman" w:cs="Times New Roman"/>
          <w:color w:val="auto"/>
          <w:highlight w:val="none"/>
          <w:lang w:eastAsia="zh-CN"/>
        </w:rPr>
        <w:t>　</w:t>
      </w:r>
      <w:r>
        <w:rPr>
          <w:rFonts w:hAnsi="楷体" w:cs="楷体"/>
          <w:color w:val="auto"/>
          <w:highlight w:val="none"/>
          <w:lang w:eastAsia="zh-CN"/>
        </w:rPr>
        <w:t>化学灌浆设备</w:t>
      </w:r>
    </w:p>
    <w:p w14:paraId="7A13353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）化学灌浆钻孔设备的钻孔孔径和孔深能满足化学灌浆的技术要求。为了减少孔内占浆，应采用小孔径钻具进行钻孔。</w:t>
      </w:r>
    </w:p>
    <w:p w14:paraId="1B8E508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）化学灌浆制浆应使用不受化学灌浆浆液侵蚀的专门制浆设备，并易于拆卸和检修。</w:t>
      </w:r>
    </w:p>
    <w:p w14:paraId="32EBE7F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）化学灌浆泵应满足耐腐蚀要求，灌浆泵性能应与浆液类型和浓度相适应。</w:t>
      </w:r>
    </w:p>
    <w:p w14:paraId="731B5F5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）化学灌浆泵的允许工作压力应大于最大灌浆压力的</w:t>
      </w:r>
      <w:r>
        <w:rPr>
          <w:rFonts w:hAnsi="Times New Roman" w:cs="Times New Roman"/>
          <w:color w:val="auto"/>
          <w:highlight w:val="none"/>
          <w:u w:val="single"/>
          <w:lang w:eastAsia="zh-CN"/>
        </w:rPr>
        <w:t>1.5</w:t>
      </w:r>
      <w:r>
        <w:rPr>
          <w:rFonts w:cs="宋体"/>
          <w:color w:val="auto"/>
          <w:highlight w:val="none"/>
          <w:u w:val="single"/>
          <w:lang w:eastAsia="zh-CN"/>
        </w:rPr>
        <w:t>倍</w:t>
      </w:r>
      <w:r>
        <w:rPr>
          <w:rFonts w:cs="宋体"/>
          <w:color w:val="auto"/>
          <w:highlight w:val="none"/>
          <w:lang w:eastAsia="zh-CN"/>
        </w:rPr>
        <w:t>，并应有足够的排浆量和稳定的工作性能；要求灌浆泵的压力平稳、控制灵活、操作简单、拆洗和检修方便。</w:t>
      </w:r>
    </w:p>
    <w:p w14:paraId="093C6153">
      <w:pPr>
        <w:pStyle w:val="5"/>
        <w:jc w:val="left"/>
        <w:rPr>
          <w:rFonts w:hAnsi="Times New Roman" w:cs="楷体"/>
          <w:color w:val="auto"/>
          <w:highlight w:val="none"/>
          <w:lang w:eastAsia="zh-CN"/>
        </w:rPr>
      </w:pPr>
      <w:r>
        <w:rPr>
          <w:rFonts w:hAnsi="Times New Roman" w:cs="Times New Roman"/>
          <w:color w:val="auto"/>
          <w:highlight w:val="none"/>
          <w:lang w:eastAsia="zh-CN"/>
        </w:rPr>
        <w:t>10.11.4</w:t>
      </w:r>
      <w:r>
        <w:rPr>
          <w:rFonts w:hint="eastAsia" w:hAnsi="Times New Roman" w:cs="Times New Roman"/>
          <w:color w:val="auto"/>
          <w:highlight w:val="none"/>
          <w:lang w:eastAsia="zh-CN"/>
        </w:rPr>
        <w:t>　</w:t>
      </w:r>
      <w:r>
        <w:rPr>
          <w:rFonts w:hAnsi="楷体" w:cs="楷体"/>
          <w:color w:val="auto"/>
          <w:highlight w:val="none"/>
          <w:lang w:eastAsia="zh-CN"/>
        </w:rPr>
        <w:t>化学灌浆试验</w:t>
      </w:r>
    </w:p>
    <w:p w14:paraId="10666106">
      <w:pPr>
        <w:ind w:firstLine="420"/>
        <w:jc w:val="left"/>
        <w:rPr>
          <w:rFonts w:hAnsi="Times New Roman" w:cs="宋体"/>
          <w:color w:val="auto"/>
          <w:highlight w:val="none"/>
          <w:lang w:eastAsia="zh-CN"/>
        </w:rPr>
      </w:pPr>
      <w:r>
        <w:rPr>
          <w:rFonts w:cs="宋体"/>
          <w:color w:val="auto"/>
          <w:highlight w:val="none"/>
          <w:lang w:eastAsia="zh-CN"/>
        </w:rPr>
        <w:t>承包人应按施工图纸要求和监理人指示进行下列各项试验：</w:t>
      </w:r>
    </w:p>
    <w:p w14:paraId="592A2A0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l</w:t>
      </w:r>
      <w:r>
        <w:rPr>
          <w:rFonts w:cs="宋体"/>
          <w:color w:val="auto"/>
          <w:highlight w:val="none"/>
          <w:lang w:eastAsia="zh-CN"/>
        </w:rPr>
        <w:t>）配合比试验：按化学灌浆材料生产厂家推荐的配合比进行试验，测定各种配合比浆液的技术参数，选择满足施工图纸要求的化学灌浆浆液配合比，试验成果应提交监理人。</w:t>
      </w:r>
    </w:p>
    <w:p w14:paraId="1B211A6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现场化学灌浆试验：根据工程布置和地质条件选择与实际灌浆区地质条件相似的地段进行现场化学灌浆试验，试验的各项参数应提交监理人审批。试验过程中应做好详细记录，试验完成后，应按监理人指示布设检查孔检查灌浆效果，并向监理人提交试验成果报告。其报告内容应包括化学灌浆试验参数、各序孔的单位透水率、单位注入量以及检查孔试验资料等。</w:t>
      </w:r>
    </w:p>
    <w:p w14:paraId="6DF7E3B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）其它试验：进行化学灌浆材料的物理力学性能试验、毒理试验及废浆回收试验，以及化学灌浆材料生产厂家要求进行的其它特殊试验，试验成果应提交监理人。</w:t>
      </w:r>
    </w:p>
    <w:p w14:paraId="15B8DF67">
      <w:pPr>
        <w:pStyle w:val="5"/>
        <w:jc w:val="left"/>
        <w:rPr>
          <w:rFonts w:hAnsi="Times New Roman" w:cs="楷体"/>
          <w:color w:val="auto"/>
          <w:highlight w:val="none"/>
          <w:lang w:eastAsia="zh-CN"/>
        </w:rPr>
      </w:pPr>
      <w:r>
        <w:rPr>
          <w:rFonts w:hAnsi="Times New Roman" w:cs="Times New Roman"/>
          <w:color w:val="auto"/>
          <w:highlight w:val="none"/>
          <w:lang w:eastAsia="zh-CN"/>
        </w:rPr>
        <w:t>10.11.5</w:t>
      </w:r>
      <w:r>
        <w:rPr>
          <w:rFonts w:hint="eastAsia" w:hAnsi="Times New Roman" w:cs="Times New Roman"/>
          <w:color w:val="auto"/>
          <w:highlight w:val="none"/>
          <w:lang w:eastAsia="zh-CN"/>
        </w:rPr>
        <w:t>　</w:t>
      </w:r>
      <w:r>
        <w:rPr>
          <w:rFonts w:hAnsi="楷体" w:cs="楷体"/>
          <w:color w:val="auto"/>
          <w:highlight w:val="none"/>
          <w:lang w:eastAsia="zh-CN"/>
        </w:rPr>
        <w:t>化学灌浆施工</w:t>
      </w:r>
    </w:p>
    <w:p w14:paraId="22AB0E1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w:t>
      </w:r>
      <w:r>
        <w:rPr>
          <w:rFonts w:hint="eastAsia"/>
          <w:color w:val="auto"/>
          <w:highlight w:val="none"/>
          <w:lang w:eastAsia="zh-CN"/>
        </w:rPr>
        <w:t>按现场化灌试验成果</w:t>
      </w:r>
      <w:r>
        <w:rPr>
          <w:rFonts w:cs="宋体"/>
          <w:color w:val="auto"/>
          <w:highlight w:val="none"/>
          <w:lang w:eastAsia="zh-CN"/>
        </w:rPr>
        <w:t>编制化学灌浆施工的工艺措施和安全操作规程提交监理人批准。工艺措施和安全操作规程应确保劳动者的健康和安全。化学灌浆操作人员应经考核合格后才能上岗。</w:t>
      </w:r>
    </w:p>
    <w:p w14:paraId="196743B4">
      <w:pPr>
        <w:ind w:firstLine="420"/>
        <w:jc w:val="left"/>
        <w:rPr>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）灌浆压力和灌浆结束标准应按化灌材料的供货说明书的要求和监理人的指示，并通过现场化学灌浆试验选定。试验成果应提交监理人。</w:t>
      </w:r>
    </w:p>
    <w:p w14:paraId="12EFA428">
      <w:pPr>
        <w:pStyle w:val="7"/>
        <w:ind w:firstLine="420"/>
        <w:jc w:val="left"/>
        <w:rPr>
          <w:rFonts w:cs="宋体"/>
          <w:color w:val="auto"/>
          <w:highlight w:val="none"/>
          <w:lang w:eastAsia="zh-CN"/>
        </w:rPr>
      </w:pPr>
      <w:r>
        <w:rPr>
          <w:rFonts w:cs="宋体"/>
          <w:color w:val="auto"/>
          <w:highlight w:val="none"/>
          <w:lang w:eastAsia="zh-CN"/>
        </w:rPr>
        <w:t>（3）灌浆压力应按施工图纸所示和监理人指示，通过现场化灌试验选定，应做到在较短时间内，将灌浆压力上升到规定的最大允许压力，以保证灌浆的密实性和增大有效扩散范围。</w:t>
      </w:r>
    </w:p>
    <w:p w14:paraId="20D69E04">
      <w:pPr>
        <w:pStyle w:val="7"/>
        <w:ind w:firstLine="420"/>
        <w:jc w:val="left"/>
        <w:rPr>
          <w:rFonts w:cs="宋体"/>
          <w:color w:val="auto"/>
          <w:highlight w:val="none"/>
          <w:lang w:eastAsia="zh-CN"/>
        </w:rPr>
      </w:pPr>
      <w:r>
        <w:rPr>
          <w:rFonts w:cs="宋体"/>
          <w:color w:val="auto"/>
          <w:highlight w:val="none"/>
          <w:lang w:eastAsia="zh-CN"/>
        </w:rPr>
        <w:t>（4）化学灌浆开灌后应连续灌注，不允许发生中断。</w:t>
      </w:r>
    </w:p>
    <w:p w14:paraId="43CF44C6">
      <w:pPr>
        <w:pStyle w:val="7"/>
        <w:ind w:firstLine="420"/>
        <w:jc w:val="left"/>
        <w:rPr>
          <w:rFonts w:cs="宋体"/>
          <w:color w:val="auto"/>
          <w:highlight w:val="none"/>
          <w:lang w:eastAsia="zh-CN"/>
        </w:rPr>
      </w:pPr>
      <w:r>
        <w:rPr>
          <w:rFonts w:cs="宋体"/>
          <w:color w:val="auto"/>
          <w:highlight w:val="none"/>
          <w:lang w:eastAsia="zh-CN"/>
        </w:rPr>
        <w:t>（5）为避免造成化学浆液污染环境或水源，应在施灌区外围预先采取灌浆封闭的工艺措施，不让浆液灌入应处理之外的范围，尽量缩小浆液的影响范围。</w:t>
      </w:r>
    </w:p>
    <w:p w14:paraId="6F9421B7">
      <w:pPr>
        <w:pStyle w:val="7"/>
        <w:ind w:firstLine="420"/>
        <w:jc w:val="left"/>
        <w:rPr>
          <w:rFonts w:cs="宋体"/>
          <w:color w:val="auto"/>
          <w:highlight w:val="none"/>
          <w:lang w:eastAsia="zh-CN"/>
        </w:rPr>
      </w:pPr>
      <w:r>
        <w:rPr>
          <w:rFonts w:cs="宋体"/>
          <w:color w:val="auto"/>
          <w:highlight w:val="none"/>
          <w:lang w:eastAsia="zh-CN"/>
        </w:rPr>
        <w:t>（6）现场施工必须注意有效通风，施工人员必须穿戴防护衣帽、眼镜、口罩，不得在施工现场吸烟和进食。</w:t>
      </w:r>
    </w:p>
    <w:p w14:paraId="612B442A">
      <w:pPr>
        <w:pStyle w:val="7"/>
        <w:ind w:firstLine="420"/>
        <w:jc w:val="left"/>
        <w:rPr>
          <w:color w:val="auto"/>
          <w:highlight w:val="none"/>
          <w:lang w:eastAsia="zh-CN"/>
        </w:rPr>
      </w:pPr>
      <w:r>
        <w:rPr>
          <w:rFonts w:cs="宋体"/>
          <w:color w:val="auto"/>
          <w:highlight w:val="none"/>
          <w:lang w:eastAsia="zh-CN"/>
        </w:rPr>
        <w:t>（7）现场施工弃浆、废料以及冲洗设备管路的废液都应集中，并科学妥善地处理，不得任意抛洒或丢弃不管，污染环境。</w:t>
      </w:r>
    </w:p>
    <w:p w14:paraId="68228EE3">
      <w:pPr>
        <w:pStyle w:val="5"/>
        <w:jc w:val="left"/>
        <w:rPr>
          <w:rFonts w:hAnsi="Times New Roman" w:cs="宋体"/>
          <w:color w:val="auto"/>
          <w:highlight w:val="none"/>
          <w:lang w:eastAsia="zh-CN"/>
        </w:rPr>
      </w:pPr>
      <w:r>
        <w:rPr>
          <w:rFonts w:hAnsi="Times New Roman" w:cs="Times New Roman"/>
          <w:color w:val="auto"/>
          <w:highlight w:val="none"/>
          <w:lang w:eastAsia="zh-CN"/>
        </w:rPr>
        <w:t>10.10.6</w:t>
      </w:r>
      <w:r>
        <w:rPr>
          <w:rFonts w:hint="eastAsia" w:hAnsi="Times New Roman" w:cs="Times New Roman"/>
          <w:color w:val="auto"/>
          <w:highlight w:val="none"/>
          <w:lang w:eastAsia="zh-CN"/>
        </w:rPr>
        <w:t>　</w:t>
      </w:r>
      <w:r>
        <w:rPr>
          <w:rFonts w:cs="宋体"/>
          <w:color w:val="auto"/>
          <w:highlight w:val="none"/>
          <w:lang w:eastAsia="zh-CN"/>
        </w:rPr>
        <w:t>化学灌浆质量检查</w:t>
      </w:r>
    </w:p>
    <w:p w14:paraId="61E949FB">
      <w:pPr>
        <w:ind w:firstLine="420"/>
        <w:jc w:val="left"/>
        <w:rPr>
          <w:rFonts w:cs="宋体"/>
          <w:color w:val="auto"/>
          <w:highlight w:val="none"/>
          <w:lang w:eastAsia="zh-CN"/>
        </w:rPr>
      </w:pPr>
      <w:r>
        <w:rPr>
          <w:rFonts w:cs="宋体"/>
          <w:color w:val="auto"/>
          <w:highlight w:val="none"/>
          <w:lang w:eastAsia="zh-CN"/>
        </w:rPr>
        <w:t>化学灌浆结束后，承包人应会同监理人对建筑物及基础等的防渗和补强质量，采用压水试验、物样测试或其它方法进行化学灌浆质量检查，检查记录应提交监理人。</w:t>
      </w:r>
    </w:p>
    <w:p w14:paraId="66756DD4">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1）灌浆单元工程结束后，由承包人提供全套的灌浆资料报监理人审核。</w:t>
      </w:r>
    </w:p>
    <w:p w14:paraId="33E1002D">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2）固结灌浆钻孔压水检查在灌浆结束后3～7d后进行，声波检测可在灌浆结束后14d后进行</w:t>
      </w:r>
    </w:p>
    <w:p w14:paraId="61EE0B24">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3）回填灌浆质量检查应在该部位灌浆结束7d后进行。灌浆结束后，承包人应将灌浆记录和有关资料提交监理人，以便确定检查孔孔位。检查孔应布置在脱空较大、串浆孔集中及灌浆情况异常的部位。</w:t>
      </w:r>
    </w:p>
    <w:p w14:paraId="47980AE9">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4）灌后压水质量检查由监理人根据现场施工情况布置。</w:t>
      </w:r>
    </w:p>
    <w:p w14:paraId="0F21A886">
      <w:pPr>
        <w:ind w:firstLine="420"/>
        <w:jc w:val="left"/>
        <w:rPr>
          <w:color w:val="auto"/>
          <w:highlight w:val="none"/>
          <w:lang w:eastAsia="zh-CN"/>
        </w:rPr>
      </w:pPr>
      <w:r>
        <w:rPr>
          <w:rFonts w:hint="eastAsia" w:cs="宋体"/>
          <w:color w:val="auto"/>
          <w:highlight w:val="none"/>
          <w:lang w:eastAsia="zh-CN"/>
        </w:rPr>
        <w:t>（</w:t>
      </w:r>
      <w:r>
        <w:rPr>
          <w:rFonts w:cs="宋体"/>
          <w:color w:val="auto"/>
          <w:highlight w:val="none"/>
          <w:lang w:eastAsia="zh-CN"/>
        </w:rPr>
        <w:t>5）检查数量：固结灌浆钻孔压水检查的孔数不宜少于灌浆总孔数的5%；回填灌浆钻孔检查孔数约为总灌浆孔数的5%；帷幕灌浆采用单排孔帷幕时，检查孔数可为灌浆孔总数的10%左右，多排孔帷幕时，检查孔的数量可为主排孔数的10%左右。</w:t>
      </w:r>
    </w:p>
    <w:p w14:paraId="69681A48">
      <w:pPr>
        <w:pStyle w:val="4"/>
        <w:spacing w:beforeLines="0" w:afterLines="0"/>
        <w:jc w:val="both"/>
        <w:rPr>
          <w:rFonts w:hint="eastAsia" w:cs="宋体"/>
          <w:bCs/>
          <w:color w:val="auto"/>
          <w:szCs w:val="24"/>
          <w:highlight w:val="none"/>
          <w:lang w:eastAsia="zh-CN"/>
        </w:rPr>
      </w:pPr>
      <w:bookmarkStart w:id="2029" w:name="_Toc21218"/>
      <w:bookmarkStart w:id="2030" w:name="_Toc3322"/>
      <w:bookmarkStart w:id="2031" w:name="_Toc3147"/>
      <w:r>
        <w:rPr>
          <w:rFonts w:hint="eastAsia" w:cs="宋体"/>
          <w:bCs/>
          <w:color w:val="auto"/>
          <w:szCs w:val="24"/>
          <w:highlight w:val="none"/>
          <w:lang w:eastAsia="zh-CN"/>
        </w:rPr>
        <w:t>10.12　土坝劈裂灌浆</w:t>
      </w:r>
      <w:bookmarkEnd w:id="2029"/>
      <w:bookmarkEnd w:id="2030"/>
      <w:bookmarkEnd w:id="2031"/>
    </w:p>
    <w:p w14:paraId="76DE9AFF">
      <w:pPr>
        <w:ind w:firstLine="420"/>
        <w:jc w:val="left"/>
        <w:rPr>
          <w:color w:val="auto"/>
          <w:highlight w:val="none"/>
          <w:lang w:eastAsia="zh-CN"/>
        </w:rPr>
      </w:pPr>
      <w:r>
        <w:rPr>
          <w:rFonts w:hint="eastAsia"/>
          <w:color w:val="auto"/>
          <w:highlight w:val="none"/>
          <w:lang w:eastAsia="zh-CN"/>
        </w:rPr>
        <w:t>本标段不涉及</w:t>
      </w:r>
    </w:p>
    <w:p w14:paraId="6A232E0E">
      <w:pPr>
        <w:pStyle w:val="4"/>
        <w:spacing w:beforeLines="0" w:afterLines="0"/>
        <w:jc w:val="both"/>
        <w:rPr>
          <w:rFonts w:hint="eastAsia" w:cs="宋体"/>
          <w:bCs/>
          <w:color w:val="auto"/>
          <w:szCs w:val="24"/>
          <w:highlight w:val="none"/>
          <w:lang w:eastAsia="zh-CN"/>
        </w:rPr>
      </w:pPr>
      <w:bookmarkStart w:id="2032" w:name="_Toc29113"/>
      <w:bookmarkStart w:id="2033" w:name="_Toc14638"/>
      <w:bookmarkStart w:id="2034" w:name="_Toc14124"/>
      <w:r>
        <w:rPr>
          <w:rFonts w:hint="eastAsia" w:cs="宋体"/>
          <w:bCs/>
          <w:color w:val="auto"/>
          <w:szCs w:val="24"/>
          <w:highlight w:val="none"/>
          <w:lang w:eastAsia="zh-CN"/>
        </w:rPr>
        <w:t>10.13　灌浆工程验收</w:t>
      </w:r>
      <w:bookmarkEnd w:id="2032"/>
      <w:bookmarkEnd w:id="2033"/>
      <w:bookmarkEnd w:id="2034"/>
    </w:p>
    <w:p w14:paraId="2FE379B2">
      <w:pPr>
        <w:pStyle w:val="5"/>
        <w:jc w:val="left"/>
        <w:rPr>
          <w:rFonts w:hAnsi="Times New Roman" w:cs="楷体"/>
          <w:color w:val="auto"/>
          <w:highlight w:val="none"/>
          <w:lang w:eastAsia="zh-CN"/>
        </w:rPr>
      </w:pPr>
      <w:r>
        <w:rPr>
          <w:rFonts w:hAnsi="Times New Roman" w:cs="Times New Roman"/>
          <w:color w:val="auto"/>
          <w:highlight w:val="none"/>
          <w:lang w:eastAsia="zh-CN"/>
        </w:rPr>
        <w:t>10.13.1</w:t>
      </w:r>
      <w:r>
        <w:rPr>
          <w:rFonts w:hint="eastAsia" w:hAnsi="Times New Roman" w:cs="Times New Roman"/>
          <w:color w:val="auto"/>
          <w:highlight w:val="none"/>
          <w:lang w:eastAsia="zh-CN"/>
        </w:rPr>
        <w:t>　</w:t>
      </w:r>
      <w:r>
        <w:rPr>
          <w:rFonts w:hAnsi="楷体" w:cs="楷体"/>
          <w:color w:val="auto"/>
          <w:highlight w:val="none"/>
          <w:lang w:eastAsia="zh-CN"/>
        </w:rPr>
        <w:t>灌浆工程施灌过程的验收</w:t>
      </w:r>
    </w:p>
    <w:p w14:paraId="08921A0E">
      <w:pPr>
        <w:ind w:firstLine="420"/>
        <w:jc w:val="left"/>
        <w:rPr>
          <w:rFonts w:hAnsi="Times New Roman" w:cs="宋体"/>
          <w:color w:val="auto"/>
          <w:highlight w:val="none"/>
          <w:lang w:eastAsia="zh-CN"/>
        </w:rPr>
      </w:pPr>
      <w:r>
        <w:rPr>
          <w:rFonts w:cs="宋体"/>
          <w:color w:val="auto"/>
          <w:highlight w:val="none"/>
          <w:lang w:eastAsia="zh-CN"/>
        </w:rPr>
        <w:t>监理人应在钻孔和灌浆过程中，按本技术条款规定的各类灌浆工程的质量检查项目和内容，进行灌浆工程的逐项验收。承包人应将质量检查和验收记录提交监理人。</w:t>
      </w:r>
    </w:p>
    <w:p w14:paraId="06DD83E0">
      <w:pPr>
        <w:pStyle w:val="5"/>
        <w:jc w:val="left"/>
        <w:rPr>
          <w:rFonts w:hAnsi="Times New Roman" w:cs="楷体"/>
          <w:color w:val="auto"/>
          <w:highlight w:val="none"/>
          <w:lang w:eastAsia="zh-CN"/>
        </w:rPr>
      </w:pPr>
      <w:r>
        <w:rPr>
          <w:rFonts w:hAnsi="Times New Roman" w:cs="Times New Roman"/>
          <w:color w:val="auto"/>
          <w:highlight w:val="none"/>
          <w:lang w:eastAsia="zh-CN"/>
        </w:rPr>
        <w:t>10.13.2</w:t>
      </w:r>
      <w:r>
        <w:rPr>
          <w:rFonts w:hint="eastAsia" w:hAnsi="Times New Roman" w:cs="Times New Roman"/>
          <w:color w:val="auto"/>
          <w:highlight w:val="none"/>
          <w:lang w:eastAsia="zh-CN"/>
        </w:rPr>
        <w:t>　</w:t>
      </w:r>
      <w:r>
        <w:rPr>
          <w:rFonts w:hAnsi="楷体" w:cs="楷体"/>
          <w:color w:val="auto"/>
          <w:highlight w:val="none"/>
          <w:lang w:eastAsia="zh-CN"/>
        </w:rPr>
        <w:t>灌浆工程的完工验收</w:t>
      </w:r>
    </w:p>
    <w:p w14:paraId="3DA59AA0">
      <w:pPr>
        <w:ind w:firstLine="420"/>
        <w:jc w:val="left"/>
        <w:rPr>
          <w:rFonts w:hAnsi="Times New Roman" w:cs="宋体"/>
          <w:color w:val="auto"/>
          <w:highlight w:val="none"/>
          <w:lang w:eastAsia="zh-CN"/>
        </w:rPr>
      </w:pPr>
      <w:r>
        <w:rPr>
          <w:rFonts w:cs="宋体"/>
          <w:color w:val="auto"/>
          <w:highlight w:val="none"/>
          <w:lang w:eastAsia="zh-CN"/>
        </w:rPr>
        <w:t>各类灌浆工程完工后，承包人应申请完工验收，并提交以下完工验收资料：</w:t>
      </w:r>
    </w:p>
    <w:p w14:paraId="27D2974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）灌浆工程的竣工图。</w:t>
      </w:r>
    </w:p>
    <w:p w14:paraId="7B55A91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）钻孔和灌浆的各项试验成果。</w:t>
      </w:r>
    </w:p>
    <w:p w14:paraId="01E653A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）钻孔岩芯取样试验的岩芯柱状图和摄影资料。</w:t>
      </w:r>
    </w:p>
    <w:p w14:paraId="42324D6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）质量检查记录和质量事故处理报告。</w:t>
      </w:r>
    </w:p>
    <w:p w14:paraId="6E19CF5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）监理人要求提供的其它完工验收资料。</w:t>
      </w:r>
    </w:p>
    <w:p w14:paraId="53989A19">
      <w:pPr>
        <w:pStyle w:val="4"/>
        <w:spacing w:beforeLines="0" w:afterLines="0"/>
        <w:jc w:val="both"/>
        <w:rPr>
          <w:rFonts w:hint="eastAsia" w:cs="宋体"/>
          <w:bCs/>
          <w:color w:val="auto"/>
          <w:szCs w:val="24"/>
          <w:highlight w:val="none"/>
          <w:lang w:eastAsia="zh-CN"/>
        </w:rPr>
      </w:pPr>
      <w:bookmarkStart w:id="2035" w:name="_Toc3748"/>
      <w:bookmarkStart w:id="2036" w:name="_Toc30080"/>
      <w:bookmarkStart w:id="2037" w:name="_Toc10060"/>
      <w:r>
        <w:rPr>
          <w:rFonts w:hint="eastAsia" w:cs="宋体"/>
          <w:bCs/>
          <w:color w:val="auto"/>
          <w:szCs w:val="24"/>
          <w:highlight w:val="none"/>
          <w:lang w:eastAsia="zh-CN"/>
        </w:rPr>
        <w:t>10.14</w:t>
      </w:r>
      <w:r>
        <w:rPr>
          <w:rFonts w:hint="eastAsia" w:cs="宋体"/>
          <w:bCs/>
          <w:color w:val="auto"/>
          <w:szCs w:val="24"/>
          <w:highlight w:val="none"/>
          <w:lang w:val="en-US" w:eastAsia="zh-CN"/>
        </w:rPr>
        <w:t>　</w:t>
      </w:r>
      <w:r>
        <w:rPr>
          <w:rFonts w:hint="eastAsia" w:cs="宋体"/>
          <w:bCs/>
          <w:color w:val="auto"/>
          <w:szCs w:val="24"/>
          <w:highlight w:val="none"/>
          <w:lang w:eastAsia="zh-CN"/>
        </w:rPr>
        <w:t>计量和支付</w:t>
      </w:r>
      <w:bookmarkEnd w:id="2035"/>
      <w:bookmarkEnd w:id="2036"/>
      <w:bookmarkEnd w:id="2037"/>
    </w:p>
    <w:p w14:paraId="764622BD">
      <w:pPr>
        <w:pStyle w:val="7"/>
        <w:ind w:firstLine="420"/>
        <w:jc w:val="left"/>
        <w:rPr>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1</w:t>
      </w:r>
      <w:r>
        <w:rPr>
          <w:rFonts w:cs="宋体"/>
          <w:color w:val="auto"/>
          <w:highlight w:val="none"/>
          <w:lang w:eastAsia="zh-CN"/>
        </w:rPr>
        <w:t>）</w:t>
      </w:r>
      <w:r>
        <w:rPr>
          <w:rFonts w:hint="eastAsia"/>
          <w:color w:val="auto"/>
          <w:highlight w:val="none"/>
          <w:lang w:eastAsia="zh-CN"/>
        </w:rPr>
        <w:t>洞内常规超前灌浆</w:t>
      </w:r>
    </w:p>
    <w:p w14:paraId="2B03C931">
      <w:pPr>
        <w:pStyle w:val="7"/>
        <w:ind w:firstLine="420"/>
        <w:jc w:val="left"/>
        <w:rPr>
          <w:color w:val="auto"/>
          <w:highlight w:val="none"/>
          <w:lang w:eastAsia="zh-CN"/>
        </w:rPr>
      </w:pPr>
      <w:r>
        <w:rPr>
          <w:rFonts w:hint="eastAsia"/>
          <w:color w:val="auto"/>
          <w:highlight w:val="none"/>
          <w:lang w:eastAsia="zh-CN"/>
        </w:rPr>
        <w:t>1）按经监理人验收合格确认的工程量，按不同的浆液种类由发包人按《工程量清单》相应项目工程单价支付。</w:t>
      </w:r>
    </w:p>
    <w:p w14:paraId="2B9979BF">
      <w:pPr>
        <w:suppressAutoHyphens/>
        <w:ind w:firstLine="420"/>
        <w:jc w:val="left"/>
        <w:rPr>
          <w:color w:val="auto"/>
          <w:highlight w:val="none"/>
          <w:lang w:eastAsia="zh-CN"/>
        </w:rPr>
      </w:pPr>
      <w:r>
        <w:rPr>
          <w:rFonts w:hint="eastAsia"/>
          <w:color w:val="auto"/>
          <w:highlight w:val="none"/>
          <w:lang w:eastAsia="zh-CN"/>
        </w:rPr>
        <w:t>2）水泥超前灌浆按单位注灰量＜</w:t>
      </w:r>
      <w:r>
        <w:rPr>
          <w:color w:val="auto"/>
          <w:highlight w:val="none"/>
          <w:lang w:eastAsia="zh-CN"/>
        </w:rPr>
        <w:t>1</w:t>
      </w:r>
      <w:r>
        <w:rPr>
          <w:rFonts w:hint="eastAsia"/>
          <w:color w:val="auto"/>
          <w:highlight w:val="none"/>
          <w:lang w:eastAsia="zh-CN"/>
        </w:rPr>
        <w:t>00kg/m、100kg/m≤单位注灰量＜300kg/m、</w:t>
      </w:r>
      <w:r>
        <w:rPr>
          <w:color w:val="auto"/>
          <w:highlight w:val="none"/>
          <w:lang w:eastAsia="zh-CN"/>
        </w:rPr>
        <w:t>3</w:t>
      </w:r>
      <w:r>
        <w:rPr>
          <w:rFonts w:hint="eastAsia"/>
          <w:color w:val="auto"/>
          <w:highlight w:val="none"/>
          <w:lang w:eastAsia="zh-CN"/>
        </w:rPr>
        <w:t>00kg/m≤单位注灰量＜</w:t>
      </w:r>
      <w:r>
        <w:rPr>
          <w:color w:val="auto"/>
          <w:highlight w:val="none"/>
          <w:lang w:eastAsia="zh-CN"/>
        </w:rPr>
        <w:t>5</w:t>
      </w:r>
      <w:r>
        <w:rPr>
          <w:rFonts w:hint="eastAsia"/>
          <w:color w:val="auto"/>
          <w:highlight w:val="none"/>
          <w:lang w:eastAsia="zh-CN"/>
        </w:rPr>
        <w:t>00kg/m共3个等级，经监理人验收确认的灌浆长度，以m为单位进行计量。按《工程量清单》所列项目的每m灌浆的单价支付，其单价包括全部管路及埋设、孔口管镶铸、灌浆、封孔，水泥、外加剂等材料的采购、运输、储存和保管费用，以及为实施全部灌浆作业所需的人工、材料、使用设备和辅助设施以及各种试验（包括压水试验、生产性灌浆试验）、观测、验收等所需的一切费用。</w:t>
      </w:r>
    </w:p>
    <w:p w14:paraId="107B752C">
      <w:pPr>
        <w:suppressAutoHyphens/>
        <w:ind w:firstLine="420"/>
        <w:jc w:val="left"/>
        <w:rPr>
          <w:color w:val="auto"/>
          <w:highlight w:val="none"/>
          <w:lang w:eastAsia="zh-CN"/>
        </w:rPr>
      </w:pPr>
      <w:r>
        <w:rPr>
          <w:rFonts w:hint="eastAsia"/>
          <w:color w:val="auto"/>
          <w:highlight w:val="none"/>
          <w:lang w:eastAsia="zh-CN"/>
        </w:rPr>
        <w:t>3）当水泥超前灌浆注浆量大于500kg/m的部位，除按</w:t>
      </w:r>
      <w:r>
        <w:rPr>
          <w:color w:val="auto"/>
          <w:highlight w:val="none"/>
          <w:lang w:eastAsia="zh-CN"/>
        </w:rPr>
        <w:t>3</w:t>
      </w:r>
      <w:r>
        <w:rPr>
          <w:rFonts w:hint="eastAsia"/>
          <w:color w:val="auto"/>
          <w:highlight w:val="none"/>
          <w:lang w:eastAsia="zh-CN"/>
        </w:rPr>
        <w:t>00kg/m≤单位注灰量＜</w:t>
      </w:r>
      <w:r>
        <w:rPr>
          <w:color w:val="auto"/>
          <w:highlight w:val="none"/>
          <w:lang w:eastAsia="zh-CN"/>
        </w:rPr>
        <w:t>5</w:t>
      </w:r>
      <w:r>
        <w:rPr>
          <w:rFonts w:hint="eastAsia"/>
          <w:color w:val="auto"/>
          <w:highlight w:val="none"/>
          <w:lang w:eastAsia="zh-CN"/>
        </w:rPr>
        <w:t>00kg/m以延m为单位计量及支付外，超注浆部分（大于500kg/m）按如下规定另行确定超灌费用：按超灌的注灰量以t为单位计量，按《工程量清单》所列项目的每</w:t>
      </w:r>
      <w:r>
        <w:rPr>
          <w:color w:val="auto"/>
          <w:highlight w:val="none"/>
          <w:lang w:eastAsia="zh-CN"/>
        </w:rPr>
        <w:t>t</w:t>
      </w:r>
      <w:r>
        <w:rPr>
          <w:rFonts w:hint="eastAsia"/>
          <w:color w:val="auto"/>
          <w:highlight w:val="none"/>
          <w:lang w:eastAsia="zh-CN"/>
        </w:rPr>
        <w:t>灌浆的单价支付（只计列材料费和税金）。</w:t>
      </w:r>
    </w:p>
    <w:p w14:paraId="78E6F61C">
      <w:pPr>
        <w:suppressAutoHyphens/>
        <w:ind w:firstLine="420"/>
        <w:jc w:val="left"/>
        <w:rPr>
          <w:color w:val="auto"/>
          <w:highlight w:val="none"/>
          <w:lang w:eastAsia="zh-CN"/>
        </w:rPr>
      </w:pPr>
      <w:r>
        <w:rPr>
          <w:rFonts w:hint="eastAsia"/>
          <w:color w:val="auto"/>
          <w:highlight w:val="none"/>
          <w:lang w:eastAsia="zh-CN"/>
        </w:rPr>
        <w:t>4）水泥-水玻璃超前灌浆，除按本节第（2）、（3）条计量与支付外，水玻璃按经监理人确认的实际灌入的纯水玻璃以t为单位计量，按《工程量清单》所列项目的单价支付。其单价包括水玻璃材料的采购、运输、储存和保管，为实施添加水玻璃灌浆作业所需的人工、材料和辅助设施，以及各种试验、观测、验收等所需的一切费用。</w:t>
      </w:r>
    </w:p>
    <w:p w14:paraId="091DB5FA">
      <w:pPr>
        <w:pStyle w:val="7"/>
        <w:ind w:firstLine="420"/>
        <w:jc w:val="left"/>
        <w:rPr>
          <w:color w:val="auto"/>
          <w:highlight w:val="none"/>
          <w:lang w:eastAsia="zh-CN"/>
        </w:rPr>
      </w:pPr>
      <w:r>
        <w:rPr>
          <w:rFonts w:hint="eastAsia"/>
          <w:color w:val="auto"/>
          <w:highlight w:val="none"/>
          <w:lang w:eastAsia="zh-CN"/>
        </w:rPr>
        <w:t>5）环氧树脂、聚氨酯等化学灌浆根据施工图纸所示，按经监理人确认的实际灌入浆材量以t为单位计量，并按工程量清单中所列相应项目单价支付，单价中包括所需化学灌浆材料的采购、贮存、保管费用，以及为实施全部灌浆作业所需的人工、材料、使用设备和辅助设施以及各种试验（包括压水试验、生产性灌浆试验）、观测（含抬动观测）、验收等所需的一切费用。</w:t>
      </w:r>
    </w:p>
    <w:p w14:paraId="4BE94BC7">
      <w:pPr>
        <w:ind w:firstLine="420"/>
        <w:jc w:val="left"/>
        <w:rPr>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2</w:t>
      </w:r>
      <w:r>
        <w:rPr>
          <w:rFonts w:cs="宋体"/>
          <w:color w:val="auto"/>
          <w:highlight w:val="none"/>
          <w:lang w:eastAsia="zh-CN"/>
        </w:rPr>
        <w:t>）</w:t>
      </w:r>
      <w:r>
        <w:rPr>
          <w:rFonts w:hint="eastAsia"/>
          <w:color w:val="auto"/>
          <w:highlight w:val="none"/>
          <w:lang w:eastAsia="zh-CN"/>
        </w:rPr>
        <w:t>定向钻超前灌浆</w:t>
      </w:r>
    </w:p>
    <w:p w14:paraId="143A8D68">
      <w:pPr>
        <w:suppressAutoHyphens/>
        <w:ind w:firstLine="420"/>
        <w:jc w:val="left"/>
        <w:rPr>
          <w:color w:val="auto"/>
          <w:highlight w:val="none"/>
          <w:lang w:eastAsia="zh-CN"/>
        </w:rPr>
      </w:pPr>
      <w:r>
        <w:rPr>
          <w:rFonts w:hint="eastAsia"/>
          <w:color w:val="auto"/>
          <w:highlight w:val="none"/>
          <w:lang w:eastAsia="zh-CN"/>
        </w:rPr>
        <w:t>1）固管安装按经监理人确认的相应规格固管安装长度，以m为单位进行计量，按《工程量清单》所列项目的单价支付，其单价包括全部管材、填料等材料的采购、运输、储存和保管，为实施固管安装作业所需的人工、材料、使用设备、辅助设施、钻孔扫孔以及质量验收等所需的一切费用。</w:t>
      </w:r>
    </w:p>
    <w:p w14:paraId="35866EDB">
      <w:pPr>
        <w:suppressAutoHyphens/>
        <w:ind w:firstLine="420"/>
        <w:jc w:val="left"/>
        <w:rPr>
          <w:color w:val="auto"/>
          <w:highlight w:val="none"/>
          <w:lang w:eastAsia="zh-CN"/>
        </w:rPr>
      </w:pPr>
      <w:r>
        <w:rPr>
          <w:rFonts w:hint="eastAsia"/>
          <w:color w:val="auto"/>
          <w:highlight w:val="none"/>
          <w:lang w:eastAsia="zh-CN"/>
        </w:rPr>
        <w:t>2）定向钻超前灌浆按经监理人确认的实际灌入浆液中所消耗的水泥、黏土、水玻璃（水泥水玻璃双液灌浆中的纯水玻璃）、改性水玻璃（水玻璃主剂和胶凝剂之和）等材料以t为单位计量，按《工程量清单》所列项目的单价支付。其单价包括材料、外加剂、水等的采购、运输、储存和保管，为实施全部灌浆作业所需的人工、材料、使用设备和辅助设施以及超前勘探、各种试验（包括压水试验、生产性灌浆试验）、观测和验收等所需的一切费用。</w:t>
      </w:r>
    </w:p>
    <w:p w14:paraId="26D29D42">
      <w:pPr>
        <w:ind w:firstLine="420"/>
        <w:jc w:val="left"/>
        <w:rPr>
          <w:color w:val="auto"/>
          <w:highlight w:val="none"/>
          <w:lang w:eastAsia="zh-CN"/>
        </w:rPr>
      </w:pPr>
      <w:r>
        <w:rPr>
          <w:rFonts w:hint="eastAsia"/>
          <w:color w:val="auto"/>
          <w:highlight w:val="none"/>
          <w:lang w:eastAsia="zh-CN"/>
        </w:rPr>
        <w:t>3）当施工阶段地表定向钻灌浆的部位或工程量与设计文件不同时，承包人应按施工阶段的具体要求实施，并不得因此提出索赔。</w:t>
      </w:r>
    </w:p>
    <w:p w14:paraId="22FC475B">
      <w:pPr>
        <w:ind w:firstLine="420"/>
        <w:jc w:val="left"/>
        <w:rPr>
          <w:rFonts w:hAnsi="楷体" w:cs="楷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）回填灌浆和接触灌浆按施工图纸所示灌浆区域计算的有效灌浆面积以平方米为单位计量，由发包人按《工程量清单》相应项目有效工程量的每平方米工程单价支付。</w:t>
      </w:r>
    </w:p>
    <w:p w14:paraId="3AE18568">
      <w:pPr>
        <w:ind w:firstLine="420"/>
        <w:jc w:val="left"/>
        <w:rPr>
          <w:color w:val="auto"/>
          <w:highlight w:val="none"/>
          <w:lang w:eastAsia="zh-CN"/>
        </w:rPr>
      </w:pPr>
      <w:r>
        <w:rPr>
          <w:rFonts w:hint="eastAsia" w:hAnsi="楷体" w:cs="楷体"/>
          <w:color w:val="auto"/>
          <w:highlight w:val="none"/>
          <w:lang w:eastAsia="zh-CN"/>
        </w:rPr>
        <w:t>（</w:t>
      </w:r>
      <w:r>
        <w:rPr>
          <w:rFonts w:hint="eastAsia" w:hAnsi="楷体" w:cs="楷体"/>
          <w:color w:val="auto"/>
          <w:highlight w:val="none"/>
          <w:lang w:val="en-US" w:eastAsia="zh-CN"/>
        </w:rPr>
        <w:t>3</w:t>
      </w:r>
      <w:r>
        <w:rPr>
          <w:rFonts w:hAnsi="楷体" w:cs="楷体"/>
          <w:color w:val="auto"/>
          <w:highlight w:val="none"/>
          <w:lang w:eastAsia="zh-CN"/>
        </w:rPr>
        <w:t>）</w:t>
      </w:r>
      <w:r>
        <w:rPr>
          <w:rFonts w:hint="eastAsia"/>
          <w:color w:val="auto"/>
          <w:highlight w:val="none"/>
          <w:lang w:eastAsia="zh-CN"/>
        </w:rPr>
        <w:t>围岩防渗灌浆和固结灌浆</w:t>
      </w:r>
    </w:p>
    <w:p w14:paraId="5E105CE1">
      <w:pPr>
        <w:suppressAutoHyphens/>
        <w:ind w:firstLine="420"/>
        <w:jc w:val="left"/>
        <w:rPr>
          <w:color w:val="auto"/>
          <w:highlight w:val="none"/>
          <w:lang w:eastAsia="zh-CN"/>
        </w:rPr>
      </w:pPr>
      <w:r>
        <w:rPr>
          <w:rFonts w:hint="eastAsia"/>
          <w:color w:val="auto"/>
          <w:highlight w:val="none"/>
          <w:lang w:eastAsia="zh-CN"/>
        </w:rPr>
        <w:t>1）围岩防渗灌浆和固结灌浆按单位注灰量＜50kg/m、50kg/m≤单位注灰量＜100kg/m、100kg/m≤单位注灰量＜200kg/m三个等级，经监理人验收确认的灌浆长度，以延m为单位进行计量。按《工程量清单》所列项目的每延m灌浆的单价支付，其单价包括预埋灌浆孔位、压水、灌浆、封孔和复灌，水泥、掺和料、外加剂等材料的采购、运输、储存和保管费用，以及为实施全部灌浆作业所需的人工、材料、使用设备和辅助设施以及各种试验（包括压水试验、生产性灌浆试验）、观测（含抬动观测）和质量检查（含质量检查孔钻孔、压水试验、封孔等）、验收等所需的一切费用。</w:t>
      </w:r>
    </w:p>
    <w:p w14:paraId="4599816A">
      <w:pPr>
        <w:suppressAutoHyphens/>
        <w:ind w:firstLine="420"/>
        <w:jc w:val="left"/>
        <w:rPr>
          <w:color w:val="auto"/>
          <w:highlight w:val="none"/>
          <w:lang w:eastAsia="zh-CN"/>
        </w:rPr>
      </w:pPr>
      <w:r>
        <w:rPr>
          <w:rFonts w:hint="eastAsia"/>
          <w:color w:val="auto"/>
          <w:highlight w:val="none"/>
          <w:lang w:eastAsia="zh-CN"/>
        </w:rPr>
        <w:t>2）当围岩防渗灌浆、固结灌浆单元平均单位注灰量大于200kg/m的部位，除按100kg/m≤单位注灰量＜200kg/m以延m为单位计量及支付外，超注浆部分（大于200kg/m）按超灌的注灰量以t为单位计量，按《工程量清单》所列项目的每</w:t>
      </w:r>
      <w:r>
        <w:rPr>
          <w:color w:val="auto"/>
          <w:highlight w:val="none"/>
          <w:lang w:eastAsia="zh-CN"/>
        </w:rPr>
        <w:t>t</w:t>
      </w:r>
      <w:r>
        <w:rPr>
          <w:rFonts w:hint="eastAsia"/>
          <w:color w:val="auto"/>
          <w:highlight w:val="none"/>
          <w:lang w:eastAsia="zh-CN"/>
        </w:rPr>
        <w:t>灌浆的单价支付（只计列材料费和税金）。</w:t>
      </w:r>
    </w:p>
    <w:p w14:paraId="055F2F0A">
      <w:pPr>
        <w:suppressAutoHyphens/>
        <w:ind w:firstLine="420"/>
        <w:jc w:val="left"/>
        <w:rPr>
          <w:color w:val="auto"/>
          <w:highlight w:val="none"/>
          <w:lang w:eastAsia="zh-CN"/>
        </w:rPr>
      </w:pPr>
      <w:r>
        <w:rPr>
          <w:rFonts w:hint="eastAsia"/>
          <w:color w:val="auto"/>
          <w:highlight w:val="none"/>
          <w:lang w:eastAsia="zh-CN"/>
        </w:rPr>
        <w:t>3）围岩防渗灌浆和固结灌浆中，丙烯酸盐、环氧树脂按单位注入量＜30kg/m、30kg/m≤单位注入量＜50kg/m、50kg/m≤单位注入量＜100kg/m共3个等级，经监理人验收确认的灌浆长度，以延m为单位进行计量。按《工程量清单》所列项目的每延m灌浆的单价支付，其单价包括管路埋设、压水、灌浆、封孔，材料的采购、运输、储存和保管费用，以及为实施全部灌浆作业所需的人工、材料、使用设备和辅助设施以及各种试验（包括压水试验、生产性灌浆试验）、观测（含抬动观测）和质量检查（含质量检查孔钻孔、压水试验、封孔等）、验收等所需的一切费用。</w:t>
      </w:r>
    </w:p>
    <w:p w14:paraId="25CC1FCE">
      <w:pPr>
        <w:suppressAutoHyphens/>
        <w:ind w:firstLine="420"/>
        <w:jc w:val="left"/>
        <w:rPr>
          <w:color w:val="auto"/>
          <w:highlight w:val="none"/>
          <w:lang w:eastAsia="zh-CN"/>
        </w:rPr>
      </w:pPr>
      <w:r>
        <w:rPr>
          <w:rFonts w:hint="eastAsia"/>
          <w:color w:val="auto"/>
          <w:highlight w:val="none"/>
          <w:lang w:eastAsia="zh-CN"/>
        </w:rPr>
        <w:t>4）当丙烯酸盐、环氧树脂等化学灌浆单位注浆量大于100kg/m的部位，除按50kg/m≤注浆量＜100kg/m以延m为单位计量及支付外，超注浆部分（大于100kg/m）按如下规定另行确定超灌费用：超灌（纯灌入量，不计损耗）的化学浆液以t为单位计量，按《工程量清单》所列项目的每t单价支付（只计列材料费和税金）。</w:t>
      </w:r>
    </w:p>
    <w:p w14:paraId="4B597BB7">
      <w:pPr>
        <w:suppressAutoHyphens/>
        <w:ind w:firstLine="420"/>
        <w:jc w:val="left"/>
        <w:rPr>
          <w:color w:val="auto"/>
          <w:highlight w:val="none"/>
          <w:lang w:eastAsia="zh-CN"/>
        </w:rPr>
      </w:pPr>
      <w:r>
        <w:rPr>
          <w:rFonts w:hint="eastAsia"/>
          <w:color w:val="auto"/>
          <w:highlight w:val="none"/>
          <w:lang w:eastAsia="zh-CN"/>
        </w:rPr>
        <w:t>5）承包人应严格控制化灌材料使用量，出现超注浆情况时应及时报监理人，进一步研究分析，优化调整处理措施。</w:t>
      </w:r>
    </w:p>
    <w:p w14:paraId="2D515BD6">
      <w:pPr>
        <w:ind w:firstLine="420"/>
        <w:jc w:val="left"/>
        <w:rPr>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4</w:t>
      </w:r>
      <w:r>
        <w:rPr>
          <w:rFonts w:cs="宋体"/>
          <w:color w:val="auto"/>
          <w:highlight w:val="none"/>
          <w:lang w:eastAsia="zh-CN"/>
        </w:rPr>
        <w:t>）</w:t>
      </w:r>
      <w:r>
        <w:rPr>
          <w:rFonts w:hint="eastAsia" w:cs="方正小标宋_GBK"/>
          <w:color w:val="auto"/>
          <w:highlight w:val="none"/>
          <w:lang w:eastAsia="zh-CN"/>
        </w:rPr>
        <w:t>钢衬接触</w:t>
      </w:r>
      <w:r>
        <w:rPr>
          <w:rFonts w:hint="eastAsia"/>
          <w:color w:val="auto"/>
          <w:highlight w:val="none"/>
          <w:lang w:eastAsia="zh-CN"/>
        </w:rPr>
        <w:t>灌浆</w:t>
      </w:r>
    </w:p>
    <w:p w14:paraId="0106CBD9">
      <w:pPr>
        <w:pStyle w:val="7"/>
        <w:ind w:firstLine="420"/>
        <w:jc w:val="left"/>
        <w:rPr>
          <w:rFonts w:hAnsi="楷体" w:cs="楷体"/>
          <w:color w:val="auto"/>
          <w:highlight w:val="none"/>
          <w:lang w:eastAsia="zh-CN"/>
        </w:rPr>
      </w:pPr>
      <w:r>
        <w:rPr>
          <w:rFonts w:hint="eastAsia"/>
          <w:color w:val="auto"/>
          <w:highlight w:val="none"/>
          <w:lang w:eastAsia="zh-CN"/>
        </w:rPr>
        <w:t>接触灌浆应按施工图纸所示，并经监理人验收确认的灌浆面积，以</w:t>
      </w:r>
      <w:r>
        <w:rPr>
          <w:color w:val="auto"/>
          <w:highlight w:val="none"/>
          <w:lang w:eastAsia="zh-CN"/>
        </w:rPr>
        <w:t>m</w:t>
      </w:r>
      <w:r>
        <w:rPr>
          <w:color w:val="auto"/>
          <w:highlight w:val="none"/>
          <w:vertAlign w:val="superscript"/>
          <w:lang w:eastAsia="zh-CN"/>
        </w:rPr>
        <w:t>2</w:t>
      </w:r>
      <w:r>
        <w:rPr>
          <w:rFonts w:hint="eastAsia"/>
          <w:color w:val="auto"/>
          <w:highlight w:val="none"/>
          <w:lang w:eastAsia="zh-CN"/>
        </w:rPr>
        <w:t>为单位进行计量，按《工程量清单》所列项目的每</w:t>
      </w:r>
      <w:r>
        <w:rPr>
          <w:color w:val="auto"/>
          <w:highlight w:val="none"/>
          <w:lang w:eastAsia="zh-CN"/>
        </w:rPr>
        <w:t>m</w:t>
      </w:r>
      <w:r>
        <w:rPr>
          <w:color w:val="auto"/>
          <w:highlight w:val="none"/>
          <w:vertAlign w:val="superscript"/>
          <w:lang w:eastAsia="zh-CN"/>
        </w:rPr>
        <w:t>2</w:t>
      </w:r>
      <w:r>
        <w:rPr>
          <w:rFonts w:hint="eastAsia"/>
          <w:color w:val="auto"/>
          <w:highlight w:val="none"/>
          <w:lang w:eastAsia="zh-CN"/>
        </w:rPr>
        <w:t>灌浆的单价支付，其单价包括水泥、掺和料、外加剂等材料的采购、运输、储存和保管费用，以及为实施全部钻孔、管路埋设、灌浆和封孔作业所需的人工、材料、钻孔、使用设备和辅助设施以及各种试验、观测、和质量检查验收等所需的一切费用。</w:t>
      </w:r>
    </w:p>
    <w:p w14:paraId="24FD5136">
      <w:pPr>
        <w:pStyle w:val="7"/>
        <w:ind w:firstLine="420"/>
        <w:jc w:val="left"/>
        <w:rPr>
          <w:rFonts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）封堵灌浆</w:t>
      </w:r>
    </w:p>
    <w:p w14:paraId="17FD5F16">
      <w:pPr>
        <w:suppressAutoHyphens/>
        <w:ind w:firstLine="420"/>
        <w:jc w:val="left"/>
        <w:rPr>
          <w:color w:val="auto"/>
          <w:highlight w:val="none"/>
          <w:lang w:eastAsia="zh-CN"/>
        </w:rPr>
      </w:pPr>
      <w:r>
        <w:rPr>
          <w:rFonts w:hint="eastAsia"/>
          <w:color w:val="auto"/>
          <w:highlight w:val="none"/>
          <w:lang w:eastAsia="zh-CN"/>
        </w:rPr>
        <w:t>1）堵漏灌浆按经监理人验收合格确认的工程量，按不同的浆液种类由发包人按《工程量清单》相应项目工程单价支付。</w:t>
      </w:r>
    </w:p>
    <w:p w14:paraId="27B2C970">
      <w:pPr>
        <w:suppressAutoHyphens/>
        <w:ind w:firstLine="420"/>
        <w:jc w:val="left"/>
        <w:rPr>
          <w:color w:val="auto"/>
          <w:highlight w:val="none"/>
          <w:lang w:eastAsia="zh-CN"/>
        </w:rPr>
      </w:pPr>
      <w:r>
        <w:rPr>
          <w:rFonts w:hint="eastAsia"/>
          <w:color w:val="auto"/>
          <w:highlight w:val="none"/>
          <w:lang w:eastAsia="zh-CN"/>
        </w:rPr>
        <w:t>2）水泥堵漏灌浆按单位注灰量＜100kg/m、100kg/m≤单位注灰量＜300kg/m、300kg/m≤单位注灰量＜500kg/m共3个等级，经监理人验收确认的灌浆长度，以m为单位进行计量。按《工程量清单》所列项目的每m灌浆的单价支付，其单价包括全部管路埋设、裂隙封堵、灌浆、封孔和复灌，水泥、外加剂、水等材料的采购、运输、储存和保管费用，以及为实施全部灌浆作业所需的人工、材料、使用设备和辅助设施以及各种试验（包括压水试验、生产性灌浆试验）、观测和质量检查（含质量检查孔钻孔、压水试验、封孔等）、验收等所需的一切费用。</w:t>
      </w:r>
    </w:p>
    <w:p w14:paraId="1CE6C128">
      <w:pPr>
        <w:suppressAutoHyphens/>
        <w:ind w:firstLine="420"/>
        <w:jc w:val="left"/>
        <w:rPr>
          <w:color w:val="auto"/>
          <w:highlight w:val="none"/>
          <w:lang w:eastAsia="zh-CN"/>
        </w:rPr>
      </w:pPr>
      <w:r>
        <w:rPr>
          <w:rFonts w:hint="eastAsia"/>
          <w:color w:val="auto"/>
          <w:highlight w:val="none"/>
          <w:lang w:eastAsia="zh-CN"/>
        </w:rPr>
        <w:t>3）当水泥堵漏灌浆注浆量大于500kg/m的部位，除按</w:t>
      </w:r>
      <w:r>
        <w:rPr>
          <w:color w:val="auto"/>
          <w:highlight w:val="none"/>
          <w:lang w:eastAsia="zh-CN"/>
        </w:rPr>
        <w:t>3</w:t>
      </w:r>
      <w:r>
        <w:rPr>
          <w:rFonts w:hint="eastAsia"/>
          <w:color w:val="auto"/>
          <w:highlight w:val="none"/>
          <w:lang w:eastAsia="zh-CN"/>
        </w:rPr>
        <w:t>00kg/m≤单位注灰量＜</w:t>
      </w:r>
      <w:r>
        <w:rPr>
          <w:color w:val="auto"/>
          <w:highlight w:val="none"/>
          <w:lang w:eastAsia="zh-CN"/>
        </w:rPr>
        <w:t>5</w:t>
      </w:r>
      <w:r>
        <w:rPr>
          <w:rFonts w:hint="eastAsia"/>
          <w:color w:val="auto"/>
          <w:highlight w:val="none"/>
          <w:lang w:eastAsia="zh-CN"/>
        </w:rPr>
        <w:t>00kg/m以延m为单位计量及支付外，超注浆部分（大于500kg/m）按如下规定另行确定超灌费用：按超灌的注灰量以t为单位计量，按《工程量清单》所列项目的每</w:t>
      </w:r>
      <w:r>
        <w:rPr>
          <w:color w:val="auto"/>
          <w:highlight w:val="none"/>
          <w:lang w:eastAsia="zh-CN"/>
        </w:rPr>
        <w:t>t</w:t>
      </w:r>
      <w:r>
        <w:rPr>
          <w:rFonts w:hint="eastAsia"/>
          <w:color w:val="auto"/>
          <w:highlight w:val="none"/>
          <w:lang w:eastAsia="zh-CN"/>
        </w:rPr>
        <w:t>灌浆的单价支付（只计列材料费和税金）。</w:t>
      </w:r>
    </w:p>
    <w:p w14:paraId="1335AE14">
      <w:pPr>
        <w:suppressAutoHyphens/>
        <w:ind w:firstLine="420"/>
        <w:jc w:val="left"/>
        <w:rPr>
          <w:color w:val="auto"/>
          <w:highlight w:val="none"/>
          <w:lang w:eastAsia="zh-CN"/>
        </w:rPr>
      </w:pPr>
      <w:r>
        <w:rPr>
          <w:rFonts w:hint="eastAsia"/>
          <w:color w:val="auto"/>
          <w:highlight w:val="none"/>
          <w:lang w:eastAsia="zh-CN"/>
        </w:rPr>
        <w:t>4）水泥-水玻璃堵漏灌浆的部位，按本条第（2）、（3）计量与支付外，水玻璃按所消耗的纯水玻璃量以t计，按《工程量清单》所列项目的单价支付。其单价包括水玻璃材料的采购、运输、储存和保管费用，以及为实施添加水玻璃灌浆作业所需的人工、材料和辅助设施以及各种试验等所需的一切费用。</w:t>
      </w:r>
    </w:p>
    <w:p w14:paraId="40C2608F">
      <w:pPr>
        <w:suppressAutoHyphens/>
        <w:ind w:firstLine="420"/>
        <w:jc w:val="left"/>
        <w:rPr>
          <w:color w:val="auto"/>
          <w:highlight w:val="none"/>
          <w:lang w:eastAsia="zh-CN"/>
        </w:rPr>
      </w:pPr>
      <w:r>
        <w:rPr>
          <w:rFonts w:hint="eastAsia"/>
          <w:color w:val="auto"/>
          <w:highlight w:val="none"/>
          <w:lang w:eastAsia="zh-CN"/>
        </w:rPr>
        <w:t>5）聚氨酯化学灌浆根据施工图纸所示，按实际灌入经监理人验收合格的注入浆材量以t为单位计量，并按工程量清单中所列相应项目单价支付，单价中包括所需化学灌浆材料的采购、贮存、保管费用，以及为实施全部灌浆作业所需的人工、材料、使用设备和辅助设施以及各种试验（包括压水试验、生产性灌浆试验）、观测（含抬动观测）和质量检查（含质量检查孔钻孔、压水试验、封孔等）、验收等所需的一切费用。</w:t>
      </w:r>
    </w:p>
    <w:p w14:paraId="6003B3E6">
      <w:pPr>
        <w:ind w:firstLine="420"/>
        <w:jc w:val="left"/>
        <w:rPr>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6</w:t>
      </w:r>
      <w:r>
        <w:rPr>
          <w:rFonts w:cs="宋体"/>
          <w:color w:val="auto"/>
          <w:highlight w:val="none"/>
          <w:lang w:eastAsia="zh-CN"/>
        </w:rPr>
        <w:t>）</w:t>
      </w:r>
      <w:r>
        <w:rPr>
          <w:rFonts w:hint="eastAsia"/>
          <w:color w:val="auto"/>
          <w:highlight w:val="none"/>
          <w:lang w:eastAsia="zh-CN"/>
        </w:rPr>
        <w:t>回填灌浆</w:t>
      </w:r>
    </w:p>
    <w:p w14:paraId="38999E7F">
      <w:pPr>
        <w:suppressAutoHyphens/>
        <w:ind w:firstLine="420"/>
        <w:jc w:val="left"/>
        <w:rPr>
          <w:color w:val="auto"/>
          <w:highlight w:val="none"/>
          <w:lang w:eastAsia="zh-CN"/>
        </w:rPr>
      </w:pPr>
      <w:r>
        <w:rPr>
          <w:rFonts w:hint="eastAsia"/>
          <w:color w:val="auto"/>
          <w:highlight w:val="none"/>
          <w:lang w:eastAsia="zh-CN"/>
        </w:rPr>
        <w:t>1）回填灌浆应按施工图纸所示灌浆区域计算的灌浆面积，并经监理人验收合格确认的有效面积，以m</w:t>
      </w:r>
      <w:r>
        <w:rPr>
          <w:color w:val="auto"/>
          <w:highlight w:val="none"/>
          <w:vertAlign w:val="superscript"/>
          <w:lang w:eastAsia="zh-CN"/>
        </w:rPr>
        <w:t>2</w:t>
      </w:r>
      <w:r>
        <w:rPr>
          <w:rFonts w:hint="eastAsia"/>
          <w:color w:val="auto"/>
          <w:highlight w:val="none"/>
          <w:lang w:eastAsia="zh-CN"/>
        </w:rPr>
        <w:t>为单位计量，由发包人按《工程量清单》相应项目每m</w:t>
      </w:r>
      <w:r>
        <w:rPr>
          <w:color w:val="auto"/>
          <w:highlight w:val="none"/>
          <w:vertAlign w:val="superscript"/>
          <w:lang w:eastAsia="zh-CN"/>
        </w:rPr>
        <w:t>2</w:t>
      </w:r>
      <w:r>
        <w:rPr>
          <w:rFonts w:hint="eastAsia"/>
          <w:color w:val="auto"/>
          <w:highlight w:val="none"/>
          <w:lang w:eastAsia="zh-CN"/>
        </w:rPr>
        <w:t>工程单价支付。</w:t>
      </w:r>
    </w:p>
    <w:p w14:paraId="08E23BC1">
      <w:pPr>
        <w:ind w:firstLine="420"/>
        <w:jc w:val="left"/>
        <w:rPr>
          <w:color w:val="auto"/>
          <w:highlight w:val="none"/>
          <w:lang w:eastAsia="zh-CN"/>
        </w:rPr>
      </w:pPr>
      <w:r>
        <w:rPr>
          <w:rFonts w:hint="eastAsia"/>
          <w:color w:val="auto"/>
          <w:highlight w:val="none"/>
          <w:lang w:eastAsia="zh-CN"/>
        </w:rPr>
        <w:t>2）回填灌浆的单价包括灌浆孔及检查孔、试验孔、观测孔等各种辅助孔和测孔、清孔、维护等工作费用、水泥、掺和料、外加剂等材料的采购、运输、储存和保管费用，以及为实施全部管路埋设、灌浆和封孔作业所需的人工、材料、钻孔、使用设备和辅助设施以及各种试验、观测和质量检查（含质量检查孔钻孔、压水试验、封孔等）、验收等所需的一切费用。</w:t>
      </w:r>
    </w:p>
    <w:p w14:paraId="51AF9D5F">
      <w:pPr>
        <w:ind w:firstLine="420"/>
        <w:jc w:val="left"/>
        <w:rPr>
          <w:rFonts w:cs="宋体"/>
          <w:color w:val="auto"/>
          <w:highlight w:val="none"/>
          <w:lang w:eastAsia="zh-CN"/>
        </w:rPr>
      </w:pPr>
      <w:r>
        <w:rPr>
          <w:rFonts w:hint="eastAsia" w:hAnsi="楷体" w:cs="楷体"/>
          <w:color w:val="auto"/>
          <w:highlight w:val="none"/>
          <w:lang w:eastAsia="zh-CN"/>
        </w:rPr>
        <w:t>（</w:t>
      </w:r>
      <w:r>
        <w:rPr>
          <w:rFonts w:hint="eastAsia" w:hAnsi="楷体" w:cs="楷体"/>
          <w:color w:val="auto"/>
          <w:highlight w:val="none"/>
          <w:lang w:val="en-US" w:eastAsia="zh-CN"/>
        </w:rPr>
        <w:t>7</w:t>
      </w:r>
      <w:r>
        <w:rPr>
          <w:rFonts w:hAnsi="楷体" w:cs="楷体"/>
          <w:color w:val="auto"/>
          <w:highlight w:val="none"/>
          <w:lang w:eastAsia="zh-CN"/>
        </w:rPr>
        <w:t>）</w:t>
      </w:r>
      <w:r>
        <w:rPr>
          <w:rFonts w:cs="宋体"/>
          <w:color w:val="auto"/>
          <w:highlight w:val="none"/>
          <w:lang w:eastAsia="zh-CN"/>
        </w:rPr>
        <w:t>化学灌浆</w:t>
      </w:r>
    </w:p>
    <w:p w14:paraId="74B77C60">
      <w:pPr>
        <w:pStyle w:val="7"/>
        <w:ind w:firstLine="420"/>
        <w:jc w:val="left"/>
        <w:rPr>
          <w:color w:val="auto"/>
          <w:highlight w:val="none"/>
          <w:lang w:eastAsia="zh-CN"/>
        </w:rPr>
      </w:pPr>
      <w:r>
        <w:rPr>
          <w:rFonts w:cs="宋体"/>
          <w:color w:val="auto"/>
          <w:highlight w:val="none"/>
          <w:lang w:eastAsia="zh-CN"/>
        </w:rPr>
        <w:t>1）化学灌浆（包括丙烯酸盐类、丙烯酸胺类、聚氨酯类和改性环氧树脂类灌浆等）按施工图纸所示化学灌浆区域缝长（灌段）以米为单位计量，由发包人按《工程量清单》相应项目有效工程量的每米工程单价支付。</w:t>
      </w:r>
    </w:p>
    <w:p w14:paraId="6951F3B5">
      <w:pPr>
        <w:pStyle w:val="7"/>
        <w:ind w:firstLine="420"/>
        <w:jc w:val="left"/>
        <w:rPr>
          <w:color w:val="auto"/>
          <w:highlight w:val="none"/>
          <w:lang w:eastAsia="zh-CN"/>
        </w:rPr>
      </w:pPr>
      <w:r>
        <w:rPr>
          <w:rFonts w:hint="eastAsia"/>
          <w:color w:val="auto"/>
          <w:highlight w:val="none"/>
          <w:lang w:eastAsia="zh-CN"/>
        </w:rPr>
        <w:t>（</w:t>
      </w:r>
      <w:r>
        <w:rPr>
          <w:rFonts w:hint="eastAsia"/>
          <w:color w:val="auto"/>
          <w:highlight w:val="none"/>
          <w:lang w:val="en-US" w:eastAsia="zh-CN"/>
        </w:rPr>
        <w:t>8</w:t>
      </w:r>
      <w:r>
        <w:rPr>
          <w:rFonts w:hint="eastAsia"/>
          <w:color w:val="auto"/>
          <w:highlight w:val="none"/>
          <w:lang w:eastAsia="zh-CN"/>
        </w:rPr>
        <w:t>）其他说明</w:t>
      </w:r>
    </w:p>
    <w:p w14:paraId="59F36E27">
      <w:pPr>
        <w:suppressAutoHyphens/>
        <w:ind w:firstLine="420"/>
        <w:jc w:val="left"/>
        <w:rPr>
          <w:color w:val="auto"/>
          <w:highlight w:val="none"/>
          <w:lang w:eastAsia="zh-CN"/>
        </w:rPr>
      </w:pPr>
      <w:r>
        <w:rPr>
          <w:rFonts w:hint="eastAsia"/>
          <w:color w:val="auto"/>
          <w:highlight w:val="none"/>
          <w:lang w:eastAsia="zh-CN"/>
        </w:rPr>
        <w:t>1）抬动变形观测装置的费用，包括抬动变形装置相关仪器设施及对其合理安装等工序所需要的人工、材料、设备和其它一切辅助设施费用，包括在《工程量清单》所列的灌浆工程量单价中。</w:t>
      </w:r>
    </w:p>
    <w:p w14:paraId="79B5F03C">
      <w:pPr>
        <w:suppressAutoHyphens/>
        <w:ind w:firstLine="420"/>
        <w:jc w:val="left"/>
        <w:rPr>
          <w:color w:val="auto"/>
          <w:highlight w:val="none"/>
          <w:lang w:eastAsia="zh-CN"/>
        </w:rPr>
      </w:pPr>
      <w:r>
        <w:rPr>
          <w:rFonts w:hint="eastAsia"/>
          <w:color w:val="auto"/>
          <w:highlight w:val="none"/>
          <w:lang w:eastAsia="zh-CN"/>
        </w:rPr>
        <w:t>2）生产性灌浆试验的费用已摊入《工程量清单》所列的灌浆工程量单价中，单价中除包括灌浆工程费用外，还包括试验所需的人工、材料、设备运行，以及试验检验所需的一切费用。</w:t>
      </w:r>
    </w:p>
    <w:p w14:paraId="0AA3D421">
      <w:pPr>
        <w:suppressAutoHyphens/>
        <w:ind w:firstLine="420"/>
        <w:jc w:val="left"/>
        <w:rPr>
          <w:color w:val="auto"/>
          <w:highlight w:val="none"/>
          <w:lang w:eastAsia="zh-CN"/>
        </w:rPr>
      </w:pPr>
      <w:r>
        <w:rPr>
          <w:rFonts w:hint="eastAsia"/>
          <w:color w:val="auto"/>
          <w:highlight w:val="none"/>
          <w:lang w:eastAsia="zh-CN"/>
        </w:rPr>
        <w:t>3）灌浆过程中正常发生的浆液损耗应包含在相应的灌浆作业单价中。</w:t>
      </w:r>
    </w:p>
    <w:p w14:paraId="10719D48">
      <w:pPr>
        <w:suppressAutoHyphens/>
        <w:ind w:firstLine="420"/>
        <w:jc w:val="left"/>
        <w:rPr>
          <w:color w:val="auto"/>
          <w:highlight w:val="none"/>
          <w:lang w:eastAsia="zh-CN"/>
        </w:rPr>
      </w:pPr>
      <w:r>
        <w:rPr>
          <w:rFonts w:hint="eastAsia"/>
          <w:color w:val="auto"/>
          <w:highlight w:val="none"/>
          <w:lang w:eastAsia="zh-CN"/>
        </w:rPr>
        <w:t>4）灌浆用水包括钻孔、灌浆、冲洗等作业的用水和压水试验用水等，灌浆用水均不单独计量支付，其费用均包含在相应的各灌浆项目中。</w:t>
      </w:r>
    </w:p>
    <w:p w14:paraId="6F54B3EA">
      <w:pPr>
        <w:suppressAutoHyphens/>
        <w:ind w:firstLine="420"/>
        <w:jc w:val="left"/>
        <w:rPr>
          <w:color w:val="auto"/>
          <w:highlight w:val="none"/>
          <w:lang w:eastAsia="zh-CN"/>
        </w:rPr>
      </w:pPr>
      <w:r>
        <w:rPr>
          <w:rFonts w:hint="eastAsia"/>
          <w:color w:val="auto"/>
          <w:highlight w:val="none"/>
          <w:lang w:eastAsia="zh-CN"/>
        </w:rPr>
        <w:t>5）高抗硫酸盐水泥灌浆，按普通水泥灌浆计量与支付规则以m为单位计量支付，在此基础上，另按《工程量清单》所列“高抗硫酸盐水泥差价”项目，按高抗硫酸盐水泥注灰量以t为单位计列高抗硫酸盐水泥与普通水泥的材料费价差和税金。</w:t>
      </w:r>
    </w:p>
    <w:p w14:paraId="5AD0ABFD">
      <w:pPr>
        <w:suppressAutoHyphens/>
        <w:ind w:firstLine="420"/>
        <w:jc w:val="left"/>
        <w:rPr>
          <w:color w:val="auto"/>
          <w:highlight w:val="none"/>
          <w:lang w:eastAsia="zh-CN"/>
        </w:rPr>
      </w:pPr>
      <w:r>
        <w:rPr>
          <w:rFonts w:hint="eastAsia"/>
          <w:color w:val="auto"/>
          <w:highlight w:val="none"/>
          <w:lang w:eastAsia="zh-CN"/>
        </w:rPr>
        <w:t>6）各类压水试验均不单独计量和支付，其费用包括在《工程量清单》中各相应钻孔、灌浆作业单价中。</w:t>
      </w:r>
    </w:p>
    <w:p w14:paraId="72EB0D70">
      <w:pPr>
        <w:suppressAutoHyphens/>
        <w:ind w:firstLine="420"/>
        <w:jc w:val="left"/>
        <w:rPr>
          <w:color w:val="auto"/>
          <w:highlight w:val="none"/>
          <w:lang w:eastAsia="zh-CN"/>
        </w:rPr>
      </w:pPr>
      <w:r>
        <w:rPr>
          <w:rFonts w:hint="eastAsia"/>
          <w:color w:val="auto"/>
          <w:highlight w:val="none"/>
          <w:lang w:eastAsia="zh-CN"/>
        </w:rPr>
        <w:t>7）对于因施工事故（如钻孔未达到设计深度、灌浆中断时间超过设计规定、钻孔冲洗后在设计文件规定时间内未能进行灌浆施工、钻孔取芯未达到设计要求等）造成实际工程费用的增加，不予支付。</w:t>
      </w:r>
    </w:p>
    <w:p w14:paraId="36BB5D16">
      <w:pPr>
        <w:suppressAutoHyphens/>
        <w:ind w:firstLine="420"/>
        <w:jc w:val="left"/>
        <w:rPr>
          <w:color w:val="auto"/>
          <w:highlight w:val="none"/>
          <w:lang w:eastAsia="zh-CN"/>
        </w:rPr>
      </w:pPr>
      <w:r>
        <w:rPr>
          <w:rFonts w:hint="eastAsia"/>
          <w:color w:val="auto"/>
          <w:highlight w:val="none"/>
          <w:lang w:eastAsia="zh-CN"/>
        </w:rPr>
        <w:t>8）对于质量检查孔，若其不满足本技术条款规定的合格标准，全孔压水检查完成后应分段阻塞在不合格段段顶自下而上进行纯压式灌浆，全孔灌浆结束后进行扫孔并置换浓浆进行封孔，灌浆费用包含在质量检查孔单价中，不另支付。</w:t>
      </w:r>
    </w:p>
    <w:p w14:paraId="2F5CC8D7">
      <w:pPr>
        <w:suppressAutoHyphens/>
        <w:ind w:firstLine="420"/>
        <w:jc w:val="left"/>
        <w:rPr>
          <w:color w:val="auto"/>
          <w:highlight w:val="none"/>
          <w:lang w:eastAsia="zh-CN"/>
        </w:rPr>
      </w:pPr>
      <w:r>
        <w:rPr>
          <w:rFonts w:hint="eastAsia"/>
          <w:color w:val="auto"/>
          <w:highlight w:val="none"/>
          <w:lang w:eastAsia="zh-CN"/>
        </w:rPr>
        <w:t>9）对因灌浆质量检查不满足合格标准而采取的增补灌浆，除特殊地质原因经监理人批准，按《工程量清单》相关钻孔、灌浆项目单价进行计量支付外，一般不予支付。</w:t>
      </w:r>
    </w:p>
    <w:p w14:paraId="6A31BA94">
      <w:pPr>
        <w:suppressAutoHyphens/>
        <w:ind w:firstLine="420"/>
        <w:jc w:val="left"/>
        <w:rPr>
          <w:color w:val="auto"/>
          <w:highlight w:val="none"/>
          <w:lang w:eastAsia="zh-CN"/>
        </w:rPr>
      </w:pPr>
      <w:r>
        <w:rPr>
          <w:rFonts w:hint="eastAsia"/>
          <w:color w:val="auto"/>
          <w:highlight w:val="none"/>
          <w:lang w:eastAsia="zh-CN"/>
        </w:rPr>
        <w:t>10）施工用的风、水、电均不单独支付，其费用包含在相应的各项单价中。</w:t>
      </w:r>
    </w:p>
    <w:p w14:paraId="766FDFBC">
      <w:pPr>
        <w:suppressAutoHyphens/>
        <w:ind w:firstLine="420"/>
        <w:jc w:val="left"/>
        <w:rPr>
          <w:color w:val="auto"/>
          <w:highlight w:val="none"/>
          <w:lang w:eastAsia="zh-CN"/>
        </w:rPr>
      </w:pPr>
      <w:r>
        <w:rPr>
          <w:rFonts w:hint="eastAsia"/>
          <w:color w:val="auto"/>
          <w:highlight w:val="none"/>
          <w:lang w:eastAsia="zh-CN"/>
        </w:rPr>
        <w:t>11）由于灌浆工程的复杂性和不可预见性，本项目《工程量清单》和施工详图中所列灌浆项目及工程量与最终实际发生并经监理人认定的工程项目和工程量可能有较大变化，承包人应予以充分估计。在实施过程中，无论工程项目和工程量变化如何，有关单价都不作调整，也不能作为索赔理由，《工程量清单》所列数量只是招标阶段估算量，不作为结算依据。</w:t>
      </w:r>
    </w:p>
    <w:p w14:paraId="4959B043">
      <w:pPr>
        <w:ind w:firstLine="420"/>
        <w:jc w:val="left"/>
        <w:rPr>
          <w:rFonts w:cs="宋体"/>
          <w:color w:val="auto"/>
          <w:highlight w:val="none"/>
          <w:lang w:eastAsia="zh-CN"/>
        </w:rPr>
      </w:pPr>
      <w:r>
        <w:rPr>
          <w:rFonts w:cs="宋体"/>
          <w:color w:val="auto"/>
          <w:highlight w:val="none"/>
          <w:lang w:eastAsia="zh-CN"/>
        </w:rPr>
        <w:t>12）承包人应根据发包人提供的地质基础资料，自行判断渗透标准和灌浆注入量，提出报价，施工过程中，发生透水率变化，不调整单价。</w:t>
      </w:r>
    </w:p>
    <w:p w14:paraId="3D8DE9F2">
      <w:pPr>
        <w:pStyle w:val="3"/>
        <w:spacing w:beforeLines="0" w:afterLines="0" w:line="360" w:lineRule="auto"/>
        <w:jc w:val="both"/>
        <w:outlineLvl w:val="1"/>
        <w:rPr>
          <w:rFonts w:hint="eastAsia" w:cs="宋体"/>
          <w:color w:val="auto"/>
          <w:sz w:val="30"/>
          <w:szCs w:val="30"/>
          <w:highlight w:val="none"/>
        </w:rPr>
      </w:pPr>
      <w:bookmarkStart w:id="2038" w:name="_Toc5973"/>
      <w:bookmarkStart w:id="2039" w:name="_Toc11473"/>
      <w:bookmarkStart w:id="2040" w:name="_Toc26203"/>
      <w:bookmarkStart w:id="2041" w:name="_Toc16480"/>
      <w:bookmarkStart w:id="2042" w:name="_Toc32729"/>
      <w:bookmarkStart w:id="2043" w:name="_Toc14953"/>
      <w:bookmarkStart w:id="2044" w:name="_Toc12739"/>
      <w:bookmarkStart w:id="2045" w:name="_Toc18849"/>
      <w:bookmarkStart w:id="2046" w:name="_Toc28140"/>
      <w:bookmarkStart w:id="2047" w:name="_Toc26837"/>
      <w:bookmarkStart w:id="2048" w:name="_Toc27197"/>
      <w:bookmarkStart w:id="2049" w:name="_Toc31807"/>
      <w:bookmarkStart w:id="2050" w:name="_Toc29992"/>
      <w:bookmarkStart w:id="2051" w:name="_Toc22502"/>
      <w:bookmarkStart w:id="2052" w:name="_Toc11878"/>
      <w:r>
        <w:rPr>
          <w:rFonts w:hint="eastAsia" w:cs="宋体"/>
          <w:color w:val="auto"/>
          <w:sz w:val="30"/>
          <w:szCs w:val="30"/>
          <w:highlight w:val="none"/>
        </w:rPr>
        <w:t>11</w:t>
      </w:r>
      <w:r>
        <w:rPr>
          <w:rFonts w:hint="eastAsia" w:cs="宋体"/>
          <w:color w:val="auto"/>
          <w:sz w:val="30"/>
          <w:szCs w:val="30"/>
          <w:highlight w:val="none"/>
          <w:lang w:eastAsia="zh-CN"/>
        </w:rPr>
        <w:t>　</w:t>
      </w:r>
      <w:r>
        <w:rPr>
          <w:rFonts w:hint="eastAsia" w:cs="宋体"/>
          <w:color w:val="auto"/>
          <w:sz w:val="30"/>
          <w:szCs w:val="30"/>
          <w:highlight w:val="none"/>
        </w:rPr>
        <w:t>基础防渗墙工程</w:t>
      </w:r>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p>
    <w:p w14:paraId="2E72BC31">
      <w:pPr>
        <w:ind w:firstLine="420"/>
        <w:jc w:val="left"/>
        <w:rPr>
          <w:rFonts w:hint="eastAsia"/>
          <w:color w:val="auto"/>
          <w:highlight w:val="none"/>
          <w:lang w:eastAsia="zh-CN"/>
        </w:rPr>
      </w:pPr>
      <w:r>
        <w:rPr>
          <w:rFonts w:hint="eastAsia"/>
          <w:color w:val="auto"/>
          <w:highlight w:val="none"/>
          <w:lang w:eastAsia="zh-CN"/>
        </w:rPr>
        <w:t>本标段不涉及基础防渗墙工程。</w:t>
      </w:r>
    </w:p>
    <w:p w14:paraId="53AF7794">
      <w:pPr>
        <w:pStyle w:val="3"/>
        <w:spacing w:beforeLines="0" w:afterLines="0" w:line="360" w:lineRule="auto"/>
        <w:jc w:val="both"/>
        <w:outlineLvl w:val="1"/>
        <w:rPr>
          <w:rFonts w:hint="eastAsia" w:cs="宋体"/>
          <w:color w:val="auto"/>
          <w:sz w:val="30"/>
          <w:szCs w:val="30"/>
          <w:highlight w:val="none"/>
        </w:rPr>
      </w:pPr>
      <w:bookmarkStart w:id="2053" w:name="_Toc15978"/>
      <w:bookmarkStart w:id="2054" w:name="_Toc31439"/>
      <w:bookmarkStart w:id="2055" w:name="_Toc1376"/>
      <w:bookmarkStart w:id="2056" w:name="_Toc23332"/>
      <w:bookmarkStart w:id="2057" w:name="_Toc31048"/>
      <w:bookmarkStart w:id="2058" w:name="_Toc27598"/>
      <w:bookmarkStart w:id="2059" w:name="_Toc23923"/>
      <w:bookmarkStart w:id="2060" w:name="_Toc11541"/>
      <w:bookmarkStart w:id="2061" w:name="_Toc7217"/>
      <w:bookmarkStart w:id="2062" w:name="_Toc4427"/>
      <w:bookmarkStart w:id="2063" w:name="_Toc30113"/>
      <w:bookmarkStart w:id="2064" w:name="_Toc21057"/>
      <w:bookmarkStart w:id="2065" w:name="_Toc19809"/>
      <w:bookmarkStart w:id="2066" w:name="_Toc25638"/>
      <w:bookmarkStart w:id="2067" w:name="_Toc3875"/>
      <w:r>
        <w:rPr>
          <w:rFonts w:hint="eastAsia" w:cs="宋体"/>
          <w:color w:val="auto"/>
          <w:sz w:val="30"/>
          <w:szCs w:val="30"/>
          <w:highlight w:val="none"/>
        </w:rPr>
        <w:t>12</w:t>
      </w:r>
      <w:r>
        <w:rPr>
          <w:rFonts w:hint="eastAsia" w:cs="宋体"/>
          <w:color w:val="auto"/>
          <w:sz w:val="30"/>
          <w:szCs w:val="30"/>
          <w:highlight w:val="none"/>
          <w:lang w:eastAsia="zh-CN"/>
        </w:rPr>
        <w:t>　</w:t>
      </w:r>
      <w:r>
        <w:rPr>
          <w:rFonts w:hint="eastAsia" w:cs="宋体"/>
          <w:color w:val="auto"/>
          <w:sz w:val="30"/>
          <w:szCs w:val="30"/>
          <w:highlight w:val="none"/>
        </w:rPr>
        <w:t>地基及基础工程</w:t>
      </w:r>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p>
    <w:p w14:paraId="27532227">
      <w:pPr>
        <w:ind w:firstLine="420"/>
        <w:jc w:val="left"/>
        <w:rPr>
          <w:rFonts w:hint="eastAsia"/>
          <w:color w:val="auto"/>
          <w:highlight w:val="none"/>
          <w:lang w:eastAsia="zh-CN"/>
        </w:rPr>
      </w:pPr>
      <w:r>
        <w:rPr>
          <w:rFonts w:hint="eastAsia"/>
          <w:color w:val="auto"/>
          <w:highlight w:val="none"/>
          <w:lang w:eastAsia="zh-CN"/>
        </w:rPr>
        <w:t>本标段不涉及地基及基础工程。</w:t>
      </w:r>
    </w:p>
    <w:p w14:paraId="1D1BF30C">
      <w:pPr>
        <w:pStyle w:val="3"/>
        <w:spacing w:beforeLines="0" w:afterLines="0" w:line="360" w:lineRule="auto"/>
        <w:jc w:val="both"/>
        <w:outlineLvl w:val="1"/>
        <w:rPr>
          <w:rFonts w:hint="eastAsia" w:cs="宋体"/>
          <w:color w:val="auto"/>
          <w:sz w:val="30"/>
          <w:szCs w:val="30"/>
          <w:highlight w:val="none"/>
        </w:rPr>
      </w:pPr>
      <w:bookmarkStart w:id="2068" w:name="_Toc15528"/>
      <w:bookmarkStart w:id="2069" w:name="_Toc12512"/>
      <w:bookmarkStart w:id="2070" w:name="_Toc6274"/>
      <w:bookmarkStart w:id="2071" w:name="_Toc29098"/>
      <w:bookmarkStart w:id="2072" w:name="_Toc30278"/>
      <w:bookmarkStart w:id="2073" w:name="_Toc20517"/>
      <w:bookmarkStart w:id="2074" w:name="_Toc5434"/>
      <w:bookmarkStart w:id="2075" w:name="_Toc23174"/>
      <w:bookmarkStart w:id="2076" w:name="_Toc15346"/>
      <w:bookmarkStart w:id="2077" w:name="_Toc11954"/>
      <w:bookmarkStart w:id="2078" w:name="_Toc7173"/>
      <w:bookmarkStart w:id="2079" w:name="_Toc28948"/>
      <w:bookmarkStart w:id="2080" w:name="_Toc19051"/>
      <w:bookmarkStart w:id="2081" w:name="_Toc5265"/>
      <w:bookmarkStart w:id="2082" w:name="_Toc19030"/>
      <w:r>
        <w:rPr>
          <w:rFonts w:hint="eastAsia" w:cs="宋体"/>
          <w:color w:val="auto"/>
          <w:sz w:val="30"/>
          <w:szCs w:val="30"/>
          <w:highlight w:val="none"/>
        </w:rPr>
        <w:t>13</w:t>
      </w:r>
      <w:r>
        <w:rPr>
          <w:rFonts w:hint="eastAsia" w:cs="宋体"/>
          <w:color w:val="auto"/>
          <w:sz w:val="30"/>
          <w:szCs w:val="30"/>
          <w:highlight w:val="none"/>
          <w:lang w:eastAsia="zh-CN"/>
        </w:rPr>
        <w:t>　</w:t>
      </w:r>
      <w:r>
        <w:rPr>
          <w:rFonts w:hint="eastAsia" w:cs="宋体"/>
          <w:color w:val="auto"/>
          <w:sz w:val="30"/>
          <w:szCs w:val="30"/>
          <w:highlight w:val="none"/>
        </w:rPr>
        <w:t>土石方填筑工程</w:t>
      </w:r>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p>
    <w:p w14:paraId="2DFC2BFB">
      <w:pPr>
        <w:pStyle w:val="4"/>
        <w:spacing w:beforeLines="0" w:afterLines="0"/>
        <w:jc w:val="both"/>
        <w:rPr>
          <w:rFonts w:hint="eastAsia" w:cs="宋体"/>
          <w:bCs/>
          <w:color w:val="auto"/>
          <w:szCs w:val="24"/>
          <w:highlight w:val="none"/>
          <w:lang w:eastAsia="zh-CN"/>
        </w:rPr>
      </w:pPr>
      <w:bookmarkStart w:id="2083" w:name="_Toc23140"/>
      <w:bookmarkStart w:id="2084" w:name="_Toc17060"/>
      <w:bookmarkStart w:id="2085" w:name="_Toc9842"/>
      <w:r>
        <w:rPr>
          <w:rFonts w:hint="eastAsia" w:cs="宋体"/>
          <w:bCs/>
          <w:color w:val="auto"/>
          <w:szCs w:val="24"/>
          <w:highlight w:val="none"/>
          <w:lang w:eastAsia="zh-CN"/>
        </w:rPr>
        <w:t>13.1　一般规定</w:t>
      </w:r>
      <w:bookmarkEnd w:id="2083"/>
      <w:bookmarkEnd w:id="2084"/>
      <w:bookmarkEnd w:id="2085"/>
    </w:p>
    <w:p w14:paraId="69F84DD4">
      <w:pPr>
        <w:pStyle w:val="5"/>
        <w:jc w:val="left"/>
        <w:rPr>
          <w:rFonts w:hAnsi="Times New Roman" w:cs="楷体"/>
          <w:color w:val="auto"/>
          <w:highlight w:val="none"/>
          <w:lang w:eastAsia="zh-CN"/>
        </w:rPr>
      </w:pPr>
      <w:r>
        <w:rPr>
          <w:rFonts w:hAnsi="Times New Roman" w:cs="Times New Roman"/>
          <w:color w:val="auto"/>
          <w:highlight w:val="none"/>
          <w:lang w:eastAsia="zh-CN"/>
        </w:rPr>
        <w:t>13.1.1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02A7231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）本章规定适用于本合同施工图纸所示的碾压式土坝和土石坝、各种类型堆石坝、堤防工程和土石围堰等的坝体填筑及其防渗体（包括土工合成材料防渗体）的施工。</w:t>
      </w:r>
    </w:p>
    <w:p w14:paraId="30816F9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）土石方填筑工程的工作内容包括：坝料运输、现场碾压试验、坝料的填筑和碾压、坝体排水和护坡设施，以及混凝土面板堆石坝上游坡面保护措施等。</w:t>
      </w:r>
    </w:p>
    <w:p w14:paraId="5D9E5645">
      <w:pPr>
        <w:pStyle w:val="5"/>
        <w:jc w:val="left"/>
        <w:rPr>
          <w:rFonts w:hAnsi="Times New Roman" w:cs="楷体"/>
          <w:color w:val="auto"/>
          <w:highlight w:val="none"/>
          <w:lang w:eastAsia="zh-CN"/>
        </w:rPr>
      </w:pPr>
      <w:r>
        <w:rPr>
          <w:rFonts w:hAnsi="Times New Roman" w:cs="Times New Roman"/>
          <w:color w:val="auto"/>
          <w:highlight w:val="none"/>
          <w:lang w:eastAsia="zh-CN"/>
        </w:rPr>
        <w:t>13.1.2</w:t>
      </w:r>
      <w:r>
        <w:rPr>
          <w:rFonts w:hint="eastAsia" w:hAnsi="Times New Roman" w:cs="Times New Roman"/>
          <w:color w:val="auto"/>
          <w:highlight w:val="none"/>
          <w:lang w:eastAsia="zh-CN"/>
        </w:rPr>
        <w:t>　</w:t>
      </w:r>
      <w:r>
        <w:rPr>
          <w:rFonts w:hAnsi="楷体" w:cs="楷体"/>
          <w:color w:val="auto"/>
          <w:highlight w:val="none"/>
          <w:lang w:eastAsia="zh-CN"/>
        </w:rPr>
        <w:t>承包人的责任</w:t>
      </w:r>
    </w:p>
    <w:p w14:paraId="172F6BE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）承包人应根据本工程土、石料场的统一规划，以及工程施工总进度的安排，做好建筑物开挖料、料场开采料和上坝填筑料的供求平衡。</w:t>
      </w:r>
    </w:p>
    <w:p w14:paraId="0391224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）承包人应按施工图纸的要求，负责土工合成材料的采购、验收、运输和保管，并按本技术条款的规定，完成土工合成材料防渗结构的全部施工作业。</w:t>
      </w:r>
    </w:p>
    <w:p w14:paraId="3C6E7F6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）在施工过程中，承包人应做到坝面施工的合理安排，填筑面层次分明，作业面平整。填筑竣工后，应修整坝体下游面，使其坡面平整，颜色均匀。</w:t>
      </w:r>
    </w:p>
    <w:p w14:paraId="7910A5E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）在填筑过程中，承包人应采取有效措施，保护已埋设仪器和测量标志。</w:t>
      </w:r>
    </w:p>
    <w:p w14:paraId="0C81F93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）承包人应根据填筑材料的性能、参数等采取包含但不限于翻晒等方式使其满足填筑要求，该费用包含在综合单价中，不再另行支付。</w:t>
      </w:r>
    </w:p>
    <w:p w14:paraId="277F5F55">
      <w:pPr>
        <w:pStyle w:val="5"/>
        <w:jc w:val="left"/>
        <w:rPr>
          <w:rFonts w:hAnsi="Times New Roman" w:cs="楷体"/>
          <w:color w:val="auto"/>
          <w:highlight w:val="none"/>
          <w:lang w:eastAsia="zh-CN"/>
        </w:rPr>
      </w:pPr>
      <w:r>
        <w:rPr>
          <w:rFonts w:hAnsi="Times New Roman" w:cs="Times New Roman"/>
          <w:color w:val="auto"/>
          <w:highlight w:val="none"/>
          <w:lang w:eastAsia="zh-CN"/>
        </w:rPr>
        <w:t>13.1.3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414E6B9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）土石方填筑施工措施计划</w:t>
      </w:r>
    </w:p>
    <w:p w14:paraId="0C030F67">
      <w:pPr>
        <w:ind w:firstLine="420"/>
        <w:jc w:val="left"/>
        <w:rPr>
          <w:rFonts w:hAnsi="Times New Roman" w:cs="宋体"/>
          <w:color w:val="auto"/>
          <w:highlight w:val="none"/>
          <w:lang w:eastAsia="zh-CN"/>
        </w:rPr>
      </w:pPr>
      <w:r>
        <w:rPr>
          <w:rFonts w:cs="宋体"/>
          <w:color w:val="auto"/>
          <w:highlight w:val="none"/>
          <w:lang w:eastAsia="zh-CN"/>
        </w:rPr>
        <w:t>在土石方填筑工程开工前</w:t>
      </w:r>
      <w:r>
        <w:rPr>
          <w:rFonts w:hAnsi="Times New Roman" w:cs="宋体"/>
          <w:color w:val="auto"/>
          <w:highlight w:val="none"/>
          <w:lang w:eastAsia="zh-CN"/>
        </w:rPr>
        <w:t>28</w:t>
      </w:r>
      <w:r>
        <w:rPr>
          <w:rFonts w:cs="宋体"/>
          <w:color w:val="auto"/>
          <w:highlight w:val="none"/>
          <w:lang w:eastAsia="zh-CN"/>
        </w:rPr>
        <w:t>天，承包人应按施工图纸要求和监理人指示，编制土石方填筑施工措施计划，提交监理人批准。其内容包括：</w:t>
      </w:r>
    </w:p>
    <w:p w14:paraId="6E3FD124">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）坝（堤防、堰）体填筑分期、料物分区图。</w:t>
      </w:r>
    </w:p>
    <w:p w14:paraId="1C12063F">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）土石方填筑程序和方法。</w:t>
      </w:r>
    </w:p>
    <w:p w14:paraId="7223EF79">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）料场复查报告、各种填料加工的工艺和料物供应。</w:t>
      </w:r>
    </w:p>
    <w:p w14:paraId="663E0DE6">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）土石方平衡计划。</w:t>
      </w:r>
    </w:p>
    <w:p w14:paraId="37BE4354">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）施工设备、设施配置。</w:t>
      </w:r>
    </w:p>
    <w:p w14:paraId="2087D767">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）质量控制和安全保证措施。</w:t>
      </w:r>
    </w:p>
    <w:p w14:paraId="5962A0AA">
      <w:pPr>
        <w:ind w:firstLine="420"/>
        <w:jc w:val="left"/>
        <w:rPr>
          <w:rFonts w:hAnsi="Times New Roman" w:cs="宋体"/>
          <w:color w:val="auto"/>
          <w:highlight w:val="none"/>
          <w:lang w:eastAsia="zh-CN"/>
        </w:rPr>
      </w:pPr>
      <w:r>
        <w:rPr>
          <w:rFonts w:hAnsi="Times New Roman" w:cs="Times New Roman"/>
          <w:color w:val="auto"/>
          <w:highlight w:val="none"/>
          <w:lang w:eastAsia="zh-CN"/>
        </w:rPr>
        <w:t>7</w:t>
      </w:r>
      <w:r>
        <w:rPr>
          <w:rFonts w:cs="宋体"/>
          <w:color w:val="auto"/>
          <w:highlight w:val="none"/>
          <w:lang w:eastAsia="zh-CN"/>
        </w:rPr>
        <w:t>）施工进度计划。</w:t>
      </w:r>
    </w:p>
    <w:p w14:paraId="017C4250">
      <w:pPr>
        <w:ind w:firstLine="420"/>
        <w:jc w:val="left"/>
        <w:rPr>
          <w:rFonts w:hAnsi="Times New Roman" w:cs="宋体"/>
          <w:color w:val="auto"/>
          <w:highlight w:val="none"/>
          <w:lang w:eastAsia="zh-CN"/>
        </w:rPr>
      </w:pPr>
      <w:r>
        <w:rPr>
          <w:rFonts w:hAnsi="Times New Roman" w:cs="Times New Roman"/>
          <w:color w:val="auto"/>
          <w:highlight w:val="none"/>
          <w:lang w:eastAsia="zh-CN"/>
        </w:rPr>
        <w:t>8</w:t>
      </w:r>
      <w:r>
        <w:rPr>
          <w:rFonts w:cs="宋体"/>
          <w:color w:val="auto"/>
          <w:highlight w:val="none"/>
          <w:lang w:eastAsia="zh-CN"/>
        </w:rPr>
        <w:t>）监理人要求提交的其它文件和资料。</w:t>
      </w:r>
    </w:p>
    <w:p w14:paraId="0938003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）地形测量资料</w:t>
      </w:r>
    </w:p>
    <w:p w14:paraId="44A4BFE2">
      <w:pPr>
        <w:ind w:firstLine="420"/>
        <w:jc w:val="left"/>
        <w:rPr>
          <w:rFonts w:hAnsi="Times New Roman" w:cs="宋体"/>
          <w:color w:val="auto"/>
          <w:highlight w:val="none"/>
          <w:lang w:eastAsia="zh-CN"/>
        </w:rPr>
      </w:pPr>
      <w:r>
        <w:rPr>
          <w:rFonts w:cs="宋体"/>
          <w:color w:val="auto"/>
          <w:highlight w:val="none"/>
          <w:lang w:eastAsia="zh-CN"/>
        </w:rPr>
        <w:t>土石方填筑工程开工前</w:t>
      </w:r>
      <w:r>
        <w:rPr>
          <w:rFonts w:hint="eastAsia" w:cs="宋体"/>
          <w:color w:val="auto"/>
          <w:highlight w:val="none"/>
          <w:lang w:val="en-US" w:eastAsia="zh-CN"/>
        </w:rPr>
        <w:t xml:space="preserve">    </w:t>
      </w:r>
      <w:r>
        <w:rPr>
          <w:rFonts w:cs="宋体"/>
          <w:color w:val="auto"/>
          <w:highlight w:val="none"/>
          <w:lang w:eastAsia="zh-CN"/>
        </w:rPr>
        <w:t>天，承包人应将填筑区基础开挖验收后实测的平、剖面地形测量资料提交监理人，经监理人验收的地形测量资料作为填筑工程量计量的原始依据。</w:t>
      </w:r>
    </w:p>
    <w:p w14:paraId="7FBF1C4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）现场试验计划和试验成果报告</w:t>
      </w:r>
    </w:p>
    <w:p w14:paraId="6A2C7E27">
      <w:pPr>
        <w:ind w:firstLine="420"/>
        <w:jc w:val="left"/>
        <w:rPr>
          <w:rFonts w:hAnsi="Times New Roman" w:cs="宋体"/>
          <w:color w:val="auto"/>
          <w:highlight w:val="none"/>
          <w:lang w:eastAsia="zh-CN"/>
        </w:rPr>
      </w:pPr>
      <w:r>
        <w:rPr>
          <w:rFonts w:cs="宋体"/>
          <w:color w:val="auto"/>
          <w:highlight w:val="none"/>
          <w:lang w:eastAsia="zh-CN"/>
        </w:rPr>
        <w:t>土石方填筑工程开工前</w:t>
      </w:r>
      <w:r>
        <w:rPr>
          <w:rFonts w:hAnsi="Times New Roman" w:cs="宋体"/>
          <w:color w:val="auto"/>
          <w:highlight w:val="none"/>
          <w:lang w:eastAsia="zh-CN"/>
        </w:rPr>
        <w:t>14</w:t>
      </w:r>
      <w:r>
        <w:rPr>
          <w:rFonts w:cs="宋体"/>
          <w:color w:val="auto"/>
          <w:highlight w:val="none"/>
          <w:lang w:eastAsia="zh-CN"/>
        </w:rPr>
        <w:t>天，承包人应根据本章第</w:t>
      </w:r>
      <w:r>
        <w:rPr>
          <w:rFonts w:hAnsi="Times New Roman" w:cs="Times New Roman"/>
          <w:color w:val="auto"/>
          <w:highlight w:val="none"/>
          <w:lang w:eastAsia="zh-CN"/>
        </w:rPr>
        <w:t>13.2</w:t>
      </w:r>
      <w:r>
        <w:rPr>
          <w:rFonts w:cs="宋体"/>
          <w:color w:val="auto"/>
          <w:highlight w:val="none"/>
          <w:lang w:eastAsia="zh-CN"/>
        </w:rPr>
        <w:t>款获得的料场复查资料，以及根据料场平衡计划中提供的各种土石方填筑料源，将本章</w:t>
      </w:r>
      <w:r>
        <w:rPr>
          <w:rFonts w:hAnsi="Times New Roman" w:cs="Times New Roman"/>
          <w:color w:val="auto"/>
          <w:highlight w:val="none"/>
          <w:lang w:eastAsia="zh-CN"/>
        </w:rPr>
        <w:t>13.3</w:t>
      </w:r>
      <w:r>
        <w:rPr>
          <w:rFonts w:cs="宋体"/>
          <w:color w:val="auto"/>
          <w:highlight w:val="none"/>
          <w:lang w:eastAsia="zh-CN"/>
        </w:rPr>
        <w:t>款所列的现场试验计划，提交监理人批准。试验成果应及时提交监理人。</w:t>
      </w:r>
    </w:p>
    <w:p w14:paraId="1A359F5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）土工合成材料选择和施工措施</w:t>
      </w:r>
    </w:p>
    <w:p w14:paraId="2966627A">
      <w:pPr>
        <w:ind w:firstLine="420"/>
        <w:jc w:val="left"/>
        <w:rPr>
          <w:rFonts w:hAnsi="Times New Roman" w:cs="宋体"/>
          <w:color w:val="auto"/>
          <w:highlight w:val="none"/>
          <w:lang w:eastAsia="zh-CN"/>
        </w:rPr>
      </w:pPr>
      <w:r>
        <w:rPr>
          <w:rFonts w:cs="宋体"/>
          <w:color w:val="auto"/>
          <w:highlight w:val="none"/>
          <w:lang w:eastAsia="zh-CN"/>
        </w:rPr>
        <w:t>当土石方填筑工程采用土工合成材料作防渗结构或反滤、排水设施时，承包人应将土工合成材料的选择和施工措施报告，提交监理人批准。</w:t>
      </w:r>
    </w:p>
    <w:p w14:paraId="48A61744">
      <w:pPr>
        <w:pStyle w:val="5"/>
        <w:jc w:val="left"/>
        <w:rPr>
          <w:rFonts w:hAnsi="Times New Roman" w:cs="楷体"/>
          <w:color w:val="auto"/>
          <w:highlight w:val="none"/>
          <w:lang w:eastAsia="zh-CN"/>
        </w:rPr>
      </w:pPr>
      <w:r>
        <w:rPr>
          <w:rFonts w:hAnsi="Times New Roman" w:cs="Times New Roman"/>
          <w:color w:val="auto"/>
          <w:highlight w:val="none"/>
          <w:lang w:eastAsia="zh-CN"/>
        </w:rPr>
        <w:t>13.1.4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5E2C039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）《土工合成材料应用技术规范》（</w:t>
      </w:r>
      <w:r>
        <w:rPr>
          <w:rFonts w:hAnsi="Times New Roman" w:cs="Times New Roman"/>
          <w:color w:val="auto"/>
          <w:highlight w:val="none"/>
          <w:lang w:eastAsia="zh-CN"/>
        </w:rPr>
        <w:t>GB/T50290—2014</w:t>
      </w:r>
      <w:r>
        <w:rPr>
          <w:rFonts w:cs="宋体"/>
          <w:color w:val="auto"/>
          <w:highlight w:val="none"/>
          <w:lang w:eastAsia="zh-CN"/>
        </w:rPr>
        <w:t>）。</w:t>
      </w:r>
    </w:p>
    <w:p w14:paraId="2998291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）《水利水电工程施工组织设计规范》（</w:t>
      </w:r>
      <w:r>
        <w:rPr>
          <w:rFonts w:hAnsi="Times New Roman" w:cs="Times New Roman"/>
          <w:color w:val="auto"/>
          <w:highlight w:val="none"/>
          <w:lang w:eastAsia="zh-CN"/>
        </w:rPr>
        <w:t>SL303—2017</w:t>
      </w:r>
      <w:r>
        <w:rPr>
          <w:rFonts w:cs="宋体"/>
          <w:color w:val="auto"/>
          <w:highlight w:val="none"/>
          <w:lang w:eastAsia="zh-CN"/>
        </w:rPr>
        <w:t>）。</w:t>
      </w:r>
    </w:p>
    <w:p w14:paraId="42A6085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）《水利水电工程天然建筑材料勘察规程》（</w:t>
      </w:r>
      <w:r>
        <w:rPr>
          <w:rFonts w:hAnsi="Times New Roman" w:cs="Times New Roman"/>
          <w:color w:val="auto"/>
          <w:highlight w:val="none"/>
          <w:lang w:eastAsia="zh-CN"/>
        </w:rPr>
        <w:t>SL251—2015</w:t>
      </w:r>
      <w:r>
        <w:rPr>
          <w:rFonts w:cs="宋体"/>
          <w:color w:val="auto"/>
          <w:highlight w:val="none"/>
          <w:lang w:eastAsia="zh-CN"/>
        </w:rPr>
        <w:t>）。</w:t>
      </w:r>
    </w:p>
    <w:p w14:paraId="68D01BE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）《水电水利工程土工试验规程》（</w:t>
      </w:r>
      <w:r>
        <w:rPr>
          <w:rFonts w:hAnsi="Times New Roman" w:cs="Times New Roman"/>
          <w:color w:val="auto"/>
          <w:highlight w:val="none"/>
          <w:lang w:eastAsia="zh-CN"/>
        </w:rPr>
        <w:t>DL/T5355-2006</w:t>
      </w:r>
      <w:r>
        <w:rPr>
          <w:rFonts w:cs="宋体"/>
          <w:color w:val="auto"/>
          <w:highlight w:val="none"/>
          <w:lang w:eastAsia="zh-CN"/>
        </w:rPr>
        <w:t>）。</w:t>
      </w:r>
    </w:p>
    <w:p w14:paraId="640DD4B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）《土工合成材料测试规程》（</w:t>
      </w:r>
      <w:r>
        <w:rPr>
          <w:rFonts w:hAnsi="Times New Roman" w:cs="Times New Roman"/>
          <w:color w:val="auto"/>
          <w:highlight w:val="none"/>
          <w:lang w:eastAsia="zh-CN"/>
        </w:rPr>
        <w:t>SL235—2012</w:t>
      </w:r>
      <w:r>
        <w:rPr>
          <w:rFonts w:cs="宋体"/>
          <w:color w:val="auto"/>
          <w:highlight w:val="none"/>
          <w:lang w:eastAsia="zh-CN"/>
        </w:rPr>
        <w:t>）。</w:t>
      </w:r>
    </w:p>
    <w:p w14:paraId="550F16C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）《水利水电工程土工合成材料应用技术规范》（</w:t>
      </w:r>
      <w:r>
        <w:rPr>
          <w:rFonts w:hAnsi="Times New Roman" w:cs="Times New Roman"/>
          <w:color w:val="auto"/>
          <w:highlight w:val="none"/>
          <w:lang w:eastAsia="zh-CN"/>
        </w:rPr>
        <w:t>SL/T225—1998</w:t>
      </w:r>
      <w:r>
        <w:rPr>
          <w:rFonts w:cs="宋体"/>
          <w:color w:val="auto"/>
          <w:highlight w:val="none"/>
          <w:lang w:eastAsia="zh-CN"/>
        </w:rPr>
        <w:t>）。</w:t>
      </w:r>
    </w:p>
    <w:p w14:paraId="2C56DF3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）《堤防工程施工规范》（</w:t>
      </w:r>
      <w:r>
        <w:rPr>
          <w:rFonts w:hAnsi="Times New Roman" w:cs="Times New Roman"/>
          <w:color w:val="auto"/>
          <w:highlight w:val="none"/>
          <w:lang w:eastAsia="zh-CN"/>
        </w:rPr>
        <w:t>SL260—2014</w:t>
      </w:r>
      <w:r>
        <w:rPr>
          <w:rFonts w:cs="宋体"/>
          <w:color w:val="auto"/>
          <w:highlight w:val="none"/>
          <w:lang w:eastAsia="zh-CN"/>
        </w:rPr>
        <w:t>）。</w:t>
      </w:r>
    </w:p>
    <w:p w14:paraId="6A238EE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）《土石坝安全监测技术规范》（</w:t>
      </w:r>
      <w:r>
        <w:rPr>
          <w:rFonts w:hAnsi="Times New Roman" w:cs="Times New Roman"/>
          <w:color w:val="auto"/>
          <w:highlight w:val="none"/>
          <w:lang w:eastAsia="zh-CN"/>
        </w:rPr>
        <w:t>SL551—2012</w:t>
      </w:r>
      <w:r>
        <w:rPr>
          <w:rFonts w:cs="宋体"/>
          <w:color w:val="auto"/>
          <w:highlight w:val="none"/>
          <w:lang w:eastAsia="zh-CN"/>
        </w:rPr>
        <w:t>）。</w:t>
      </w:r>
    </w:p>
    <w:p w14:paraId="185EC41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9</w:t>
      </w:r>
      <w:r>
        <w:rPr>
          <w:rFonts w:cs="宋体"/>
          <w:color w:val="auto"/>
          <w:highlight w:val="none"/>
          <w:lang w:eastAsia="zh-CN"/>
        </w:rPr>
        <w:t>）《水工碾压式沥青混凝土施工规范》（</w:t>
      </w:r>
      <w:r>
        <w:rPr>
          <w:rFonts w:hAnsi="Times New Roman" w:cs="Times New Roman"/>
          <w:color w:val="auto"/>
          <w:highlight w:val="none"/>
          <w:lang w:eastAsia="zh-CN"/>
        </w:rPr>
        <w:t>DL/T5363—2016</w:t>
      </w:r>
      <w:r>
        <w:rPr>
          <w:rFonts w:cs="宋体"/>
          <w:color w:val="auto"/>
          <w:highlight w:val="none"/>
          <w:lang w:eastAsia="zh-CN"/>
        </w:rPr>
        <w:t>）。</w:t>
      </w:r>
    </w:p>
    <w:p w14:paraId="01C6C8A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10</w:t>
      </w:r>
      <w:r>
        <w:rPr>
          <w:rFonts w:cs="宋体"/>
          <w:color w:val="auto"/>
          <w:highlight w:val="none"/>
          <w:lang w:eastAsia="zh-CN"/>
        </w:rPr>
        <w:t>）《碾压式土石坝施工规范》（</w:t>
      </w:r>
      <w:r>
        <w:rPr>
          <w:rFonts w:hAnsi="Times New Roman" w:cs="Times New Roman"/>
          <w:color w:val="auto"/>
          <w:highlight w:val="none"/>
          <w:lang w:eastAsia="zh-CN"/>
        </w:rPr>
        <w:t>DL/T5129—2013</w:t>
      </w:r>
      <w:r>
        <w:rPr>
          <w:rFonts w:cs="宋体"/>
          <w:color w:val="auto"/>
          <w:highlight w:val="none"/>
          <w:lang w:eastAsia="zh-CN"/>
        </w:rPr>
        <w:t>）。</w:t>
      </w:r>
    </w:p>
    <w:p w14:paraId="533C0D7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11</w:t>
      </w:r>
      <w:r>
        <w:rPr>
          <w:rFonts w:cs="宋体"/>
          <w:color w:val="auto"/>
          <w:highlight w:val="none"/>
          <w:lang w:eastAsia="zh-CN"/>
        </w:rPr>
        <w:t>）《混凝土面板堆石坝施工规范》（</w:t>
      </w:r>
      <w:r>
        <w:rPr>
          <w:rFonts w:hAnsi="Times New Roman" w:cs="Times New Roman"/>
          <w:color w:val="auto"/>
          <w:highlight w:val="none"/>
          <w:lang w:eastAsia="zh-CN"/>
        </w:rPr>
        <w:t>SL49—2015</w:t>
      </w:r>
      <w:r>
        <w:rPr>
          <w:rFonts w:cs="宋体"/>
          <w:color w:val="auto"/>
          <w:highlight w:val="none"/>
          <w:lang w:eastAsia="zh-CN"/>
        </w:rPr>
        <w:t>）。</w:t>
      </w:r>
    </w:p>
    <w:p w14:paraId="238F06ED">
      <w:pPr>
        <w:pStyle w:val="4"/>
        <w:spacing w:beforeLines="0" w:afterLines="0"/>
        <w:jc w:val="both"/>
        <w:rPr>
          <w:rFonts w:hint="eastAsia" w:cs="宋体"/>
          <w:bCs/>
          <w:color w:val="auto"/>
          <w:szCs w:val="24"/>
          <w:highlight w:val="none"/>
          <w:lang w:eastAsia="zh-CN"/>
        </w:rPr>
      </w:pPr>
      <w:bookmarkStart w:id="2086" w:name="_Toc16791"/>
      <w:bookmarkStart w:id="2087" w:name="_Toc3235"/>
      <w:bookmarkStart w:id="2088" w:name="_Toc11241"/>
      <w:r>
        <w:rPr>
          <w:rFonts w:hint="eastAsia" w:cs="宋体"/>
          <w:bCs/>
          <w:color w:val="auto"/>
          <w:szCs w:val="24"/>
          <w:highlight w:val="none"/>
          <w:lang w:eastAsia="zh-CN"/>
        </w:rPr>
        <w:t>13.2　料源要求</w:t>
      </w:r>
      <w:bookmarkEnd w:id="2086"/>
      <w:bookmarkEnd w:id="2087"/>
      <w:bookmarkEnd w:id="2088"/>
    </w:p>
    <w:p w14:paraId="669963B4">
      <w:pPr>
        <w:pStyle w:val="5"/>
        <w:jc w:val="left"/>
        <w:rPr>
          <w:rFonts w:hAnsi="Times New Roman" w:cs="楷体"/>
          <w:color w:val="auto"/>
          <w:highlight w:val="none"/>
          <w:lang w:eastAsia="zh-CN"/>
        </w:rPr>
      </w:pPr>
      <w:r>
        <w:rPr>
          <w:rFonts w:hAnsi="Times New Roman" w:cs="Times New Roman"/>
          <w:color w:val="auto"/>
          <w:highlight w:val="none"/>
          <w:lang w:eastAsia="zh-CN"/>
        </w:rPr>
        <w:t>13.2.1</w:t>
      </w:r>
      <w:r>
        <w:rPr>
          <w:rFonts w:hint="eastAsia" w:hAnsi="Times New Roman" w:cs="Times New Roman"/>
          <w:color w:val="auto"/>
          <w:highlight w:val="none"/>
          <w:lang w:eastAsia="zh-CN"/>
        </w:rPr>
        <w:t>　</w:t>
      </w:r>
      <w:r>
        <w:rPr>
          <w:rFonts w:hAnsi="楷体" w:cs="楷体"/>
          <w:color w:val="auto"/>
          <w:highlight w:val="none"/>
          <w:lang w:eastAsia="zh-CN"/>
        </w:rPr>
        <w:t>土料</w:t>
      </w:r>
    </w:p>
    <w:p w14:paraId="59AB597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）防渗土料的填筑含水量应按施工图纸要求或碾压试验确定。料场取料的含水量不合格时，应在料场调整合格后，才能运到坝上，相关费用报价时考虑在综合单价中，不再另行支付。</w:t>
      </w:r>
    </w:p>
    <w:p w14:paraId="2560661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）砾质土（包括冰积、坡积、洪积和构造残积土）应遵守《碾压式土石坝施工规范》（</w:t>
      </w:r>
      <w:r>
        <w:rPr>
          <w:rFonts w:hAnsi="Times New Roman" w:cs="Times New Roman"/>
          <w:color w:val="auto"/>
          <w:highlight w:val="none"/>
          <w:lang w:eastAsia="zh-CN"/>
        </w:rPr>
        <w:t>DL/T5129—2013</w:t>
      </w:r>
      <w:r>
        <w:rPr>
          <w:rFonts w:cs="宋体"/>
          <w:color w:val="auto"/>
          <w:highlight w:val="none"/>
          <w:lang w:eastAsia="zh-CN"/>
        </w:rPr>
        <w:t>）相关规定。</w:t>
      </w:r>
    </w:p>
    <w:p w14:paraId="065F4A0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）人工掺合砾石土所用的土料和碎石料特性及其比例，以及含水量均应符合施工图纸要求和《碾压式土石坝施工规范》（</w:t>
      </w:r>
      <w:r>
        <w:rPr>
          <w:rFonts w:hAnsi="Times New Roman" w:cs="Times New Roman"/>
          <w:color w:val="auto"/>
          <w:highlight w:val="none"/>
          <w:lang w:eastAsia="zh-CN"/>
        </w:rPr>
        <w:t>DL/T5129—2013</w:t>
      </w:r>
      <w:r>
        <w:rPr>
          <w:rFonts w:cs="宋体"/>
          <w:color w:val="auto"/>
          <w:highlight w:val="none"/>
          <w:lang w:eastAsia="zh-CN"/>
        </w:rPr>
        <w:t>）相关规定。人工掺合料应均匀，不得有砂砾石集中现象。</w:t>
      </w:r>
    </w:p>
    <w:p w14:paraId="0245232D">
      <w:pPr>
        <w:pStyle w:val="5"/>
        <w:jc w:val="left"/>
        <w:rPr>
          <w:rFonts w:hAnsi="Times New Roman" w:cs="楷体"/>
          <w:color w:val="auto"/>
          <w:highlight w:val="none"/>
          <w:lang w:eastAsia="zh-CN"/>
        </w:rPr>
      </w:pPr>
      <w:r>
        <w:rPr>
          <w:rFonts w:hAnsi="Times New Roman" w:cs="Times New Roman"/>
          <w:color w:val="auto"/>
          <w:highlight w:val="none"/>
          <w:lang w:eastAsia="zh-CN"/>
        </w:rPr>
        <w:t>13.2.2</w:t>
      </w:r>
      <w:r>
        <w:rPr>
          <w:rFonts w:hint="eastAsia" w:hAnsi="Times New Roman" w:cs="Times New Roman"/>
          <w:color w:val="auto"/>
          <w:highlight w:val="none"/>
          <w:lang w:eastAsia="zh-CN"/>
        </w:rPr>
        <w:t>　</w:t>
      </w:r>
      <w:r>
        <w:rPr>
          <w:rFonts w:hAnsi="楷体" w:cs="楷体"/>
          <w:color w:val="auto"/>
          <w:highlight w:val="none"/>
          <w:lang w:eastAsia="zh-CN"/>
        </w:rPr>
        <w:t>反滤料和垫层料的料源与要求</w:t>
      </w:r>
    </w:p>
    <w:p w14:paraId="781ED96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）土石坝防渗体的反滤料利用天然或经加工的砂砾石料，或用致密坚硬石料轧制，或用天然砂砾石料与轧制料的掺合料。反滤料的级配应符合施工图纸要求。</w:t>
      </w:r>
    </w:p>
    <w:p w14:paraId="68805A0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）混凝土面板堆石坝的垫层料采用天然砂砾石料加工或致密坚硬石料轧制，或采用天然砂砾石料与轧制骨料的掺合料。</w:t>
      </w:r>
    </w:p>
    <w:p w14:paraId="53EC569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）垫层料的级配应满足施工图纸要求，压实后应具有低压缩性、高抗剪强度，并具有良好的施工特性。中低坝垫层料可按监理人指示适当降低要求。</w:t>
      </w:r>
    </w:p>
    <w:p w14:paraId="7B5E951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）土工合成材料防渗体两侧的垫层料，可用天然砂砾石筛分制备，或采用天然风化砂料和河滩砂料；亦可采用建筑物开挖的新鲜石渣料或经砂石加工系统加工筛分的半成品料，级配应满足施工图纸要求。</w:t>
      </w:r>
    </w:p>
    <w:p w14:paraId="68600C0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）沥青混凝土坝的垫层料应是致密坚硬碎石料，有良好的级配，沥青混凝土最大骨料与垫层料的最大粒径的比应满足施工图纸要求。</w:t>
      </w:r>
    </w:p>
    <w:p w14:paraId="1EA68D1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）经加工的反滤料和垫层料应分类堆放。不得混杂，并应防止分离。</w:t>
      </w:r>
    </w:p>
    <w:p w14:paraId="7E179593">
      <w:pPr>
        <w:pStyle w:val="5"/>
        <w:jc w:val="left"/>
        <w:rPr>
          <w:rFonts w:hAnsi="Times New Roman" w:cs="楷体"/>
          <w:color w:val="auto"/>
          <w:highlight w:val="none"/>
          <w:lang w:eastAsia="zh-CN"/>
        </w:rPr>
      </w:pPr>
      <w:r>
        <w:rPr>
          <w:rFonts w:hAnsi="Times New Roman" w:cs="Times New Roman"/>
          <w:color w:val="auto"/>
          <w:highlight w:val="none"/>
          <w:lang w:eastAsia="zh-CN"/>
        </w:rPr>
        <w:t>13.2.3</w:t>
      </w:r>
      <w:r>
        <w:rPr>
          <w:rFonts w:hint="eastAsia" w:hAnsi="Times New Roman" w:cs="Times New Roman"/>
          <w:color w:val="auto"/>
          <w:highlight w:val="none"/>
          <w:lang w:eastAsia="zh-CN"/>
        </w:rPr>
        <w:t>　</w:t>
      </w:r>
      <w:r>
        <w:rPr>
          <w:rFonts w:hAnsi="楷体" w:cs="楷体"/>
          <w:color w:val="auto"/>
          <w:highlight w:val="none"/>
          <w:lang w:eastAsia="zh-CN"/>
        </w:rPr>
        <w:t>过渡料</w:t>
      </w:r>
    </w:p>
    <w:p w14:paraId="67943A6B">
      <w:pPr>
        <w:ind w:firstLine="420"/>
        <w:jc w:val="left"/>
        <w:rPr>
          <w:rFonts w:hAnsi="Times New Roman" w:cs="宋体"/>
          <w:color w:val="auto"/>
          <w:highlight w:val="none"/>
          <w:lang w:eastAsia="zh-CN"/>
        </w:rPr>
      </w:pPr>
      <w:r>
        <w:rPr>
          <w:rFonts w:cs="宋体"/>
          <w:color w:val="auto"/>
          <w:highlight w:val="none"/>
          <w:lang w:eastAsia="zh-CN"/>
        </w:rPr>
        <w:t>采用硬岩料作为过渡料（包括混凝土面板堆石坝的细堆石料）时，其级配应满足施工图纸要求。</w:t>
      </w:r>
    </w:p>
    <w:p w14:paraId="71A34AC6">
      <w:pPr>
        <w:pStyle w:val="5"/>
        <w:jc w:val="left"/>
        <w:rPr>
          <w:rFonts w:hAnsi="Times New Roman" w:cs="楷体"/>
          <w:color w:val="auto"/>
          <w:highlight w:val="none"/>
          <w:lang w:eastAsia="zh-CN"/>
        </w:rPr>
      </w:pPr>
      <w:r>
        <w:rPr>
          <w:rFonts w:hAnsi="Times New Roman" w:cs="Times New Roman"/>
          <w:color w:val="auto"/>
          <w:highlight w:val="none"/>
          <w:lang w:eastAsia="zh-CN"/>
        </w:rPr>
        <w:t>13.2.4</w:t>
      </w:r>
      <w:r>
        <w:rPr>
          <w:rFonts w:hint="eastAsia" w:hAnsi="Times New Roman" w:cs="Times New Roman"/>
          <w:color w:val="auto"/>
          <w:highlight w:val="none"/>
          <w:lang w:eastAsia="zh-CN"/>
        </w:rPr>
        <w:t>　</w:t>
      </w:r>
      <w:r>
        <w:rPr>
          <w:rFonts w:hAnsi="楷体" w:cs="楷体"/>
          <w:color w:val="auto"/>
          <w:highlight w:val="none"/>
          <w:lang w:eastAsia="zh-CN"/>
        </w:rPr>
        <w:t>堆石料</w:t>
      </w:r>
    </w:p>
    <w:p w14:paraId="2645CE3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）土石坝、混凝土和沥青混凝土面板堆石坝的各种堆石料，应使用经监理人批准的料场开挖料和建筑物开挖料，若承包人要求采用其它料物上坝时，应经监理人批准。</w:t>
      </w:r>
    </w:p>
    <w:p w14:paraId="4BF6B16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）碾压后硬岩堆石料的级配应符合施工图纸要求和通过现场试验选定。</w:t>
      </w:r>
    </w:p>
    <w:p w14:paraId="27080F6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）坝料开采与加工应遵照《混凝土面板堆石坝施工规范》（</w:t>
      </w:r>
      <w:r>
        <w:rPr>
          <w:rFonts w:hAnsi="Times New Roman" w:cs="Times New Roman"/>
          <w:color w:val="auto"/>
          <w:highlight w:val="none"/>
          <w:lang w:eastAsia="zh-CN"/>
        </w:rPr>
        <w:t>SL49—2015</w:t>
      </w:r>
      <w:r>
        <w:rPr>
          <w:rFonts w:cs="宋体"/>
          <w:color w:val="auto"/>
          <w:highlight w:val="none"/>
          <w:lang w:eastAsia="zh-CN"/>
        </w:rPr>
        <w:t>）第</w:t>
      </w:r>
      <w:r>
        <w:rPr>
          <w:rFonts w:hAnsi="Times New Roman" w:cs="Times New Roman"/>
          <w:color w:val="auto"/>
          <w:highlight w:val="none"/>
          <w:lang w:eastAsia="zh-CN"/>
        </w:rPr>
        <w:t>4.3</w:t>
      </w:r>
      <w:r>
        <w:rPr>
          <w:rFonts w:cs="宋体"/>
          <w:color w:val="auto"/>
          <w:highlight w:val="none"/>
          <w:lang w:eastAsia="zh-CN"/>
        </w:rPr>
        <w:t>节的有关规定。</w:t>
      </w:r>
    </w:p>
    <w:p w14:paraId="4EEDD89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）护坡块石料应是新鲜坚硬耐风化的石料，其粒径应符合施工图纸要求。</w:t>
      </w:r>
    </w:p>
    <w:p w14:paraId="758B5D74">
      <w:pPr>
        <w:pStyle w:val="5"/>
        <w:jc w:val="left"/>
        <w:rPr>
          <w:rFonts w:hAnsi="Times New Roman" w:cs="楷体"/>
          <w:color w:val="auto"/>
          <w:highlight w:val="none"/>
          <w:lang w:eastAsia="zh-CN"/>
        </w:rPr>
      </w:pPr>
      <w:r>
        <w:rPr>
          <w:rFonts w:hAnsi="Times New Roman" w:cs="Times New Roman"/>
          <w:color w:val="auto"/>
          <w:highlight w:val="none"/>
          <w:lang w:eastAsia="zh-CN"/>
        </w:rPr>
        <w:t>13.2.5</w:t>
      </w:r>
      <w:r>
        <w:rPr>
          <w:rFonts w:hint="eastAsia" w:hAnsi="Times New Roman" w:cs="Times New Roman"/>
          <w:color w:val="auto"/>
          <w:highlight w:val="none"/>
          <w:lang w:eastAsia="zh-CN"/>
        </w:rPr>
        <w:t>　</w:t>
      </w:r>
      <w:r>
        <w:rPr>
          <w:rFonts w:hAnsi="楷体" w:cs="楷体"/>
          <w:color w:val="auto"/>
          <w:highlight w:val="none"/>
          <w:lang w:eastAsia="zh-CN"/>
        </w:rPr>
        <w:t>抛投块体</w:t>
      </w:r>
    </w:p>
    <w:p w14:paraId="71250F90">
      <w:pPr>
        <w:ind w:firstLine="420"/>
        <w:jc w:val="left"/>
        <w:rPr>
          <w:rFonts w:hAnsi="Times New Roman" w:cs="宋体"/>
          <w:color w:val="auto"/>
          <w:highlight w:val="none"/>
          <w:lang w:eastAsia="zh-CN"/>
        </w:rPr>
      </w:pPr>
      <w:r>
        <w:rPr>
          <w:rFonts w:cs="宋体"/>
          <w:color w:val="auto"/>
          <w:highlight w:val="none"/>
          <w:lang w:eastAsia="zh-CN"/>
        </w:rPr>
        <w:t>施工期，承包人应在坝脚抛投块体，防止岸坡崩塌；截流龙口的抛投料应根据施工图纸和监理人指示，并通过截流模型试验选定抛投料的材质、粒径，以及钢筋笼或混凝土异形块的尺寸和单块重量。</w:t>
      </w:r>
    </w:p>
    <w:p w14:paraId="5B0CC370">
      <w:pPr>
        <w:pStyle w:val="4"/>
        <w:spacing w:beforeLines="0" w:afterLines="0"/>
        <w:jc w:val="both"/>
        <w:rPr>
          <w:rFonts w:hint="eastAsia" w:cs="宋体"/>
          <w:bCs/>
          <w:color w:val="auto"/>
          <w:szCs w:val="24"/>
          <w:highlight w:val="none"/>
          <w:lang w:eastAsia="zh-CN"/>
        </w:rPr>
      </w:pPr>
      <w:bookmarkStart w:id="2089" w:name="_Toc507"/>
      <w:bookmarkStart w:id="2090" w:name="_Toc8272"/>
      <w:bookmarkStart w:id="2091" w:name="_Toc21206"/>
      <w:r>
        <w:rPr>
          <w:rFonts w:hint="eastAsia" w:cs="宋体"/>
          <w:bCs/>
          <w:color w:val="auto"/>
          <w:szCs w:val="24"/>
          <w:highlight w:val="none"/>
          <w:lang w:eastAsia="zh-CN"/>
        </w:rPr>
        <w:t>13.3　填筑现场试验</w:t>
      </w:r>
      <w:bookmarkEnd w:id="2089"/>
      <w:bookmarkEnd w:id="2090"/>
      <w:bookmarkEnd w:id="2091"/>
    </w:p>
    <w:p w14:paraId="15D160BE">
      <w:pPr>
        <w:pStyle w:val="5"/>
        <w:jc w:val="left"/>
        <w:rPr>
          <w:rFonts w:hAnsi="Times New Roman" w:cs="楷体"/>
          <w:color w:val="auto"/>
          <w:highlight w:val="none"/>
          <w:lang w:eastAsia="zh-CN"/>
        </w:rPr>
      </w:pPr>
      <w:r>
        <w:rPr>
          <w:rFonts w:hAnsi="Times New Roman" w:cs="Times New Roman"/>
          <w:color w:val="auto"/>
          <w:highlight w:val="none"/>
          <w:lang w:eastAsia="zh-CN"/>
        </w:rPr>
        <w:t>13.3.1</w:t>
      </w:r>
      <w:r>
        <w:rPr>
          <w:rFonts w:hint="eastAsia" w:hAnsi="Times New Roman" w:cs="Times New Roman"/>
          <w:color w:val="auto"/>
          <w:highlight w:val="none"/>
          <w:lang w:eastAsia="zh-CN"/>
        </w:rPr>
        <w:t>　</w:t>
      </w:r>
      <w:r>
        <w:rPr>
          <w:rFonts w:hAnsi="楷体" w:cs="楷体"/>
          <w:color w:val="auto"/>
          <w:highlight w:val="none"/>
          <w:lang w:eastAsia="zh-CN"/>
        </w:rPr>
        <w:t>一般要求</w:t>
      </w:r>
    </w:p>
    <w:p w14:paraId="2DCB3B5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）土石方填筑工程开始前，承包人应根据建筑物设计要求选定的土石方填筑料，并按本章第</w:t>
      </w:r>
      <w:r>
        <w:rPr>
          <w:rFonts w:hAnsi="Times New Roman" w:cs="Times New Roman"/>
          <w:color w:val="auto"/>
          <w:highlight w:val="none"/>
          <w:lang w:eastAsia="zh-CN"/>
        </w:rPr>
        <w:t>13.4.2</w:t>
      </w:r>
      <w:r>
        <w:rPr>
          <w:rFonts w:cs="宋体"/>
          <w:color w:val="auto"/>
          <w:highlight w:val="none"/>
          <w:lang w:eastAsia="zh-CN"/>
        </w:rPr>
        <w:t>项规定的试验内容，按施工图纸要求进行与实际施工条件相似的现场工艺试验，以确定填筑施工参数。</w:t>
      </w:r>
    </w:p>
    <w:p w14:paraId="24C69B9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）每项土石方填筑现场工艺试验或现场生产性试验开始前，承包人应编制现场试验措施计划提交监理人批准。试验完成后，应将试验成果报告和试验记录提交监理人。</w:t>
      </w:r>
    </w:p>
    <w:p w14:paraId="73A5AF9F">
      <w:pPr>
        <w:pStyle w:val="5"/>
        <w:jc w:val="left"/>
        <w:rPr>
          <w:rFonts w:hAnsi="Times New Roman" w:cs="楷体"/>
          <w:color w:val="auto"/>
          <w:highlight w:val="none"/>
          <w:lang w:eastAsia="zh-CN"/>
        </w:rPr>
      </w:pPr>
      <w:r>
        <w:rPr>
          <w:rFonts w:hAnsi="Times New Roman" w:cs="Times New Roman"/>
          <w:color w:val="auto"/>
          <w:highlight w:val="none"/>
          <w:lang w:eastAsia="zh-CN"/>
        </w:rPr>
        <w:t>13.3.2</w:t>
      </w:r>
      <w:r>
        <w:rPr>
          <w:rFonts w:hint="eastAsia" w:hAnsi="Times New Roman" w:cs="Times New Roman"/>
          <w:color w:val="auto"/>
          <w:highlight w:val="none"/>
          <w:lang w:eastAsia="zh-CN"/>
        </w:rPr>
        <w:t>　</w:t>
      </w:r>
      <w:r>
        <w:rPr>
          <w:rFonts w:hAnsi="楷体" w:cs="楷体"/>
          <w:color w:val="auto"/>
          <w:highlight w:val="none"/>
          <w:lang w:eastAsia="zh-CN"/>
        </w:rPr>
        <w:t>土料碾压试验</w:t>
      </w:r>
    </w:p>
    <w:p w14:paraId="624458D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）防渗土料应进行土料铺料方式和碾压试验，必要时进行土料含水量调整试验。</w:t>
      </w:r>
    </w:p>
    <w:p w14:paraId="26ED819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）土料和人工掺合料的混合试验，应进行混合方式、混合效果（土石混合的均匀性）以及含水量变化规律等试验。</w:t>
      </w:r>
    </w:p>
    <w:p w14:paraId="3F30E05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土料碾压试验应按施工图纸规定的碾压机械类型、重量和行车速度，进行铺料厚度、碾压遍数和填筑含水量的比较试验。检测各种参数下压实土的干密度和含水量，砾质土或风化土料碾压前后的砾石含量，并进行现场渗透试验、原状样的室内压缩和抗剪强度试验。</w:t>
      </w:r>
    </w:p>
    <w:p w14:paraId="62D71D1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）土料碾压试验后，应检查压实土层之间及土层本身的结构状况。如发现疏松土层、结合不良或发生剪切破坏等情况，应分析原因，提出改进措施。</w:t>
      </w:r>
    </w:p>
    <w:p w14:paraId="7FB2D7C0">
      <w:pPr>
        <w:pStyle w:val="5"/>
        <w:jc w:val="left"/>
        <w:rPr>
          <w:rFonts w:hAnsi="Times New Roman" w:cs="楷体"/>
          <w:color w:val="auto"/>
          <w:highlight w:val="none"/>
          <w:lang w:eastAsia="zh-CN"/>
        </w:rPr>
      </w:pPr>
      <w:r>
        <w:rPr>
          <w:rFonts w:hAnsi="Times New Roman" w:cs="Times New Roman"/>
          <w:color w:val="auto"/>
          <w:highlight w:val="none"/>
          <w:lang w:eastAsia="zh-CN"/>
        </w:rPr>
        <w:t>13.3.3</w:t>
      </w:r>
      <w:r>
        <w:rPr>
          <w:rFonts w:hint="eastAsia" w:hAnsi="Times New Roman" w:cs="Times New Roman"/>
          <w:color w:val="auto"/>
          <w:highlight w:val="none"/>
          <w:lang w:eastAsia="zh-CN"/>
        </w:rPr>
        <w:t>　</w:t>
      </w:r>
      <w:r>
        <w:rPr>
          <w:rFonts w:hAnsi="楷体" w:cs="楷体"/>
          <w:color w:val="auto"/>
          <w:highlight w:val="none"/>
          <w:lang w:eastAsia="zh-CN"/>
        </w:rPr>
        <w:t>垫层料和堆石料碾压试验</w:t>
      </w:r>
    </w:p>
    <w:p w14:paraId="2EA564F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）根据施工图纸规定的碾压机械类型、重量和激振力，进行各种堆石料的铺料厚度、碾压遍数和加水量的比较试验；检测振动碾压前后填筑体及选定碾压遍数的填筑体干密度和颗粒级配等试验。</w:t>
      </w:r>
    </w:p>
    <w:p w14:paraId="3C15415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）混凝土面板堆石坝应进行垫层料的斜坡碾压试验，必要时应采取保护上游坡面的施工措施，如进行喷混凝土、碾压砂浆或喷乳化沥青等的试验。当上游坡面采用挤压墙时，应通过现场试验确定其施工参数。</w:t>
      </w:r>
    </w:p>
    <w:p w14:paraId="696A0AFB">
      <w:pPr>
        <w:pStyle w:val="4"/>
        <w:spacing w:beforeLines="0" w:afterLines="0"/>
        <w:jc w:val="both"/>
        <w:rPr>
          <w:rFonts w:hint="eastAsia" w:cs="宋体"/>
          <w:bCs/>
          <w:color w:val="auto"/>
          <w:szCs w:val="24"/>
          <w:highlight w:val="none"/>
          <w:lang w:eastAsia="zh-CN"/>
        </w:rPr>
      </w:pPr>
      <w:bookmarkStart w:id="2092" w:name="_Toc7959"/>
      <w:bookmarkStart w:id="2093" w:name="_Toc5091"/>
      <w:bookmarkStart w:id="2094" w:name="_Toc21301"/>
      <w:r>
        <w:rPr>
          <w:rFonts w:hint="eastAsia" w:cs="宋体"/>
          <w:bCs/>
          <w:color w:val="auto"/>
          <w:szCs w:val="24"/>
          <w:highlight w:val="none"/>
          <w:lang w:eastAsia="zh-CN"/>
        </w:rPr>
        <w:t>13.4　坝体填筑</w:t>
      </w:r>
      <w:bookmarkEnd w:id="2092"/>
      <w:bookmarkEnd w:id="2093"/>
      <w:bookmarkEnd w:id="2094"/>
    </w:p>
    <w:p w14:paraId="5E6D5CBA">
      <w:pPr>
        <w:ind w:firstLine="480" w:firstLineChars="200"/>
        <w:rPr>
          <w:rFonts w:hint="eastAsia"/>
          <w:color w:val="auto"/>
          <w:highlight w:val="none"/>
          <w:lang w:eastAsia="zh-CN"/>
        </w:rPr>
      </w:pPr>
      <w:r>
        <w:rPr>
          <w:rFonts w:hint="eastAsia" w:cs="宋体"/>
          <w:bCs/>
          <w:color w:val="auto"/>
          <w:szCs w:val="24"/>
          <w:highlight w:val="none"/>
          <w:lang w:val="en-US" w:eastAsia="zh-CN"/>
        </w:rPr>
        <w:t>本标段不涉及</w:t>
      </w:r>
    </w:p>
    <w:p w14:paraId="48B84419">
      <w:pPr>
        <w:pStyle w:val="4"/>
        <w:spacing w:beforeLines="0" w:afterLines="0"/>
        <w:jc w:val="both"/>
        <w:rPr>
          <w:rFonts w:hint="eastAsia" w:cs="宋体"/>
          <w:bCs/>
          <w:color w:val="auto"/>
          <w:szCs w:val="24"/>
          <w:highlight w:val="none"/>
          <w:lang w:eastAsia="zh-CN"/>
        </w:rPr>
      </w:pPr>
      <w:bookmarkStart w:id="2095" w:name="_Toc28057"/>
      <w:bookmarkStart w:id="2096" w:name="_Toc26953"/>
      <w:bookmarkStart w:id="2097" w:name="_Toc31925"/>
      <w:r>
        <w:rPr>
          <w:rFonts w:hint="eastAsia" w:cs="宋体"/>
          <w:bCs/>
          <w:color w:val="auto"/>
          <w:szCs w:val="24"/>
          <w:highlight w:val="none"/>
          <w:lang w:eastAsia="zh-CN"/>
        </w:rPr>
        <w:t>13.5　填筑合理用料</w:t>
      </w:r>
      <w:bookmarkEnd w:id="2095"/>
      <w:bookmarkEnd w:id="2096"/>
      <w:bookmarkEnd w:id="2097"/>
    </w:p>
    <w:p w14:paraId="55F6A241">
      <w:pPr>
        <w:pStyle w:val="5"/>
        <w:jc w:val="left"/>
        <w:rPr>
          <w:rFonts w:hAnsi="Times New Roman" w:cs="楷体"/>
          <w:color w:val="auto"/>
          <w:highlight w:val="none"/>
          <w:lang w:eastAsia="zh-CN"/>
        </w:rPr>
      </w:pPr>
      <w:r>
        <w:rPr>
          <w:rFonts w:hAnsi="Times New Roman" w:cs="Times New Roman"/>
          <w:color w:val="auto"/>
          <w:highlight w:val="none"/>
          <w:lang w:eastAsia="zh-CN"/>
        </w:rPr>
        <w:t>13.5.1</w:t>
      </w:r>
      <w:r>
        <w:rPr>
          <w:rFonts w:hint="eastAsia" w:hAnsi="Times New Roman" w:cs="Times New Roman"/>
          <w:color w:val="auto"/>
          <w:highlight w:val="none"/>
          <w:lang w:eastAsia="zh-CN"/>
        </w:rPr>
        <w:t>　</w:t>
      </w:r>
      <w:r>
        <w:rPr>
          <w:rFonts w:hAnsi="楷体" w:cs="楷体"/>
          <w:color w:val="auto"/>
          <w:highlight w:val="none"/>
          <w:lang w:eastAsia="zh-CN"/>
        </w:rPr>
        <w:t>料物供求平衡计划</w:t>
      </w:r>
    </w:p>
    <w:p w14:paraId="0D3CBE4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本工程各料场开采储量、质量，以及施工开挖可用于填筑的土石方开挖料，并根据坝型、施工方法、施工进度和导流分期等进行综合分析，确定不同施工阶段各填筑料的填筑部位，制定取料和填筑的料物供求平衡计划。</w:t>
      </w:r>
    </w:p>
    <w:p w14:paraId="7A92C46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）土石方填筑期间，应随时观测施工期间河水水位和流量变化，控制坝体填筑面貌。若遇特殊情况，应备足料源，供坝体临时度汛高峰期填筑使用。</w:t>
      </w:r>
    </w:p>
    <w:p w14:paraId="7C5DF93F">
      <w:pPr>
        <w:pStyle w:val="5"/>
        <w:jc w:val="left"/>
        <w:rPr>
          <w:rFonts w:hAnsi="Times New Roman" w:cs="楷体"/>
          <w:color w:val="auto"/>
          <w:highlight w:val="none"/>
          <w:lang w:eastAsia="zh-CN"/>
        </w:rPr>
      </w:pPr>
      <w:r>
        <w:rPr>
          <w:rFonts w:hAnsi="Times New Roman" w:cs="Times New Roman"/>
          <w:color w:val="auto"/>
          <w:highlight w:val="none"/>
          <w:lang w:eastAsia="zh-CN"/>
        </w:rPr>
        <w:t>13.5.2</w:t>
      </w:r>
      <w:r>
        <w:rPr>
          <w:rFonts w:hint="eastAsia" w:hAnsi="Times New Roman" w:cs="Times New Roman"/>
          <w:color w:val="auto"/>
          <w:highlight w:val="none"/>
          <w:lang w:eastAsia="zh-CN"/>
        </w:rPr>
        <w:t>　</w:t>
      </w:r>
      <w:r>
        <w:rPr>
          <w:rFonts w:hAnsi="楷体" w:cs="楷体"/>
          <w:color w:val="auto"/>
          <w:highlight w:val="none"/>
          <w:lang w:eastAsia="zh-CN"/>
        </w:rPr>
        <w:t>合理用料</w:t>
      </w:r>
    </w:p>
    <w:p w14:paraId="5566476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）承包人应根据料场高程、位置、填筑部位作统一规划，合理安排施工顺序，高料高填、低料低填、减少过坝运输和交叉运输的干扰。</w:t>
      </w:r>
    </w:p>
    <w:p w14:paraId="3F4A8D3D">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）承包人应按本技术条款的规定和料物供求平衡计划进行坝料的开采和加工，并按监理人指定的地点堆放和贮存料场开挖料和建筑物施工开挖料。</w:t>
      </w:r>
    </w:p>
    <w:p w14:paraId="75F06FAD">
      <w:pPr>
        <w:pStyle w:val="4"/>
        <w:spacing w:beforeLines="0" w:afterLines="0"/>
        <w:jc w:val="both"/>
        <w:rPr>
          <w:rFonts w:hint="eastAsia" w:cs="宋体"/>
          <w:bCs/>
          <w:color w:val="auto"/>
          <w:szCs w:val="24"/>
          <w:highlight w:val="none"/>
          <w:lang w:eastAsia="zh-CN"/>
        </w:rPr>
      </w:pPr>
      <w:bookmarkStart w:id="2098" w:name="_Toc32748"/>
      <w:bookmarkStart w:id="2099" w:name="_Toc12651"/>
      <w:bookmarkStart w:id="2100" w:name="_Toc4066"/>
      <w:r>
        <w:rPr>
          <w:rFonts w:hint="eastAsia" w:cs="宋体"/>
          <w:bCs/>
          <w:color w:val="auto"/>
          <w:szCs w:val="24"/>
          <w:highlight w:val="none"/>
          <w:lang w:eastAsia="zh-CN"/>
        </w:rPr>
        <w:t>13.6　堤防工程施工</w:t>
      </w:r>
      <w:bookmarkEnd w:id="2098"/>
      <w:bookmarkEnd w:id="2099"/>
      <w:bookmarkEnd w:id="2100"/>
    </w:p>
    <w:p w14:paraId="2753B4E4">
      <w:pPr>
        <w:rPr>
          <w:rFonts w:hint="default"/>
          <w:color w:val="auto"/>
          <w:highlight w:val="none"/>
          <w:lang w:val="en-US" w:eastAsia="zh-CN"/>
        </w:rPr>
      </w:pPr>
      <w:r>
        <w:rPr>
          <w:rFonts w:hint="eastAsia" w:cs="宋体"/>
          <w:bCs/>
          <w:color w:val="auto"/>
          <w:szCs w:val="24"/>
          <w:highlight w:val="none"/>
          <w:lang w:val="en-US" w:eastAsia="zh-CN"/>
        </w:rPr>
        <w:t>本标段不涉及</w:t>
      </w:r>
    </w:p>
    <w:p w14:paraId="53928446">
      <w:pPr>
        <w:pStyle w:val="4"/>
        <w:spacing w:beforeLines="0" w:afterLines="0"/>
        <w:jc w:val="both"/>
        <w:rPr>
          <w:rFonts w:hint="eastAsia" w:cs="宋体"/>
          <w:bCs/>
          <w:color w:val="auto"/>
          <w:szCs w:val="24"/>
          <w:highlight w:val="none"/>
          <w:lang w:eastAsia="zh-CN"/>
        </w:rPr>
      </w:pPr>
      <w:bookmarkStart w:id="2101" w:name="_Toc14464"/>
      <w:bookmarkStart w:id="2102" w:name="_Toc13814"/>
      <w:bookmarkStart w:id="2103" w:name="_Toc16789"/>
      <w:r>
        <w:rPr>
          <w:rFonts w:hint="eastAsia" w:cs="宋体"/>
          <w:bCs/>
          <w:color w:val="auto"/>
          <w:szCs w:val="24"/>
          <w:highlight w:val="none"/>
          <w:lang w:eastAsia="zh-CN"/>
        </w:rPr>
        <w:t>13.7　土工合成材料施工</w:t>
      </w:r>
      <w:bookmarkEnd w:id="2101"/>
      <w:bookmarkEnd w:id="2102"/>
      <w:bookmarkEnd w:id="2103"/>
    </w:p>
    <w:p w14:paraId="1B9C4757">
      <w:pPr>
        <w:pStyle w:val="5"/>
        <w:jc w:val="left"/>
        <w:rPr>
          <w:rFonts w:hAnsi="Times New Roman" w:cs="楷体"/>
          <w:color w:val="auto"/>
          <w:highlight w:val="none"/>
          <w:lang w:eastAsia="zh-CN"/>
        </w:rPr>
      </w:pPr>
      <w:r>
        <w:rPr>
          <w:rFonts w:hAnsi="Times New Roman" w:cs="Times New Roman"/>
          <w:color w:val="auto"/>
          <w:highlight w:val="none"/>
          <w:lang w:eastAsia="zh-CN"/>
        </w:rPr>
        <w:t>13.7.1</w:t>
      </w:r>
      <w:r>
        <w:rPr>
          <w:rFonts w:hint="eastAsia" w:hAnsi="Times New Roman" w:cs="Times New Roman"/>
          <w:color w:val="auto"/>
          <w:highlight w:val="none"/>
          <w:lang w:eastAsia="zh-CN"/>
        </w:rPr>
        <w:t>　</w:t>
      </w:r>
      <w:r>
        <w:rPr>
          <w:rFonts w:hAnsi="楷体" w:cs="楷体"/>
          <w:color w:val="auto"/>
          <w:highlight w:val="none"/>
          <w:lang w:eastAsia="zh-CN"/>
        </w:rPr>
        <w:t>材料</w:t>
      </w:r>
    </w:p>
    <w:p w14:paraId="0E841F9F">
      <w:pPr>
        <w:ind w:firstLine="420"/>
        <w:jc w:val="left"/>
        <w:rPr>
          <w:rFonts w:hAnsi="Times New Roman" w:cs="宋体"/>
          <w:color w:val="auto"/>
          <w:highlight w:val="none"/>
          <w:lang w:eastAsia="zh-CN"/>
        </w:rPr>
      </w:pPr>
      <w:r>
        <w:rPr>
          <w:rFonts w:cs="宋体"/>
          <w:color w:val="auto"/>
          <w:highlight w:val="none"/>
          <w:lang w:eastAsia="zh-CN"/>
        </w:rPr>
        <w:t>用于土石坝、围堰的防渗结构、反滤和排水设施的土工合成材料包括土工织物、土工膜和土工复合材料。其材料性能应遵守《水利水电工程土工合成材料应用技术规范》（</w:t>
      </w:r>
      <w:r>
        <w:rPr>
          <w:rFonts w:hAnsi="Times New Roman" w:cs="Times New Roman"/>
          <w:color w:val="auto"/>
          <w:highlight w:val="none"/>
          <w:lang w:eastAsia="zh-CN"/>
        </w:rPr>
        <w:t>SL/T225—1998</w:t>
      </w:r>
      <w:r>
        <w:rPr>
          <w:rFonts w:cs="宋体"/>
          <w:color w:val="auto"/>
          <w:highlight w:val="none"/>
          <w:lang w:eastAsia="zh-CN"/>
        </w:rPr>
        <w:t>）第</w:t>
      </w:r>
      <w:r>
        <w:rPr>
          <w:rFonts w:hAnsi="Times New Roman" w:cs="Times New Roman"/>
          <w:color w:val="auto"/>
          <w:highlight w:val="none"/>
          <w:lang w:eastAsia="zh-CN"/>
        </w:rPr>
        <w:t>3.2</w:t>
      </w:r>
      <w:r>
        <w:rPr>
          <w:rFonts w:cs="宋体"/>
          <w:color w:val="auto"/>
          <w:highlight w:val="none"/>
          <w:lang w:eastAsia="zh-CN"/>
        </w:rPr>
        <w:t>节的有关规定。</w:t>
      </w:r>
    </w:p>
    <w:p w14:paraId="62AC83B8">
      <w:pPr>
        <w:pStyle w:val="5"/>
        <w:jc w:val="left"/>
        <w:rPr>
          <w:rFonts w:hAnsi="Times New Roman" w:cs="楷体"/>
          <w:color w:val="auto"/>
          <w:highlight w:val="none"/>
          <w:lang w:eastAsia="zh-CN"/>
        </w:rPr>
      </w:pPr>
      <w:r>
        <w:rPr>
          <w:rFonts w:hAnsi="Times New Roman" w:cs="Times New Roman"/>
          <w:color w:val="auto"/>
          <w:highlight w:val="none"/>
          <w:lang w:eastAsia="zh-CN"/>
        </w:rPr>
        <w:t>13.7.2</w:t>
      </w:r>
      <w:r>
        <w:rPr>
          <w:rFonts w:hint="eastAsia" w:hAnsi="Times New Roman" w:cs="Times New Roman"/>
          <w:color w:val="auto"/>
          <w:highlight w:val="none"/>
          <w:lang w:eastAsia="zh-CN"/>
        </w:rPr>
        <w:t>　</w:t>
      </w:r>
      <w:r>
        <w:rPr>
          <w:rFonts w:hAnsi="楷体" w:cs="楷体"/>
          <w:color w:val="auto"/>
          <w:highlight w:val="none"/>
          <w:lang w:eastAsia="zh-CN"/>
        </w:rPr>
        <w:t>运输及储存</w:t>
      </w:r>
    </w:p>
    <w:p w14:paraId="654459E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）土工合成材料的运输及储存应遵守《水利水电工程土工合成材料应用技术规范》（</w:t>
      </w:r>
      <w:r>
        <w:rPr>
          <w:rFonts w:hAnsi="Times New Roman" w:cs="Times New Roman"/>
          <w:color w:val="auto"/>
          <w:highlight w:val="none"/>
          <w:lang w:eastAsia="zh-CN"/>
        </w:rPr>
        <w:t>SL/T225—1998</w:t>
      </w:r>
      <w:r>
        <w:rPr>
          <w:rFonts w:cs="宋体"/>
          <w:color w:val="auto"/>
          <w:highlight w:val="none"/>
          <w:lang w:eastAsia="zh-CN"/>
        </w:rPr>
        <w:t>）第</w:t>
      </w:r>
      <w:r>
        <w:rPr>
          <w:rFonts w:hAnsi="Times New Roman" w:cs="Times New Roman"/>
          <w:color w:val="auto"/>
          <w:highlight w:val="none"/>
          <w:lang w:eastAsia="zh-CN"/>
        </w:rPr>
        <w:t>3.3</w:t>
      </w:r>
      <w:r>
        <w:rPr>
          <w:rFonts w:cs="宋体"/>
          <w:color w:val="auto"/>
          <w:highlight w:val="none"/>
          <w:lang w:eastAsia="zh-CN"/>
        </w:rPr>
        <w:t>节的规定。</w:t>
      </w:r>
    </w:p>
    <w:p w14:paraId="77A8EC4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）若采用折叠装箱运输土工合成材料，不得使用带钉子的木箱；若采用卷材运输，应注意防止在装卸过程中造成卷材表面的损害。</w:t>
      </w:r>
    </w:p>
    <w:p w14:paraId="345704D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）土工合成材料应储存在不受损坏和方便取用的地方，尽量减少装卸次数。</w:t>
      </w:r>
    </w:p>
    <w:p w14:paraId="6971A413">
      <w:pPr>
        <w:pStyle w:val="5"/>
        <w:jc w:val="left"/>
        <w:rPr>
          <w:rFonts w:hAnsi="Times New Roman" w:cs="楷体"/>
          <w:color w:val="auto"/>
          <w:highlight w:val="none"/>
          <w:lang w:eastAsia="zh-CN"/>
        </w:rPr>
      </w:pPr>
      <w:r>
        <w:rPr>
          <w:rFonts w:hAnsi="Times New Roman" w:cs="Times New Roman"/>
          <w:color w:val="auto"/>
          <w:highlight w:val="none"/>
          <w:lang w:eastAsia="zh-CN"/>
        </w:rPr>
        <w:t>13.7.3</w:t>
      </w:r>
      <w:r>
        <w:rPr>
          <w:rFonts w:hint="eastAsia" w:hAnsi="Times New Roman" w:cs="Times New Roman"/>
          <w:color w:val="auto"/>
          <w:highlight w:val="none"/>
          <w:lang w:eastAsia="zh-CN"/>
        </w:rPr>
        <w:t>　</w:t>
      </w:r>
      <w:r>
        <w:rPr>
          <w:rFonts w:hAnsi="楷体" w:cs="楷体"/>
          <w:color w:val="auto"/>
          <w:highlight w:val="none"/>
          <w:lang w:eastAsia="zh-CN"/>
        </w:rPr>
        <w:t>拼接</w:t>
      </w:r>
    </w:p>
    <w:p w14:paraId="10158AC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）土工合成材料的拼接方式及搭接长度应满足施工图纸的要求，并遵守《水利水电工程土工合成材料应用技术规范》（</w:t>
      </w:r>
      <w:r>
        <w:rPr>
          <w:rFonts w:hAnsi="Times New Roman" w:cs="Times New Roman"/>
          <w:color w:val="auto"/>
          <w:highlight w:val="none"/>
          <w:lang w:eastAsia="zh-CN"/>
        </w:rPr>
        <w:t>SL/T225—1998</w:t>
      </w:r>
      <w:r>
        <w:rPr>
          <w:rFonts w:cs="宋体"/>
          <w:color w:val="auto"/>
          <w:highlight w:val="none"/>
          <w:lang w:eastAsia="zh-CN"/>
        </w:rPr>
        <w:t>）第</w:t>
      </w:r>
      <w:r>
        <w:rPr>
          <w:rFonts w:hAnsi="Times New Roman" w:cs="Times New Roman"/>
          <w:color w:val="auto"/>
          <w:highlight w:val="none"/>
          <w:lang w:eastAsia="zh-CN"/>
        </w:rPr>
        <w:t>5.6.2</w:t>
      </w:r>
      <w:r>
        <w:rPr>
          <w:rFonts w:cs="宋体"/>
          <w:color w:val="auto"/>
          <w:highlight w:val="none"/>
          <w:lang w:eastAsia="zh-CN"/>
        </w:rPr>
        <w:t>～</w:t>
      </w:r>
      <w:r>
        <w:rPr>
          <w:rFonts w:hAnsi="Times New Roman" w:cs="Times New Roman"/>
          <w:color w:val="auto"/>
          <w:highlight w:val="none"/>
          <w:lang w:eastAsia="zh-CN"/>
        </w:rPr>
        <w:t>5.6.5</w:t>
      </w:r>
      <w:r>
        <w:rPr>
          <w:rFonts w:cs="宋体"/>
          <w:color w:val="auto"/>
          <w:highlight w:val="none"/>
          <w:lang w:eastAsia="zh-CN"/>
        </w:rPr>
        <w:t>条的有关规定。</w:t>
      </w:r>
    </w:p>
    <w:p w14:paraId="549444E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）在施工过程中，若气温低于</w:t>
      </w:r>
      <w:r>
        <w:rPr>
          <w:rFonts w:hAnsi="Times New Roman" w:cs="Times New Roman"/>
          <w:color w:val="auto"/>
          <w:highlight w:val="none"/>
          <w:u w:val="single"/>
          <w:lang w:eastAsia="zh-CN"/>
        </w:rPr>
        <w:t>0</w:t>
      </w:r>
      <w:r>
        <w:rPr>
          <w:rFonts w:hint="eastAsia" w:hAnsi="Times New Roman" w:cs="宋体"/>
          <w:color w:val="auto"/>
          <w:highlight w:val="none"/>
          <w:u w:val="single"/>
          <w:lang w:eastAsia="zh-CN"/>
        </w:rPr>
        <w:t>℃</w:t>
      </w:r>
      <w:r>
        <w:rPr>
          <w:rFonts w:hAnsi="Times New Roman" w:cs="宋体"/>
          <w:color w:val="auto"/>
          <w:highlight w:val="none"/>
          <w:lang w:eastAsia="zh-CN"/>
        </w:rPr>
        <w:t>,</w:t>
      </w:r>
      <w:r>
        <w:rPr>
          <w:rFonts w:cs="宋体"/>
          <w:color w:val="auto"/>
          <w:highlight w:val="none"/>
          <w:lang w:eastAsia="zh-CN"/>
        </w:rPr>
        <w:t>必须对粘结剂和粘结面进行加热处理。粘结强度必须符合施工图纸的要求。</w:t>
      </w:r>
    </w:p>
    <w:p w14:paraId="2D12A34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采用现场粘结方式拼接土工合成材料应保证有足够的搭接长度，粘结剂应均匀涂满；采用热熔焊接进行拼接时，应保证有足够的焊接宽度，尽量选用宽幅的土工合成材料，若幅宽较窄，应在现场工作棚内拼接成宽幅，以减少现场接缝和粘（搭）结工作量。</w:t>
      </w:r>
    </w:p>
    <w:p w14:paraId="70558725">
      <w:pPr>
        <w:pStyle w:val="5"/>
        <w:jc w:val="left"/>
        <w:rPr>
          <w:rFonts w:hAnsi="Times New Roman" w:cs="楷体"/>
          <w:color w:val="auto"/>
          <w:highlight w:val="none"/>
          <w:lang w:eastAsia="zh-CN"/>
        </w:rPr>
      </w:pPr>
      <w:r>
        <w:rPr>
          <w:rFonts w:hAnsi="Times New Roman" w:cs="Times New Roman"/>
          <w:color w:val="auto"/>
          <w:highlight w:val="none"/>
          <w:lang w:eastAsia="zh-CN"/>
        </w:rPr>
        <w:t>13.7.4</w:t>
      </w:r>
      <w:r>
        <w:rPr>
          <w:rFonts w:hint="eastAsia" w:hAnsi="Times New Roman" w:cs="Times New Roman"/>
          <w:color w:val="auto"/>
          <w:highlight w:val="none"/>
          <w:lang w:eastAsia="zh-CN"/>
        </w:rPr>
        <w:t>　</w:t>
      </w:r>
      <w:r>
        <w:rPr>
          <w:rFonts w:hAnsi="楷体" w:cs="楷体"/>
          <w:color w:val="auto"/>
          <w:highlight w:val="none"/>
          <w:lang w:eastAsia="zh-CN"/>
        </w:rPr>
        <w:t>土工合成材料铺设</w:t>
      </w:r>
    </w:p>
    <w:p w14:paraId="175ED21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）采用土工膜或复合土工膜作防渗体时，应规划好跨越土工膜的行驶道路。当车辆、设备等跨越土工膜时，应采取相应的保护措施，防止损伤已铺设的土工合成材料。</w:t>
      </w:r>
    </w:p>
    <w:p w14:paraId="1FA891D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）土工合成材料的铺设方法应根据坝高和材料的受力方向、施工过程中的度汛要求以及尽量减少接缝的数量等因素确定。</w:t>
      </w:r>
    </w:p>
    <w:p w14:paraId="7F85F2A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）为防止大风吹损，在铺设期间应采用砂袋或软性重物将土工合成材料压住。当天铺设的土工合成材料应在当天拼接完成。</w:t>
      </w:r>
    </w:p>
    <w:p w14:paraId="44F6A07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对施工过程中遭受损坏的土工合成材料，应及时修理，修理时应将破坏部位不符合要求的料物清除干净，补充填入合格料物后进行平整。对受损的土工合成材料，应外铺一层合格的土工合成材料，其各边长度应大于破损部位</w:t>
      </w:r>
      <w:r>
        <w:rPr>
          <w:rFonts w:hAnsi="Times New Roman" w:cs="Times New Roman"/>
          <w:color w:val="auto"/>
          <w:highlight w:val="none"/>
          <w:u w:val="single"/>
          <w:lang w:eastAsia="zh-CN"/>
        </w:rPr>
        <w:t>1m</w:t>
      </w:r>
      <w:r>
        <w:rPr>
          <w:rFonts w:cs="宋体"/>
          <w:color w:val="auto"/>
          <w:highlight w:val="none"/>
          <w:lang w:eastAsia="zh-CN"/>
        </w:rPr>
        <w:t>以上，并将两者进行拼接处理。</w:t>
      </w:r>
    </w:p>
    <w:p w14:paraId="38CAF11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）斜墙上土工合成材料的铺设应遵守以下规定：</w:t>
      </w:r>
    </w:p>
    <w:p w14:paraId="619C81C4">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）土工合成材料铺设前，应按施工图纸要求完成支持层施工，支持层应碾压密实，坡面平整。</w:t>
      </w:r>
    </w:p>
    <w:p w14:paraId="0CF240CE">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）开挖基础锚固槽和坡面防滑槽，其断面尺寸应符合施工图纸的规定。</w:t>
      </w:r>
    </w:p>
    <w:p w14:paraId="7A1237F2">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）对基础锚固槽、坡面防滑槽和坝坡坡面进行清理和验收后，由上向下滚铺卷材。</w:t>
      </w:r>
    </w:p>
    <w:p w14:paraId="282128FE">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）铺设过程中，作业人员不得穿硬底皮鞋及带钉鞋。不准在土工合成材料上卸放护坡块体，不准用带尖头的撬动工具，不准进行可能引起土工合成材料损坏的施工作业。</w:t>
      </w:r>
    </w:p>
    <w:p w14:paraId="533237E7">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）土工合成材料与基础及支持层之间应压平贴紧，避免架空。对易产生架空现象的坝面马道部位可设置水平槽。</w:t>
      </w:r>
    </w:p>
    <w:p w14:paraId="107037B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）心墙土工合成材料铺设应遵守以下规定：</w:t>
      </w:r>
    </w:p>
    <w:p w14:paraId="7A75DF9D">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）中央防渗的土工膜和复合土工膜应和坝体填筑同时进行，按</w:t>
      </w:r>
      <w:r>
        <w:rPr>
          <w:rFonts w:hAnsi="Times New Roman" w:cs="宋体"/>
          <w:color w:val="auto"/>
          <w:highlight w:val="none"/>
          <w:lang w:eastAsia="zh-CN"/>
        </w:rPr>
        <w:t>“</w:t>
      </w:r>
      <w:r>
        <w:rPr>
          <w:rFonts w:cs="宋体"/>
          <w:color w:val="auto"/>
          <w:highlight w:val="none"/>
          <w:lang w:eastAsia="zh-CN"/>
        </w:rPr>
        <w:t>之</w:t>
      </w:r>
      <w:r>
        <w:rPr>
          <w:rFonts w:hAnsi="Times New Roman" w:cs="宋体"/>
          <w:color w:val="auto"/>
          <w:highlight w:val="none"/>
          <w:lang w:eastAsia="zh-CN"/>
        </w:rPr>
        <w:t>”</w:t>
      </w:r>
      <w:r>
        <w:rPr>
          <w:rFonts w:cs="宋体"/>
          <w:color w:val="auto"/>
          <w:highlight w:val="none"/>
          <w:lang w:eastAsia="zh-CN"/>
        </w:rPr>
        <w:t>字形铺设。其具体折皱高度和折皱角度应满足施工图纸要求。</w:t>
      </w:r>
    </w:p>
    <w:p w14:paraId="2354CEFC">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）若沿坝轴线方向设有伸缩节、并采用单一土工隔膜时，应在隔膜两侧加细颗粒料或加土工织物。</w:t>
      </w:r>
    </w:p>
    <w:p w14:paraId="4CC27150">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）回填两侧砂砾石料时，在距土工膜</w:t>
      </w:r>
      <w:r>
        <w:rPr>
          <w:rFonts w:hAnsi="Times New Roman" w:cs="Times New Roman"/>
          <w:color w:val="auto"/>
          <w:highlight w:val="none"/>
          <w:u w:val="single"/>
          <w:lang w:eastAsia="zh-CN"/>
        </w:rPr>
        <w:t>50</w:t>
      </w:r>
      <w:r>
        <w:rPr>
          <w:rFonts w:cs="宋体"/>
          <w:color w:val="auto"/>
          <w:highlight w:val="none"/>
          <w:u w:val="single"/>
          <w:lang w:eastAsia="zh-CN"/>
        </w:rPr>
        <w:t>～</w:t>
      </w:r>
      <w:r>
        <w:rPr>
          <w:rFonts w:hAnsi="Times New Roman" w:cs="Times New Roman"/>
          <w:color w:val="auto"/>
          <w:highlight w:val="none"/>
          <w:u w:val="single"/>
          <w:lang w:eastAsia="zh-CN"/>
        </w:rPr>
        <w:t>100cm</w:t>
      </w:r>
      <w:r>
        <w:rPr>
          <w:rFonts w:cs="宋体"/>
          <w:color w:val="auto"/>
          <w:highlight w:val="none"/>
          <w:lang w:eastAsia="zh-CN"/>
        </w:rPr>
        <w:t>范围内只能用小型设备压实，不得用振动碾碾压。</w:t>
      </w:r>
    </w:p>
    <w:p w14:paraId="39BBF1E3">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）土工膜与周边连接施工。</w:t>
      </w:r>
    </w:p>
    <w:p w14:paraId="194DFAB9">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）土工膜应通过锚固槽与河床或岸坡的不透水基岩紧密连接，顶部应锚固于防浪墙的混凝土中，以形成整体防渗。其锚固长度应符合施工图纸的要求。</w:t>
      </w:r>
    </w:p>
    <w:p w14:paraId="1B64E497">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土工膜与周边的连接形式应符合施工图纸的要求。土工膜与下部混凝土防渗墙连接时，土工膜应直接埋入防渗墙混凝土内。与岸坡基岩或混凝土建筑物连接，可直接锚在基岩或混凝土面上，或埋入混凝土齿墙内，并同时在岸坡附近设伸缩节。</w:t>
      </w:r>
    </w:p>
    <w:p w14:paraId="4520B29E">
      <w:pPr>
        <w:pStyle w:val="5"/>
        <w:jc w:val="left"/>
        <w:rPr>
          <w:rFonts w:hAnsi="Times New Roman" w:cs="楷体"/>
          <w:color w:val="auto"/>
          <w:highlight w:val="none"/>
          <w:lang w:eastAsia="zh-CN"/>
        </w:rPr>
      </w:pPr>
      <w:r>
        <w:rPr>
          <w:rFonts w:hAnsi="Times New Roman" w:cs="Times New Roman"/>
          <w:color w:val="auto"/>
          <w:highlight w:val="none"/>
          <w:lang w:eastAsia="zh-CN"/>
        </w:rPr>
        <w:t>13.7.5</w:t>
      </w:r>
      <w:r>
        <w:rPr>
          <w:rFonts w:hint="eastAsia" w:hAnsi="Times New Roman" w:cs="Times New Roman"/>
          <w:color w:val="auto"/>
          <w:highlight w:val="none"/>
          <w:lang w:eastAsia="zh-CN"/>
        </w:rPr>
        <w:t>　</w:t>
      </w:r>
      <w:r>
        <w:rPr>
          <w:rFonts w:hAnsi="楷体" w:cs="楷体"/>
          <w:color w:val="auto"/>
          <w:highlight w:val="none"/>
          <w:lang w:eastAsia="zh-CN"/>
        </w:rPr>
        <w:t>保护层施工</w:t>
      </w:r>
    </w:p>
    <w:p w14:paraId="5CA4C9D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）当土工膜用于斜墙防渗时，应在铺设好的土工膜上进行保护层施工。保护层的形式应符合施工图纸的要求。</w:t>
      </w:r>
    </w:p>
    <w:p w14:paraId="45EB607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）混凝土或石料的保护层铺设应处理好基础，保证保护层不会滑动；土料保护层、应自下而上分层填筑，铺料厚度和压实干密度应满足施工图纸的要求。</w:t>
      </w:r>
    </w:p>
    <w:p w14:paraId="04A22E99">
      <w:pPr>
        <w:pStyle w:val="4"/>
        <w:spacing w:beforeLines="0" w:afterLines="0"/>
        <w:jc w:val="both"/>
        <w:rPr>
          <w:rFonts w:hint="eastAsia" w:cs="宋体"/>
          <w:bCs/>
          <w:color w:val="auto"/>
          <w:szCs w:val="24"/>
          <w:highlight w:val="none"/>
          <w:lang w:eastAsia="zh-CN"/>
        </w:rPr>
      </w:pPr>
      <w:bookmarkStart w:id="2104" w:name="_Toc17613"/>
      <w:bookmarkStart w:id="2105" w:name="_Toc23560"/>
      <w:bookmarkStart w:id="2106" w:name="_Toc12207"/>
      <w:r>
        <w:rPr>
          <w:rFonts w:hint="eastAsia" w:cs="宋体"/>
          <w:bCs/>
          <w:color w:val="auto"/>
          <w:szCs w:val="24"/>
          <w:highlight w:val="none"/>
          <w:lang w:eastAsia="zh-CN"/>
        </w:rPr>
        <w:t>13.8　质量检查和验收</w:t>
      </w:r>
      <w:bookmarkEnd w:id="2104"/>
      <w:bookmarkEnd w:id="2105"/>
      <w:bookmarkEnd w:id="2106"/>
    </w:p>
    <w:p w14:paraId="702B41FB">
      <w:pPr>
        <w:pStyle w:val="5"/>
        <w:jc w:val="left"/>
        <w:rPr>
          <w:rFonts w:hAnsi="Times New Roman" w:cs="楷体"/>
          <w:color w:val="auto"/>
          <w:highlight w:val="none"/>
          <w:lang w:eastAsia="zh-CN"/>
        </w:rPr>
      </w:pPr>
      <w:r>
        <w:rPr>
          <w:rFonts w:hAnsi="Times New Roman" w:cs="Times New Roman"/>
          <w:color w:val="auto"/>
          <w:highlight w:val="none"/>
          <w:lang w:eastAsia="zh-CN"/>
        </w:rPr>
        <w:t>13.8.1</w:t>
      </w:r>
      <w:r>
        <w:rPr>
          <w:rFonts w:hint="eastAsia" w:hAnsi="Times New Roman" w:cs="Times New Roman"/>
          <w:color w:val="auto"/>
          <w:highlight w:val="none"/>
          <w:lang w:eastAsia="zh-CN"/>
        </w:rPr>
        <w:t>　</w:t>
      </w:r>
      <w:r>
        <w:rPr>
          <w:rFonts w:hAnsi="楷体" w:cs="楷体"/>
          <w:color w:val="auto"/>
          <w:highlight w:val="none"/>
          <w:lang w:eastAsia="zh-CN"/>
        </w:rPr>
        <w:t>土石方填筑前的质量检查和验收</w:t>
      </w:r>
    </w:p>
    <w:p w14:paraId="36C9B1D7">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）填筑前的地形平面、剖面测量资料的复核检查。</w:t>
      </w:r>
    </w:p>
    <w:p w14:paraId="51ABEF4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）填筑前基础面清理的检查和验收。</w:t>
      </w:r>
    </w:p>
    <w:p w14:paraId="428B86F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）土石方填筑料的物理力学试验成果抽检。</w:t>
      </w:r>
    </w:p>
    <w:p w14:paraId="2E84620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）施工碾压参数及其试验成果的检查和验收。</w:t>
      </w:r>
    </w:p>
    <w:p w14:paraId="1B2366A1">
      <w:pPr>
        <w:pStyle w:val="5"/>
        <w:jc w:val="left"/>
        <w:rPr>
          <w:rFonts w:hAnsi="Times New Roman" w:cs="楷体"/>
          <w:color w:val="auto"/>
          <w:highlight w:val="none"/>
          <w:lang w:eastAsia="zh-CN"/>
        </w:rPr>
      </w:pPr>
      <w:r>
        <w:rPr>
          <w:rFonts w:hAnsi="Times New Roman" w:cs="Times New Roman"/>
          <w:color w:val="auto"/>
          <w:highlight w:val="none"/>
          <w:lang w:eastAsia="zh-CN"/>
        </w:rPr>
        <w:t>13.8.2</w:t>
      </w:r>
      <w:r>
        <w:rPr>
          <w:rFonts w:hint="eastAsia" w:hAnsi="Times New Roman" w:cs="Times New Roman"/>
          <w:color w:val="auto"/>
          <w:highlight w:val="none"/>
          <w:lang w:eastAsia="zh-CN"/>
        </w:rPr>
        <w:t>　</w:t>
      </w:r>
      <w:r>
        <w:rPr>
          <w:rFonts w:hAnsi="楷体" w:cs="楷体"/>
          <w:color w:val="auto"/>
          <w:highlight w:val="none"/>
          <w:lang w:eastAsia="zh-CN"/>
        </w:rPr>
        <w:t>土石方填筑过程的质量检查和验收</w:t>
      </w:r>
    </w:p>
    <w:p w14:paraId="1F23635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）坝体堆石料填筑过程的质量检查的内容、方法和程序应遵守《混凝土面板堆石坝施工规范》（</w:t>
      </w:r>
      <w:r>
        <w:rPr>
          <w:rFonts w:hAnsi="Times New Roman" w:cs="Times New Roman"/>
          <w:color w:val="auto"/>
          <w:highlight w:val="none"/>
          <w:lang w:eastAsia="zh-CN"/>
        </w:rPr>
        <w:t>SL49—2015</w:t>
      </w:r>
      <w:r>
        <w:rPr>
          <w:rFonts w:cs="宋体"/>
          <w:color w:val="auto"/>
          <w:highlight w:val="none"/>
          <w:lang w:eastAsia="zh-CN"/>
        </w:rPr>
        <w:t>）附录</w:t>
      </w:r>
      <w:r>
        <w:rPr>
          <w:rFonts w:hAnsi="Times New Roman" w:cs="Times New Roman"/>
          <w:color w:val="auto"/>
          <w:highlight w:val="none"/>
          <w:lang w:eastAsia="zh-CN"/>
        </w:rPr>
        <w:t>A</w:t>
      </w:r>
      <w:r>
        <w:rPr>
          <w:rFonts w:cs="宋体"/>
          <w:color w:val="auto"/>
          <w:highlight w:val="none"/>
          <w:lang w:eastAsia="zh-CN"/>
        </w:rPr>
        <w:t>的规定。</w:t>
      </w:r>
    </w:p>
    <w:p w14:paraId="6621CBA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）坝料填筑质量控制标准应符合本章第</w:t>
      </w:r>
      <w:r>
        <w:rPr>
          <w:rFonts w:hAnsi="Times New Roman" w:cs="Times New Roman"/>
          <w:color w:val="auto"/>
          <w:highlight w:val="none"/>
          <w:lang w:eastAsia="zh-CN"/>
        </w:rPr>
        <w:t>13.4</w:t>
      </w:r>
      <w:r>
        <w:rPr>
          <w:rFonts w:cs="宋体"/>
          <w:color w:val="auto"/>
          <w:highlight w:val="none"/>
          <w:lang w:eastAsia="zh-CN"/>
        </w:rPr>
        <w:t>条的规定。</w:t>
      </w:r>
    </w:p>
    <w:p w14:paraId="0D5CF4C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）在土料场对防渗土料的含水量和颗粒级配进行检验，严格控制上坝土料的含水量。</w:t>
      </w:r>
    </w:p>
    <w:p w14:paraId="3FA8F03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）在石料场对石料质量和尺寸外形及堆石料的级配进行检验；在反滤料场对成品料的颗粒级配、含水量、软弱颗粒含量和形状等进行检验。</w:t>
      </w:r>
    </w:p>
    <w:p w14:paraId="188ADCC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）对防渗土料的含水量和干密度、砾质土颗粒级配、反滤料和堆石料的干密度、孔隙率和颗粒级配等碾压参数进行检验。</w:t>
      </w:r>
    </w:p>
    <w:p w14:paraId="44F5887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）对土石方填筑的每一层填筑面，应按本章第</w:t>
      </w:r>
      <w:r>
        <w:rPr>
          <w:rFonts w:hAnsi="Times New Roman" w:cs="Times New Roman"/>
          <w:color w:val="auto"/>
          <w:highlight w:val="none"/>
          <w:lang w:eastAsia="zh-CN"/>
        </w:rPr>
        <w:t>13.4</w:t>
      </w:r>
      <w:r>
        <w:rPr>
          <w:rFonts w:cs="宋体"/>
          <w:color w:val="auto"/>
          <w:highlight w:val="none"/>
          <w:lang w:eastAsia="zh-CN"/>
        </w:rPr>
        <w:t>条、第</w:t>
      </w:r>
      <w:r>
        <w:rPr>
          <w:rFonts w:hAnsi="Times New Roman" w:cs="Times New Roman"/>
          <w:color w:val="auto"/>
          <w:highlight w:val="none"/>
          <w:lang w:eastAsia="zh-CN"/>
        </w:rPr>
        <w:t>13.6</w:t>
      </w:r>
      <w:r>
        <w:rPr>
          <w:rFonts w:cs="宋体"/>
          <w:color w:val="auto"/>
          <w:highlight w:val="none"/>
          <w:lang w:eastAsia="zh-CN"/>
        </w:rPr>
        <w:t>条的规定进行工程隐蔽部位的验收。</w:t>
      </w:r>
    </w:p>
    <w:p w14:paraId="371676C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）取样测定堆石料干密度，其平均值不应小于施工图纸规定的设计值。</w:t>
      </w:r>
    </w:p>
    <w:p w14:paraId="70E597C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）承包人应按监理人指示，针对本章第</w:t>
      </w:r>
      <w:r>
        <w:rPr>
          <w:rFonts w:hAnsi="Times New Roman" w:cs="Times New Roman"/>
          <w:color w:val="auto"/>
          <w:highlight w:val="none"/>
          <w:lang w:eastAsia="zh-CN"/>
        </w:rPr>
        <w:t>13.4</w:t>
      </w:r>
      <w:r>
        <w:rPr>
          <w:rFonts w:cs="宋体"/>
          <w:color w:val="auto"/>
          <w:highlight w:val="none"/>
          <w:lang w:eastAsia="zh-CN"/>
        </w:rPr>
        <w:t>条、第</w:t>
      </w:r>
      <w:r>
        <w:rPr>
          <w:rFonts w:hAnsi="Times New Roman" w:cs="Times New Roman"/>
          <w:color w:val="auto"/>
          <w:highlight w:val="none"/>
          <w:lang w:eastAsia="zh-CN"/>
        </w:rPr>
        <w:t>13.6</w:t>
      </w:r>
      <w:r>
        <w:rPr>
          <w:rFonts w:cs="宋体"/>
          <w:color w:val="auto"/>
          <w:highlight w:val="none"/>
          <w:lang w:eastAsia="zh-CN"/>
        </w:rPr>
        <w:t>条的施工内容，提交各项质量检查报经监理人验收后作为土石方填筑工程完工验收的附件。</w:t>
      </w:r>
    </w:p>
    <w:p w14:paraId="2D4BDD1F">
      <w:pPr>
        <w:pStyle w:val="5"/>
        <w:jc w:val="left"/>
        <w:rPr>
          <w:rFonts w:hAnsi="Times New Roman" w:cs="楷体"/>
          <w:color w:val="auto"/>
          <w:highlight w:val="none"/>
          <w:lang w:eastAsia="zh-CN"/>
        </w:rPr>
      </w:pPr>
      <w:r>
        <w:rPr>
          <w:rFonts w:hAnsi="Times New Roman" w:cs="Times New Roman"/>
          <w:color w:val="auto"/>
          <w:highlight w:val="none"/>
          <w:lang w:eastAsia="zh-CN"/>
        </w:rPr>
        <w:t>13.8.3</w:t>
      </w:r>
      <w:r>
        <w:rPr>
          <w:rFonts w:hint="eastAsia" w:hAnsi="Times New Roman" w:cs="Times New Roman"/>
          <w:color w:val="auto"/>
          <w:highlight w:val="none"/>
          <w:lang w:eastAsia="zh-CN"/>
        </w:rPr>
        <w:t>　</w:t>
      </w:r>
      <w:r>
        <w:rPr>
          <w:rFonts w:hAnsi="楷体" w:cs="楷体"/>
          <w:color w:val="auto"/>
          <w:highlight w:val="none"/>
          <w:lang w:eastAsia="zh-CN"/>
        </w:rPr>
        <w:t>堤防工程的施工质量控制和验收</w:t>
      </w:r>
    </w:p>
    <w:p w14:paraId="40347A7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）堤防工程填筑质量标准应符合本章第</w:t>
      </w:r>
      <w:r>
        <w:rPr>
          <w:rFonts w:hAnsi="Times New Roman" w:cs="Times New Roman"/>
          <w:color w:val="auto"/>
          <w:highlight w:val="none"/>
          <w:lang w:eastAsia="zh-CN"/>
        </w:rPr>
        <w:t>13.6.2</w:t>
      </w:r>
      <w:r>
        <w:rPr>
          <w:rFonts w:cs="宋体"/>
          <w:color w:val="auto"/>
          <w:highlight w:val="none"/>
          <w:lang w:eastAsia="zh-CN"/>
        </w:rPr>
        <w:t>项的规定。</w:t>
      </w:r>
    </w:p>
    <w:p w14:paraId="2E30266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）堤防工程施工质量控制和验收应遵守《堤防工程施工规范》（</w:t>
      </w:r>
      <w:r>
        <w:rPr>
          <w:rFonts w:hAnsi="Times New Roman" w:cs="Times New Roman"/>
          <w:color w:val="auto"/>
          <w:highlight w:val="none"/>
          <w:lang w:eastAsia="zh-CN"/>
        </w:rPr>
        <w:t>SL260—2014</w:t>
      </w:r>
      <w:r>
        <w:rPr>
          <w:rFonts w:cs="宋体"/>
          <w:color w:val="auto"/>
          <w:highlight w:val="none"/>
          <w:lang w:eastAsia="zh-CN"/>
        </w:rPr>
        <w:t>）第</w:t>
      </w:r>
      <w:r>
        <w:rPr>
          <w:rFonts w:hAnsi="Times New Roman" w:cs="Times New Roman"/>
          <w:color w:val="auto"/>
          <w:highlight w:val="none"/>
          <w:lang w:eastAsia="zh-CN"/>
        </w:rPr>
        <w:t>11</w:t>
      </w:r>
      <w:r>
        <w:rPr>
          <w:rFonts w:cs="宋体"/>
          <w:color w:val="auto"/>
          <w:highlight w:val="none"/>
          <w:lang w:eastAsia="zh-CN"/>
        </w:rPr>
        <w:t>章、第</w:t>
      </w:r>
      <w:r>
        <w:rPr>
          <w:rFonts w:hAnsi="Times New Roman" w:cs="Times New Roman"/>
          <w:color w:val="auto"/>
          <w:highlight w:val="none"/>
          <w:lang w:eastAsia="zh-CN"/>
        </w:rPr>
        <w:t>12</w:t>
      </w:r>
      <w:r>
        <w:rPr>
          <w:rFonts w:cs="宋体"/>
          <w:color w:val="auto"/>
          <w:highlight w:val="none"/>
          <w:lang w:eastAsia="zh-CN"/>
        </w:rPr>
        <w:t>章的规定。</w:t>
      </w:r>
    </w:p>
    <w:p w14:paraId="5FD8DF75">
      <w:pPr>
        <w:pStyle w:val="5"/>
        <w:jc w:val="left"/>
        <w:rPr>
          <w:rFonts w:hAnsi="Times New Roman" w:cs="楷体"/>
          <w:color w:val="auto"/>
          <w:highlight w:val="none"/>
          <w:lang w:eastAsia="zh-CN"/>
        </w:rPr>
      </w:pPr>
      <w:r>
        <w:rPr>
          <w:rFonts w:hAnsi="Times New Roman" w:cs="Times New Roman"/>
          <w:color w:val="auto"/>
          <w:highlight w:val="none"/>
          <w:lang w:eastAsia="zh-CN"/>
        </w:rPr>
        <w:t>13.8.4</w:t>
      </w:r>
      <w:r>
        <w:rPr>
          <w:rFonts w:hint="eastAsia" w:hAnsi="Times New Roman" w:cs="Times New Roman"/>
          <w:color w:val="auto"/>
          <w:highlight w:val="none"/>
          <w:lang w:eastAsia="zh-CN"/>
        </w:rPr>
        <w:t>　</w:t>
      </w:r>
      <w:r>
        <w:rPr>
          <w:rFonts w:hAnsi="楷体" w:cs="楷体"/>
          <w:color w:val="auto"/>
          <w:highlight w:val="none"/>
          <w:lang w:eastAsia="zh-CN"/>
        </w:rPr>
        <w:t>土工合成材料防渗体的质量检查和验收</w:t>
      </w:r>
    </w:p>
    <w:p w14:paraId="2E4AC62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）承包人应按本章第</w:t>
      </w:r>
      <w:r>
        <w:rPr>
          <w:rFonts w:hAnsi="Times New Roman" w:cs="Times New Roman"/>
          <w:color w:val="auto"/>
          <w:highlight w:val="none"/>
          <w:lang w:eastAsia="zh-CN"/>
        </w:rPr>
        <w:t>13.8.1</w:t>
      </w:r>
      <w:r>
        <w:rPr>
          <w:rFonts w:cs="宋体"/>
          <w:color w:val="auto"/>
          <w:highlight w:val="none"/>
          <w:lang w:eastAsia="zh-CN"/>
        </w:rPr>
        <w:t>项的有关规定。对运到工地的每批土工合成材料进行检查和验收。</w:t>
      </w:r>
    </w:p>
    <w:p w14:paraId="211F674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）每层土工合成材料被回填覆盖前，承包人应会同监理人按工程隐蔽部位的验收要求，对土工合成材料防渗体施工质量进行以下项目的检验和验收：</w:t>
      </w:r>
    </w:p>
    <w:p w14:paraId="09033937">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）每层土工合成材料被覆盖前，应根据《水利水电工程土工合成材料应用技术规范》（</w:t>
      </w:r>
      <w:r>
        <w:rPr>
          <w:rFonts w:hAnsi="Times New Roman" w:cs="Times New Roman"/>
          <w:color w:val="auto"/>
          <w:highlight w:val="none"/>
          <w:lang w:eastAsia="zh-CN"/>
        </w:rPr>
        <w:t>SL/T225—1998</w:t>
      </w:r>
      <w:r>
        <w:rPr>
          <w:rFonts w:cs="宋体"/>
          <w:color w:val="auto"/>
          <w:highlight w:val="none"/>
          <w:lang w:eastAsia="zh-CN"/>
        </w:rPr>
        <w:t>）第</w:t>
      </w:r>
      <w:r>
        <w:rPr>
          <w:rFonts w:hAnsi="Times New Roman" w:cs="Times New Roman"/>
          <w:color w:val="auto"/>
          <w:highlight w:val="none"/>
          <w:lang w:eastAsia="zh-CN"/>
        </w:rPr>
        <w:t>5.6.9</w:t>
      </w:r>
      <w:r>
        <w:rPr>
          <w:rFonts w:cs="宋体"/>
          <w:color w:val="auto"/>
          <w:highlight w:val="none"/>
          <w:lang w:eastAsia="zh-CN"/>
        </w:rPr>
        <w:t>条第</w:t>
      </w:r>
      <w:r>
        <w:rPr>
          <w:rFonts w:hAnsi="Times New Roman" w:cs="Times New Roman"/>
          <w:color w:val="auto"/>
          <w:highlight w:val="none"/>
          <w:lang w:eastAsia="zh-CN"/>
        </w:rPr>
        <w:t>1</w:t>
      </w:r>
      <w:r>
        <w:rPr>
          <w:rFonts w:cs="宋体"/>
          <w:color w:val="auto"/>
          <w:highlight w:val="none"/>
          <w:lang w:eastAsia="zh-CN"/>
        </w:rPr>
        <w:t>项、第</w:t>
      </w:r>
      <w:r>
        <w:rPr>
          <w:rFonts w:hAnsi="Times New Roman" w:cs="Times New Roman"/>
          <w:color w:val="auto"/>
          <w:highlight w:val="none"/>
          <w:lang w:eastAsia="zh-CN"/>
        </w:rPr>
        <w:t>2</w:t>
      </w:r>
      <w:r>
        <w:rPr>
          <w:rFonts w:cs="宋体"/>
          <w:color w:val="auto"/>
          <w:highlight w:val="none"/>
          <w:lang w:eastAsia="zh-CN"/>
        </w:rPr>
        <w:t>项的规定，采用目测或用真空法、充气法检查有无漏接，接缝烫损和折皱等缺陷。</w:t>
      </w:r>
    </w:p>
    <w:p w14:paraId="3189F1A2">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）承包人应按《水利水电工程土工合成材料应用技术规范》（</w:t>
      </w:r>
      <w:r>
        <w:rPr>
          <w:rFonts w:hAnsi="Times New Roman" w:cs="Times New Roman"/>
          <w:color w:val="auto"/>
          <w:highlight w:val="none"/>
          <w:lang w:eastAsia="zh-CN"/>
        </w:rPr>
        <w:t>SL/T225—1998</w:t>
      </w:r>
      <w:r>
        <w:rPr>
          <w:rFonts w:cs="宋体"/>
          <w:color w:val="auto"/>
          <w:highlight w:val="none"/>
          <w:lang w:eastAsia="zh-CN"/>
        </w:rPr>
        <w:t>）第</w:t>
      </w:r>
      <w:r>
        <w:rPr>
          <w:rFonts w:hAnsi="Times New Roman" w:cs="Times New Roman"/>
          <w:color w:val="auto"/>
          <w:highlight w:val="none"/>
          <w:lang w:eastAsia="zh-CN"/>
        </w:rPr>
        <w:t>5.6.9</w:t>
      </w:r>
      <w:r>
        <w:rPr>
          <w:rFonts w:cs="宋体"/>
          <w:color w:val="auto"/>
          <w:highlight w:val="none"/>
          <w:lang w:eastAsia="zh-CN"/>
        </w:rPr>
        <w:t>条第</w:t>
      </w:r>
      <w:r>
        <w:rPr>
          <w:rFonts w:hAnsi="Times New Roman" w:cs="Times New Roman"/>
          <w:color w:val="auto"/>
          <w:highlight w:val="none"/>
          <w:lang w:eastAsia="zh-CN"/>
        </w:rPr>
        <w:t>3</w:t>
      </w:r>
      <w:r>
        <w:rPr>
          <w:rFonts w:cs="宋体"/>
          <w:color w:val="auto"/>
          <w:highlight w:val="none"/>
          <w:lang w:eastAsia="zh-CN"/>
        </w:rPr>
        <w:t>项的规定，进行拉伸强度试验，要求接缝处强度不低于母材的</w:t>
      </w:r>
      <w:r>
        <w:rPr>
          <w:rFonts w:hAnsi="Times New Roman" w:cs="Times New Roman"/>
          <w:color w:val="auto"/>
          <w:highlight w:val="none"/>
          <w:lang w:eastAsia="zh-CN"/>
        </w:rPr>
        <w:t>80%</w:t>
      </w:r>
      <w:r>
        <w:rPr>
          <w:rFonts w:cs="宋体"/>
          <w:color w:val="auto"/>
          <w:highlight w:val="none"/>
          <w:lang w:eastAsia="zh-CN"/>
        </w:rPr>
        <w:t>，且试件断裂不得在接缝处，防止接缝不合格。</w:t>
      </w:r>
    </w:p>
    <w:p w14:paraId="1EA566F0">
      <w:pPr>
        <w:pStyle w:val="5"/>
        <w:jc w:val="left"/>
        <w:rPr>
          <w:rFonts w:hAnsi="Times New Roman" w:cs="楷体"/>
          <w:color w:val="auto"/>
          <w:highlight w:val="none"/>
          <w:lang w:eastAsia="zh-CN"/>
        </w:rPr>
      </w:pPr>
      <w:r>
        <w:rPr>
          <w:rFonts w:hAnsi="Times New Roman" w:cs="Times New Roman"/>
          <w:color w:val="auto"/>
          <w:highlight w:val="none"/>
          <w:lang w:eastAsia="zh-CN"/>
        </w:rPr>
        <w:t>13.8.5</w:t>
      </w:r>
      <w:r>
        <w:rPr>
          <w:rFonts w:hint="eastAsia" w:hAnsi="Times New Roman" w:cs="Times New Roman"/>
          <w:color w:val="auto"/>
          <w:highlight w:val="none"/>
          <w:lang w:eastAsia="zh-CN"/>
        </w:rPr>
        <w:t>　</w:t>
      </w:r>
      <w:r>
        <w:rPr>
          <w:rFonts w:hAnsi="楷体" w:cs="楷体"/>
          <w:color w:val="auto"/>
          <w:highlight w:val="none"/>
          <w:lang w:eastAsia="zh-CN"/>
        </w:rPr>
        <w:t>完工验收</w:t>
      </w:r>
    </w:p>
    <w:p w14:paraId="5BE26F6E">
      <w:pPr>
        <w:ind w:firstLine="420"/>
        <w:jc w:val="left"/>
        <w:rPr>
          <w:rFonts w:hAnsi="Times New Roman" w:cs="宋体"/>
          <w:color w:val="auto"/>
          <w:highlight w:val="none"/>
          <w:lang w:eastAsia="zh-CN"/>
        </w:rPr>
      </w:pPr>
      <w:r>
        <w:rPr>
          <w:rFonts w:cs="宋体"/>
          <w:color w:val="auto"/>
          <w:highlight w:val="none"/>
          <w:lang w:eastAsia="zh-CN"/>
        </w:rPr>
        <w:t>填筑工程全部完工后，承包人应向监理人申请完工验收，并提交以下完工验收资料：</w:t>
      </w:r>
    </w:p>
    <w:p w14:paraId="0C52DDE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）坝（堤）体土石方填筑工程（包括填筑体防渗结构及土工布防渗结构）竣工图。</w:t>
      </w:r>
    </w:p>
    <w:p w14:paraId="61C62ED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）坝基及其排水孔（洞）、灌浆洞地质编录资料。</w:t>
      </w:r>
    </w:p>
    <w:p w14:paraId="26A79B4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）现场试验成果。</w:t>
      </w:r>
    </w:p>
    <w:p w14:paraId="0BA7B6F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）坝（堤）体填筑质量及土工布施工质量（包括质量事故处理）报告。</w:t>
      </w:r>
    </w:p>
    <w:p w14:paraId="3CC176B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）施工期坝（堤）体安全监测的观测成果。</w:t>
      </w:r>
    </w:p>
    <w:p w14:paraId="2C9CD1E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）工程隐蔽部位的检查验收报告。</w:t>
      </w:r>
    </w:p>
    <w:p w14:paraId="233D1B4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）监理人要求提供的其它资料。</w:t>
      </w:r>
    </w:p>
    <w:p w14:paraId="09926642">
      <w:pPr>
        <w:pStyle w:val="4"/>
        <w:spacing w:beforeLines="0" w:afterLines="0"/>
        <w:jc w:val="both"/>
        <w:rPr>
          <w:rFonts w:hint="eastAsia" w:cs="宋体"/>
          <w:bCs/>
          <w:color w:val="auto"/>
          <w:szCs w:val="24"/>
          <w:highlight w:val="none"/>
          <w:lang w:eastAsia="zh-CN"/>
        </w:rPr>
      </w:pPr>
      <w:bookmarkStart w:id="2107" w:name="_Toc21118"/>
      <w:bookmarkStart w:id="2108" w:name="_Toc18360"/>
      <w:bookmarkStart w:id="2109" w:name="_Toc4582"/>
      <w:r>
        <w:rPr>
          <w:rFonts w:hint="eastAsia" w:cs="宋体"/>
          <w:bCs/>
          <w:color w:val="auto"/>
          <w:szCs w:val="24"/>
          <w:highlight w:val="none"/>
          <w:lang w:eastAsia="zh-CN"/>
        </w:rPr>
        <w:t>13.9　计量和支付</w:t>
      </w:r>
      <w:bookmarkEnd w:id="2107"/>
      <w:bookmarkEnd w:id="2108"/>
      <w:bookmarkEnd w:id="2109"/>
    </w:p>
    <w:p w14:paraId="7C3A8DD8">
      <w:pPr>
        <w:pStyle w:val="5"/>
        <w:jc w:val="left"/>
        <w:rPr>
          <w:rFonts w:hAnsi="Times New Roman" w:cs="楷体"/>
          <w:color w:val="auto"/>
          <w:highlight w:val="none"/>
          <w:lang w:eastAsia="zh-CN"/>
        </w:rPr>
      </w:pPr>
      <w:r>
        <w:rPr>
          <w:rFonts w:hAnsi="Times New Roman" w:cs="Times New Roman"/>
          <w:color w:val="auto"/>
          <w:highlight w:val="none"/>
          <w:lang w:eastAsia="zh-CN"/>
        </w:rPr>
        <w:t>13.9.</w:t>
      </w:r>
      <w:r>
        <w:rPr>
          <w:rFonts w:hint="eastAsia" w:hAnsi="Times New Roman" w:cs="Times New Roman"/>
          <w:color w:val="auto"/>
          <w:highlight w:val="none"/>
          <w:lang w:val="en-US" w:eastAsia="zh-CN"/>
        </w:rPr>
        <w:t>1</w:t>
      </w:r>
      <w:r>
        <w:rPr>
          <w:rFonts w:hint="eastAsia" w:hAnsi="Times New Roman" w:cs="Times New Roman"/>
          <w:color w:val="auto"/>
          <w:highlight w:val="none"/>
          <w:lang w:eastAsia="zh-CN"/>
        </w:rPr>
        <w:t>　</w:t>
      </w:r>
      <w:r>
        <w:rPr>
          <w:rFonts w:hAnsi="楷体" w:cs="楷体"/>
          <w:color w:val="auto"/>
          <w:highlight w:val="none"/>
          <w:lang w:eastAsia="zh-CN"/>
        </w:rPr>
        <w:t>土工合成材料防渗体</w:t>
      </w:r>
    </w:p>
    <w:p w14:paraId="4345FA7D">
      <w:pPr>
        <w:ind w:firstLine="420"/>
        <w:jc w:val="left"/>
        <w:rPr>
          <w:rFonts w:hAnsi="Times New Roman" w:cs="宋体"/>
          <w:color w:val="auto"/>
          <w:highlight w:val="none"/>
          <w:lang w:eastAsia="zh-CN"/>
        </w:rPr>
      </w:pPr>
      <w:r>
        <w:rPr>
          <w:rFonts w:cs="宋体"/>
          <w:color w:val="auto"/>
          <w:highlight w:val="none"/>
          <w:lang w:eastAsia="zh-CN"/>
        </w:rPr>
        <w:t>土工合成材料的铺设按施工图纸所示尺寸计算的有效面积以平方米为单位计量，由发包人按《工程量清单》相应项目有效工程量的每平方米工程单价支付。</w:t>
      </w:r>
    </w:p>
    <w:p w14:paraId="32B1A7A8">
      <w:pPr>
        <w:ind w:firstLine="420"/>
        <w:jc w:val="left"/>
        <w:rPr>
          <w:rFonts w:hAnsi="Times New Roman" w:cs="宋体"/>
          <w:color w:val="auto"/>
          <w:highlight w:val="none"/>
          <w:lang w:eastAsia="zh-CN"/>
        </w:rPr>
      </w:pPr>
      <w:r>
        <w:rPr>
          <w:rFonts w:cs="宋体"/>
          <w:color w:val="auto"/>
          <w:highlight w:val="none"/>
          <w:lang w:eastAsia="zh-CN"/>
        </w:rPr>
        <w:t>土工合成材料的接缝搭接面积和褶皱面积、抽样检验等所发生的费用包含在《工程量清单》相应项目有效工程量的工程单价中，发包人不另行支付。</w:t>
      </w:r>
    </w:p>
    <w:p w14:paraId="0E9D8D4E">
      <w:pPr>
        <w:pStyle w:val="3"/>
        <w:spacing w:beforeLines="0" w:afterLines="0" w:line="360" w:lineRule="auto"/>
        <w:jc w:val="both"/>
        <w:outlineLvl w:val="1"/>
        <w:rPr>
          <w:rFonts w:hint="eastAsia" w:cs="宋体"/>
          <w:color w:val="auto"/>
          <w:sz w:val="30"/>
          <w:szCs w:val="30"/>
          <w:highlight w:val="none"/>
        </w:rPr>
      </w:pPr>
      <w:bookmarkStart w:id="2110" w:name="_Toc3278"/>
      <w:bookmarkStart w:id="2111" w:name="_Toc27818"/>
      <w:bookmarkStart w:id="2112" w:name="_Toc14768"/>
      <w:bookmarkStart w:id="2113" w:name="_Toc7856"/>
      <w:bookmarkStart w:id="2114" w:name="_Toc26975"/>
      <w:bookmarkStart w:id="2115" w:name="_Toc26960"/>
      <w:bookmarkStart w:id="2116" w:name="_Toc24665"/>
      <w:bookmarkStart w:id="2117" w:name="_Toc20091"/>
      <w:bookmarkStart w:id="2118" w:name="_Toc27464"/>
      <w:bookmarkStart w:id="2119" w:name="_Toc24050"/>
      <w:bookmarkStart w:id="2120" w:name="_Toc23826"/>
      <w:bookmarkStart w:id="2121" w:name="_Toc2501"/>
      <w:bookmarkStart w:id="2122" w:name="_Toc10152"/>
      <w:bookmarkStart w:id="2123" w:name="_Toc11511"/>
      <w:bookmarkStart w:id="2124" w:name="_Toc29471"/>
      <w:r>
        <w:rPr>
          <w:rFonts w:hint="eastAsia" w:cs="宋体"/>
          <w:color w:val="auto"/>
          <w:sz w:val="30"/>
          <w:szCs w:val="30"/>
          <w:highlight w:val="none"/>
        </w:rPr>
        <w:t>14</w:t>
      </w:r>
      <w:r>
        <w:rPr>
          <w:rFonts w:hint="eastAsia" w:cs="宋体"/>
          <w:color w:val="auto"/>
          <w:sz w:val="30"/>
          <w:szCs w:val="30"/>
          <w:highlight w:val="none"/>
          <w:lang w:eastAsia="zh-CN"/>
        </w:rPr>
        <w:t>　</w:t>
      </w:r>
      <w:r>
        <w:rPr>
          <w:rFonts w:hint="eastAsia" w:cs="宋体"/>
          <w:color w:val="auto"/>
          <w:sz w:val="30"/>
          <w:szCs w:val="30"/>
          <w:highlight w:val="none"/>
        </w:rPr>
        <w:t>混凝土工程</w:t>
      </w:r>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p>
    <w:p w14:paraId="283C364D">
      <w:pPr>
        <w:pStyle w:val="4"/>
        <w:spacing w:beforeLines="0" w:afterLines="0"/>
        <w:jc w:val="both"/>
        <w:rPr>
          <w:rFonts w:hint="eastAsia" w:cs="宋体"/>
          <w:bCs/>
          <w:color w:val="auto"/>
          <w:szCs w:val="24"/>
          <w:highlight w:val="none"/>
          <w:lang w:eastAsia="zh-CN"/>
        </w:rPr>
      </w:pPr>
      <w:bookmarkStart w:id="2125" w:name="_Toc10943"/>
      <w:bookmarkStart w:id="2126" w:name="_Toc18520"/>
      <w:bookmarkStart w:id="2127" w:name="_Toc23298"/>
      <w:r>
        <w:rPr>
          <w:rFonts w:hint="eastAsia" w:cs="宋体"/>
          <w:bCs/>
          <w:color w:val="auto"/>
          <w:szCs w:val="24"/>
          <w:highlight w:val="none"/>
          <w:lang w:eastAsia="zh-CN"/>
        </w:rPr>
        <w:t>14.1　一般规定</w:t>
      </w:r>
      <w:bookmarkEnd w:id="2125"/>
      <w:bookmarkEnd w:id="2126"/>
      <w:bookmarkEnd w:id="2127"/>
    </w:p>
    <w:p w14:paraId="055423C5">
      <w:pPr>
        <w:pStyle w:val="5"/>
        <w:jc w:val="left"/>
        <w:rPr>
          <w:rFonts w:hAnsi="Times New Roman" w:cs="楷体"/>
          <w:color w:val="auto"/>
          <w:highlight w:val="none"/>
          <w:lang w:eastAsia="zh-CN"/>
        </w:rPr>
      </w:pPr>
      <w:r>
        <w:rPr>
          <w:rFonts w:hAnsi="Times New Roman" w:cs="Times New Roman"/>
          <w:color w:val="auto"/>
          <w:highlight w:val="none"/>
          <w:lang w:eastAsia="zh-CN"/>
        </w:rPr>
        <w:t>14.1.1</w:t>
      </w:r>
      <w:r>
        <w:rPr>
          <w:rFonts w:hint="eastAsia" w:hAnsi="Times New Roman" w:cs="Times New Roman"/>
          <w:color w:val="auto"/>
          <w:highlight w:val="none"/>
          <w:lang w:eastAsia="zh-CN"/>
        </w:rPr>
        <w:t>　</w:t>
      </w:r>
      <w:r>
        <w:rPr>
          <w:rFonts w:hAnsi="楷体" w:cs="楷体"/>
          <w:color w:val="auto"/>
          <w:highlight w:val="none"/>
          <w:lang w:eastAsia="zh-CN"/>
        </w:rPr>
        <w:t>应用范围</w:t>
      </w:r>
    </w:p>
    <w:p w14:paraId="316B1F8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）本章规定适用于本合同施工图纸所示的永久和临时建筑物的各类混凝土（含钢筋混凝土）工程的施工，包括混凝土、水下混凝土以及泵送混凝土等。</w:t>
      </w:r>
    </w:p>
    <w:p w14:paraId="64CA62A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本章主要的施工内容包括：混凝土生产（包括混凝土材料、配合比设计、混凝拌制及混凝土的取样和检验等），管路和预埋件施工，止水、伸缩缝和坝体排水施工，混凝土运输、浇筑以及温度控制和混凝土养护等。</w:t>
      </w:r>
    </w:p>
    <w:p w14:paraId="15A86F4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）本章规定还包括混凝土工程各种类型的模板与钢筋的制作和安装，混凝土模板、钢模板、悬臂模板和特种模板等。</w:t>
      </w:r>
    </w:p>
    <w:p w14:paraId="16A9F56B">
      <w:pPr>
        <w:pStyle w:val="5"/>
        <w:jc w:val="left"/>
        <w:rPr>
          <w:rFonts w:hAnsi="Times New Roman" w:cs="楷体"/>
          <w:color w:val="auto"/>
          <w:highlight w:val="none"/>
          <w:lang w:eastAsia="zh-CN"/>
        </w:rPr>
      </w:pPr>
      <w:r>
        <w:rPr>
          <w:rFonts w:hAnsi="Times New Roman" w:cs="Times New Roman"/>
          <w:color w:val="auto"/>
          <w:highlight w:val="none"/>
          <w:lang w:eastAsia="zh-CN"/>
        </w:rPr>
        <w:t>14.1.2</w:t>
      </w:r>
      <w:r>
        <w:rPr>
          <w:rFonts w:hint="eastAsia" w:hAnsi="Times New Roman" w:cs="Times New Roman"/>
          <w:color w:val="auto"/>
          <w:highlight w:val="none"/>
          <w:lang w:eastAsia="zh-CN"/>
        </w:rPr>
        <w:t>　</w:t>
      </w:r>
      <w:r>
        <w:rPr>
          <w:rFonts w:hAnsi="楷体" w:cs="楷体"/>
          <w:color w:val="auto"/>
          <w:highlight w:val="none"/>
          <w:lang w:eastAsia="zh-CN"/>
        </w:rPr>
        <w:t>承包人责任</w:t>
      </w:r>
    </w:p>
    <w:p w14:paraId="3FF409F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）除合同另有约定外，承包人应按本工程施工图纸的要求，负责砂、石骨料的生产、运输、贮存和使用。</w:t>
      </w:r>
    </w:p>
    <w:p w14:paraId="0253A38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）除合同另有约定外，承包人应负责修建本工程的混凝土拌和厂，包括其生产设备的采购、安装、运行管理、维护和拆除，并使其生产能力满足本合同规定的施工进度要求。</w:t>
      </w:r>
    </w:p>
    <w:p w14:paraId="56A0625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）承包人应负责本工程各种类型模板的</w:t>
      </w:r>
      <w:r>
        <w:rPr>
          <w:rFonts w:hint="eastAsia" w:cs="宋体"/>
          <w:color w:val="auto"/>
          <w:highlight w:val="none"/>
          <w:lang w:eastAsia="zh-CN"/>
        </w:rPr>
        <w:t>设计、</w:t>
      </w:r>
      <w:r>
        <w:rPr>
          <w:rFonts w:cs="宋体"/>
          <w:color w:val="auto"/>
          <w:highlight w:val="none"/>
          <w:lang w:eastAsia="zh-CN"/>
        </w:rPr>
        <w:t>制作、安装、拆除和维护，以及钢筋和锚筋的制作和安装。</w:t>
      </w:r>
    </w:p>
    <w:p w14:paraId="43CA5BD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）承包人应负责进行混凝土的室内试验、现场试验，以选定混凝土的原材料、最优配合比、施工工艺和浇筑程序。</w:t>
      </w:r>
    </w:p>
    <w:p w14:paraId="78DE6AC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）承包人应根据本合同技术条款和施工图纸所示的各种强度等级混凝土的质量要求，负责混凝土的拌和、运输、浇筑、温度控制和养护。</w:t>
      </w:r>
    </w:p>
    <w:p w14:paraId="260239F6">
      <w:pPr>
        <w:pStyle w:val="44"/>
        <w:ind w:firstLine="420"/>
        <w:jc w:val="left"/>
        <w:rPr>
          <w:color w:val="auto"/>
          <w:szCs w:val="21"/>
          <w:highlight w:val="none"/>
          <w:lang w:eastAsia="zh-CN"/>
        </w:rPr>
      </w:pPr>
      <w:r>
        <w:rPr>
          <w:color w:val="auto"/>
          <w:szCs w:val="21"/>
          <w:highlight w:val="none"/>
          <w:lang w:eastAsia="zh-CN"/>
        </w:rPr>
        <w:t>（</w:t>
      </w:r>
      <w:r>
        <w:rPr>
          <w:rFonts w:hint="eastAsia"/>
          <w:color w:val="auto"/>
          <w:szCs w:val="21"/>
          <w:highlight w:val="none"/>
          <w:lang w:val="en-US" w:eastAsia="zh-CN"/>
        </w:rPr>
        <w:t>6</w:t>
      </w:r>
      <w:r>
        <w:rPr>
          <w:color w:val="auto"/>
          <w:szCs w:val="21"/>
          <w:highlight w:val="none"/>
          <w:lang w:eastAsia="zh-CN"/>
        </w:rPr>
        <w:t>）负责提供止水和止浆、施工缝、膨胀缝、收缩缝、控制缝等所需的材料及其制作、安装和施工。</w:t>
      </w:r>
    </w:p>
    <w:p w14:paraId="6C145091">
      <w:pPr>
        <w:pStyle w:val="44"/>
        <w:ind w:firstLine="420"/>
        <w:jc w:val="left"/>
        <w:rPr>
          <w:color w:val="auto"/>
          <w:szCs w:val="21"/>
          <w:highlight w:val="none"/>
          <w:lang w:eastAsia="zh-CN"/>
        </w:rPr>
      </w:pPr>
      <w:r>
        <w:rPr>
          <w:color w:val="auto"/>
          <w:szCs w:val="21"/>
          <w:highlight w:val="none"/>
          <w:lang w:eastAsia="zh-CN"/>
        </w:rPr>
        <w:t>（</w:t>
      </w:r>
      <w:r>
        <w:rPr>
          <w:rFonts w:hint="eastAsia"/>
          <w:color w:val="auto"/>
          <w:szCs w:val="21"/>
          <w:highlight w:val="none"/>
          <w:lang w:val="en-US" w:eastAsia="zh-CN"/>
        </w:rPr>
        <w:t>7</w:t>
      </w:r>
      <w:r>
        <w:rPr>
          <w:color w:val="auto"/>
          <w:szCs w:val="21"/>
          <w:highlight w:val="none"/>
          <w:lang w:eastAsia="zh-CN"/>
        </w:rPr>
        <w:t>）应按施工图纸要求及监理人指示负责混凝土浇筑前的地下水引、排、截、堵处理及混凝土浇筑完成后封堵处理。</w:t>
      </w:r>
    </w:p>
    <w:p w14:paraId="7ED670B2">
      <w:pPr>
        <w:pStyle w:val="44"/>
        <w:ind w:firstLine="420"/>
        <w:jc w:val="left"/>
        <w:rPr>
          <w:color w:val="auto"/>
          <w:szCs w:val="21"/>
          <w:highlight w:val="none"/>
          <w:lang w:eastAsia="zh-CN"/>
        </w:rPr>
      </w:pPr>
      <w:r>
        <w:rPr>
          <w:color w:val="auto"/>
          <w:szCs w:val="21"/>
          <w:highlight w:val="none"/>
          <w:lang w:eastAsia="zh-CN"/>
        </w:rPr>
        <w:t>（</w:t>
      </w:r>
      <w:r>
        <w:rPr>
          <w:rFonts w:hint="eastAsia"/>
          <w:color w:val="auto"/>
          <w:szCs w:val="21"/>
          <w:highlight w:val="none"/>
          <w:lang w:val="en-US" w:eastAsia="zh-CN"/>
        </w:rPr>
        <w:t>8</w:t>
      </w:r>
      <w:r>
        <w:rPr>
          <w:color w:val="auto"/>
          <w:szCs w:val="21"/>
          <w:highlight w:val="none"/>
          <w:lang w:eastAsia="zh-CN"/>
        </w:rPr>
        <w:t>）应按设计要求及各种设备技术要求保证各种设备、埋件基础混凝土面的平整度，并负责混凝土覆盖的基岩面的修整。</w:t>
      </w:r>
    </w:p>
    <w:p w14:paraId="44CB1D0A">
      <w:pPr>
        <w:pStyle w:val="44"/>
        <w:ind w:firstLine="420"/>
        <w:jc w:val="left"/>
        <w:rPr>
          <w:color w:val="auto"/>
          <w:szCs w:val="21"/>
          <w:highlight w:val="none"/>
          <w:lang w:eastAsia="zh-CN"/>
        </w:rPr>
      </w:pPr>
      <w:r>
        <w:rPr>
          <w:color w:val="auto"/>
          <w:szCs w:val="21"/>
          <w:highlight w:val="none"/>
          <w:lang w:eastAsia="zh-CN"/>
        </w:rPr>
        <w:t>（</w:t>
      </w:r>
      <w:r>
        <w:rPr>
          <w:rFonts w:hint="eastAsia"/>
          <w:color w:val="auto"/>
          <w:szCs w:val="21"/>
          <w:highlight w:val="none"/>
          <w:lang w:val="en-US" w:eastAsia="zh-CN"/>
        </w:rPr>
        <w:t>9</w:t>
      </w:r>
      <w:r>
        <w:rPr>
          <w:color w:val="auto"/>
          <w:szCs w:val="21"/>
          <w:highlight w:val="none"/>
          <w:lang w:eastAsia="zh-CN"/>
        </w:rPr>
        <w:t>）负责提供钢筋混凝土结构的钢筋材料及其制作、运输和安装。</w:t>
      </w:r>
    </w:p>
    <w:p w14:paraId="6EF96334">
      <w:pPr>
        <w:pStyle w:val="44"/>
        <w:ind w:firstLine="420"/>
        <w:jc w:val="left"/>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0</w:t>
      </w:r>
      <w:r>
        <w:rPr>
          <w:color w:val="auto"/>
          <w:szCs w:val="21"/>
          <w:highlight w:val="none"/>
          <w:lang w:eastAsia="zh-CN"/>
        </w:rPr>
        <w:t>）负责提供混凝土温度控制所需的材料和有关设施设备的采购、供应、制作和安装，并进行混凝土冷却。</w:t>
      </w:r>
    </w:p>
    <w:p w14:paraId="08B4F41F">
      <w:pPr>
        <w:pStyle w:val="44"/>
        <w:ind w:firstLine="420"/>
        <w:jc w:val="left"/>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1</w:t>
      </w:r>
      <w:r>
        <w:rPr>
          <w:color w:val="auto"/>
          <w:szCs w:val="21"/>
          <w:highlight w:val="none"/>
          <w:lang w:eastAsia="zh-CN"/>
        </w:rPr>
        <w:t>）负责提供坝体接缝灌浆和陡坡接触灌浆所需的材料和有关设施设备的采购、供应、制作和安装，并进行接缝灌浆和接触灌浆。</w:t>
      </w:r>
    </w:p>
    <w:p w14:paraId="4BAC47D7">
      <w:pPr>
        <w:pStyle w:val="44"/>
        <w:ind w:firstLine="420"/>
        <w:jc w:val="left"/>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2</w:t>
      </w:r>
      <w:r>
        <w:rPr>
          <w:color w:val="auto"/>
          <w:szCs w:val="21"/>
          <w:highlight w:val="none"/>
          <w:lang w:eastAsia="zh-CN"/>
        </w:rPr>
        <w:t>）负责提供混凝土表面保护所需的材料和有关设备的采购、供应、制作、安装。</w:t>
      </w:r>
    </w:p>
    <w:p w14:paraId="0281766A">
      <w:pPr>
        <w:pStyle w:val="44"/>
        <w:ind w:firstLine="420"/>
        <w:jc w:val="left"/>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3</w:t>
      </w:r>
      <w:r>
        <w:rPr>
          <w:color w:val="auto"/>
          <w:szCs w:val="21"/>
          <w:highlight w:val="none"/>
          <w:lang w:eastAsia="zh-CN"/>
        </w:rPr>
        <w:t>）</w:t>
      </w:r>
      <w:r>
        <w:rPr>
          <w:rFonts w:hint="eastAsia"/>
          <w:color w:val="auto"/>
          <w:szCs w:val="21"/>
          <w:highlight w:val="none"/>
          <w:lang w:eastAsia="zh-CN"/>
        </w:rPr>
        <w:t>承包人完成机电、金结、安全监测、信息化等预埋件安装，并配合其他单位完成设备安装工作</w:t>
      </w:r>
      <w:r>
        <w:rPr>
          <w:color w:val="auto"/>
          <w:szCs w:val="21"/>
          <w:highlight w:val="none"/>
          <w:lang w:eastAsia="zh-CN"/>
        </w:rPr>
        <w:t>。</w:t>
      </w:r>
    </w:p>
    <w:p w14:paraId="39D8C849">
      <w:pPr>
        <w:pStyle w:val="44"/>
        <w:ind w:firstLine="420"/>
        <w:jc w:val="left"/>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4</w:t>
      </w:r>
      <w:r>
        <w:rPr>
          <w:color w:val="auto"/>
          <w:szCs w:val="21"/>
          <w:highlight w:val="none"/>
          <w:lang w:eastAsia="zh-CN"/>
        </w:rPr>
        <w:t>）由于承包人的责任造成的混凝土不满足施工图纸及合同文件的要求，其处理费用由承包人承担。</w:t>
      </w:r>
    </w:p>
    <w:p w14:paraId="48A09351">
      <w:pPr>
        <w:pStyle w:val="5"/>
        <w:jc w:val="left"/>
        <w:rPr>
          <w:rFonts w:hAnsi="Times New Roman" w:cs="楷体"/>
          <w:color w:val="auto"/>
          <w:highlight w:val="none"/>
          <w:lang w:eastAsia="zh-CN"/>
        </w:rPr>
      </w:pPr>
      <w:r>
        <w:rPr>
          <w:rFonts w:hAnsi="Times New Roman" w:cs="Times New Roman"/>
          <w:color w:val="auto"/>
          <w:highlight w:val="none"/>
          <w:lang w:eastAsia="zh-CN"/>
        </w:rPr>
        <w:t>14.1.3</w:t>
      </w:r>
      <w:r>
        <w:rPr>
          <w:rFonts w:hint="eastAsia" w:hAnsi="Times New Roman" w:cs="Times New Roman"/>
          <w:color w:val="auto"/>
          <w:highlight w:val="none"/>
          <w:lang w:eastAsia="zh-CN"/>
        </w:rPr>
        <w:t>　</w:t>
      </w:r>
      <w:r>
        <w:rPr>
          <w:rFonts w:hAnsi="楷体" w:cs="楷体"/>
          <w:color w:val="auto"/>
          <w:highlight w:val="none"/>
          <w:lang w:eastAsia="zh-CN"/>
        </w:rPr>
        <w:t>主要提交件</w:t>
      </w:r>
    </w:p>
    <w:p w14:paraId="39824F2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）混凝土浇筑施工措施计划：承包人应在混凝土工程开工前，编制混凝土浇筑的施工措施计划，提交监理人批准，其内容包括：</w:t>
      </w:r>
    </w:p>
    <w:p w14:paraId="47F0A108">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）混凝土浇筑所需的砂石料场（仓）、拌和厂、混凝土运输和浇筑设备、温度控制设施，以及混凝土试验等的布置、设备配置计划及其施工安装措施。</w:t>
      </w:r>
    </w:p>
    <w:p w14:paraId="4578DE46">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）各种混凝土配合比设计与室内混凝土试验计划。</w:t>
      </w:r>
    </w:p>
    <w:p w14:paraId="77A7665B">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）混凝土生产、运输、浇筑等的施工工艺和方法。</w:t>
      </w:r>
    </w:p>
    <w:p w14:paraId="2D916E54">
      <w:pPr>
        <w:ind w:firstLine="420"/>
        <w:jc w:val="left"/>
        <w:rPr>
          <w:rFonts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）现场工艺试验的措施计划。</w:t>
      </w:r>
    </w:p>
    <w:p w14:paraId="5781A07B">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）混凝土温度控制的专项技术措施。</w:t>
      </w:r>
    </w:p>
    <w:p w14:paraId="3C760B87">
      <w:pPr>
        <w:ind w:firstLine="420"/>
        <w:jc w:val="left"/>
        <w:rPr>
          <w:rFonts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）施工质量控制措施及其质量检查和检验方法等。</w:t>
      </w:r>
    </w:p>
    <w:p w14:paraId="14F6BC7E">
      <w:pPr>
        <w:pStyle w:val="7"/>
        <w:ind w:firstLine="420"/>
        <w:jc w:val="left"/>
        <w:rPr>
          <w:rFonts w:hAnsi="Times New Roman" w:cs="Times New Roman"/>
          <w:color w:val="auto"/>
          <w:highlight w:val="none"/>
          <w:lang w:eastAsia="zh-CN"/>
        </w:rPr>
      </w:pPr>
      <w:r>
        <w:rPr>
          <w:rFonts w:hint="eastAsia" w:hAnsi="Times New Roman" w:cs="Times New Roman"/>
          <w:color w:val="auto"/>
          <w:highlight w:val="none"/>
          <w:lang w:eastAsia="zh-CN"/>
        </w:rPr>
        <w:t>7）混凝土浇筑进度计划和资源配置等。</w:t>
      </w:r>
    </w:p>
    <w:p w14:paraId="41FC4D01">
      <w:pPr>
        <w:ind w:firstLine="420"/>
        <w:jc w:val="left"/>
        <w:rPr>
          <w:rFonts w:hAnsi="Times New Roman" w:cs="Times New Roman"/>
          <w:color w:val="auto"/>
          <w:highlight w:val="none"/>
          <w:lang w:eastAsia="zh-CN"/>
        </w:rPr>
      </w:pPr>
      <w:r>
        <w:rPr>
          <w:rFonts w:hint="eastAsia" w:hAnsi="Times New Roman" w:cs="Times New Roman"/>
          <w:color w:val="auto"/>
          <w:highlight w:val="none"/>
          <w:lang w:eastAsia="zh-CN"/>
        </w:rPr>
        <w:t>8）与混凝土浇筑进度匹配的机电、金结、安全监测、信息化等专业分包单位预埋件供应计划。</w:t>
      </w:r>
    </w:p>
    <w:p w14:paraId="66D50B6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）混凝土质量检查报表</w:t>
      </w:r>
    </w:p>
    <w:p w14:paraId="642D254E">
      <w:pPr>
        <w:pStyle w:val="44"/>
        <w:ind w:firstLine="420"/>
        <w:jc w:val="left"/>
        <w:rPr>
          <w:color w:val="auto"/>
          <w:szCs w:val="21"/>
          <w:highlight w:val="none"/>
          <w:lang w:eastAsia="zh-CN"/>
        </w:rPr>
      </w:pPr>
      <w:r>
        <w:rPr>
          <w:color w:val="auto"/>
          <w:szCs w:val="21"/>
          <w:highlight w:val="none"/>
          <w:lang w:eastAsia="zh-CN"/>
        </w:rPr>
        <w:t>承包人应按监理人的指示提供混凝土拌和与浇筑质量的施工记录报表，包括混凝土原材料的品质检查报表、强度等级和配合比试验成果、各种混凝土浇筑分块程序、浇筑记录、质量检查、事故处理、混凝土养护和表面保护等作业记录等。其内容包括：</w:t>
      </w:r>
    </w:p>
    <w:p w14:paraId="1282E527">
      <w:pPr>
        <w:pStyle w:val="44"/>
        <w:ind w:firstLine="420"/>
        <w:jc w:val="left"/>
        <w:rPr>
          <w:color w:val="auto"/>
          <w:szCs w:val="21"/>
          <w:highlight w:val="none"/>
          <w:lang w:eastAsia="zh-CN"/>
        </w:rPr>
      </w:pPr>
      <w:r>
        <w:rPr>
          <w:color w:val="auto"/>
          <w:szCs w:val="21"/>
          <w:highlight w:val="none"/>
          <w:lang w:eastAsia="zh-CN"/>
        </w:rPr>
        <w:t>①包逐月的混凝土浇筑数量、累计浇筑数量。</w:t>
      </w:r>
    </w:p>
    <w:p w14:paraId="4A1F9327">
      <w:pPr>
        <w:pStyle w:val="44"/>
        <w:ind w:firstLine="420"/>
        <w:jc w:val="left"/>
        <w:rPr>
          <w:color w:val="auto"/>
          <w:szCs w:val="21"/>
          <w:highlight w:val="none"/>
          <w:lang w:eastAsia="zh-CN"/>
        </w:rPr>
      </w:pPr>
      <w:r>
        <w:rPr>
          <w:color w:val="auto"/>
          <w:szCs w:val="21"/>
          <w:highlight w:val="none"/>
          <w:lang w:eastAsia="zh-CN"/>
        </w:rPr>
        <w:t>②包各种原材料的品种和质量检验成果（或其他承包人提供）。</w:t>
      </w:r>
    </w:p>
    <w:p w14:paraId="69FE1DB7">
      <w:pPr>
        <w:pStyle w:val="44"/>
        <w:ind w:firstLine="420"/>
        <w:jc w:val="left"/>
        <w:rPr>
          <w:color w:val="auto"/>
          <w:szCs w:val="21"/>
          <w:highlight w:val="none"/>
          <w:lang w:eastAsia="zh-CN"/>
        </w:rPr>
      </w:pPr>
      <w:r>
        <w:rPr>
          <w:color w:val="auto"/>
          <w:szCs w:val="21"/>
          <w:highlight w:val="none"/>
          <w:lang w:eastAsia="zh-CN"/>
        </w:rPr>
        <w:t>③包不同部位的混凝土等级和配合比。</w:t>
      </w:r>
    </w:p>
    <w:p w14:paraId="7428F1A5">
      <w:pPr>
        <w:pStyle w:val="44"/>
        <w:ind w:firstLine="420"/>
        <w:jc w:val="left"/>
        <w:rPr>
          <w:color w:val="auto"/>
          <w:szCs w:val="21"/>
          <w:highlight w:val="none"/>
          <w:lang w:eastAsia="zh-CN"/>
        </w:rPr>
      </w:pPr>
      <w:r>
        <w:rPr>
          <w:color w:val="auto"/>
          <w:szCs w:val="21"/>
          <w:highlight w:val="none"/>
          <w:lang w:eastAsia="zh-CN"/>
        </w:rPr>
        <w:t>④包月浇筑计划中各构件和块体实施浇筑起讫时间。</w:t>
      </w:r>
    </w:p>
    <w:p w14:paraId="1695C87F">
      <w:pPr>
        <w:pStyle w:val="44"/>
        <w:ind w:firstLine="420"/>
        <w:jc w:val="left"/>
        <w:rPr>
          <w:color w:val="auto"/>
          <w:szCs w:val="21"/>
          <w:highlight w:val="none"/>
          <w:lang w:eastAsia="zh-CN"/>
        </w:rPr>
      </w:pPr>
      <w:r>
        <w:rPr>
          <w:color w:val="auto"/>
          <w:szCs w:val="21"/>
          <w:highlight w:val="none"/>
          <w:lang w:eastAsia="zh-CN"/>
        </w:rPr>
        <w:t>⑤包混凝土的温控、保温、养护和表面保护的作业记录。</w:t>
      </w:r>
    </w:p>
    <w:p w14:paraId="0A23E71F">
      <w:pPr>
        <w:pStyle w:val="44"/>
        <w:ind w:firstLine="420"/>
        <w:jc w:val="left"/>
        <w:rPr>
          <w:color w:val="auto"/>
          <w:szCs w:val="21"/>
          <w:highlight w:val="none"/>
          <w:lang w:eastAsia="zh-CN"/>
        </w:rPr>
      </w:pPr>
      <w:r>
        <w:rPr>
          <w:color w:val="auto"/>
          <w:szCs w:val="21"/>
          <w:highlight w:val="none"/>
          <w:lang w:eastAsia="zh-CN"/>
        </w:rPr>
        <w:t>⑥包浇筑时的气温、混凝土出机口温度和浇筑温度。</w:t>
      </w:r>
    </w:p>
    <w:p w14:paraId="2FECC040">
      <w:pPr>
        <w:pStyle w:val="44"/>
        <w:ind w:firstLine="420"/>
        <w:jc w:val="left"/>
        <w:rPr>
          <w:color w:val="auto"/>
          <w:szCs w:val="21"/>
          <w:highlight w:val="none"/>
          <w:lang w:eastAsia="zh-CN"/>
        </w:rPr>
      </w:pPr>
      <w:r>
        <w:rPr>
          <w:color w:val="auto"/>
          <w:szCs w:val="21"/>
          <w:highlight w:val="none"/>
          <w:lang w:eastAsia="zh-CN"/>
        </w:rPr>
        <w:t>⑦包模板作业记录和各部位拆模时间。</w:t>
      </w:r>
    </w:p>
    <w:p w14:paraId="6CDDE719">
      <w:pPr>
        <w:pStyle w:val="44"/>
        <w:ind w:firstLine="420"/>
        <w:jc w:val="left"/>
        <w:rPr>
          <w:color w:val="auto"/>
          <w:szCs w:val="21"/>
          <w:highlight w:val="none"/>
          <w:lang w:eastAsia="zh-CN"/>
        </w:rPr>
      </w:pPr>
      <w:r>
        <w:rPr>
          <w:color w:val="auto"/>
          <w:szCs w:val="21"/>
          <w:highlight w:val="none"/>
          <w:lang w:eastAsia="zh-CN"/>
        </w:rPr>
        <w:t>⑧包钢筋作业记录和各构件及坝块实际钢筋用量。</w:t>
      </w:r>
    </w:p>
    <w:p w14:paraId="2E9E5051">
      <w:pPr>
        <w:pStyle w:val="44"/>
        <w:ind w:firstLine="420"/>
        <w:jc w:val="left"/>
        <w:rPr>
          <w:color w:val="auto"/>
          <w:szCs w:val="21"/>
          <w:highlight w:val="none"/>
          <w:lang w:eastAsia="zh-CN"/>
        </w:rPr>
      </w:pPr>
      <w:r>
        <w:rPr>
          <w:color w:val="auto"/>
          <w:szCs w:val="21"/>
          <w:highlight w:val="none"/>
          <w:lang w:eastAsia="zh-CN"/>
        </w:rPr>
        <w:t>⑨包混凝土试件的试验成果（或其他承包人提供）。</w:t>
      </w:r>
    </w:p>
    <w:p w14:paraId="17936B60">
      <w:pPr>
        <w:pStyle w:val="44"/>
        <w:ind w:firstLine="420"/>
        <w:jc w:val="left"/>
        <w:rPr>
          <w:color w:val="auto"/>
          <w:szCs w:val="21"/>
          <w:highlight w:val="none"/>
          <w:lang w:eastAsia="zh-CN"/>
        </w:rPr>
      </w:pPr>
      <w:r>
        <w:rPr>
          <w:color w:val="auto"/>
          <w:szCs w:val="21"/>
          <w:highlight w:val="none"/>
          <w:lang w:eastAsia="zh-CN"/>
        </w:rPr>
        <w:t>⑩包混凝土质量检查记录和质量事故记录等。</w:t>
      </w:r>
    </w:p>
    <w:p w14:paraId="2559B653">
      <w:pPr>
        <w:pStyle w:val="5"/>
        <w:jc w:val="left"/>
        <w:rPr>
          <w:rFonts w:hAnsi="Times New Roman" w:cs="楷体"/>
          <w:color w:val="auto"/>
          <w:highlight w:val="none"/>
          <w:lang w:eastAsia="zh-CN"/>
        </w:rPr>
      </w:pPr>
      <w:r>
        <w:rPr>
          <w:rFonts w:hAnsi="Times New Roman" w:cs="Times New Roman"/>
          <w:color w:val="auto"/>
          <w:highlight w:val="none"/>
          <w:lang w:eastAsia="zh-CN"/>
        </w:rPr>
        <w:t>14.1.4</w:t>
      </w:r>
      <w:r>
        <w:rPr>
          <w:rFonts w:hint="eastAsia" w:hAnsi="Times New Roman" w:cs="Times New Roman"/>
          <w:color w:val="auto"/>
          <w:highlight w:val="none"/>
          <w:lang w:eastAsia="zh-CN"/>
        </w:rPr>
        <w:t>　</w:t>
      </w:r>
      <w:r>
        <w:rPr>
          <w:rFonts w:hAnsi="楷体" w:cs="楷体"/>
          <w:color w:val="auto"/>
          <w:highlight w:val="none"/>
          <w:lang w:eastAsia="zh-CN"/>
        </w:rPr>
        <w:t>引用标准</w:t>
      </w:r>
    </w:p>
    <w:p w14:paraId="412B9E1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）《低热微膨胀水泥》（</w:t>
      </w:r>
      <w:r>
        <w:rPr>
          <w:rFonts w:hAnsi="Times New Roman" w:cs="Times New Roman"/>
          <w:color w:val="auto"/>
          <w:highlight w:val="none"/>
          <w:lang w:eastAsia="zh-CN"/>
        </w:rPr>
        <w:t>GB2938—2008</w:t>
      </w:r>
      <w:r>
        <w:rPr>
          <w:rFonts w:cs="宋体"/>
          <w:color w:val="auto"/>
          <w:highlight w:val="none"/>
          <w:lang w:eastAsia="zh-CN"/>
        </w:rPr>
        <w:t>）。</w:t>
      </w:r>
    </w:p>
    <w:p w14:paraId="3734EE7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）《通用硅酸盐水泥》（</w:t>
      </w:r>
      <w:r>
        <w:rPr>
          <w:rFonts w:hAnsi="Times New Roman" w:cs="Times New Roman"/>
          <w:color w:val="auto"/>
          <w:highlight w:val="none"/>
          <w:lang w:eastAsia="zh-CN"/>
        </w:rPr>
        <w:t>GB175—2007</w:t>
      </w:r>
      <w:r>
        <w:rPr>
          <w:rFonts w:cs="宋体"/>
          <w:color w:val="auto"/>
          <w:highlight w:val="none"/>
          <w:lang w:eastAsia="zh-CN"/>
        </w:rPr>
        <w:t>）。</w:t>
      </w:r>
    </w:p>
    <w:p w14:paraId="46A1201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）《混凝土结构工程施工质量验收规范》（</w:t>
      </w:r>
      <w:r>
        <w:rPr>
          <w:rFonts w:hAnsi="Times New Roman" w:cs="Times New Roman"/>
          <w:color w:val="auto"/>
          <w:highlight w:val="none"/>
          <w:lang w:eastAsia="zh-CN"/>
        </w:rPr>
        <w:t>GB50204—2015</w:t>
      </w:r>
      <w:r>
        <w:rPr>
          <w:rFonts w:cs="宋体"/>
          <w:color w:val="auto"/>
          <w:highlight w:val="none"/>
          <w:lang w:eastAsia="zh-CN"/>
        </w:rPr>
        <w:t>）。</w:t>
      </w:r>
    </w:p>
    <w:p w14:paraId="1F7C06B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）《粉煤灰混凝土应用技术规范》（</w:t>
      </w:r>
      <w:r>
        <w:rPr>
          <w:rFonts w:hAnsi="Times New Roman" w:cs="Times New Roman"/>
          <w:color w:val="auto"/>
          <w:highlight w:val="none"/>
          <w:lang w:eastAsia="zh-CN"/>
        </w:rPr>
        <w:t>GB/T50146—2014</w:t>
      </w:r>
      <w:r>
        <w:rPr>
          <w:rFonts w:cs="宋体"/>
          <w:color w:val="auto"/>
          <w:highlight w:val="none"/>
          <w:lang w:eastAsia="zh-CN"/>
        </w:rPr>
        <w:t>）。</w:t>
      </w:r>
    </w:p>
    <w:p w14:paraId="47317178">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）《水工混凝土试验规程》（</w:t>
      </w:r>
      <w:r>
        <w:rPr>
          <w:rFonts w:hAnsi="Times New Roman" w:cs="Times New Roman"/>
          <w:color w:val="auto"/>
          <w:highlight w:val="none"/>
          <w:lang w:eastAsia="zh-CN"/>
        </w:rPr>
        <w:t>SL/T352—2020</w:t>
      </w:r>
      <w:r>
        <w:rPr>
          <w:rFonts w:cs="宋体"/>
          <w:color w:val="auto"/>
          <w:highlight w:val="none"/>
          <w:lang w:eastAsia="zh-CN"/>
        </w:rPr>
        <w:t>）。</w:t>
      </w:r>
    </w:p>
    <w:p w14:paraId="27B9C827">
      <w:pPr>
        <w:ind w:firstLine="420"/>
        <w:jc w:val="left"/>
        <w:rPr>
          <w:rFonts w:hAnsi="Times New Roman"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6</w:t>
      </w:r>
      <w:r>
        <w:rPr>
          <w:rFonts w:cs="宋体"/>
          <w:color w:val="auto"/>
          <w:highlight w:val="none"/>
          <w:lang w:eastAsia="zh-CN"/>
        </w:rPr>
        <w:t>）《混凝土面板堆石坝施工规范》（</w:t>
      </w:r>
      <w:r>
        <w:rPr>
          <w:rFonts w:hAnsi="Times New Roman" w:cs="Times New Roman"/>
          <w:color w:val="auto"/>
          <w:highlight w:val="none"/>
          <w:lang w:eastAsia="zh-CN"/>
        </w:rPr>
        <w:t>SL49—2015</w:t>
      </w:r>
      <w:r>
        <w:rPr>
          <w:rFonts w:cs="宋体"/>
          <w:color w:val="auto"/>
          <w:highlight w:val="none"/>
          <w:lang w:eastAsia="zh-CN"/>
        </w:rPr>
        <w:t>）。</w:t>
      </w:r>
    </w:p>
    <w:p w14:paraId="76AC799A">
      <w:pPr>
        <w:ind w:firstLine="420"/>
        <w:jc w:val="left"/>
        <w:rPr>
          <w:rFonts w:hAnsi="Times New Roman"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7</w:t>
      </w:r>
      <w:r>
        <w:rPr>
          <w:rFonts w:cs="宋体"/>
          <w:color w:val="auto"/>
          <w:highlight w:val="none"/>
          <w:lang w:eastAsia="zh-CN"/>
        </w:rPr>
        <w:t>）《水工建筑物滑动模板施工技术规范》（</w:t>
      </w:r>
      <w:r>
        <w:rPr>
          <w:rFonts w:hAnsi="Times New Roman" w:cs="Times New Roman"/>
          <w:color w:val="auto"/>
          <w:highlight w:val="none"/>
          <w:lang w:eastAsia="zh-CN"/>
        </w:rPr>
        <w:t>SL32—2014</w:t>
      </w:r>
      <w:r>
        <w:rPr>
          <w:rFonts w:cs="宋体"/>
          <w:color w:val="auto"/>
          <w:highlight w:val="none"/>
          <w:lang w:eastAsia="zh-CN"/>
        </w:rPr>
        <w:t>）。</w:t>
      </w:r>
    </w:p>
    <w:p w14:paraId="3556B706">
      <w:pPr>
        <w:ind w:firstLine="420"/>
        <w:jc w:val="left"/>
        <w:rPr>
          <w:rFonts w:hAnsi="Times New Roman"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8</w:t>
      </w:r>
      <w:r>
        <w:rPr>
          <w:rFonts w:cs="宋体"/>
          <w:color w:val="auto"/>
          <w:highlight w:val="none"/>
          <w:lang w:eastAsia="zh-CN"/>
        </w:rPr>
        <w:t>）《水工建筑物抗冲磨防空蚀混凝土技术规范》（</w:t>
      </w:r>
      <w:r>
        <w:rPr>
          <w:rFonts w:hAnsi="Times New Roman" w:cs="Times New Roman"/>
          <w:color w:val="auto"/>
          <w:highlight w:val="none"/>
          <w:lang w:eastAsia="zh-CN"/>
        </w:rPr>
        <w:t>DL/T5207—2021</w:t>
      </w:r>
      <w:r>
        <w:rPr>
          <w:rFonts w:cs="宋体"/>
          <w:color w:val="auto"/>
          <w:highlight w:val="none"/>
          <w:lang w:eastAsia="zh-CN"/>
        </w:rPr>
        <w:t>）。</w:t>
      </w:r>
    </w:p>
    <w:p w14:paraId="71AA01A8">
      <w:pPr>
        <w:ind w:firstLine="420"/>
        <w:jc w:val="left"/>
        <w:rPr>
          <w:rFonts w:hAnsi="Times New Roman"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9</w:t>
      </w:r>
      <w:r>
        <w:rPr>
          <w:rFonts w:cs="宋体"/>
          <w:color w:val="auto"/>
          <w:highlight w:val="none"/>
          <w:lang w:eastAsia="zh-CN"/>
        </w:rPr>
        <w:t>）《水工混凝土钢筋施工规范》（</w:t>
      </w:r>
      <w:r>
        <w:rPr>
          <w:rFonts w:hAnsi="Times New Roman" w:cs="Times New Roman"/>
          <w:color w:val="auto"/>
          <w:highlight w:val="none"/>
          <w:lang w:eastAsia="zh-CN"/>
        </w:rPr>
        <w:t>DL/T5169—2013</w:t>
      </w:r>
      <w:r>
        <w:rPr>
          <w:rFonts w:cs="宋体"/>
          <w:color w:val="auto"/>
          <w:highlight w:val="none"/>
          <w:lang w:eastAsia="zh-CN"/>
        </w:rPr>
        <w:t>）。</w:t>
      </w:r>
    </w:p>
    <w:p w14:paraId="3F3743C3">
      <w:pPr>
        <w:ind w:firstLine="420"/>
        <w:jc w:val="left"/>
        <w:rPr>
          <w:rFonts w:hAnsi="Times New Roman" w:cs="宋体"/>
          <w:color w:val="auto"/>
          <w:highlight w:val="none"/>
          <w:lang w:eastAsia="zh-CN"/>
        </w:rPr>
      </w:pPr>
      <w:r>
        <w:rPr>
          <w:rFonts w:cs="宋体"/>
          <w:color w:val="auto"/>
          <w:highlight w:val="none"/>
          <w:lang w:eastAsia="zh-CN"/>
        </w:rPr>
        <w:t>（</w:t>
      </w:r>
      <w:r>
        <w:rPr>
          <w:rFonts w:hint="eastAsia" w:hAnsi="Times New Roman" w:cs="Times New Roman"/>
          <w:color w:val="auto"/>
          <w:highlight w:val="none"/>
          <w:lang w:val="en-US" w:eastAsia="zh-CN"/>
        </w:rPr>
        <w:t>10</w:t>
      </w:r>
      <w:r>
        <w:rPr>
          <w:rFonts w:cs="宋体"/>
          <w:color w:val="auto"/>
          <w:highlight w:val="none"/>
          <w:lang w:eastAsia="zh-CN"/>
        </w:rPr>
        <w:t>）《水工混凝土施工规范》（</w:t>
      </w:r>
      <w:r>
        <w:rPr>
          <w:rFonts w:hAnsi="Times New Roman" w:cs="Times New Roman"/>
          <w:color w:val="auto"/>
          <w:highlight w:val="none"/>
          <w:lang w:eastAsia="zh-CN"/>
        </w:rPr>
        <w:t>SL677—2014</w:t>
      </w:r>
      <w:r>
        <w:rPr>
          <w:rFonts w:cs="宋体"/>
          <w:color w:val="auto"/>
          <w:highlight w:val="none"/>
          <w:lang w:eastAsia="zh-CN"/>
        </w:rPr>
        <w:t>）。</w:t>
      </w:r>
    </w:p>
    <w:p w14:paraId="6C3AD13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1</w:t>
      </w:r>
      <w:r>
        <w:rPr>
          <w:rFonts w:cs="宋体"/>
          <w:color w:val="auto"/>
          <w:highlight w:val="none"/>
          <w:lang w:eastAsia="zh-CN"/>
        </w:rPr>
        <w:t>）《水电水利工程模板施工规范》（</w:t>
      </w:r>
      <w:r>
        <w:rPr>
          <w:rFonts w:hAnsi="Times New Roman" w:cs="Times New Roman"/>
          <w:color w:val="auto"/>
          <w:highlight w:val="none"/>
          <w:lang w:eastAsia="zh-CN"/>
        </w:rPr>
        <w:t>DL/T5110—2013</w:t>
      </w:r>
      <w:r>
        <w:rPr>
          <w:rFonts w:cs="宋体"/>
          <w:color w:val="auto"/>
          <w:highlight w:val="none"/>
          <w:lang w:eastAsia="zh-CN"/>
        </w:rPr>
        <w:t>）。</w:t>
      </w:r>
    </w:p>
    <w:p w14:paraId="00C896F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2</w:t>
      </w:r>
      <w:r>
        <w:rPr>
          <w:rFonts w:cs="宋体"/>
          <w:color w:val="auto"/>
          <w:highlight w:val="none"/>
          <w:lang w:eastAsia="zh-CN"/>
        </w:rPr>
        <w:t>）《混凝土用水标准》（</w:t>
      </w:r>
      <w:r>
        <w:rPr>
          <w:rFonts w:hAnsi="Times New Roman" w:cs="Times New Roman"/>
          <w:color w:val="auto"/>
          <w:highlight w:val="none"/>
          <w:lang w:eastAsia="zh-CN"/>
        </w:rPr>
        <w:t>JGJ63—2006</w:t>
      </w:r>
      <w:r>
        <w:rPr>
          <w:rFonts w:cs="宋体"/>
          <w:color w:val="auto"/>
          <w:highlight w:val="none"/>
          <w:lang w:eastAsia="zh-CN"/>
        </w:rPr>
        <w:t>）。</w:t>
      </w:r>
    </w:p>
    <w:p w14:paraId="725486A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3</w:t>
      </w:r>
      <w:r>
        <w:rPr>
          <w:rFonts w:cs="宋体"/>
          <w:color w:val="auto"/>
          <w:highlight w:val="none"/>
          <w:lang w:eastAsia="zh-CN"/>
        </w:rPr>
        <w:t>）《轻骨料混凝土应用技术标准》（</w:t>
      </w:r>
      <w:r>
        <w:rPr>
          <w:rFonts w:hAnsi="Times New Roman" w:cs="Times New Roman"/>
          <w:color w:val="auto"/>
          <w:highlight w:val="none"/>
          <w:lang w:eastAsia="zh-CN"/>
        </w:rPr>
        <w:t>JGJ/T12-2019</w:t>
      </w:r>
      <w:r>
        <w:rPr>
          <w:rFonts w:cs="宋体"/>
          <w:color w:val="auto"/>
          <w:highlight w:val="none"/>
          <w:lang w:eastAsia="zh-CN"/>
        </w:rPr>
        <w:t>）。</w:t>
      </w:r>
    </w:p>
    <w:p w14:paraId="61052AA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4</w:t>
      </w:r>
      <w:r>
        <w:rPr>
          <w:rFonts w:cs="宋体"/>
          <w:color w:val="auto"/>
          <w:highlight w:val="none"/>
          <w:lang w:eastAsia="zh-CN"/>
        </w:rPr>
        <w:t>）《混凝土泵送施工技术规程》（</w:t>
      </w:r>
      <w:r>
        <w:rPr>
          <w:rFonts w:hAnsi="Times New Roman" w:cs="Times New Roman"/>
          <w:color w:val="auto"/>
          <w:highlight w:val="none"/>
          <w:lang w:eastAsia="zh-CN"/>
        </w:rPr>
        <w:t>JGJ/T10—2011</w:t>
      </w:r>
      <w:r>
        <w:rPr>
          <w:rFonts w:cs="宋体"/>
          <w:color w:val="auto"/>
          <w:highlight w:val="none"/>
          <w:lang w:eastAsia="zh-CN"/>
        </w:rPr>
        <w:t>）。</w:t>
      </w:r>
    </w:p>
    <w:p w14:paraId="5C00B8C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hint="eastAsia" w:hAnsi="Times New Roman" w:cs="Times New Roman"/>
          <w:color w:val="auto"/>
          <w:highlight w:val="none"/>
          <w:lang w:val="en-US" w:eastAsia="zh-CN"/>
        </w:rPr>
        <w:t>5</w:t>
      </w:r>
      <w:r>
        <w:rPr>
          <w:rFonts w:cs="宋体"/>
          <w:color w:val="auto"/>
          <w:highlight w:val="none"/>
          <w:lang w:eastAsia="zh-CN"/>
        </w:rPr>
        <w:t>）《水工混凝土结构设计规范》（</w:t>
      </w:r>
      <w:r>
        <w:rPr>
          <w:rFonts w:hAnsi="Times New Roman" w:cs="Times New Roman"/>
          <w:color w:val="auto"/>
          <w:highlight w:val="none"/>
          <w:lang w:eastAsia="zh-CN"/>
        </w:rPr>
        <w:t>SL191—2008</w:t>
      </w:r>
      <w:r>
        <w:rPr>
          <w:rFonts w:cs="宋体"/>
          <w:color w:val="auto"/>
          <w:highlight w:val="none"/>
          <w:lang w:eastAsia="zh-CN"/>
        </w:rPr>
        <w:t>）。</w:t>
      </w:r>
    </w:p>
    <w:p w14:paraId="2D07240F">
      <w:pPr>
        <w:ind w:firstLine="420"/>
        <w:jc w:val="left"/>
        <w:rPr>
          <w:rFonts w:hAnsi="Times New Roman"/>
          <w:color w:val="auto"/>
          <w:highlight w:val="none"/>
          <w:lang w:eastAsia="zh-CN"/>
        </w:rPr>
      </w:pPr>
      <w:r>
        <w:rPr>
          <w:rFonts w:cs="宋体"/>
          <w:color w:val="auto"/>
          <w:highlight w:val="none"/>
          <w:lang w:eastAsia="zh-CN"/>
        </w:rPr>
        <w:t>（</w:t>
      </w:r>
      <w:r>
        <w:rPr>
          <w:rFonts w:hint="eastAsia" w:cs="宋体"/>
          <w:color w:val="auto"/>
          <w:highlight w:val="none"/>
          <w:lang w:val="en-US" w:eastAsia="zh-CN"/>
        </w:rPr>
        <w:t>16</w:t>
      </w:r>
      <w:r>
        <w:rPr>
          <w:rFonts w:cs="宋体"/>
          <w:color w:val="auto"/>
          <w:highlight w:val="none"/>
          <w:lang w:eastAsia="zh-CN"/>
        </w:rPr>
        <w:t>）《混凝土结构耐久性设计标准》（</w:t>
      </w:r>
      <w:r>
        <w:rPr>
          <w:rFonts w:hAnsi="Times New Roman" w:cs="Times New Roman"/>
          <w:color w:val="auto"/>
          <w:highlight w:val="none"/>
          <w:lang w:eastAsia="zh-CN"/>
        </w:rPr>
        <w:t>GB/T50476-2019</w:t>
      </w:r>
      <w:r>
        <w:rPr>
          <w:rFonts w:cs="宋体"/>
          <w:color w:val="auto"/>
          <w:highlight w:val="none"/>
          <w:lang w:eastAsia="zh-CN"/>
        </w:rPr>
        <w:t>）。</w:t>
      </w:r>
    </w:p>
    <w:p w14:paraId="4970C756">
      <w:pPr>
        <w:pStyle w:val="4"/>
        <w:spacing w:beforeLines="0" w:afterLines="0"/>
        <w:jc w:val="both"/>
        <w:rPr>
          <w:rFonts w:hint="eastAsia" w:cs="宋体"/>
          <w:bCs/>
          <w:color w:val="auto"/>
          <w:szCs w:val="24"/>
          <w:highlight w:val="none"/>
          <w:lang w:eastAsia="zh-CN"/>
        </w:rPr>
      </w:pPr>
      <w:bookmarkStart w:id="2128" w:name="_Toc7720"/>
      <w:bookmarkStart w:id="2129" w:name="_Toc22156"/>
      <w:bookmarkStart w:id="2130" w:name="_Toc28459"/>
      <w:r>
        <w:rPr>
          <w:rFonts w:hint="eastAsia" w:cs="宋体"/>
          <w:bCs/>
          <w:color w:val="auto"/>
          <w:szCs w:val="24"/>
          <w:highlight w:val="none"/>
          <w:lang w:eastAsia="zh-CN"/>
        </w:rPr>
        <w:t>14.2　混凝土生产</w:t>
      </w:r>
      <w:bookmarkEnd w:id="2128"/>
      <w:bookmarkEnd w:id="2129"/>
      <w:bookmarkEnd w:id="2130"/>
    </w:p>
    <w:p w14:paraId="0A4E5EBB">
      <w:pPr>
        <w:pStyle w:val="5"/>
        <w:jc w:val="left"/>
        <w:rPr>
          <w:rFonts w:hAnsi="Times New Roman" w:cs="楷体"/>
          <w:color w:val="auto"/>
          <w:highlight w:val="none"/>
          <w:lang w:eastAsia="zh-CN"/>
        </w:rPr>
      </w:pPr>
      <w:r>
        <w:rPr>
          <w:rFonts w:hAnsi="Times New Roman" w:cs="Times New Roman"/>
          <w:color w:val="auto"/>
          <w:highlight w:val="none"/>
          <w:lang w:eastAsia="zh-CN"/>
        </w:rPr>
        <w:t>14.2.1</w:t>
      </w:r>
      <w:r>
        <w:rPr>
          <w:rFonts w:hint="eastAsia" w:hAnsi="Times New Roman" w:cs="Times New Roman"/>
          <w:color w:val="auto"/>
          <w:highlight w:val="none"/>
          <w:lang w:eastAsia="zh-CN"/>
        </w:rPr>
        <w:t>　</w:t>
      </w:r>
      <w:r>
        <w:rPr>
          <w:rFonts w:hAnsi="楷体" w:cs="楷体"/>
          <w:color w:val="auto"/>
          <w:highlight w:val="none"/>
          <w:lang w:eastAsia="zh-CN"/>
        </w:rPr>
        <w:t>混凝土材料</w:t>
      </w:r>
    </w:p>
    <w:p w14:paraId="79A9902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）水泥。混凝土的水泥应遵守《通用硅酸盐水泥》（</w:t>
      </w:r>
      <w:r>
        <w:rPr>
          <w:rFonts w:hAnsi="Times New Roman" w:cs="Times New Roman"/>
          <w:color w:val="auto"/>
          <w:highlight w:val="none"/>
          <w:lang w:eastAsia="zh-CN"/>
        </w:rPr>
        <w:t>GB175—2007</w:t>
      </w:r>
      <w:r>
        <w:rPr>
          <w:rFonts w:cs="宋体"/>
          <w:color w:val="auto"/>
          <w:highlight w:val="none"/>
          <w:lang w:eastAsia="zh-CN"/>
        </w:rPr>
        <w:t>）的有关规定，泵送混凝土应遵守《混凝土泵送施工技术规程》（</w:t>
      </w:r>
      <w:r>
        <w:rPr>
          <w:rFonts w:hAnsi="Times New Roman" w:cs="Times New Roman"/>
          <w:color w:val="auto"/>
          <w:highlight w:val="none"/>
          <w:lang w:eastAsia="zh-CN"/>
        </w:rPr>
        <w:t>JGJ/T10—2011</w:t>
      </w:r>
      <w:r>
        <w:rPr>
          <w:rFonts w:cs="宋体"/>
          <w:color w:val="auto"/>
          <w:highlight w:val="none"/>
          <w:lang w:eastAsia="zh-CN"/>
        </w:rPr>
        <w:t>）的有关规定。</w:t>
      </w:r>
    </w:p>
    <w:p w14:paraId="5173367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）骨料。混凝土的骨料应遵守《水工混凝土施工规范》（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5.3</w:t>
      </w:r>
      <w:r>
        <w:rPr>
          <w:rFonts w:cs="宋体"/>
          <w:color w:val="auto"/>
          <w:highlight w:val="none"/>
          <w:lang w:eastAsia="zh-CN"/>
        </w:rPr>
        <w:t>节规定，泵送混凝土应遵守《混凝土泵送施工技术规程》（</w:t>
      </w:r>
      <w:r>
        <w:rPr>
          <w:rFonts w:hAnsi="Times New Roman" w:cs="Times New Roman"/>
          <w:color w:val="auto"/>
          <w:highlight w:val="none"/>
          <w:lang w:eastAsia="zh-CN"/>
        </w:rPr>
        <w:t>JGJ/T10—2011</w:t>
      </w:r>
      <w:r>
        <w:rPr>
          <w:rFonts w:cs="宋体"/>
          <w:color w:val="auto"/>
          <w:highlight w:val="none"/>
          <w:lang w:eastAsia="zh-CN"/>
        </w:rPr>
        <w:t>）的有关规定。</w:t>
      </w:r>
    </w:p>
    <w:p w14:paraId="1CAE3F2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）水。混凝土浇筑用水应遵守《混凝土用水标准》（</w:t>
      </w:r>
      <w:r>
        <w:rPr>
          <w:rFonts w:hAnsi="Times New Roman" w:cs="Times New Roman"/>
          <w:color w:val="auto"/>
          <w:highlight w:val="none"/>
          <w:lang w:eastAsia="zh-CN"/>
        </w:rPr>
        <w:t>JGJ63—2006</w:t>
      </w:r>
      <w:r>
        <w:rPr>
          <w:rFonts w:cs="宋体"/>
          <w:color w:val="auto"/>
          <w:highlight w:val="none"/>
          <w:lang w:eastAsia="zh-CN"/>
        </w:rPr>
        <w:t>）和《水工混凝土施工规范》（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5.6</w:t>
      </w:r>
      <w:r>
        <w:rPr>
          <w:rFonts w:cs="宋体"/>
          <w:color w:val="auto"/>
          <w:highlight w:val="none"/>
          <w:lang w:eastAsia="zh-CN"/>
        </w:rPr>
        <w:t>节的规定。</w:t>
      </w:r>
    </w:p>
    <w:p w14:paraId="471796A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）掺合料。混凝土掺合料应遵守《水工混凝土施工规范》（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5.4</w:t>
      </w:r>
      <w:r>
        <w:rPr>
          <w:rFonts w:cs="宋体"/>
          <w:color w:val="auto"/>
          <w:highlight w:val="none"/>
          <w:lang w:eastAsia="zh-CN"/>
        </w:rPr>
        <w:t>节规定，泵送混凝土应遵守《混凝土泵送施工技术规程》（</w:t>
      </w:r>
      <w:r>
        <w:rPr>
          <w:rFonts w:hAnsi="Times New Roman" w:cs="Times New Roman"/>
          <w:color w:val="auto"/>
          <w:highlight w:val="none"/>
          <w:lang w:eastAsia="zh-CN"/>
        </w:rPr>
        <w:t>JGJ/T10—2011</w:t>
      </w:r>
      <w:r>
        <w:rPr>
          <w:rFonts w:cs="宋体"/>
          <w:color w:val="auto"/>
          <w:highlight w:val="none"/>
          <w:lang w:eastAsia="zh-CN"/>
        </w:rPr>
        <w:t>）的有关规定。</w:t>
      </w:r>
    </w:p>
    <w:p w14:paraId="2295ADF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）外加剂。混凝土外加剂应遵守《水工混凝土施工规范》（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5.5</w:t>
      </w:r>
      <w:r>
        <w:rPr>
          <w:rFonts w:cs="宋体"/>
          <w:color w:val="auto"/>
          <w:highlight w:val="none"/>
          <w:lang w:eastAsia="zh-CN"/>
        </w:rPr>
        <w:t>节的有关规定，泵送混凝土应遵守《混凝土泵送施工技术规程》（</w:t>
      </w:r>
      <w:r>
        <w:rPr>
          <w:rFonts w:hAnsi="Times New Roman" w:cs="Times New Roman"/>
          <w:color w:val="auto"/>
          <w:highlight w:val="none"/>
          <w:lang w:eastAsia="zh-CN"/>
        </w:rPr>
        <w:t>JGJ/T10—2011</w:t>
      </w:r>
      <w:r>
        <w:rPr>
          <w:rFonts w:cs="宋体"/>
          <w:color w:val="auto"/>
          <w:highlight w:val="none"/>
          <w:lang w:eastAsia="zh-CN"/>
        </w:rPr>
        <w:t>）的有关规定。</w:t>
      </w:r>
    </w:p>
    <w:p w14:paraId="30EBD73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）硅粉。配制水工硅粉混凝土的硅粉质量标准应满足施工图纸的要求。</w:t>
      </w:r>
    </w:p>
    <w:p w14:paraId="4E743E56">
      <w:pPr>
        <w:pStyle w:val="5"/>
        <w:jc w:val="left"/>
        <w:rPr>
          <w:rFonts w:hAnsi="Times New Roman" w:cs="楷体"/>
          <w:color w:val="auto"/>
          <w:highlight w:val="none"/>
          <w:lang w:eastAsia="zh-CN"/>
        </w:rPr>
      </w:pPr>
      <w:r>
        <w:rPr>
          <w:rFonts w:hAnsi="Times New Roman" w:cs="Times New Roman"/>
          <w:color w:val="auto"/>
          <w:highlight w:val="none"/>
          <w:lang w:eastAsia="zh-CN"/>
        </w:rPr>
        <w:t>14.2.2</w:t>
      </w:r>
      <w:r>
        <w:rPr>
          <w:rFonts w:hint="eastAsia" w:hAnsi="Times New Roman" w:cs="Times New Roman"/>
          <w:color w:val="auto"/>
          <w:highlight w:val="none"/>
          <w:lang w:eastAsia="zh-CN"/>
        </w:rPr>
        <w:t>　</w:t>
      </w:r>
      <w:r>
        <w:rPr>
          <w:rFonts w:hAnsi="楷体" w:cs="楷体"/>
          <w:color w:val="auto"/>
          <w:highlight w:val="none"/>
          <w:lang w:eastAsia="zh-CN"/>
        </w:rPr>
        <w:t>混凝土配合比选定</w:t>
      </w:r>
    </w:p>
    <w:p w14:paraId="3AABB601">
      <w:pPr>
        <w:ind w:firstLine="420"/>
        <w:jc w:val="left"/>
        <w:rPr>
          <w:rFonts w:hAnsi="Times New Roman" w:cs="宋体"/>
          <w:color w:val="auto"/>
          <w:highlight w:val="none"/>
          <w:lang w:eastAsia="zh-CN"/>
        </w:rPr>
      </w:pPr>
      <w:r>
        <w:rPr>
          <w:rFonts w:cs="宋体"/>
          <w:color w:val="auto"/>
          <w:highlight w:val="none"/>
          <w:lang w:eastAsia="zh-CN"/>
        </w:rPr>
        <w:t>混凝土配合比选定应遵守《水工混凝土施工规范》（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6</w:t>
      </w:r>
      <w:r>
        <w:rPr>
          <w:rFonts w:cs="宋体"/>
          <w:color w:val="auto"/>
          <w:highlight w:val="none"/>
          <w:lang w:eastAsia="zh-CN"/>
        </w:rPr>
        <w:t>章的有关规定。</w:t>
      </w:r>
    </w:p>
    <w:p w14:paraId="009E2EE9">
      <w:pPr>
        <w:pStyle w:val="5"/>
        <w:jc w:val="left"/>
        <w:rPr>
          <w:rFonts w:hAnsi="Times New Roman" w:cs="楷体"/>
          <w:color w:val="auto"/>
          <w:highlight w:val="none"/>
          <w:lang w:eastAsia="zh-CN"/>
        </w:rPr>
      </w:pPr>
      <w:r>
        <w:rPr>
          <w:rFonts w:hAnsi="Times New Roman" w:cs="Times New Roman"/>
          <w:color w:val="auto"/>
          <w:highlight w:val="none"/>
          <w:lang w:eastAsia="zh-CN"/>
        </w:rPr>
        <w:t>14.2.3</w:t>
      </w:r>
      <w:r>
        <w:rPr>
          <w:rFonts w:hint="eastAsia" w:hAnsi="Times New Roman" w:cs="Times New Roman"/>
          <w:color w:val="auto"/>
          <w:highlight w:val="none"/>
          <w:lang w:eastAsia="zh-CN"/>
        </w:rPr>
        <w:t>　</w:t>
      </w:r>
      <w:r>
        <w:rPr>
          <w:rFonts w:hAnsi="楷体" w:cs="楷体"/>
          <w:color w:val="auto"/>
          <w:highlight w:val="none"/>
          <w:lang w:eastAsia="zh-CN"/>
        </w:rPr>
        <w:t>混凝土拌和</w:t>
      </w:r>
    </w:p>
    <w:p w14:paraId="71BB145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）混凝土拌和设备。</w:t>
      </w:r>
    </w:p>
    <w:p w14:paraId="1905F46A">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）拌和厂应选用高效、可靠的固定式拌和设备，并采用自动或半自动控制的计量设备配料，拌和厂设备生产率必须满足本工程高峰浇筑强度的要求。</w:t>
      </w:r>
    </w:p>
    <w:p w14:paraId="40B27E38">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）拌和厂选用的所有称量、指示、记录及控制设备都应有防尘措施，设备称量应满足规定的精度要求，承包人应及时校正称量设备的精度。</w:t>
      </w:r>
    </w:p>
    <w:p w14:paraId="7C72A8DD">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）施工过程中，承包人若要改变混凝土生产程序或设备，必须将改变后的设备生产能力、技术说明书以及混凝土生产流程等提交监理人批准。</w:t>
      </w:r>
    </w:p>
    <w:p w14:paraId="7576548C">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）承包人应设置排水沉淀池，分离或同时采取其它有效措施，防止污染环境。并应防止污水或含有悬浮质的水流污染施工现场和排入河流。</w:t>
      </w:r>
    </w:p>
    <w:p w14:paraId="61E3434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）混凝土拌和。</w:t>
      </w:r>
    </w:p>
    <w:p w14:paraId="7D49EA99">
      <w:pPr>
        <w:ind w:firstLine="420"/>
        <w:jc w:val="left"/>
        <w:rPr>
          <w:rFonts w:hAnsi="Times New Roman" w:cs="宋体"/>
          <w:color w:val="auto"/>
          <w:highlight w:val="none"/>
          <w:lang w:eastAsia="zh-CN"/>
        </w:rPr>
      </w:pPr>
      <w:r>
        <w:rPr>
          <w:rFonts w:cs="宋体"/>
          <w:color w:val="auto"/>
          <w:highlight w:val="none"/>
          <w:lang w:eastAsia="zh-CN"/>
        </w:rPr>
        <w:t>混凝土拌和应遵守《水工混凝土施工规范》（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7.2</w:t>
      </w:r>
      <w:r>
        <w:rPr>
          <w:rFonts w:cs="宋体"/>
          <w:color w:val="auto"/>
          <w:highlight w:val="none"/>
          <w:lang w:eastAsia="zh-CN"/>
        </w:rPr>
        <w:t>节的有关规定。</w:t>
      </w:r>
    </w:p>
    <w:p w14:paraId="3F559791">
      <w:pPr>
        <w:pStyle w:val="5"/>
        <w:jc w:val="left"/>
        <w:rPr>
          <w:rFonts w:hAnsi="Times New Roman" w:cs="楷体"/>
          <w:color w:val="auto"/>
          <w:highlight w:val="none"/>
          <w:lang w:eastAsia="zh-CN"/>
        </w:rPr>
      </w:pPr>
      <w:r>
        <w:rPr>
          <w:rFonts w:hAnsi="Times New Roman" w:cs="Times New Roman"/>
          <w:color w:val="auto"/>
          <w:highlight w:val="none"/>
          <w:lang w:eastAsia="zh-CN"/>
        </w:rPr>
        <w:t>14.2.4</w:t>
      </w:r>
      <w:r>
        <w:rPr>
          <w:rFonts w:hint="eastAsia" w:hAnsi="Times New Roman" w:cs="Times New Roman"/>
          <w:color w:val="auto"/>
          <w:highlight w:val="none"/>
          <w:lang w:eastAsia="zh-CN"/>
        </w:rPr>
        <w:t>　</w:t>
      </w:r>
      <w:r>
        <w:rPr>
          <w:rFonts w:hAnsi="楷体" w:cs="楷体"/>
          <w:color w:val="auto"/>
          <w:highlight w:val="none"/>
          <w:lang w:eastAsia="zh-CN"/>
        </w:rPr>
        <w:t>混凝土的取样和检验</w:t>
      </w:r>
    </w:p>
    <w:p w14:paraId="779399F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）混凝土原材料的取样和检验。</w:t>
      </w:r>
    </w:p>
    <w:p w14:paraId="3C9EFB77">
      <w:pPr>
        <w:ind w:firstLine="420"/>
        <w:jc w:val="left"/>
        <w:rPr>
          <w:color w:val="auto"/>
          <w:highlight w:val="none"/>
          <w:lang w:eastAsia="zh-CN"/>
        </w:rPr>
      </w:pPr>
      <w:r>
        <w:rPr>
          <w:rFonts w:cs="宋体"/>
          <w:color w:val="auto"/>
          <w:highlight w:val="none"/>
          <w:lang w:eastAsia="zh-CN"/>
        </w:rPr>
        <w:t>混凝土原材料的取样和检验应遵守《水工混凝土施工规范》（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color w:val="auto"/>
          <w:highlight w:val="none"/>
          <w:lang w:eastAsia="zh-CN"/>
        </w:rPr>
        <w:t>11.2</w:t>
      </w:r>
      <w:r>
        <w:rPr>
          <w:rFonts w:hint="eastAsia"/>
          <w:color w:val="auto"/>
          <w:highlight w:val="none"/>
          <w:lang w:eastAsia="zh-CN"/>
        </w:rPr>
        <w:t>节的有关规定。</w:t>
      </w:r>
    </w:p>
    <w:p w14:paraId="56D1E314">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）混凝土拌和与混凝土拌和物的质量检测。</w:t>
      </w:r>
    </w:p>
    <w:p w14:paraId="217C8407">
      <w:pPr>
        <w:ind w:firstLine="420"/>
        <w:jc w:val="left"/>
        <w:rPr>
          <w:rFonts w:hAnsi="Times New Roman" w:cs="Times New Roman"/>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）混凝土拌和与混凝土拌和物的质量检测应遵守《水工混凝土施工规范》（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11.3</w:t>
      </w:r>
      <w:r>
        <w:rPr>
          <w:rFonts w:cs="宋体"/>
          <w:color w:val="auto"/>
          <w:highlight w:val="none"/>
          <w:lang w:eastAsia="zh-CN"/>
        </w:rPr>
        <w:t>节的规定。</w:t>
      </w:r>
    </w:p>
    <w:p w14:paraId="7FDA724E">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）混凝土施工配合比必须满足本合同技术条款和施工图纸的要求，施工配料必须严格按监理人批准的混凝土配料单进行配料，严禁擅自更改。</w:t>
      </w:r>
    </w:p>
    <w:p w14:paraId="32F5CE46">
      <w:pPr>
        <w:ind w:firstLine="420"/>
        <w:jc w:val="left"/>
        <w:rPr>
          <w:rFonts w:hAnsi="Times New Roman" w:cs="Times New Roman"/>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）混凝土坍落度及混凝土拌和物的水胶比按《水工混凝土试验规程》（</w:t>
      </w:r>
      <w:r>
        <w:rPr>
          <w:rFonts w:hAnsi="Times New Roman" w:cs="Times New Roman"/>
          <w:color w:val="auto"/>
          <w:highlight w:val="none"/>
          <w:lang w:eastAsia="zh-CN"/>
        </w:rPr>
        <w:t>SL/T352—2020</w:t>
      </w:r>
      <w:r>
        <w:rPr>
          <w:rFonts w:cs="宋体"/>
          <w:color w:val="auto"/>
          <w:highlight w:val="none"/>
          <w:lang w:eastAsia="zh-CN"/>
        </w:rPr>
        <w:t>）的规定取样检测。</w:t>
      </w:r>
    </w:p>
    <w:p w14:paraId="2D0CCC73">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）混凝土拌和温度、气温和原材料温度的检测方法应遵守《水工混凝土试验规程》（</w:t>
      </w:r>
      <w:r>
        <w:rPr>
          <w:rFonts w:hAnsi="Times New Roman" w:cs="Times New Roman"/>
          <w:color w:val="auto"/>
          <w:highlight w:val="none"/>
          <w:lang w:eastAsia="zh-CN"/>
        </w:rPr>
        <w:t>SL/T352—2020</w:t>
      </w:r>
      <w:r>
        <w:rPr>
          <w:rFonts w:cs="宋体"/>
          <w:color w:val="auto"/>
          <w:highlight w:val="none"/>
          <w:lang w:eastAsia="zh-CN"/>
        </w:rPr>
        <w:t>）的规定。</w:t>
      </w:r>
    </w:p>
    <w:p w14:paraId="38E95B2E">
      <w:pPr>
        <w:ind w:firstLine="420"/>
        <w:jc w:val="left"/>
        <w:rPr>
          <w:rFonts w:hAnsi="Times New Roman" w:cs="Times New Roman"/>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）各级混凝土试件的各项试验和检测均应遵守《水工混凝土试验规程》（</w:t>
      </w:r>
      <w:r>
        <w:rPr>
          <w:rFonts w:hAnsi="Times New Roman" w:cs="Times New Roman"/>
          <w:color w:val="auto"/>
          <w:highlight w:val="none"/>
          <w:lang w:eastAsia="zh-CN"/>
        </w:rPr>
        <w:t>SL/T352—2020</w:t>
      </w:r>
      <w:r>
        <w:rPr>
          <w:rFonts w:cs="宋体"/>
          <w:color w:val="auto"/>
          <w:highlight w:val="none"/>
          <w:lang w:eastAsia="zh-CN"/>
        </w:rPr>
        <w:t>）的规定。</w:t>
      </w:r>
    </w:p>
    <w:p w14:paraId="3170234D">
      <w:pPr>
        <w:pStyle w:val="4"/>
        <w:spacing w:beforeLines="0" w:afterLines="0"/>
        <w:jc w:val="both"/>
        <w:rPr>
          <w:rFonts w:hint="eastAsia" w:cs="宋体"/>
          <w:bCs/>
          <w:color w:val="auto"/>
          <w:szCs w:val="24"/>
          <w:highlight w:val="none"/>
          <w:lang w:eastAsia="zh-CN"/>
        </w:rPr>
      </w:pPr>
      <w:bookmarkStart w:id="2131" w:name="_Toc7141"/>
      <w:bookmarkStart w:id="2132" w:name="_Toc27115"/>
      <w:bookmarkStart w:id="2133" w:name="_Toc22728"/>
      <w:r>
        <w:rPr>
          <w:rFonts w:hint="eastAsia" w:cs="宋体"/>
          <w:bCs/>
          <w:color w:val="auto"/>
          <w:szCs w:val="24"/>
          <w:highlight w:val="none"/>
          <w:lang w:eastAsia="zh-CN"/>
        </w:rPr>
        <w:t>14.3　模板</w:t>
      </w:r>
      <w:bookmarkEnd w:id="2131"/>
      <w:bookmarkEnd w:id="2132"/>
      <w:bookmarkEnd w:id="2133"/>
    </w:p>
    <w:p w14:paraId="1AF06434">
      <w:pPr>
        <w:ind w:firstLine="420"/>
        <w:jc w:val="left"/>
        <w:rPr>
          <w:color w:val="auto"/>
          <w:highlight w:val="none"/>
          <w:lang w:eastAsia="zh-CN"/>
        </w:rPr>
      </w:pPr>
      <w:r>
        <w:rPr>
          <w:color w:val="auto"/>
          <w:highlight w:val="none"/>
          <w:lang w:eastAsia="zh-CN"/>
        </w:rPr>
        <w:t>一般说明</w:t>
      </w:r>
    </w:p>
    <w:p w14:paraId="54B88E31">
      <w:pPr>
        <w:ind w:firstLine="420"/>
        <w:jc w:val="left"/>
        <w:rPr>
          <w:color w:val="auto"/>
          <w:highlight w:val="none"/>
          <w:lang w:eastAsia="zh-CN"/>
        </w:rPr>
      </w:pPr>
      <w:r>
        <w:rPr>
          <w:rFonts w:hint="eastAsia"/>
          <w:color w:val="auto"/>
          <w:highlight w:val="none"/>
          <w:lang w:eastAsia="zh-CN"/>
        </w:rPr>
        <w:t>（1）承包人应负责模板的材料供应、设计、制作、运输、安装和拆除等全部模板作业。模板的设计、制作和安装应保证模板结构有足够的稳定性、强度和刚度，能承受混凝土浇筑和振捣的侧向压力和振动力，模板位移控制在规范和设计要求范围内，确保混凝土结构外形尺寸准确，并应有足够的密封性，以避免漏浆。</w:t>
      </w:r>
    </w:p>
    <w:p w14:paraId="207AEE4E">
      <w:pPr>
        <w:ind w:firstLine="420"/>
        <w:jc w:val="left"/>
        <w:rPr>
          <w:color w:val="auto"/>
          <w:highlight w:val="none"/>
          <w:lang w:eastAsia="zh-CN"/>
        </w:rPr>
      </w:pPr>
      <w:r>
        <w:rPr>
          <w:rFonts w:hint="eastAsia"/>
          <w:color w:val="auto"/>
          <w:highlight w:val="none"/>
          <w:lang w:eastAsia="zh-CN"/>
        </w:rPr>
        <w:t>（2）承包人应在模板加工前56d，按本合同施工图纸要求和监理人指示，提交包括本工程各种类型模板的材料品种和规格、模板的结构设计以及混凝土浇筑模板的制作、安装和拆除等的设计和施工措施文件，报送监理人审批。</w:t>
      </w:r>
    </w:p>
    <w:p w14:paraId="53E252E8">
      <w:pPr>
        <w:ind w:firstLine="420"/>
        <w:jc w:val="left"/>
        <w:rPr>
          <w:color w:val="auto"/>
          <w:highlight w:val="none"/>
          <w:lang w:eastAsia="zh-CN"/>
        </w:rPr>
      </w:pPr>
      <w:r>
        <w:rPr>
          <w:rFonts w:hint="eastAsia"/>
          <w:color w:val="auto"/>
          <w:highlight w:val="none"/>
          <w:lang w:eastAsia="zh-CN"/>
        </w:rPr>
        <w:t>（3）有外观要求的永久混凝土外表面，采用大型整体组合模板（包括钢或维萨面板、支撑件、连接件等）应有足够的强度和刚度。要求对缝拼装，拼缝严密，有足够的密封性，不漏浆。模板表面清洁，不含油质及其它可能影响混凝土表面颜色的物质，不得使用损坏或变形的模板。模板定位采用定位锥，不得使用一般钢筋拉结固定。模板定位应保证拆模后混凝土表面印迹线和定位孔位置横平竖直，正交排列。</w:t>
      </w:r>
    </w:p>
    <w:p w14:paraId="1A8FD2CF">
      <w:pPr>
        <w:ind w:firstLine="420"/>
        <w:jc w:val="left"/>
        <w:rPr>
          <w:color w:val="auto"/>
          <w:highlight w:val="none"/>
          <w:lang w:eastAsia="zh-CN"/>
        </w:rPr>
      </w:pPr>
      <w:r>
        <w:rPr>
          <w:rFonts w:hint="eastAsia"/>
          <w:color w:val="auto"/>
          <w:highlight w:val="none"/>
          <w:lang w:eastAsia="zh-CN"/>
        </w:rPr>
        <w:t>（4）对异型、特种模板应在现场做预拼装。</w:t>
      </w:r>
    </w:p>
    <w:p w14:paraId="38BD7F76">
      <w:pPr>
        <w:pStyle w:val="5"/>
        <w:jc w:val="left"/>
        <w:rPr>
          <w:rFonts w:hAnsi="Times New Roman" w:cs="楷体"/>
          <w:color w:val="auto"/>
          <w:highlight w:val="none"/>
          <w:lang w:eastAsia="zh-CN"/>
        </w:rPr>
      </w:pPr>
      <w:r>
        <w:rPr>
          <w:rFonts w:hAnsi="Times New Roman" w:cs="Times New Roman"/>
          <w:color w:val="auto"/>
          <w:highlight w:val="none"/>
          <w:lang w:eastAsia="zh-CN"/>
        </w:rPr>
        <w:t>14.3.1</w:t>
      </w:r>
      <w:r>
        <w:rPr>
          <w:rFonts w:hint="eastAsia" w:hAnsi="Times New Roman" w:cs="Times New Roman"/>
          <w:color w:val="auto"/>
          <w:highlight w:val="none"/>
          <w:lang w:eastAsia="zh-CN"/>
        </w:rPr>
        <w:t>　</w:t>
      </w:r>
      <w:r>
        <w:rPr>
          <w:rFonts w:hAnsi="楷体" w:cs="楷体"/>
          <w:color w:val="auto"/>
          <w:highlight w:val="none"/>
          <w:lang w:eastAsia="zh-CN"/>
        </w:rPr>
        <w:t>模板材料</w:t>
      </w:r>
    </w:p>
    <w:p w14:paraId="77A55814">
      <w:pPr>
        <w:ind w:firstLine="420"/>
        <w:jc w:val="left"/>
        <w:rPr>
          <w:rFonts w:cs="宋体"/>
          <w:color w:val="auto"/>
          <w:highlight w:val="none"/>
          <w:lang w:eastAsia="zh-CN"/>
        </w:rPr>
      </w:pPr>
      <w:r>
        <w:rPr>
          <w:rFonts w:cs="宋体"/>
          <w:color w:val="auto"/>
          <w:highlight w:val="none"/>
          <w:lang w:eastAsia="zh-CN"/>
        </w:rPr>
        <w:t>模板材料应遵守《水电水利工程模板施工规范》（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3</w:t>
      </w:r>
      <w:r>
        <w:rPr>
          <w:rFonts w:cs="宋体"/>
          <w:color w:val="auto"/>
          <w:highlight w:val="none"/>
          <w:lang w:eastAsia="zh-CN"/>
        </w:rPr>
        <w:t>章的有关规定。</w:t>
      </w:r>
    </w:p>
    <w:p w14:paraId="5B1C50EE">
      <w:pPr>
        <w:pStyle w:val="7"/>
        <w:ind w:firstLine="420"/>
        <w:jc w:val="left"/>
        <w:rPr>
          <w:color w:val="auto"/>
          <w:highlight w:val="none"/>
          <w:lang w:eastAsia="zh-CN"/>
        </w:rPr>
      </w:pPr>
      <w:r>
        <w:rPr>
          <w:rFonts w:hint="eastAsia"/>
          <w:color w:val="auto"/>
          <w:highlight w:val="none"/>
          <w:lang w:eastAsia="zh-CN"/>
        </w:rPr>
        <w:t>（1）所有的模板必须采用优质完好的材料，不得有削弱模板强度或在模板拆除后影响混凝土外观的任何缺陷。作为模板的构架和支撑的型钢和管材应满足相应的有关技术规范的要求。对表面平整度及外观有要求的部位应采用专用模板材料。</w:t>
      </w:r>
    </w:p>
    <w:p w14:paraId="723769FD">
      <w:pPr>
        <w:pStyle w:val="7"/>
        <w:ind w:firstLine="420"/>
        <w:jc w:val="left"/>
        <w:rPr>
          <w:color w:val="auto"/>
          <w:highlight w:val="none"/>
          <w:lang w:eastAsia="zh-CN"/>
        </w:rPr>
      </w:pPr>
      <w:r>
        <w:rPr>
          <w:rFonts w:hint="eastAsia"/>
          <w:color w:val="auto"/>
          <w:highlight w:val="none"/>
          <w:lang w:eastAsia="zh-CN"/>
        </w:rPr>
        <w:t>（2）模板材料的质量应符合本合同指明的现行国家标准或行业标准。模板必须使混凝土表面平整均匀，且达到本技术条款所要求的平整度和误差限制。凡达不到表面平整度要求的模板，必须按监理人的指示予以修理或更换。</w:t>
      </w:r>
    </w:p>
    <w:p w14:paraId="03C457D4">
      <w:pPr>
        <w:pStyle w:val="7"/>
        <w:ind w:firstLine="420"/>
        <w:jc w:val="left"/>
        <w:rPr>
          <w:color w:val="auto"/>
          <w:highlight w:val="none"/>
          <w:lang w:eastAsia="zh-CN"/>
        </w:rPr>
      </w:pPr>
      <w:r>
        <w:rPr>
          <w:rFonts w:hint="eastAsia"/>
          <w:color w:val="auto"/>
          <w:highlight w:val="none"/>
          <w:lang w:eastAsia="zh-CN"/>
        </w:rPr>
        <w:t>（3）木模所采用的木材质量应达到Ⅲ等以上的材质标准；腐朽、严重扭曲或脆弱性的木材严禁使用。木材应提前备料，干燥后使用，含水率宜为18%～23%。</w:t>
      </w:r>
    </w:p>
    <w:p w14:paraId="5A2E5A74">
      <w:pPr>
        <w:pStyle w:val="7"/>
        <w:ind w:firstLine="420"/>
        <w:jc w:val="left"/>
        <w:rPr>
          <w:color w:val="auto"/>
          <w:highlight w:val="none"/>
          <w:lang w:eastAsia="zh-CN"/>
        </w:rPr>
      </w:pPr>
      <w:r>
        <w:rPr>
          <w:rFonts w:hint="eastAsia"/>
          <w:color w:val="auto"/>
          <w:highlight w:val="none"/>
          <w:lang w:eastAsia="zh-CN"/>
        </w:rPr>
        <w:t>（4）钢模板的面板厚度应根据结构受力要求计算确定，钢模面板厚应不小于3mm；所有178螺栓和铆钉必须是埋头的；附件的设计必须使模板能拼装牢固，拆除时不致损坏混凝土；金属板间的接缝必须光滑紧密，不允许采用有凹坑、皱折或其它表面缺陷的模板或模板拉杆孔损坏的模板。</w:t>
      </w:r>
    </w:p>
    <w:p w14:paraId="3597D9C0">
      <w:pPr>
        <w:pStyle w:val="7"/>
        <w:ind w:firstLine="420"/>
        <w:jc w:val="left"/>
        <w:rPr>
          <w:color w:val="auto"/>
          <w:highlight w:val="none"/>
          <w:lang w:eastAsia="zh-CN"/>
        </w:rPr>
      </w:pPr>
      <w:r>
        <w:rPr>
          <w:rFonts w:hint="eastAsia"/>
          <w:color w:val="auto"/>
          <w:highlight w:val="none"/>
          <w:lang w:eastAsia="zh-CN"/>
        </w:rPr>
        <w:t>（5）模板的金属支撑件（如拉杆、锚筋及其它锚固件等）材料应遵守SL677-2014第3章的有关规定。</w:t>
      </w:r>
    </w:p>
    <w:p w14:paraId="650F4809">
      <w:pPr>
        <w:pStyle w:val="5"/>
        <w:jc w:val="left"/>
        <w:rPr>
          <w:rFonts w:hAnsi="Times New Roman" w:cs="楷体"/>
          <w:color w:val="auto"/>
          <w:highlight w:val="none"/>
          <w:lang w:eastAsia="zh-CN"/>
        </w:rPr>
      </w:pPr>
      <w:r>
        <w:rPr>
          <w:rFonts w:hAnsi="Times New Roman" w:cs="Times New Roman"/>
          <w:color w:val="auto"/>
          <w:highlight w:val="none"/>
          <w:lang w:eastAsia="zh-CN"/>
        </w:rPr>
        <w:t>14.3.2</w:t>
      </w:r>
      <w:r>
        <w:rPr>
          <w:rFonts w:hint="eastAsia" w:hAnsi="Times New Roman" w:cs="Times New Roman"/>
          <w:color w:val="auto"/>
          <w:highlight w:val="none"/>
          <w:lang w:eastAsia="zh-CN"/>
        </w:rPr>
        <w:t>　</w:t>
      </w:r>
      <w:r>
        <w:rPr>
          <w:rFonts w:hAnsi="楷体" w:cs="楷体"/>
          <w:color w:val="auto"/>
          <w:highlight w:val="none"/>
          <w:lang w:eastAsia="zh-CN"/>
        </w:rPr>
        <w:t>模板的设计、制作和安装</w:t>
      </w:r>
    </w:p>
    <w:p w14:paraId="0E8E829A">
      <w:pPr>
        <w:ind w:firstLine="420"/>
        <w:jc w:val="left"/>
        <w:rPr>
          <w:rFonts w:cs="宋体"/>
          <w:color w:val="auto"/>
          <w:highlight w:val="none"/>
          <w:lang w:eastAsia="zh-CN"/>
        </w:rPr>
      </w:pPr>
      <w:r>
        <w:rPr>
          <w:rFonts w:cs="宋体"/>
          <w:color w:val="auto"/>
          <w:highlight w:val="none"/>
          <w:lang w:eastAsia="zh-CN"/>
        </w:rPr>
        <w:t>（1）混凝土模板的设计，除应满足本合同施工图纸的规定外，还应遵守</w:t>
      </w:r>
      <w:r>
        <w:rPr>
          <w:rFonts w:hint="eastAsia" w:cs="宋体"/>
          <w:color w:val="auto"/>
          <w:highlight w:val="none"/>
          <w:lang w:eastAsia="zh-CN"/>
        </w:rPr>
        <w:t>《</w:t>
      </w:r>
      <w:r>
        <w:rPr>
          <w:rFonts w:cs="宋体"/>
          <w:color w:val="auto"/>
          <w:highlight w:val="none"/>
          <w:lang w:eastAsia="zh-CN"/>
        </w:rPr>
        <w:t>水工混凝土施工规范</w:t>
      </w:r>
      <w:r>
        <w:rPr>
          <w:rFonts w:hint="eastAsia" w:cs="宋体"/>
          <w:color w:val="auto"/>
          <w:highlight w:val="none"/>
          <w:lang w:eastAsia="zh-CN"/>
        </w:rPr>
        <w:t>》（</w:t>
      </w:r>
      <w:r>
        <w:rPr>
          <w:rFonts w:cs="宋体"/>
          <w:color w:val="auto"/>
          <w:highlight w:val="none"/>
          <w:lang w:eastAsia="zh-CN"/>
        </w:rPr>
        <w:t>SL677-2014）第3章及《水电水利工程模板施工规范》（DL/T5110—2013）第4章的有关规定。</w:t>
      </w:r>
    </w:p>
    <w:p w14:paraId="66A142C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）各种混凝土模板制作的允许偏差不应超过</w:t>
      </w:r>
      <w:r>
        <w:rPr>
          <w:rFonts w:hint="eastAsia" w:cs="宋体"/>
          <w:color w:val="auto"/>
          <w:highlight w:val="none"/>
          <w:lang w:eastAsia="zh-CN"/>
        </w:rPr>
        <w:t>《水工混凝土施工规范》（</w:t>
      </w:r>
      <w:r>
        <w:rPr>
          <w:rFonts w:cs="宋体"/>
          <w:color w:val="auto"/>
          <w:highlight w:val="none"/>
          <w:lang w:eastAsia="zh-CN"/>
        </w:rPr>
        <w:t>SL677-2014）第3章及《水电水利工程模板施工规范》（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5</w:t>
      </w:r>
      <w:r>
        <w:rPr>
          <w:rFonts w:cs="宋体"/>
          <w:color w:val="auto"/>
          <w:highlight w:val="none"/>
          <w:lang w:eastAsia="zh-CN"/>
        </w:rPr>
        <w:t>章表</w:t>
      </w:r>
      <w:r>
        <w:rPr>
          <w:rFonts w:hAnsi="Times New Roman" w:cs="Times New Roman"/>
          <w:color w:val="auto"/>
          <w:highlight w:val="none"/>
          <w:lang w:eastAsia="zh-CN"/>
        </w:rPr>
        <w:t>5.0.1</w:t>
      </w:r>
      <w:r>
        <w:rPr>
          <w:rFonts w:cs="宋体"/>
          <w:color w:val="auto"/>
          <w:highlight w:val="none"/>
          <w:lang w:eastAsia="zh-CN"/>
        </w:rPr>
        <w:t>的有关规定。</w:t>
      </w:r>
    </w:p>
    <w:p w14:paraId="6197934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）承包人应负责异型模板（蜗壳、尾水管等）、特种模板（包括滑动模板、移置模板</w:t>
      </w:r>
      <w:r>
        <w:rPr>
          <w:rFonts w:hint="eastAsia" w:cs="宋体"/>
          <w:color w:val="auto"/>
          <w:highlight w:val="none"/>
          <w:lang w:eastAsia="zh-CN"/>
        </w:rPr>
        <w:t>、拉模、</w:t>
      </w:r>
      <w:r>
        <w:rPr>
          <w:rFonts w:cs="宋体"/>
          <w:color w:val="auto"/>
          <w:highlight w:val="none"/>
          <w:lang w:eastAsia="zh-CN"/>
        </w:rPr>
        <w:t>和永久性模板）的设计、制作和安装，应遵守</w:t>
      </w:r>
      <w:r>
        <w:rPr>
          <w:rFonts w:hint="eastAsia" w:cs="宋体"/>
          <w:color w:val="auto"/>
          <w:highlight w:val="none"/>
          <w:lang w:eastAsia="zh-CN"/>
        </w:rPr>
        <w:t>《水工混凝土施工规范》（</w:t>
      </w:r>
      <w:r>
        <w:rPr>
          <w:rFonts w:cs="宋体"/>
          <w:color w:val="auto"/>
          <w:highlight w:val="none"/>
          <w:lang w:eastAsia="zh-CN"/>
        </w:rPr>
        <w:t>SL677-2014）第3.7节及《水电水利工程模板施工规范》（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8</w:t>
      </w:r>
      <w:r>
        <w:rPr>
          <w:rFonts w:cs="宋体"/>
          <w:color w:val="auto"/>
          <w:highlight w:val="none"/>
          <w:lang w:eastAsia="zh-CN"/>
        </w:rPr>
        <w:t>章的有关规定。</w:t>
      </w:r>
    </w:p>
    <w:p w14:paraId="3EE9F13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）曲面模板的设计和制作，除应满足本合同施工图纸所示的混凝土建筑物表面的曲度要求外，其允许偏差应遵守</w:t>
      </w:r>
      <w:r>
        <w:rPr>
          <w:rFonts w:hint="eastAsia" w:cs="宋体"/>
          <w:color w:val="auto"/>
          <w:highlight w:val="none"/>
          <w:lang w:eastAsia="zh-CN"/>
        </w:rPr>
        <w:t>《水工混凝土施工规范》（</w:t>
      </w:r>
      <w:r>
        <w:rPr>
          <w:rFonts w:cs="宋体"/>
          <w:color w:val="auto"/>
          <w:highlight w:val="none"/>
          <w:lang w:eastAsia="zh-CN"/>
        </w:rPr>
        <w:t>SL677-2014）第3章及《水电水利工程模板施工规范》（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7.0.1</w:t>
      </w:r>
      <w:r>
        <w:rPr>
          <w:rFonts w:cs="宋体"/>
          <w:color w:val="auto"/>
          <w:highlight w:val="none"/>
          <w:lang w:eastAsia="zh-CN"/>
        </w:rPr>
        <w:t>条的规定。</w:t>
      </w:r>
    </w:p>
    <w:p w14:paraId="0473E7E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）模板之间的接缝必须平整严密，建筑物分层施工时应逐层校正下层偏差，模板下端不应有</w:t>
      </w:r>
      <w:r>
        <w:rPr>
          <w:rFonts w:hAnsi="Times New Roman" w:cs="宋体"/>
          <w:color w:val="auto"/>
          <w:highlight w:val="none"/>
          <w:lang w:eastAsia="zh-CN"/>
        </w:rPr>
        <w:t>“</w:t>
      </w:r>
      <w:r>
        <w:rPr>
          <w:rFonts w:cs="宋体"/>
          <w:color w:val="auto"/>
          <w:highlight w:val="none"/>
          <w:lang w:eastAsia="zh-CN"/>
        </w:rPr>
        <w:t>错台</w:t>
      </w:r>
      <w:r>
        <w:rPr>
          <w:rFonts w:hAnsi="Times New Roman" w:cs="宋体"/>
          <w:color w:val="auto"/>
          <w:highlight w:val="none"/>
          <w:lang w:eastAsia="zh-CN"/>
        </w:rPr>
        <w:t>”</w:t>
      </w:r>
      <w:r>
        <w:rPr>
          <w:rFonts w:cs="宋体"/>
          <w:color w:val="auto"/>
          <w:highlight w:val="none"/>
          <w:lang w:eastAsia="zh-CN"/>
        </w:rPr>
        <w:t>。</w:t>
      </w:r>
    </w:p>
    <w:p w14:paraId="65F0E07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）模板及支架上严禁堆放超过其设计荷载的材料和设备。</w:t>
      </w:r>
    </w:p>
    <w:p w14:paraId="32C29BE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）模板安装应按混凝土结构物的详图测量放样，重要结构多设控制点，以利检查校正。</w:t>
      </w:r>
    </w:p>
    <w:p w14:paraId="4E7BB9EF">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8</w:t>
      </w:r>
      <w:r>
        <w:rPr>
          <w:rFonts w:cs="宋体"/>
          <w:color w:val="auto"/>
          <w:highlight w:val="none"/>
          <w:lang w:eastAsia="zh-CN"/>
        </w:rPr>
        <w:t>）建筑结构混凝土与钢筋混凝土模板的安装允许偏差应遵守《混凝土结构工程施工质量验收规范》（</w:t>
      </w:r>
      <w:r>
        <w:rPr>
          <w:rFonts w:hAnsi="Times New Roman" w:cs="Times New Roman"/>
          <w:color w:val="auto"/>
          <w:highlight w:val="none"/>
          <w:lang w:eastAsia="zh-CN"/>
        </w:rPr>
        <w:t>GB50204—2015</w:t>
      </w:r>
      <w:r>
        <w:rPr>
          <w:rFonts w:cs="宋体"/>
          <w:color w:val="auto"/>
          <w:highlight w:val="none"/>
          <w:lang w:eastAsia="zh-CN"/>
        </w:rPr>
        <w:t>）第</w:t>
      </w:r>
      <w:r>
        <w:rPr>
          <w:rFonts w:hAnsi="Times New Roman" w:cs="Times New Roman"/>
          <w:color w:val="auto"/>
          <w:highlight w:val="none"/>
          <w:lang w:eastAsia="zh-CN"/>
        </w:rPr>
        <w:t>4.2.7</w:t>
      </w:r>
      <w:r>
        <w:rPr>
          <w:rFonts w:cs="宋体"/>
          <w:color w:val="auto"/>
          <w:highlight w:val="none"/>
          <w:lang w:eastAsia="zh-CN"/>
        </w:rPr>
        <w:t>条的规定，大体积混凝土模板的安装允许偏差应遵守《水电水利工程模板施工规范》（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6.0.10</w:t>
      </w:r>
      <w:r>
        <w:rPr>
          <w:rFonts w:cs="宋体"/>
          <w:color w:val="auto"/>
          <w:highlight w:val="none"/>
          <w:lang w:eastAsia="zh-CN"/>
        </w:rPr>
        <w:t>条的规定。</w:t>
      </w:r>
    </w:p>
    <w:p w14:paraId="0C8801C9">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9）特种模板（</w:t>
      </w:r>
      <w:r>
        <w:rPr>
          <w:rFonts w:hint="eastAsia" w:cs="宋体"/>
          <w:color w:val="auto"/>
          <w:kern w:val="2"/>
          <w:highlight w:val="none"/>
          <w:lang w:eastAsia="zh-CN"/>
        </w:rPr>
        <w:t>高速水流孔口，建筑不装修的永久外表面</w:t>
      </w:r>
      <w:r>
        <w:rPr>
          <w:rFonts w:cs="宋体"/>
          <w:color w:val="auto"/>
          <w:kern w:val="2"/>
          <w:highlight w:val="none"/>
          <w:lang w:eastAsia="zh-CN"/>
        </w:rPr>
        <w:t>）</w:t>
      </w:r>
      <w:r>
        <w:rPr>
          <w:rFonts w:hint="eastAsia" w:cs="宋体"/>
          <w:color w:val="auto"/>
          <w:kern w:val="2"/>
          <w:highlight w:val="none"/>
          <w:lang w:eastAsia="zh-CN"/>
        </w:rPr>
        <w:t>和异形模板以高质量木模为主，辅以预制模板和组合钢模板。</w:t>
      </w:r>
    </w:p>
    <w:p w14:paraId="3797EC11">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（10）预制模板</w:t>
      </w:r>
    </w:p>
    <w:p w14:paraId="52D499D3">
      <w:pPr>
        <w:ind w:firstLine="420"/>
        <w:jc w:val="left"/>
        <w:rPr>
          <w:rFonts w:cs="宋体"/>
          <w:color w:val="auto"/>
          <w:kern w:val="2"/>
          <w:highlight w:val="none"/>
          <w:lang w:eastAsia="zh-CN"/>
        </w:rPr>
      </w:pPr>
      <w:r>
        <w:rPr>
          <w:rFonts w:cs="宋体"/>
          <w:color w:val="auto"/>
          <w:kern w:val="2"/>
          <w:highlight w:val="none"/>
          <w:lang w:eastAsia="zh-CN"/>
        </w:rPr>
        <w:t>1）所有混凝土及钢筋混凝土预制模板均须在预制厂预制。</w:t>
      </w:r>
    </w:p>
    <w:p w14:paraId="7C22586E">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2）安装混凝土及钢筋混凝土预制模板，应制订专门的技术措施和工艺操作规程。</w:t>
      </w:r>
    </w:p>
    <w:p w14:paraId="0F61B48B">
      <w:pPr>
        <w:ind w:firstLine="420"/>
        <w:jc w:val="left"/>
        <w:rPr>
          <w:rFonts w:cs="宋体"/>
          <w:color w:val="auto"/>
          <w:kern w:val="2"/>
          <w:highlight w:val="none"/>
          <w:lang w:eastAsia="zh-CN"/>
        </w:rPr>
      </w:pPr>
      <w:r>
        <w:rPr>
          <w:rFonts w:cs="宋体"/>
          <w:color w:val="auto"/>
          <w:kern w:val="2"/>
          <w:highlight w:val="none"/>
          <w:lang w:eastAsia="zh-CN"/>
        </w:rPr>
        <w:t>3）承包人应保证购买的混凝土及钢筋混凝土预制模板的制作尺寸及平整度达到相应要求。混凝土预制模板运输时，应达到设计要求的吊装强度，或不低于混凝土设计强度的75</w:t>
      </w:r>
      <w:r>
        <w:rPr>
          <w:rFonts w:hint="eastAsia" w:cs="宋体"/>
          <w:color w:val="auto"/>
          <w:kern w:val="2"/>
          <w:highlight w:val="none"/>
          <w:lang w:eastAsia="zh-CN"/>
        </w:rPr>
        <w:t>％。</w:t>
      </w:r>
    </w:p>
    <w:p w14:paraId="6AD77014">
      <w:pPr>
        <w:ind w:firstLine="420"/>
        <w:jc w:val="left"/>
        <w:rPr>
          <w:rFonts w:cs="宋体"/>
          <w:color w:val="auto"/>
          <w:kern w:val="2"/>
          <w:highlight w:val="none"/>
          <w:lang w:eastAsia="zh-CN"/>
        </w:rPr>
      </w:pPr>
      <w:r>
        <w:rPr>
          <w:rFonts w:cs="宋体"/>
          <w:color w:val="auto"/>
          <w:kern w:val="2"/>
          <w:highlight w:val="none"/>
          <w:lang w:eastAsia="zh-CN"/>
        </w:rPr>
        <w:t>4）混凝土及钢筋混凝土预制的竖向模板，在安装前应先按施工缝要求处理下层混凝土面；在安装时，应铺砂浆找平垫实，以保证模板稳固及与下层混凝土牢固结合。</w:t>
      </w:r>
    </w:p>
    <w:p w14:paraId="343A6D3A">
      <w:pPr>
        <w:ind w:firstLine="420"/>
        <w:jc w:val="left"/>
        <w:rPr>
          <w:rFonts w:cs="宋体"/>
          <w:color w:val="auto"/>
          <w:highlight w:val="none"/>
          <w:lang w:eastAsia="zh-CN"/>
        </w:rPr>
      </w:pPr>
      <w:r>
        <w:rPr>
          <w:rFonts w:hint="eastAsia" w:hAnsi="Times New Roman" w:cs="宋体"/>
          <w:color w:val="auto"/>
          <w:kern w:val="2"/>
          <w:highlight w:val="none"/>
          <w:lang w:eastAsia="zh-CN"/>
        </w:rPr>
        <w:t>5）永久性混凝土预制模板与现浇混凝土的结合面，必须在浇筑混凝土以前加工成粗糙面，并清洗、湿润。浇筑时不得沾染松散砂浆等污物。同时应适当加强平仓振捣，以确保模板与混凝土的可靠结合。</w:t>
      </w:r>
    </w:p>
    <w:p w14:paraId="0A40FEAB">
      <w:pPr>
        <w:pStyle w:val="5"/>
        <w:jc w:val="left"/>
        <w:rPr>
          <w:rFonts w:hAnsi="Times New Roman" w:cs="楷体"/>
          <w:color w:val="auto"/>
          <w:highlight w:val="none"/>
          <w:lang w:eastAsia="zh-CN"/>
        </w:rPr>
      </w:pPr>
      <w:r>
        <w:rPr>
          <w:rFonts w:hAnsi="Times New Roman" w:cs="Times New Roman"/>
          <w:color w:val="auto"/>
          <w:highlight w:val="none"/>
          <w:lang w:eastAsia="zh-CN"/>
        </w:rPr>
        <w:t>14.3.3</w:t>
      </w:r>
      <w:r>
        <w:rPr>
          <w:rFonts w:hint="eastAsia" w:hAnsi="Times New Roman" w:cs="Times New Roman"/>
          <w:color w:val="auto"/>
          <w:highlight w:val="none"/>
          <w:lang w:eastAsia="zh-CN"/>
        </w:rPr>
        <w:t>　</w:t>
      </w:r>
      <w:r>
        <w:rPr>
          <w:rFonts w:hAnsi="楷体" w:cs="楷体"/>
          <w:color w:val="auto"/>
          <w:highlight w:val="none"/>
          <w:lang w:eastAsia="zh-CN"/>
        </w:rPr>
        <w:t>模板的清洗和涂料</w:t>
      </w:r>
    </w:p>
    <w:p w14:paraId="5FC947EC">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）钢模板在每次使用前应清洗干净；为防锈和拆模方便，钢模面板应涂刷防锈保护涂料，不得采用污染混凝土和影响混凝土质量的涂剂</w:t>
      </w:r>
      <w:r>
        <w:rPr>
          <w:rFonts w:hint="eastAsia" w:cs="宋体"/>
          <w:color w:val="auto"/>
          <w:highlight w:val="none"/>
          <w:lang w:eastAsia="zh-CN"/>
        </w:rPr>
        <w:t>，对已污染的混凝土面，承包人必须采取有效措施加以清除。</w:t>
      </w:r>
    </w:p>
    <w:p w14:paraId="7039505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）木模板面应采用烤石蜡或其它监理人批准的保护性涂料进行保护。</w:t>
      </w:r>
    </w:p>
    <w:p w14:paraId="30C77E28">
      <w:pPr>
        <w:pStyle w:val="5"/>
        <w:jc w:val="left"/>
        <w:rPr>
          <w:rFonts w:hAnsi="Times New Roman" w:cs="楷体"/>
          <w:color w:val="auto"/>
          <w:highlight w:val="none"/>
          <w:lang w:eastAsia="zh-CN"/>
        </w:rPr>
      </w:pPr>
      <w:r>
        <w:rPr>
          <w:rFonts w:hAnsi="Times New Roman" w:cs="Times New Roman"/>
          <w:color w:val="auto"/>
          <w:highlight w:val="none"/>
          <w:lang w:eastAsia="zh-CN"/>
        </w:rPr>
        <w:t>14.3.4</w:t>
      </w:r>
      <w:r>
        <w:rPr>
          <w:rFonts w:hint="eastAsia" w:hAnsi="Times New Roman" w:cs="Times New Roman"/>
          <w:color w:val="auto"/>
          <w:highlight w:val="none"/>
          <w:lang w:eastAsia="zh-CN"/>
        </w:rPr>
        <w:t>　</w:t>
      </w:r>
      <w:r>
        <w:rPr>
          <w:rFonts w:hAnsi="楷体" w:cs="楷体"/>
          <w:color w:val="auto"/>
          <w:highlight w:val="none"/>
          <w:lang w:eastAsia="zh-CN"/>
        </w:rPr>
        <w:t>模板的拆除和维修</w:t>
      </w:r>
    </w:p>
    <w:p w14:paraId="0F06819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）现浇混凝土的模板（如侧模、底模）以及钢筋混凝土与混凝土结构的承载模板拆除时的混凝土强度应遵守本合同施工图纸和</w:t>
      </w:r>
      <w:r>
        <w:rPr>
          <w:rFonts w:hint="eastAsia" w:cs="宋体"/>
          <w:color w:val="auto"/>
          <w:highlight w:val="none"/>
          <w:lang w:eastAsia="zh-CN"/>
        </w:rPr>
        <w:t>《水工混凝土施工规范》（</w:t>
      </w:r>
      <w:r>
        <w:rPr>
          <w:rFonts w:cs="宋体"/>
          <w:color w:val="auto"/>
          <w:highlight w:val="none"/>
          <w:lang w:eastAsia="zh-CN"/>
        </w:rPr>
        <w:t>SL677－2014）第3.6.1条及《水电水利工程模板施工规范》（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7.0.1</w:t>
      </w:r>
      <w:r>
        <w:rPr>
          <w:rFonts w:cs="宋体"/>
          <w:color w:val="auto"/>
          <w:highlight w:val="none"/>
          <w:lang w:eastAsia="zh-CN"/>
        </w:rPr>
        <w:t>条的规定。</w:t>
      </w:r>
    </w:p>
    <w:p w14:paraId="10358D4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）墩、台、柱部位的混凝土强度必须达到设计要求和《水电水利工程模板施工规范》（</w:t>
      </w:r>
      <w:r>
        <w:rPr>
          <w:rFonts w:hAnsi="Times New Roman" w:cs="Times New Roman"/>
          <w:color w:val="auto"/>
          <w:highlight w:val="none"/>
          <w:lang w:eastAsia="zh-CN"/>
        </w:rPr>
        <w:t>DL/T5110—2013</w:t>
      </w:r>
      <w:r>
        <w:rPr>
          <w:rFonts w:cs="宋体"/>
          <w:color w:val="auto"/>
          <w:highlight w:val="none"/>
          <w:lang w:eastAsia="zh-CN"/>
        </w:rPr>
        <w:t>）第</w:t>
      </w:r>
      <w:r>
        <w:rPr>
          <w:rFonts w:hAnsi="Times New Roman" w:cs="Times New Roman"/>
          <w:color w:val="auto"/>
          <w:highlight w:val="none"/>
          <w:lang w:eastAsia="zh-CN"/>
        </w:rPr>
        <w:t>7.0.1</w:t>
      </w:r>
      <w:r>
        <w:rPr>
          <w:rFonts w:cs="宋体"/>
          <w:color w:val="auto"/>
          <w:highlight w:val="none"/>
          <w:lang w:eastAsia="zh-CN"/>
        </w:rPr>
        <w:t>条时，方可拆除模板。</w:t>
      </w:r>
    </w:p>
    <w:p w14:paraId="79703BC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）特殊模板的拆除时限应由承包人报经监理人批准。</w:t>
      </w:r>
    </w:p>
    <w:p w14:paraId="0DEFEF10">
      <w:pPr>
        <w:ind w:firstLine="420"/>
        <w:jc w:val="left"/>
        <w:rPr>
          <w:rFonts w:hAnsi="Times New Roman"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4</w:t>
      </w:r>
      <w:r>
        <w:rPr>
          <w:rFonts w:cs="宋体"/>
          <w:color w:val="auto"/>
          <w:highlight w:val="none"/>
          <w:lang w:eastAsia="zh-CN"/>
        </w:rPr>
        <w:t>）经计算和试验复核后，混凝土结构实际强度已能承受自重及其它荷载时，经监理人批准后，方可提前拆模。未经监理人批准．模板及其支架和支撑均不得任意拆除。</w:t>
      </w:r>
    </w:p>
    <w:p w14:paraId="5B1D8C21">
      <w:pPr>
        <w:ind w:firstLine="420"/>
        <w:jc w:val="left"/>
        <w:rPr>
          <w:rFonts w:cs="宋体"/>
          <w:color w:val="auto"/>
          <w:highlight w:val="none"/>
          <w:lang w:eastAsia="zh-CN"/>
        </w:rPr>
      </w:pPr>
      <w:r>
        <w:rPr>
          <w:rFonts w:cs="宋体"/>
          <w:color w:val="auto"/>
          <w:highlight w:val="none"/>
          <w:lang w:eastAsia="zh-CN"/>
        </w:rPr>
        <w:t>（</w:t>
      </w:r>
      <w:r>
        <w:rPr>
          <w:rFonts w:hint="eastAsia" w:cs="宋体"/>
          <w:color w:val="auto"/>
          <w:highlight w:val="none"/>
          <w:lang w:val="en-US" w:eastAsia="zh-CN"/>
        </w:rPr>
        <w:t>5</w:t>
      </w:r>
      <w:r>
        <w:rPr>
          <w:rFonts w:cs="宋体"/>
          <w:color w:val="auto"/>
          <w:highlight w:val="none"/>
          <w:lang w:eastAsia="zh-CN"/>
        </w:rPr>
        <w:t>）模板的安装及拆除作业必须使用专项设备，并应严格按规定的施工程序进行，以避免施工期发生事故，防止混凝土及其模板的损坏。</w:t>
      </w:r>
    </w:p>
    <w:p w14:paraId="54069EE4">
      <w:pPr>
        <w:pStyle w:val="5"/>
        <w:jc w:val="left"/>
        <w:rPr>
          <w:rFonts w:hAnsi="Times New Roman" w:cs="楷体"/>
          <w:color w:val="auto"/>
          <w:highlight w:val="none"/>
          <w:lang w:eastAsia="zh-CN"/>
        </w:rPr>
      </w:pPr>
      <w:r>
        <w:rPr>
          <w:rFonts w:hAnsi="Times New Roman" w:cs="Times New Roman"/>
          <w:color w:val="auto"/>
          <w:highlight w:val="none"/>
          <w:lang w:eastAsia="zh-CN"/>
        </w:rPr>
        <w:t>14.3.5</w:t>
      </w:r>
      <w:r>
        <w:rPr>
          <w:rFonts w:hint="eastAsia" w:hAnsi="Times New Roman" w:cs="Times New Roman"/>
          <w:color w:val="auto"/>
          <w:highlight w:val="none"/>
          <w:lang w:eastAsia="zh-CN"/>
        </w:rPr>
        <w:t>　</w:t>
      </w:r>
      <w:r>
        <w:rPr>
          <w:rFonts w:hAnsi="楷体" w:cs="楷体"/>
          <w:color w:val="auto"/>
          <w:highlight w:val="none"/>
          <w:lang w:eastAsia="zh-CN"/>
        </w:rPr>
        <w:t>模板质量检查</w:t>
      </w:r>
    </w:p>
    <w:p w14:paraId="057ECC1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）现场安装质量检查：</w:t>
      </w:r>
    </w:p>
    <w:p w14:paraId="51ACD8F3">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）模板及其附件的制作质量应满足本合同技术条款和施工图纸的要求。</w:t>
      </w:r>
    </w:p>
    <w:p w14:paraId="225E1BD7">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）模板安装应有足够的密封性能，以防止混凝土浇筑过程中的水泥浆流失。</w:t>
      </w:r>
    </w:p>
    <w:p w14:paraId="2DB813DB">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）重复使用的模板应保持原设计要求的强度、刚度、密实性和模板表面的光滑度，检查发现模板有损坏时，承包人应按监理人指示进行更换或修补。</w:t>
      </w:r>
    </w:p>
    <w:p w14:paraId="7B4D79BE">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）模板安装完成后，承包人应会同监理人共同对模板的安装质量进行检查，检查记录应提交监理人。</w:t>
      </w:r>
    </w:p>
    <w:p w14:paraId="00F98953">
      <w:pPr>
        <w:ind w:firstLine="420"/>
        <w:jc w:val="left"/>
        <w:rPr>
          <w:rFonts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）在混凝土浇筑过程中，承包人应随时检查模板的定线和定位，发现偏差和位移，应采取有效措施予以纠正，检查记录应提交监理人。</w:t>
      </w:r>
    </w:p>
    <w:p w14:paraId="60D9AEF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）模板拆除后的检查</w:t>
      </w:r>
    </w:p>
    <w:p w14:paraId="4DC415C8">
      <w:pPr>
        <w:ind w:firstLine="420"/>
        <w:jc w:val="left"/>
        <w:rPr>
          <w:rFonts w:cs="宋体"/>
          <w:color w:val="auto"/>
          <w:highlight w:val="none"/>
          <w:lang w:eastAsia="zh-CN"/>
        </w:rPr>
      </w:pPr>
      <w:r>
        <w:rPr>
          <w:rFonts w:cs="宋体"/>
          <w:color w:val="auto"/>
          <w:highlight w:val="none"/>
          <w:lang w:eastAsia="zh-CN"/>
        </w:rPr>
        <w:t>拆模时间应经过验算。拆模后，承包人应会同监理人共同检查混凝土结构物及其浇筑面质量是否达到施工图纸要求的混凝土强度和平整度，验算成果和检查记录应提交监理人。</w:t>
      </w:r>
    </w:p>
    <w:p w14:paraId="0167BFBB">
      <w:pPr>
        <w:pStyle w:val="5"/>
        <w:jc w:val="left"/>
        <w:rPr>
          <w:color w:val="auto"/>
          <w:highlight w:val="none"/>
          <w:lang w:eastAsia="zh-CN"/>
        </w:rPr>
      </w:pPr>
      <w:r>
        <w:rPr>
          <w:rFonts w:hAnsi="Times New Roman" w:cs="Times New Roman"/>
          <w:color w:val="auto"/>
          <w:highlight w:val="none"/>
          <w:lang w:eastAsia="zh-CN"/>
        </w:rPr>
        <w:t>14.3.6</w:t>
      </w:r>
      <w:r>
        <w:rPr>
          <w:rFonts w:hint="eastAsia" w:hAnsi="Times New Roman" w:cs="Times New Roman"/>
          <w:color w:val="auto"/>
          <w:highlight w:val="none"/>
          <w:lang w:eastAsia="zh-CN"/>
        </w:rPr>
        <w:t>　</w:t>
      </w:r>
      <w:r>
        <w:rPr>
          <w:rFonts w:hint="eastAsia"/>
          <w:color w:val="auto"/>
          <w:highlight w:val="none"/>
          <w:lang w:eastAsia="zh-CN"/>
        </w:rPr>
        <w:t>钢模台车及滑模</w:t>
      </w:r>
    </w:p>
    <w:p w14:paraId="0FC8CB3F">
      <w:pPr>
        <w:suppressAutoHyphens/>
        <w:ind w:firstLine="420"/>
        <w:jc w:val="left"/>
        <w:rPr>
          <w:color w:val="auto"/>
          <w:highlight w:val="none"/>
          <w:lang w:eastAsia="zh-CN"/>
        </w:rPr>
      </w:pPr>
      <w:r>
        <w:rPr>
          <w:rFonts w:hint="eastAsia"/>
          <w:color w:val="auto"/>
          <w:highlight w:val="none"/>
          <w:lang w:eastAsia="zh-CN"/>
        </w:rPr>
        <w:t>（1）采用钢模台车等移置模板和滑动模板施工时除应符合本章以上各节的规定外，还应遵守本节规定。</w:t>
      </w:r>
    </w:p>
    <w:p w14:paraId="32FF0DA5">
      <w:pPr>
        <w:suppressAutoHyphens/>
        <w:ind w:firstLine="420"/>
        <w:jc w:val="left"/>
        <w:rPr>
          <w:color w:val="auto"/>
          <w:highlight w:val="none"/>
          <w:lang w:eastAsia="zh-CN"/>
        </w:rPr>
      </w:pPr>
      <w:r>
        <w:rPr>
          <w:rFonts w:hint="eastAsia"/>
          <w:color w:val="auto"/>
          <w:highlight w:val="none"/>
          <w:lang w:eastAsia="zh-CN"/>
        </w:rPr>
        <w:t>（2）滑动模板应遵守下列规定：</w:t>
      </w:r>
    </w:p>
    <w:p w14:paraId="066444F2">
      <w:pPr>
        <w:suppressAutoHyphens/>
        <w:ind w:firstLine="420"/>
        <w:jc w:val="left"/>
        <w:rPr>
          <w:color w:val="auto"/>
          <w:highlight w:val="none"/>
          <w:lang w:eastAsia="zh-CN"/>
        </w:rPr>
      </w:pPr>
      <w:r>
        <w:rPr>
          <w:rFonts w:hint="eastAsia"/>
          <w:color w:val="auto"/>
          <w:highlight w:val="none"/>
          <w:lang w:eastAsia="zh-CN"/>
        </w:rPr>
        <w:t>1）每段模板沿滑动方向的长度，应与平均滑动速度和混凝土脱模时间相适应，一般为1m～1.5m。滑模的支承构件及提升（拖动）设备应能保证模板结构均衡滑动，导向构件应能保证模板准确地按设计方向滑动。提升（拖动）宜采用液压设备，也可采用卷扬机或其他设备。</w:t>
      </w:r>
    </w:p>
    <w:p w14:paraId="657603C6">
      <w:pPr>
        <w:suppressAutoHyphens/>
        <w:ind w:firstLine="420"/>
        <w:jc w:val="left"/>
        <w:rPr>
          <w:color w:val="auto"/>
          <w:highlight w:val="none"/>
          <w:lang w:eastAsia="zh-CN"/>
        </w:rPr>
      </w:pPr>
      <w:r>
        <w:rPr>
          <w:rFonts w:hint="eastAsia"/>
          <w:color w:val="auto"/>
          <w:highlight w:val="none"/>
          <w:lang w:eastAsia="zh-CN"/>
        </w:rPr>
        <w:t>2）浇筑面板的侧模允许安装偏差为3mm，20m范围内起伏差为5mm。</w:t>
      </w:r>
    </w:p>
    <w:p w14:paraId="6370F386">
      <w:pPr>
        <w:suppressAutoHyphens/>
        <w:ind w:firstLine="420"/>
        <w:jc w:val="left"/>
        <w:rPr>
          <w:color w:val="auto"/>
          <w:highlight w:val="none"/>
          <w:lang w:eastAsia="zh-CN"/>
        </w:rPr>
      </w:pPr>
      <w:r>
        <w:rPr>
          <w:rFonts w:hint="eastAsia"/>
          <w:color w:val="auto"/>
          <w:highlight w:val="none"/>
          <w:lang w:eastAsia="zh-CN"/>
        </w:rPr>
        <w:t>3）滑动模板滑动速度应与混凝土的早期强度增长速度相适应。要求混凝土在脱模时不坍塌，不拉裂。模板沿竖直方向滑升时，混凝土的脱模强度应控制在0.2MPa～0.4MPa。模板沿倾斜或水平方向滑动时，混凝土的脱模强度应经过计算和试验确定。</w:t>
      </w:r>
    </w:p>
    <w:p w14:paraId="367E08D2">
      <w:pPr>
        <w:suppressAutoHyphens/>
        <w:ind w:firstLine="420"/>
        <w:jc w:val="left"/>
        <w:rPr>
          <w:color w:val="auto"/>
          <w:highlight w:val="none"/>
          <w:lang w:eastAsia="zh-CN"/>
        </w:rPr>
      </w:pPr>
      <w:r>
        <w:rPr>
          <w:rFonts w:hint="eastAsia"/>
          <w:color w:val="auto"/>
          <w:highlight w:val="none"/>
          <w:lang w:eastAsia="zh-CN"/>
        </w:rPr>
        <w:t>（3）隧洞衬砌采用钢模台车应遵守下列规定：</w:t>
      </w:r>
    </w:p>
    <w:p w14:paraId="127E94C8">
      <w:pPr>
        <w:suppressAutoHyphens/>
        <w:ind w:firstLine="420"/>
        <w:jc w:val="left"/>
        <w:rPr>
          <w:color w:val="auto"/>
          <w:highlight w:val="none"/>
          <w:lang w:eastAsia="zh-CN"/>
        </w:rPr>
      </w:pPr>
      <w:r>
        <w:rPr>
          <w:rFonts w:hint="eastAsia"/>
          <w:color w:val="auto"/>
          <w:highlight w:val="none"/>
          <w:lang w:eastAsia="zh-CN"/>
        </w:rPr>
        <w:t>1）钢模台车应有可靠的导向装置（如轨道、针梁等），模板顶拱上应设置封拱器。</w:t>
      </w:r>
    </w:p>
    <w:p w14:paraId="621BF575">
      <w:pPr>
        <w:suppressAutoHyphens/>
        <w:ind w:firstLine="420"/>
        <w:jc w:val="left"/>
        <w:rPr>
          <w:color w:val="auto"/>
          <w:highlight w:val="none"/>
          <w:lang w:eastAsia="zh-CN"/>
        </w:rPr>
      </w:pPr>
      <w:r>
        <w:rPr>
          <w:rFonts w:hint="eastAsia"/>
          <w:color w:val="auto"/>
          <w:highlight w:val="none"/>
          <w:lang w:eastAsia="zh-CN"/>
        </w:rPr>
        <w:t>2）承包人选用的钢模台车的形式及数量须满足边开挖边衬砌的施工要求，衬砌施工的月进尺能力应大于相应洞段开挖的最大月进尺，必要时可采用穿行式钢模台车。</w:t>
      </w:r>
      <w:r>
        <w:rPr>
          <w:rFonts w:cs="宋体"/>
          <w:color w:val="auto"/>
          <w:highlight w:val="none"/>
          <w:lang w:eastAsia="zh-CN"/>
        </w:rPr>
        <w:t>钢模台车具备半径向不低于20cm范围内的多级变径功能</w:t>
      </w:r>
      <w:r>
        <w:rPr>
          <w:rFonts w:hint="eastAsia"/>
          <w:color w:val="auto"/>
          <w:highlight w:val="none"/>
          <w:lang w:eastAsia="zh-CN"/>
        </w:rPr>
        <w:t>。</w:t>
      </w:r>
    </w:p>
    <w:p w14:paraId="352C6049">
      <w:pPr>
        <w:suppressAutoHyphens/>
        <w:ind w:firstLine="420"/>
        <w:jc w:val="left"/>
        <w:rPr>
          <w:color w:val="auto"/>
          <w:highlight w:val="none"/>
          <w:lang w:eastAsia="zh-CN"/>
        </w:rPr>
      </w:pPr>
      <w:r>
        <w:rPr>
          <w:rFonts w:hint="eastAsia"/>
          <w:color w:val="auto"/>
          <w:highlight w:val="none"/>
          <w:lang w:eastAsia="zh-CN"/>
        </w:rPr>
        <w:t>3）主要设备参数及技术性能最低配置要求如下:</w:t>
      </w:r>
    </w:p>
    <w:p w14:paraId="4EB79444">
      <w:pPr>
        <w:suppressAutoHyphens/>
        <w:ind w:firstLine="420"/>
        <w:jc w:val="left"/>
        <w:rPr>
          <w:color w:val="auto"/>
          <w:highlight w:val="none"/>
          <w:lang w:eastAsia="zh-CN"/>
        </w:rPr>
      </w:pPr>
      <w:r>
        <w:rPr>
          <w:rFonts w:hint="eastAsia"/>
          <w:color w:val="auto"/>
          <w:highlight w:val="none"/>
          <w:lang w:eastAsia="zh-CN"/>
        </w:rPr>
        <w:t>①适用于不同加宽值隧洞衬砌施工需求，有效衬砌长度应满足9～12m节长施工需求（特殊情况须满足设计要求）；</w:t>
      </w:r>
    </w:p>
    <w:p w14:paraId="4D874D8D">
      <w:pPr>
        <w:suppressAutoHyphens/>
        <w:ind w:firstLine="420"/>
        <w:jc w:val="left"/>
        <w:rPr>
          <w:color w:val="auto"/>
          <w:highlight w:val="none"/>
          <w:lang w:eastAsia="zh-CN"/>
        </w:rPr>
      </w:pPr>
      <w:r>
        <w:rPr>
          <w:rFonts w:hint="eastAsia"/>
          <w:color w:val="auto"/>
          <w:highlight w:val="none"/>
          <w:lang w:eastAsia="zh-CN"/>
        </w:rPr>
        <w:t>②结构形式：无骨架四支腿门框结构，通行宽度应满足隧洞内不同机械设备通行要求；</w:t>
      </w:r>
    </w:p>
    <w:p w14:paraId="45C22566">
      <w:pPr>
        <w:suppressAutoHyphens/>
        <w:ind w:firstLine="420"/>
        <w:jc w:val="left"/>
        <w:rPr>
          <w:color w:val="auto"/>
          <w:highlight w:val="none"/>
          <w:lang w:eastAsia="zh-CN"/>
        </w:rPr>
      </w:pPr>
      <w:r>
        <w:rPr>
          <w:rFonts w:hint="eastAsia"/>
          <w:color w:val="auto"/>
          <w:highlight w:val="none"/>
          <w:lang w:eastAsia="zh-CN"/>
        </w:rPr>
        <w:t>③控制方式：遥控或手动控制方式；</w:t>
      </w:r>
    </w:p>
    <w:p w14:paraId="460B6AE0">
      <w:pPr>
        <w:suppressAutoHyphens/>
        <w:ind w:firstLine="420"/>
        <w:jc w:val="left"/>
        <w:rPr>
          <w:color w:val="auto"/>
          <w:highlight w:val="none"/>
          <w:lang w:eastAsia="zh-CN"/>
        </w:rPr>
      </w:pPr>
      <w:r>
        <w:rPr>
          <w:rFonts w:hint="eastAsia"/>
          <w:color w:val="auto"/>
          <w:highlight w:val="none"/>
          <w:lang w:eastAsia="zh-CN"/>
        </w:rPr>
        <w:t>④具备自动分层逐窗布料、带压浇筑、带模注浆、自动振捣等功能；</w:t>
      </w:r>
    </w:p>
    <w:p w14:paraId="4735B881">
      <w:pPr>
        <w:suppressAutoHyphens/>
        <w:ind w:firstLine="420"/>
        <w:jc w:val="left"/>
        <w:rPr>
          <w:color w:val="auto"/>
          <w:highlight w:val="none"/>
          <w:lang w:eastAsia="zh-CN"/>
        </w:rPr>
      </w:pPr>
      <w:r>
        <w:rPr>
          <w:rFonts w:hint="eastAsia"/>
          <w:color w:val="auto"/>
          <w:highlight w:val="none"/>
          <w:lang w:eastAsia="zh-CN"/>
        </w:rPr>
        <w:t>⑤具有拱顶灌满提醒、偏压报警、入模温湿度监测、入模方量、浇筑可视化等智能监测功能，能实时监测混凝土浇筑状态，能够生成每循环衬砌日志，以及上述数据的实时记录与传输等信息化管理功能；</w:t>
      </w:r>
    </w:p>
    <w:p w14:paraId="1203C141">
      <w:pPr>
        <w:suppressAutoHyphens/>
        <w:ind w:firstLine="420"/>
        <w:jc w:val="left"/>
        <w:rPr>
          <w:color w:val="auto"/>
          <w:highlight w:val="none"/>
          <w:lang w:eastAsia="zh-CN"/>
        </w:rPr>
      </w:pPr>
      <w:r>
        <w:rPr>
          <w:rFonts w:hint="eastAsia"/>
          <w:color w:val="auto"/>
          <w:highlight w:val="none"/>
          <w:lang w:eastAsia="zh-CN"/>
        </w:rPr>
        <w:t>⑥具备模板柔性搭接、止水带定位和固定功能；</w:t>
      </w:r>
    </w:p>
    <w:p w14:paraId="6031AEED">
      <w:pPr>
        <w:suppressAutoHyphens/>
        <w:ind w:firstLine="420"/>
        <w:jc w:val="left"/>
        <w:rPr>
          <w:color w:val="auto"/>
          <w:highlight w:val="none"/>
          <w:lang w:eastAsia="zh-CN"/>
        </w:rPr>
      </w:pPr>
      <w:r>
        <w:rPr>
          <w:rFonts w:hint="eastAsia"/>
          <w:color w:val="auto"/>
          <w:highlight w:val="none"/>
          <w:lang w:eastAsia="zh-CN"/>
        </w:rPr>
        <w:t>⑦混凝土振捣采用高频电动或气动附着式振捣器；</w:t>
      </w:r>
    </w:p>
    <w:p w14:paraId="6B8839A3">
      <w:pPr>
        <w:suppressAutoHyphens/>
        <w:ind w:firstLine="420"/>
        <w:jc w:val="left"/>
        <w:rPr>
          <w:color w:val="auto"/>
          <w:highlight w:val="none"/>
          <w:lang w:eastAsia="zh-CN"/>
        </w:rPr>
      </w:pPr>
      <w:r>
        <w:rPr>
          <w:rFonts w:hint="eastAsia"/>
          <w:color w:val="auto"/>
          <w:highlight w:val="none"/>
          <w:lang w:eastAsia="zh-CN"/>
        </w:rPr>
        <w:t>⑧顶拱具备插入式自动振捣功能，能实现遥控和手动控制；</w:t>
      </w:r>
    </w:p>
    <w:p w14:paraId="57328B3A">
      <w:pPr>
        <w:suppressAutoHyphens/>
        <w:ind w:firstLine="420"/>
        <w:jc w:val="left"/>
        <w:rPr>
          <w:color w:val="auto"/>
          <w:highlight w:val="none"/>
          <w:lang w:eastAsia="zh-CN"/>
        </w:rPr>
      </w:pPr>
      <w:r>
        <w:rPr>
          <w:rFonts w:hint="eastAsia"/>
          <w:color w:val="auto"/>
          <w:highlight w:val="none"/>
          <w:lang w:eastAsia="zh-CN"/>
        </w:rPr>
        <w:t>⑨具备人工手持插入式振捣工作窗口。</w:t>
      </w:r>
    </w:p>
    <w:p w14:paraId="191C6638">
      <w:pPr>
        <w:suppressAutoHyphens/>
        <w:ind w:firstLine="420"/>
        <w:jc w:val="left"/>
        <w:rPr>
          <w:color w:val="auto"/>
          <w:highlight w:val="none"/>
          <w:lang w:eastAsia="zh-CN"/>
        </w:rPr>
      </w:pPr>
      <w:r>
        <w:rPr>
          <w:rFonts w:hint="eastAsia"/>
          <w:color w:val="auto"/>
          <w:highlight w:val="none"/>
          <w:lang w:eastAsia="zh-CN"/>
        </w:rPr>
        <w:t>4）为保证实现合同工期的目标要求，钢模台车的支撑应采用两侧矮边墙方案，发包人不另外支付由此增加的一切费用。</w:t>
      </w:r>
    </w:p>
    <w:p w14:paraId="3D7D7E14">
      <w:pPr>
        <w:ind w:firstLine="420"/>
        <w:jc w:val="left"/>
        <w:rPr>
          <w:color w:val="auto"/>
          <w:highlight w:val="none"/>
          <w:lang w:eastAsia="zh-CN"/>
        </w:rPr>
      </w:pPr>
      <w:r>
        <w:rPr>
          <w:rFonts w:hint="eastAsia"/>
          <w:color w:val="auto"/>
          <w:highlight w:val="none"/>
          <w:lang w:eastAsia="zh-CN"/>
        </w:rPr>
        <w:t>5）钢模台车脱模，直立面混凝土的强度不应小于0.8MPa；拆模时混凝土应能承受自重，并且表面和棱角不被损坏。洞径不大于10m的隧洞顶拱混凝土强度可按照达到5.0MPa控制；洞径大于10m的隧洞顶拱混凝土需要达到的强度，应专门论证；隧洞混凝土衬砌结构承受围岩压力时，应经计算和试验确定脱模时混凝土需要达到的强度。</w:t>
      </w:r>
    </w:p>
    <w:p w14:paraId="1C7E2E93">
      <w:pPr>
        <w:pStyle w:val="4"/>
        <w:spacing w:beforeLines="0" w:afterLines="0"/>
        <w:jc w:val="both"/>
        <w:rPr>
          <w:rFonts w:hint="eastAsia" w:cs="宋体"/>
          <w:bCs/>
          <w:color w:val="auto"/>
          <w:szCs w:val="24"/>
          <w:highlight w:val="none"/>
          <w:lang w:eastAsia="zh-CN"/>
        </w:rPr>
      </w:pPr>
      <w:bookmarkStart w:id="2134" w:name="_Toc7124"/>
      <w:bookmarkStart w:id="2135" w:name="_Toc3381"/>
      <w:bookmarkStart w:id="2136" w:name="_Toc29026"/>
      <w:r>
        <w:rPr>
          <w:rFonts w:hint="eastAsia" w:cs="宋体"/>
          <w:bCs/>
          <w:color w:val="auto"/>
          <w:szCs w:val="24"/>
          <w:highlight w:val="none"/>
          <w:lang w:eastAsia="zh-CN"/>
        </w:rPr>
        <w:t>14.4　钢筋</w:t>
      </w:r>
      <w:bookmarkEnd w:id="2134"/>
      <w:bookmarkEnd w:id="2135"/>
      <w:bookmarkEnd w:id="2136"/>
    </w:p>
    <w:p w14:paraId="3E89D2D0">
      <w:pPr>
        <w:pStyle w:val="5"/>
        <w:jc w:val="left"/>
        <w:rPr>
          <w:rFonts w:hAnsi="Times New Roman" w:cs="楷体"/>
          <w:color w:val="auto"/>
          <w:highlight w:val="none"/>
          <w:lang w:eastAsia="zh-CN"/>
        </w:rPr>
      </w:pPr>
      <w:r>
        <w:rPr>
          <w:rFonts w:hAnsi="Times New Roman" w:cs="Times New Roman"/>
          <w:color w:val="auto"/>
          <w:highlight w:val="none"/>
          <w:lang w:eastAsia="zh-CN"/>
        </w:rPr>
        <w:t>14.4.1</w:t>
      </w:r>
      <w:r>
        <w:rPr>
          <w:rFonts w:hint="eastAsia" w:hAnsi="Times New Roman" w:cs="Times New Roman"/>
          <w:color w:val="auto"/>
          <w:highlight w:val="none"/>
          <w:lang w:eastAsia="zh-CN"/>
        </w:rPr>
        <w:t>　</w:t>
      </w:r>
      <w:r>
        <w:rPr>
          <w:rFonts w:hAnsi="楷体" w:cs="楷体"/>
          <w:color w:val="auto"/>
          <w:highlight w:val="none"/>
          <w:lang w:eastAsia="zh-CN"/>
        </w:rPr>
        <w:t>材料</w:t>
      </w:r>
    </w:p>
    <w:p w14:paraId="4F1B7FD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）混凝土结构用的钢筋和锚筋的规格和质量应遵守《水工混凝土钢筋施工规范》（</w:t>
      </w:r>
      <w:r>
        <w:rPr>
          <w:rFonts w:hAnsi="Times New Roman" w:cs="Times New Roman"/>
          <w:color w:val="auto"/>
          <w:highlight w:val="none"/>
          <w:lang w:eastAsia="zh-CN"/>
        </w:rPr>
        <w:t>DL/T5169—2013</w:t>
      </w:r>
      <w:r>
        <w:rPr>
          <w:rFonts w:cs="宋体"/>
          <w:color w:val="auto"/>
          <w:highlight w:val="none"/>
          <w:lang w:eastAsia="zh-CN"/>
        </w:rPr>
        <w:t>）的规定。</w:t>
      </w:r>
    </w:p>
    <w:p w14:paraId="4346169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）每批钢筋使用前，应按《水工混凝土钢筋施工规范》（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3.2.1</w:t>
      </w:r>
      <w:r>
        <w:rPr>
          <w:rFonts w:cs="宋体"/>
          <w:color w:val="auto"/>
          <w:highlight w:val="none"/>
          <w:lang w:eastAsia="zh-CN"/>
        </w:rPr>
        <w:t>条、第</w:t>
      </w:r>
      <w:r>
        <w:rPr>
          <w:rFonts w:hAnsi="Times New Roman" w:cs="Times New Roman"/>
          <w:color w:val="auto"/>
          <w:highlight w:val="none"/>
          <w:lang w:eastAsia="zh-CN"/>
        </w:rPr>
        <w:t>3.2.2</w:t>
      </w:r>
      <w:r>
        <w:rPr>
          <w:rFonts w:cs="宋体"/>
          <w:color w:val="auto"/>
          <w:highlight w:val="none"/>
          <w:lang w:eastAsia="zh-CN"/>
        </w:rPr>
        <w:t>条的规定，分批进行钢筋的机械性能检测。检测合格者才准使用，检测记录应提交监理人。</w:t>
      </w:r>
    </w:p>
    <w:p w14:paraId="6F83AD63">
      <w:pPr>
        <w:ind w:firstLine="420"/>
        <w:jc w:val="left"/>
        <w:rPr>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）对钢号不明的钢筋，承包人应按《水工混凝土钢筋施工规范》（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3.2.3</w:t>
      </w:r>
      <w:r>
        <w:rPr>
          <w:rFonts w:cs="宋体"/>
          <w:color w:val="auto"/>
          <w:highlight w:val="none"/>
          <w:lang w:eastAsia="zh-CN"/>
        </w:rPr>
        <w:t>条的规定进行钢材化学成分和主要机械性能的检验，经检验合格，并经监理人批准后，方可使用。</w:t>
      </w:r>
    </w:p>
    <w:p w14:paraId="13E8E9A5">
      <w:pPr>
        <w:pStyle w:val="5"/>
        <w:jc w:val="left"/>
        <w:rPr>
          <w:rFonts w:hAnsi="Times New Roman" w:cs="楷体"/>
          <w:color w:val="auto"/>
          <w:highlight w:val="none"/>
          <w:lang w:eastAsia="zh-CN"/>
        </w:rPr>
      </w:pPr>
      <w:r>
        <w:rPr>
          <w:rFonts w:hAnsi="Times New Roman" w:cs="Times New Roman"/>
          <w:color w:val="auto"/>
          <w:highlight w:val="none"/>
          <w:lang w:eastAsia="zh-CN"/>
        </w:rPr>
        <w:t>14.4.2</w:t>
      </w:r>
      <w:r>
        <w:rPr>
          <w:rFonts w:hint="eastAsia" w:hAnsi="Times New Roman" w:cs="Times New Roman"/>
          <w:color w:val="auto"/>
          <w:highlight w:val="none"/>
          <w:lang w:eastAsia="zh-CN"/>
        </w:rPr>
        <w:t>　</w:t>
      </w:r>
      <w:r>
        <w:rPr>
          <w:rFonts w:hAnsi="楷体" w:cs="楷体"/>
          <w:color w:val="auto"/>
          <w:highlight w:val="none"/>
          <w:lang w:eastAsia="zh-CN"/>
        </w:rPr>
        <w:t>钢筋的加工和安装</w:t>
      </w:r>
    </w:p>
    <w:p w14:paraId="3F94695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）钢筋表面应洁净无损伤，使用前应将钢筋表面的油漆污染和铁锈等清除干净，带有颗粒状或片状老锈的钢筋不得使用。</w:t>
      </w:r>
    </w:p>
    <w:p w14:paraId="40D5A37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）钢筋的弯折、端头和接头的加工应遵守《水工混凝土钢筋施工规范》（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4.3</w:t>
      </w:r>
      <w:r>
        <w:rPr>
          <w:rFonts w:cs="宋体"/>
          <w:color w:val="auto"/>
          <w:highlight w:val="none"/>
          <w:lang w:eastAsia="zh-CN"/>
        </w:rPr>
        <w:t>节、第</w:t>
      </w:r>
      <w:r>
        <w:rPr>
          <w:rFonts w:hAnsi="Times New Roman" w:cs="Times New Roman"/>
          <w:color w:val="auto"/>
          <w:highlight w:val="none"/>
          <w:lang w:eastAsia="zh-CN"/>
        </w:rPr>
        <w:t>4.4</w:t>
      </w:r>
      <w:r>
        <w:rPr>
          <w:rFonts w:cs="宋体"/>
          <w:color w:val="auto"/>
          <w:highlight w:val="none"/>
          <w:lang w:eastAsia="zh-CN"/>
        </w:rPr>
        <w:t>规定。</w:t>
      </w:r>
    </w:p>
    <w:p w14:paraId="34E16C09">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）钢筋的焊接应满足本合同技术条款和施工图纸的要求，并遵守《水工混凝土钢筋施工规范》（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5</w:t>
      </w:r>
      <w:r>
        <w:rPr>
          <w:rFonts w:cs="宋体"/>
          <w:color w:val="auto"/>
          <w:highlight w:val="none"/>
          <w:lang w:eastAsia="zh-CN"/>
        </w:rPr>
        <w:t>章的规定。</w:t>
      </w:r>
    </w:p>
    <w:p w14:paraId="30BC6C0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）钢筋的气压焊作业应遵守《水工混凝土钢筋施工规范》（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5.2.11</w:t>
      </w:r>
      <w:r>
        <w:rPr>
          <w:rFonts w:cs="宋体"/>
          <w:color w:val="auto"/>
          <w:highlight w:val="none"/>
          <w:lang w:eastAsia="zh-CN"/>
        </w:rPr>
        <w:t>条的规定。</w:t>
      </w:r>
    </w:p>
    <w:p w14:paraId="0859FA3B">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）钢筋的安装和绑扎应遵守《水工混凝土钢筋施工规范》（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6</w:t>
      </w:r>
      <w:r>
        <w:rPr>
          <w:rFonts w:cs="宋体"/>
          <w:color w:val="auto"/>
          <w:highlight w:val="none"/>
          <w:lang w:eastAsia="zh-CN"/>
        </w:rPr>
        <w:t>章的规定。</w:t>
      </w:r>
    </w:p>
    <w:p w14:paraId="29CB4D00">
      <w:pPr>
        <w:pStyle w:val="5"/>
        <w:jc w:val="left"/>
        <w:rPr>
          <w:rFonts w:hAnsi="Times New Roman" w:cs="楷体"/>
          <w:color w:val="auto"/>
          <w:highlight w:val="none"/>
          <w:lang w:eastAsia="zh-CN"/>
        </w:rPr>
      </w:pPr>
      <w:r>
        <w:rPr>
          <w:rFonts w:hAnsi="Times New Roman" w:cs="Times New Roman"/>
          <w:color w:val="auto"/>
          <w:highlight w:val="none"/>
          <w:lang w:eastAsia="zh-CN"/>
        </w:rPr>
        <w:t>14.4.3</w:t>
      </w:r>
      <w:r>
        <w:rPr>
          <w:rFonts w:hint="eastAsia" w:hAnsi="Times New Roman" w:cs="Times New Roman"/>
          <w:color w:val="auto"/>
          <w:highlight w:val="none"/>
          <w:lang w:eastAsia="zh-CN"/>
        </w:rPr>
        <w:t>　</w:t>
      </w:r>
      <w:r>
        <w:rPr>
          <w:rFonts w:hAnsi="楷体" w:cs="楷体"/>
          <w:color w:val="auto"/>
          <w:highlight w:val="none"/>
          <w:lang w:eastAsia="zh-CN"/>
        </w:rPr>
        <w:t>钢筋的质量检查和检验</w:t>
      </w:r>
    </w:p>
    <w:p w14:paraId="2D802E5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）钢筋的机械性能检验应遵守《水工混凝土钢筋施工规范》（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3.2.2</w:t>
      </w:r>
      <w:r>
        <w:rPr>
          <w:rFonts w:cs="宋体"/>
          <w:color w:val="auto"/>
          <w:highlight w:val="none"/>
          <w:lang w:eastAsia="zh-CN"/>
        </w:rPr>
        <w:t>条的规定。</w:t>
      </w:r>
    </w:p>
    <w:p w14:paraId="4D58F2FD">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）钢筋的接头质量检验应遵守《水工混凝土钢筋施工规范》（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5.2</w:t>
      </w:r>
      <w:r>
        <w:rPr>
          <w:rFonts w:cs="宋体"/>
          <w:color w:val="auto"/>
          <w:highlight w:val="none"/>
          <w:lang w:eastAsia="zh-CN"/>
        </w:rPr>
        <w:t>节的规定，其中气压焊应遵守《水工混凝土钢筋施工规范》（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5.2.11</w:t>
      </w:r>
      <w:r>
        <w:rPr>
          <w:rFonts w:cs="宋体"/>
          <w:color w:val="auto"/>
          <w:highlight w:val="none"/>
          <w:lang w:eastAsia="zh-CN"/>
        </w:rPr>
        <w:t>条的规定；机械连接应遵守按《水工混凝土钢筋施工规范》（</w:t>
      </w:r>
      <w:r>
        <w:rPr>
          <w:rFonts w:hAnsi="Times New Roman" w:cs="Times New Roman"/>
          <w:color w:val="auto"/>
          <w:highlight w:val="none"/>
          <w:lang w:eastAsia="zh-CN"/>
        </w:rPr>
        <w:t>DL/T5169—2013</w:t>
      </w:r>
      <w:r>
        <w:rPr>
          <w:rFonts w:cs="宋体"/>
          <w:color w:val="auto"/>
          <w:highlight w:val="none"/>
          <w:lang w:eastAsia="zh-CN"/>
        </w:rPr>
        <w:t>）第</w:t>
      </w:r>
      <w:r>
        <w:rPr>
          <w:rFonts w:hAnsi="Times New Roman" w:cs="Times New Roman"/>
          <w:color w:val="auto"/>
          <w:highlight w:val="none"/>
          <w:lang w:eastAsia="zh-CN"/>
        </w:rPr>
        <w:t>6.2.1</w:t>
      </w:r>
      <w:r>
        <w:rPr>
          <w:rFonts w:hint="eastAsia" w:hAnsi="Times New Roman" w:cs="Times New Roman"/>
          <w:color w:val="auto"/>
          <w:highlight w:val="none"/>
          <w:lang w:eastAsia="zh-CN"/>
        </w:rPr>
        <w:t>～</w:t>
      </w:r>
      <w:r>
        <w:rPr>
          <w:rFonts w:hAnsi="Times New Roman" w:cs="Times New Roman"/>
          <w:color w:val="auto"/>
          <w:highlight w:val="none"/>
          <w:lang w:eastAsia="zh-CN"/>
        </w:rPr>
        <w:t>6.2.3</w:t>
      </w:r>
      <w:r>
        <w:rPr>
          <w:rFonts w:cs="宋体"/>
          <w:color w:val="auto"/>
          <w:highlight w:val="none"/>
          <w:lang w:eastAsia="zh-CN"/>
        </w:rPr>
        <w:t>条规定。</w:t>
      </w:r>
    </w:p>
    <w:p w14:paraId="4AA2D15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）钢筋架设完成后，应按本合同技术条款和施工图纸的要求进行检查和检验，并做好记录，若安装好的钢筋和锚筋生锈，应进行现场除锈，对于锈蚀严重的钢筋应予更换。</w:t>
      </w:r>
    </w:p>
    <w:p w14:paraId="1715E477">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）在混凝土浇筑施工前，应检查现场钢筋的架立位置，如发现钢筋位置变动应及时校正，严禁在混凝土浇筑中擅自移动或割除钢筋。</w:t>
      </w:r>
    </w:p>
    <w:p w14:paraId="729DFF15">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）钢筋的安装和清理完成后，承包人应会同监理人在混凝土浇筑前进行检查和验收，并做好记录，经监理人批准后，才能浇筑混凝土。</w:t>
      </w:r>
    </w:p>
    <w:p w14:paraId="038A6AC9">
      <w:pPr>
        <w:pStyle w:val="4"/>
        <w:spacing w:beforeLines="0" w:afterLines="0"/>
        <w:jc w:val="both"/>
        <w:rPr>
          <w:rFonts w:hint="eastAsia" w:cs="宋体"/>
          <w:bCs/>
          <w:color w:val="auto"/>
          <w:szCs w:val="24"/>
          <w:highlight w:val="none"/>
          <w:lang w:eastAsia="zh-CN"/>
        </w:rPr>
      </w:pPr>
      <w:bookmarkStart w:id="2137" w:name="_Toc31740"/>
      <w:bookmarkStart w:id="2138" w:name="_Toc26397"/>
      <w:bookmarkStart w:id="2139" w:name="_Toc3205"/>
      <w:r>
        <w:rPr>
          <w:rFonts w:hint="eastAsia" w:cs="宋体"/>
          <w:bCs/>
          <w:color w:val="auto"/>
          <w:szCs w:val="24"/>
          <w:highlight w:val="none"/>
          <w:lang w:eastAsia="zh-CN"/>
        </w:rPr>
        <w:t>14.5　混凝土（含钢筋混凝土）</w:t>
      </w:r>
      <w:bookmarkEnd w:id="2137"/>
      <w:bookmarkEnd w:id="2138"/>
      <w:bookmarkEnd w:id="2139"/>
    </w:p>
    <w:p w14:paraId="7491517C">
      <w:pPr>
        <w:ind w:firstLine="420"/>
        <w:jc w:val="left"/>
        <w:rPr>
          <w:rFonts w:hAnsi="Times New Roman" w:cs="宋体"/>
          <w:color w:val="auto"/>
          <w:highlight w:val="none"/>
          <w:lang w:eastAsia="zh-CN"/>
        </w:rPr>
      </w:pPr>
      <w:r>
        <w:rPr>
          <w:rFonts w:cs="宋体"/>
          <w:color w:val="auto"/>
          <w:highlight w:val="none"/>
          <w:lang w:eastAsia="zh-CN"/>
        </w:rPr>
        <w:t>混凝土的材料、配合比设计及拌和应按本章第</w:t>
      </w:r>
      <w:r>
        <w:rPr>
          <w:rFonts w:hAnsi="Times New Roman" w:cs="Times New Roman"/>
          <w:color w:val="auto"/>
          <w:highlight w:val="none"/>
          <w:lang w:eastAsia="zh-CN"/>
        </w:rPr>
        <w:t>14.2</w:t>
      </w:r>
      <w:r>
        <w:rPr>
          <w:rFonts w:cs="宋体"/>
          <w:color w:val="auto"/>
          <w:highlight w:val="none"/>
          <w:lang w:eastAsia="zh-CN"/>
        </w:rPr>
        <w:t>款的规定执行。</w:t>
      </w:r>
    </w:p>
    <w:p w14:paraId="7C1BB7EA">
      <w:pPr>
        <w:pStyle w:val="5"/>
        <w:jc w:val="left"/>
        <w:rPr>
          <w:rFonts w:hAnsi="楷体" w:cs="楷体"/>
          <w:color w:val="auto"/>
          <w:highlight w:val="none"/>
          <w:lang w:eastAsia="zh-CN"/>
        </w:rPr>
      </w:pPr>
      <w:r>
        <w:rPr>
          <w:rFonts w:hAnsi="Times New Roman" w:cs="Times New Roman"/>
          <w:color w:val="auto"/>
          <w:highlight w:val="none"/>
          <w:lang w:eastAsia="zh-CN"/>
        </w:rPr>
        <w:t>14.5.1</w:t>
      </w:r>
      <w:r>
        <w:rPr>
          <w:rFonts w:hint="eastAsia" w:hAnsi="Times New Roman" w:cs="Times New Roman"/>
          <w:color w:val="auto"/>
          <w:highlight w:val="none"/>
          <w:lang w:eastAsia="zh-CN"/>
        </w:rPr>
        <w:t>　</w:t>
      </w:r>
      <w:r>
        <w:rPr>
          <w:rFonts w:hAnsi="楷体" w:cs="楷体"/>
          <w:color w:val="auto"/>
          <w:highlight w:val="none"/>
          <w:lang w:eastAsia="zh-CN"/>
        </w:rPr>
        <w:t>混凝土运输</w:t>
      </w:r>
    </w:p>
    <w:p w14:paraId="1ABE738D">
      <w:pPr>
        <w:ind w:firstLine="420"/>
        <w:jc w:val="left"/>
        <w:rPr>
          <w:rFonts w:cs="宋体"/>
          <w:color w:val="auto"/>
          <w:highlight w:val="none"/>
          <w:lang w:eastAsia="zh-CN"/>
        </w:rPr>
      </w:pPr>
      <w:r>
        <w:rPr>
          <w:rFonts w:cs="宋体"/>
          <w:color w:val="auto"/>
          <w:highlight w:val="none"/>
          <w:lang w:eastAsia="zh-CN"/>
        </w:rPr>
        <w:t>混凝土运输应遵守《水工混凝土施工规范》（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7.3</w:t>
      </w:r>
      <w:r>
        <w:rPr>
          <w:rFonts w:cs="宋体"/>
          <w:color w:val="auto"/>
          <w:highlight w:val="none"/>
          <w:lang w:eastAsia="zh-CN"/>
        </w:rPr>
        <w:t>节的规定。</w:t>
      </w:r>
    </w:p>
    <w:p w14:paraId="50B9B672">
      <w:pPr>
        <w:pStyle w:val="44"/>
        <w:numPr>
          <w:ilvl w:val="0"/>
          <w:numId w:val="5"/>
        </w:numPr>
        <w:ind w:firstLine="420"/>
        <w:jc w:val="left"/>
        <w:rPr>
          <w:color w:val="auto"/>
          <w:szCs w:val="21"/>
          <w:highlight w:val="none"/>
          <w:lang w:eastAsia="zh-CN"/>
        </w:rPr>
      </w:pPr>
      <w:r>
        <w:rPr>
          <w:color w:val="auto"/>
          <w:szCs w:val="21"/>
          <w:highlight w:val="none"/>
          <w:lang w:eastAsia="zh-CN"/>
        </w:rPr>
        <w:t>承包人选用的混凝土运输设备和运输能力，应与拌和、浇筑能力、仓面具体情况相适应，以保证混凝土运输的质量，充分发挥设备效率。</w:t>
      </w:r>
    </w:p>
    <w:p w14:paraId="35D7BA79">
      <w:pPr>
        <w:pStyle w:val="44"/>
        <w:ind w:firstLine="420"/>
        <w:jc w:val="left"/>
        <w:rPr>
          <w:color w:val="auto"/>
          <w:szCs w:val="21"/>
          <w:highlight w:val="none"/>
          <w:lang w:eastAsia="zh-CN"/>
        </w:rPr>
      </w:pPr>
      <w:r>
        <w:rPr>
          <w:color w:val="auto"/>
          <w:szCs w:val="21"/>
          <w:highlight w:val="none"/>
          <w:lang w:eastAsia="zh-CN"/>
        </w:rPr>
        <w:t>（2）所有运输设备，应使混凝土在运输过程中不致发生分离、漏浆、严重泌水、过多温度回升和坍落度损失。</w:t>
      </w:r>
    </w:p>
    <w:p w14:paraId="0E1233BB">
      <w:pPr>
        <w:pStyle w:val="44"/>
        <w:ind w:firstLine="420"/>
        <w:jc w:val="left"/>
        <w:rPr>
          <w:color w:val="auto"/>
          <w:szCs w:val="21"/>
          <w:highlight w:val="none"/>
          <w:lang w:eastAsia="zh-CN"/>
        </w:rPr>
      </w:pPr>
      <w:r>
        <w:rPr>
          <w:color w:val="auto"/>
          <w:szCs w:val="21"/>
          <w:highlight w:val="none"/>
          <w:lang w:eastAsia="zh-CN"/>
        </w:rPr>
        <w:t>（3）在高温或低温条件下，混凝土运输工具应设置遮盖或保温设施，以避免天气、气温等因素影响混凝土质量。</w:t>
      </w:r>
    </w:p>
    <w:p w14:paraId="09055A99">
      <w:pPr>
        <w:pStyle w:val="44"/>
        <w:ind w:firstLine="420"/>
        <w:jc w:val="left"/>
        <w:rPr>
          <w:color w:val="auto"/>
          <w:szCs w:val="21"/>
          <w:highlight w:val="none"/>
          <w:lang w:eastAsia="zh-CN"/>
        </w:rPr>
      </w:pPr>
      <w:r>
        <w:rPr>
          <w:color w:val="auto"/>
          <w:szCs w:val="21"/>
          <w:highlight w:val="none"/>
          <w:lang w:eastAsia="zh-CN"/>
        </w:rPr>
        <w:t>（4）混凝土的自由下落高度不宜大于1.5m，超过时承包人应采取切实可行的防止骨料分离的措施。</w:t>
      </w:r>
    </w:p>
    <w:p w14:paraId="2A195D04">
      <w:pPr>
        <w:ind w:firstLine="420"/>
        <w:jc w:val="left"/>
        <w:rPr>
          <w:rFonts w:cs="宋体"/>
          <w:color w:val="auto"/>
          <w:highlight w:val="none"/>
          <w:lang w:eastAsia="zh-CN"/>
        </w:rPr>
      </w:pPr>
      <w:r>
        <w:rPr>
          <w:rFonts w:cs="宋体"/>
          <w:color w:val="auto"/>
          <w:highlight w:val="none"/>
          <w:lang w:eastAsia="zh-CN"/>
        </w:rPr>
        <w:t>（5）混凝土运输的其它要求符合DL/T5144-2015中的相关规定执行。</w:t>
      </w:r>
    </w:p>
    <w:p w14:paraId="54B01695">
      <w:pPr>
        <w:pStyle w:val="5"/>
        <w:jc w:val="left"/>
        <w:rPr>
          <w:rFonts w:hAnsi="Times New Roman" w:cs="楷体"/>
          <w:color w:val="auto"/>
          <w:highlight w:val="none"/>
          <w:lang w:eastAsia="zh-CN"/>
        </w:rPr>
      </w:pPr>
      <w:r>
        <w:rPr>
          <w:rFonts w:hAnsi="Times New Roman" w:cs="Times New Roman"/>
          <w:color w:val="auto"/>
          <w:highlight w:val="none"/>
          <w:lang w:eastAsia="zh-CN"/>
        </w:rPr>
        <w:t>14.5.2</w:t>
      </w:r>
      <w:r>
        <w:rPr>
          <w:rFonts w:hint="eastAsia" w:hAnsi="Times New Roman" w:cs="Times New Roman"/>
          <w:color w:val="auto"/>
          <w:highlight w:val="none"/>
          <w:lang w:eastAsia="zh-CN"/>
        </w:rPr>
        <w:t>　</w:t>
      </w:r>
      <w:r>
        <w:rPr>
          <w:rFonts w:hAnsi="楷体" w:cs="楷体"/>
          <w:color w:val="auto"/>
          <w:highlight w:val="none"/>
          <w:lang w:eastAsia="zh-CN"/>
        </w:rPr>
        <w:t>混凝土浇筑</w:t>
      </w:r>
    </w:p>
    <w:p w14:paraId="13FFB28A">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）浇筑前准备应遵守《水工混凝土施工规范》（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7.4.1</w:t>
      </w:r>
      <w:r>
        <w:rPr>
          <w:rFonts w:hint="eastAsia" w:hAnsi="Times New Roman" w:cs="Times New Roman"/>
          <w:color w:val="auto"/>
          <w:highlight w:val="none"/>
          <w:lang w:eastAsia="zh-CN"/>
        </w:rPr>
        <w:t>～</w:t>
      </w:r>
      <w:r>
        <w:rPr>
          <w:rFonts w:hAnsi="Times New Roman" w:cs="Times New Roman"/>
          <w:color w:val="auto"/>
          <w:highlight w:val="none"/>
          <w:lang w:eastAsia="zh-CN"/>
        </w:rPr>
        <w:t>7.4.4</w:t>
      </w:r>
      <w:r>
        <w:rPr>
          <w:rFonts w:cs="宋体"/>
          <w:color w:val="auto"/>
          <w:highlight w:val="none"/>
          <w:lang w:eastAsia="zh-CN"/>
        </w:rPr>
        <w:t>条的规定。</w:t>
      </w:r>
    </w:p>
    <w:p w14:paraId="1F7A67D5">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）在岩基或软基建基面的混凝土浇筑应遵守《水工混凝土施工规范》（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w:t>
      </w:r>
      <w:r>
        <w:rPr>
          <w:rFonts w:cs="宋体"/>
          <w:color w:val="auto"/>
          <w:highlight w:val="none"/>
          <w:lang w:eastAsia="zh-CN"/>
        </w:rPr>
        <w:t>节的规定。</w:t>
      </w:r>
    </w:p>
    <w:p w14:paraId="58F2192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）混凝土分层浇筑作业应遵守《水工混凝土施工规范》（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7.4.6</w:t>
      </w:r>
      <w:r>
        <w:rPr>
          <w:rFonts w:hint="eastAsia" w:hAnsi="Times New Roman" w:cs="Times New Roman"/>
          <w:color w:val="auto"/>
          <w:highlight w:val="none"/>
          <w:lang w:eastAsia="zh-CN"/>
        </w:rPr>
        <w:t>～</w:t>
      </w:r>
      <w:r>
        <w:rPr>
          <w:rFonts w:hAnsi="Times New Roman" w:cs="Times New Roman"/>
          <w:color w:val="auto"/>
          <w:highlight w:val="none"/>
          <w:lang w:eastAsia="zh-CN"/>
        </w:rPr>
        <w:t>7.4.8</w:t>
      </w:r>
      <w:r>
        <w:rPr>
          <w:rFonts w:cs="宋体"/>
          <w:color w:val="auto"/>
          <w:highlight w:val="none"/>
          <w:lang w:eastAsia="zh-CN"/>
        </w:rPr>
        <w:t>条的有关规定。</w:t>
      </w:r>
    </w:p>
    <w:p w14:paraId="10F389D9">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）混凝土浇筑的振捣应遵守《水工混凝土施工规范》（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7.4.13</w:t>
      </w:r>
      <w:r>
        <w:rPr>
          <w:rFonts w:cs="宋体"/>
          <w:color w:val="auto"/>
          <w:highlight w:val="none"/>
          <w:lang w:eastAsia="zh-CN"/>
        </w:rPr>
        <w:t>条的规定。</w:t>
      </w:r>
    </w:p>
    <w:p w14:paraId="5BC7526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）混凝土浇筑应保持连续性，浇筑混凝土允许间歇时间应通过试验确定，并应遵守《水工混凝土施工规范》（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7.4.12</w:t>
      </w:r>
      <w:r>
        <w:rPr>
          <w:rFonts w:cs="宋体"/>
          <w:color w:val="auto"/>
          <w:highlight w:val="none"/>
          <w:lang w:eastAsia="zh-CN"/>
        </w:rPr>
        <w:t>条的有关规定。</w:t>
      </w:r>
    </w:p>
    <w:p w14:paraId="4787562F">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6</w:t>
      </w:r>
      <w:r>
        <w:rPr>
          <w:rFonts w:cs="宋体"/>
          <w:color w:val="auto"/>
          <w:highlight w:val="none"/>
          <w:lang w:eastAsia="zh-CN"/>
        </w:rPr>
        <w:t>）应在混凝土浇筑工艺设计中，根据搅拌、运输和浇筑的设备能力、振捣性能及气温等因素，详细确定混凝土浇筑层厚度。其浇筑层允许最大厚度应参照《水工混凝土施工规范》（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7.4.8</w:t>
      </w:r>
      <w:r>
        <w:rPr>
          <w:rFonts w:cs="宋体"/>
          <w:color w:val="auto"/>
          <w:highlight w:val="none"/>
          <w:lang w:eastAsia="zh-CN"/>
        </w:rPr>
        <w:t>条选定。</w:t>
      </w:r>
    </w:p>
    <w:p w14:paraId="79F06355">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7</w:t>
      </w:r>
      <w:r>
        <w:rPr>
          <w:rFonts w:cs="宋体"/>
          <w:color w:val="auto"/>
          <w:highlight w:val="none"/>
          <w:lang w:eastAsia="zh-CN"/>
        </w:rPr>
        <w:t>）混凝土浇筑施工缝的处理应按《水工混凝土施工规范》（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7.4.19</w:t>
      </w:r>
      <w:r>
        <w:rPr>
          <w:rFonts w:cs="宋体"/>
          <w:color w:val="auto"/>
          <w:highlight w:val="none"/>
          <w:lang w:eastAsia="zh-CN"/>
        </w:rPr>
        <w:t>条的规定执行。</w:t>
      </w:r>
    </w:p>
    <w:p w14:paraId="6F1C5AAE">
      <w:pPr>
        <w:pStyle w:val="5"/>
        <w:jc w:val="left"/>
        <w:rPr>
          <w:rFonts w:hAnsi="Times New Roman" w:cs="楷体"/>
          <w:color w:val="auto"/>
          <w:highlight w:val="none"/>
          <w:lang w:eastAsia="zh-CN"/>
        </w:rPr>
      </w:pPr>
      <w:r>
        <w:rPr>
          <w:rFonts w:hAnsi="Times New Roman" w:cs="Times New Roman"/>
          <w:color w:val="auto"/>
          <w:highlight w:val="none"/>
          <w:lang w:eastAsia="zh-CN"/>
        </w:rPr>
        <w:t>14.5.3</w:t>
      </w:r>
      <w:r>
        <w:rPr>
          <w:rFonts w:hint="eastAsia" w:hAnsi="Times New Roman" w:cs="Times New Roman"/>
          <w:color w:val="auto"/>
          <w:highlight w:val="none"/>
          <w:lang w:eastAsia="zh-CN"/>
        </w:rPr>
        <w:t>　</w:t>
      </w:r>
      <w:r>
        <w:rPr>
          <w:rFonts w:hAnsi="楷体" w:cs="楷体"/>
          <w:color w:val="auto"/>
          <w:highlight w:val="none"/>
          <w:lang w:eastAsia="zh-CN"/>
        </w:rPr>
        <w:t>混凝土养护</w:t>
      </w:r>
    </w:p>
    <w:p w14:paraId="2B29E784">
      <w:pPr>
        <w:ind w:firstLine="420"/>
        <w:jc w:val="left"/>
        <w:rPr>
          <w:rFonts w:hAnsi="Times New Roman" w:cs="宋体"/>
          <w:color w:val="auto"/>
          <w:highlight w:val="none"/>
          <w:lang w:eastAsia="zh-CN"/>
        </w:rPr>
      </w:pPr>
      <w:r>
        <w:rPr>
          <w:rFonts w:cs="宋体"/>
          <w:color w:val="auto"/>
          <w:highlight w:val="none"/>
          <w:lang w:eastAsia="zh-CN"/>
        </w:rPr>
        <w:t>混凝土养护应遵守《水工混凝土施工规范》（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7.5</w:t>
      </w:r>
      <w:r>
        <w:rPr>
          <w:rFonts w:cs="宋体"/>
          <w:color w:val="auto"/>
          <w:highlight w:val="none"/>
          <w:lang w:eastAsia="zh-CN"/>
        </w:rPr>
        <w:t>节的有关规定。</w:t>
      </w:r>
    </w:p>
    <w:p w14:paraId="3296B41C">
      <w:pPr>
        <w:pStyle w:val="5"/>
        <w:jc w:val="left"/>
        <w:rPr>
          <w:rFonts w:hAnsi="Times New Roman" w:cs="楷体"/>
          <w:color w:val="auto"/>
          <w:highlight w:val="none"/>
          <w:lang w:eastAsia="zh-CN"/>
        </w:rPr>
      </w:pPr>
      <w:r>
        <w:rPr>
          <w:rFonts w:hAnsi="Times New Roman" w:cs="Times New Roman"/>
          <w:color w:val="auto"/>
          <w:highlight w:val="none"/>
          <w:lang w:eastAsia="zh-CN"/>
        </w:rPr>
        <w:t>14.5.4</w:t>
      </w:r>
      <w:r>
        <w:rPr>
          <w:rFonts w:hint="eastAsia" w:hAnsi="Times New Roman" w:cs="Times New Roman"/>
          <w:color w:val="auto"/>
          <w:highlight w:val="none"/>
          <w:lang w:eastAsia="zh-CN"/>
        </w:rPr>
        <w:t>　</w:t>
      </w:r>
      <w:r>
        <w:rPr>
          <w:rFonts w:hAnsi="楷体" w:cs="楷体"/>
          <w:color w:val="auto"/>
          <w:highlight w:val="none"/>
          <w:lang w:eastAsia="zh-CN"/>
        </w:rPr>
        <w:t>混凝土温度控制</w:t>
      </w:r>
    </w:p>
    <w:p w14:paraId="0E595C4C">
      <w:pPr>
        <w:ind w:firstLine="420"/>
        <w:jc w:val="left"/>
        <w:rPr>
          <w:rFonts w:hAnsi="Times New Roman" w:cs="宋体"/>
          <w:color w:val="auto"/>
          <w:highlight w:val="none"/>
          <w:lang w:eastAsia="zh-CN"/>
        </w:rPr>
      </w:pPr>
      <w:r>
        <w:rPr>
          <w:rFonts w:cs="宋体"/>
          <w:color w:val="auto"/>
          <w:highlight w:val="none"/>
          <w:lang w:eastAsia="zh-CN"/>
        </w:rPr>
        <w:t>混凝土低温季节施工应遵守《水工混凝土施工规范》（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9</w:t>
      </w:r>
      <w:r>
        <w:rPr>
          <w:rFonts w:cs="宋体"/>
          <w:color w:val="auto"/>
          <w:highlight w:val="none"/>
          <w:lang w:eastAsia="zh-CN"/>
        </w:rPr>
        <w:t>章的有关规定。</w:t>
      </w:r>
    </w:p>
    <w:p w14:paraId="35692A04">
      <w:pPr>
        <w:pStyle w:val="5"/>
        <w:jc w:val="left"/>
        <w:rPr>
          <w:rFonts w:hAnsi="Times New Roman" w:cs="楷体"/>
          <w:color w:val="auto"/>
          <w:highlight w:val="none"/>
          <w:lang w:eastAsia="zh-CN"/>
        </w:rPr>
      </w:pPr>
      <w:r>
        <w:rPr>
          <w:rFonts w:hAnsi="Times New Roman" w:cs="Times New Roman"/>
          <w:color w:val="auto"/>
          <w:highlight w:val="none"/>
          <w:lang w:eastAsia="zh-CN"/>
        </w:rPr>
        <w:t>14.5.5</w:t>
      </w:r>
      <w:r>
        <w:rPr>
          <w:rFonts w:hint="eastAsia" w:hAnsi="Times New Roman" w:cs="Times New Roman"/>
          <w:color w:val="auto"/>
          <w:highlight w:val="none"/>
          <w:lang w:eastAsia="zh-CN"/>
        </w:rPr>
        <w:t>　</w:t>
      </w:r>
      <w:r>
        <w:rPr>
          <w:rFonts w:hAnsi="楷体" w:cs="楷体"/>
          <w:color w:val="auto"/>
          <w:highlight w:val="none"/>
          <w:lang w:eastAsia="zh-CN"/>
        </w:rPr>
        <w:t>混凝土防渗面板和趾板施工</w:t>
      </w:r>
    </w:p>
    <w:p w14:paraId="12C3EDA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）面板和趾板混凝土的原材料应遵守《混凝土面板堆石坝施工规范》（</w:t>
      </w:r>
      <w:r>
        <w:rPr>
          <w:rFonts w:hAnsi="Times New Roman" w:cs="Times New Roman"/>
          <w:color w:val="auto"/>
          <w:highlight w:val="none"/>
          <w:lang w:eastAsia="zh-CN"/>
        </w:rPr>
        <w:t>SL49—2015</w:t>
      </w:r>
      <w:r>
        <w:rPr>
          <w:rFonts w:cs="宋体"/>
          <w:color w:val="auto"/>
          <w:highlight w:val="none"/>
          <w:lang w:eastAsia="zh-CN"/>
        </w:rPr>
        <w:t>）第</w:t>
      </w:r>
      <w:r>
        <w:rPr>
          <w:rFonts w:hAnsi="Times New Roman" w:cs="Times New Roman"/>
          <w:color w:val="auto"/>
          <w:highlight w:val="none"/>
          <w:lang w:eastAsia="zh-CN"/>
        </w:rPr>
        <w:t>6.1.1</w:t>
      </w:r>
      <w:r>
        <w:rPr>
          <w:rFonts w:cs="宋体"/>
          <w:color w:val="auto"/>
          <w:highlight w:val="none"/>
          <w:lang w:eastAsia="zh-CN"/>
        </w:rPr>
        <w:t>条的规定。</w:t>
      </w:r>
    </w:p>
    <w:p w14:paraId="0771FCC0">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）面板与趾板混凝土配合比应满足本合同施工图纸的要求，并遵守《混凝土面板堆石坝施工规范》（</w:t>
      </w:r>
      <w:r>
        <w:rPr>
          <w:rFonts w:hAnsi="Times New Roman" w:cs="Times New Roman"/>
          <w:color w:val="auto"/>
          <w:highlight w:val="none"/>
          <w:lang w:eastAsia="zh-CN"/>
        </w:rPr>
        <w:t>SL49—2015</w:t>
      </w:r>
      <w:r>
        <w:rPr>
          <w:rFonts w:cs="宋体"/>
          <w:color w:val="auto"/>
          <w:highlight w:val="none"/>
          <w:lang w:eastAsia="zh-CN"/>
        </w:rPr>
        <w:t>）第</w:t>
      </w:r>
      <w:r>
        <w:rPr>
          <w:rFonts w:hAnsi="Times New Roman" w:cs="Times New Roman"/>
          <w:color w:val="auto"/>
          <w:highlight w:val="none"/>
          <w:lang w:eastAsia="zh-CN"/>
        </w:rPr>
        <w:t>6.1.4</w:t>
      </w:r>
      <w:r>
        <w:rPr>
          <w:rFonts w:cs="宋体"/>
          <w:color w:val="auto"/>
          <w:highlight w:val="none"/>
          <w:lang w:eastAsia="zh-CN"/>
        </w:rPr>
        <w:t>条的规定。</w:t>
      </w:r>
    </w:p>
    <w:p w14:paraId="034FAE68">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）趾板施工应遵守《水工混凝土施工规范》（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7</w:t>
      </w:r>
      <w:r>
        <w:rPr>
          <w:rFonts w:cs="宋体"/>
          <w:color w:val="auto"/>
          <w:highlight w:val="none"/>
          <w:lang w:eastAsia="zh-CN"/>
        </w:rPr>
        <w:t>章的有关规定。</w:t>
      </w:r>
    </w:p>
    <w:p w14:paraId="687C942E">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）面板施工应遵守《混凝土面板堆石坝施工规范》（</w:t>
      </w:r>
      <w:r>
        <w:rPr>
          <w:rFonts w:hAnsi="Times New Roman" w:cs="Times New Roman"/>
          <w:color w:val="auto"/>
          <w:highlight w:val="none"/>
          <w:lang w:eastAsia="zh-CN"/>
        </w:rPr>
        <w:t>SL49—2015</w:t>
      </w:r>
      <w:r>
        <w:rPr>
          <w:rFonts w:cs="宋体"/>
          <w:color w:val="auto"/>
          <w:highlight w:val="none"/>
          <w:lang w:eastAsia="zh-CN"/>
        </w:rPr>
        <w:t>）第</w:t>
      </w:r>
      <w:r>
        <w:rPr>
          <w:rFonts w:hAnsi="Times New Roman" w:cs="Times New Roman"/>
          <w:color w:val="auto"/>
          <w:highlight w:val="none"/>
          <w:lang w:eastAsia="zh-CN"/>
        </w:rPr>
        <w:t>6.3</w:t>
      </w:r>
      <w:r>
        <w:rPr>
          <w:rFonts w:cs="宋体"/>
          <w:color w:val="auto"/>
          <w:highlight w:val="none"/>
          <w:lang w:eastAsia="zh-CN"/>
        </w:rPr>
        <w:t>节的规定施工。</w:t>
      </w:r>
    </w:p>
    <w:p w14:paraId="1F448A5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）面板的止水设施施工应遵守《混凝土面板堆石坝施工规范》（</w:t>
      </w:r>
      <w:r>
        <w:rPr>
          <w:rFonts w:hAnsi="Times New Roman" w:cs="Times New Roman"/>
          <w:color w:val="auto"/>
          <w:highlight w:val="none"/>
          <w:lang w:eastAsia="zh-CN"/>
        </w:rPr>
        <w:t>SL49—2015</w:t>
      </w:r>
      <w:r>
        <w:rPr>
          <w:rFonts w:cs="宋体"/>
          <w:color w:val="auto"/>
          <w:highlight w:val="none"/>
          <w:lang w:eastAsia="zh-CN"/>
        </w:rPr>
        <w:t>）第</w:t>
      </w:r>
      <w:r>
        <w:rPr>
          <w:rFonts w:hAnsi="Times New Roman" w:cs="Times New Roman"/>
          <w:color w:val="auto"/>
          <w:highlight w:val="none"/>
          <w:lang w:eastAsia="zh-CN"/>
        </w:rPr>
        <w:t>7</w:t>
      </w:r>
      <w:r>
        <w:rPr>
          <w:rFonts w:cs="宋体"/>
          <w:color w:val="auto"/>
          <w:highlight w:val="none"/>
          <w:lang w:eastAsia="zh-CN"/>
        </w:rPr>
        <w:t>章的有关规定。</w:t>
      </w:r>
    </w:p>
    <w:p w14:paraId="1DE668A3">
      <w:pPr>
        <w:pStyle w:val="5"/>
        <w:jc w:val="left"/>
        <w:rPr>
          <w:rFonts w:hAnsi="Times New Roman" w:cs="楷体"/>
          <w:color w:val="auto"/>
          <w:highlight w:val="none"/>
          <w:lang w:eastAsia="zh-CN"/>
        </w:rPr>
      </w:pPr>
      <w:r>
        <w:rPr>
          <w:rFonts w:hAnsi="Times New Roman" w:cs="Times New Roman"/>
          <w:color w:val="auto"/>
          <w:highlight w:val="none"/>
          <w:lang w:eastAsia="zh-CN"/>
        </w:rPr>
        <w:t>14.5.6</w:t>
      </w:r>
      <w:r>
        <w:rPr>
          <w:rFonts w:hint="eastAsia" w:hAnsi="Times New Roman" w:cs="Times New Roman"/>
          <w:color w:val="auto"/>
          <w:highlight w:val="none"/>
          <w:lang w:eastAsia="zh-CN"/>
        </w:rPr>
        <w:t>　</w:t>
      </w:r>
      <w:r>
        <w:rPr>
          <w:rFonts w:hAnsi="楷体" w:cs="楷体"/>
          <w:color w:val="auto"/>
          <w:highlight w:val="none"/>
          <w:lang w:eastAsia="zh-CN"/>
        </w:rPr>
        <w:t>二期混凝土施工</w:t>
      </w:r>
    </w:p>
    <w:p w14:paraId="2AB67D1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二期混凝土施工范围包括闸门槽混凝土、钢衬预留槽混凝土、门机大梁轨底预留槽混凝土、电站厂房尾水管锥管和蜗壳周围混凝土、座环及水轮发电机支承混凝土、轨道梁预留槽混凝土，以及预留孔洞、坑、槽、沟等的混凝土浇筑。</w:t>
      </w:r>
    </w:p>
    <w:p w14:paraId="4EB26F8F">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）选用收缩性较小的原材料进行二期混凝土配合比试验，选定的混凝土配合比应满足混凝土强度保证率</w:t>
      </w:r>
      <w:r>
        <w:rPr>
          <w:rFonts w:hAnsi="Times New Roman" w:cs="Times New Roman"/>
          <w:color w:val="auto"/>
          <w:highlight w:val="none"/>
          <w:lang w:eastAsia="zh-CN"/>
        </w:rPr>
        <w:t>95%</w:t>
      </w:r>
      <w:r>
        <w:rPr>
          <w:rFonts w:cs="宋体"/>
          <w:color w:val="auto"/>
          <w:highlight w:val="none"/>
          <w:lang w:eastAsia="zh-CN"/>
        </w:rPr>
        <w:t>以上，离差系数不大于</w:t>
      </w:r>
      <w:r>
        <w:rPr>
          <w:rFonts w:hAnsi="Times New Roman" w:cs="Times New Roman"/>
          <w:color w:val="auto"/>
          <w:highlight w:val="none"/>
          <w:u w:val="single"/>
          <w:lang w:eastAsia="zh-CN"/>
        </w:rPr>
        <w:t>0.1</w:t>
      </w:r>
      <w:r>
        <w:rPr>
          <w:rFonts w:cs="宋体"/>
          <w:color w:val="auto"/>
          <w:highlight w:val="none"/>
          <w:lang w:eastAsia="zh-CN"/>
        </w:rPr>
        <w:t>，原材料和混凝土配合比试验成果应提交监理人批准。</w:t>
      </w:r>
    </w:p>
    <w:p w14:paraId="1ACAC27F">
      <w:pPr>
        <w:ind w:firstLine="420"/>
        <w:jc w:val="left"/>
        <w:rPr>
          <w:rFonts w:cs="宋体"/>
          <w:color w:val="auto"/>
          <w:highlight w:val="none"/>
          <w:lang w:eastAsia="zh-CN"/>
        </w:rPr>
      </w:pPr>
      <w:r>
        <w:rPr>
          <w:rFonts w:hint="eastAsia" w:cs="宋体"/>
          <w:color w:val="auto"/>
          <w:highlight w:val="none"/>
          <w:lang w:eastAsia="zh-CN"/>
        </w:rPr>
        <w:t>（</w:t>
      </w:r>
      <w:r>
        <w:rPr>
          <w:rFonts w:cs="宋体"/>
          <w:color w:val="auto"/>
          <w:highlight w:val="none"/>
          <w:lang w:eastAsia="zh-CN"/>
        </w:rPr>
        <w:t>3）</w:t>
      </w:r>
      <w:r>
        <w:rPr>
          <w:rFonts w:hint="eastAsia"/>
          <w:color w:val="auto"/>
          <w:highlight w:val="none"/>
          <w:lang w:eastAsia="zh-CN"/>
        </w:rPr>
        <w:t>二期混凝土浇筑前，承包人应将结构面的老混凝土用高压水和风砂枪冲毛至露出粗砂，并冲洗干净，保持湿润。</w:t>
      </w:r>
    </w:p>
    <w:p w14:paraId="261B95D8">
      <w:pPr>
        <w:pStyle w:val="45"/>
        <w:spacing w:line="360" w:lineRule="auto"/>
        <w:ind w:firstLine="420"/>
        <w:jc w:val="left"/>
        <w:rPr>
          <w:color w:val="auto"/>
          <w:szCs w:val="21"/>
          <w:highlight w:val="none"/>
        </w:rPr>
      </w:pPr>
      <w:r>
        <w:rPr>
          <w:rFonts w:hint="eastAsia"/>
          <w:color w:val="auto"/>
          <w:szCs w:val="21"/>
          <w:highlight w:val="none"/>
        </w:rPr>
        <w:t>（</w:t>
      </w:r>
      <w:r>
        <w:rPr>
          <w:color w:val="auto"/>
          <w:szCs w:val="21"/>
          <w:highlight w:val="none"/>
        </w:rPr>
        <w:t>4）浇筑前应检查模板和预埋件的安装质量，保证其在浇筑过程中不发生变形和移位</w:t>
      </w:r>
      <w:r>
        <w:rPr>
          <w:rFonts w:hint="eastAsia"/>
          <w:color w:val="auto"/>
          <w:szCs w:val="21"/>
          <w:highlight w:val="none"/>
        </w:rPr>
        <w:t>。</w:t>
      </w:r>
    </w:p>
    <w:p w14:paraId="12E3B13C">
      <w:pPr>
        <w:ind w:firstLine="420"/>
        <w:jc w:val="left"/>
        <w:rPr>
          <w:rFonts w:cs="宋体"/>
          <w:color w:val="auto"/>
          <w:highlight w:val="none"/>
          <w:lang w:eastAsia="zh-CN"/>
        </w:rPr>
      </w:pPr>
      <w:r>
        <w:rPr>
          <w:rFonts w:cs="宋体"/>
          <w:color w:val="auto"/>
          <w:highlight w:val="none"/>
          <w:lang w:eastAsia="zh-CN"/>
        </w:rPr>
        <w:t>（5）槽孔二期混凝土浇筑应采用小型振捣机或用手工棒或钎捣实，避免漏振。</w:t>
      </w:r>
    </w:p>
    <w:p w14:paraId="20518344">
      <w:pPr>
        <w:pStyle w:val="45"/>
        <w:spacing w:line="360" w:lineRule="auto"/>
        <w:ind w:firstLine="420"/>
        <w:jc w:val="left"/>
        <w:rPr>
          <w:color w:val="auto"/>
          <w:szCs w:val="21"/>
          <w:highlight w:val="none"/>
        </w:rPr>
      </w:pPr>
      <w:r>
        <w:rPr>
          <w:rFonts w:hint="eastAsia"/>
          <w:color w:val="auto"/>
          <w:szCs w:val="21"/>
          <w:highlight w:val="none"/>
        </w:rPr>
        <w:t>（</w:t>
      </w:r>
      <w:r>
        <w:rPr>
          <w:color w:val="auto"/>
          <w:szCs w:val="21"/>
          <w:highlight w:val="none"/>
        </w:rPr>
        <w:t>6）混凝土层间间歇期：大体积混凝土应按本技术要求13.5.3</w:t>
      </w:r>
      <w:r>
        <w:rPr>
          <w:rFonts w:hint="eastAsia"/>
          <w:color w:val="auto"/>
          <w:szCs w:val="21"/>
          <w:highlight w:val="none"/>
        </w:rPr>
        <w:t>条执行，结构厚度较小的二期混凝土，其最长间歇期不超过</w:t>
      </w:r>
      <w:r>
        <w:rPr>
          <w:color w:val="auto"/>
          <w:szCs w:val="21"/>
          <w:highlight w:val="none"/>
        </w:rPr>
        <w:t>10</w:t>
      </w:r>
      <w:r>
        <w:rPr>
          <w:rFonts w:hint="eastAsia"/>
          <w:color w:val="auto"/>
          <w:szCs w:val="21"/>
          <w:highlight w:val="none"/>
        </w:rPr>
        <w:t>～</w:t>
      </w:r>
      <w:r>
        <w:rPr>
          <w:color w:val="auto"/>
          <w:szCs w:val="21"/>
          <w:highlight w:val="none"/>
        </w:rPr>
        <w:t>14</w:t>
      </w:r>
      <w:r>
        <w:rPr>
          <w:rFonts w:hint="eastAsia"/>
          <w:color w:val="auto"/>
          <w:szCs w:val="21"/>
          <w:highlight w:val="none"/>
        </w:rPr>
        <w:t>天。</w:t>
      </w:r>
    </w:p>
    <w:p w14:paraId="420BDEEB">
      <w:pPr>
        <w:pStyle w:val="45"/>
        <w:spacing w:line="360" w:lineRule="auto"/>
        <w:ind w:firstLine="420"/>
        <w:jc w:val="left"/>
        <w:rPr>
          <w:color w:val="auto"/>
          <w:szCs w:val="21"/>
          <w:highlight w:val="none"/>
        </w:rPr>
      </w:pPr>
      <w:r>
        <w:rPr>
          <w:rFonts w:hint="eastAsia"/>
          <w:color w:val="auto"/>
          <w:szCs w:val="21"/>
          <w:highlight w:val="none"/>
        </w:rPr>
        <w:t>（</w:t>
      </w:r>
      <w:r>
        <w:rPr>
          <w:color w:val="auto"/>
          <w:szCs w:val="21"/>
          <w:highlight w:val="none"/>
        </w:rPr>
        <w:t>7）混凝土浇筑完成后，应及时采取洒水、喷雾等措施进行养护，混凝土的连续养护时间应不少于28天，棱角和突出部位应加强保护。</w:t>
      </w:r>
    </w:p>
    <w:p w14:paraId="210FE9AA">
      <w:pPr>
        <w:ind w:firstLine="420"/>
        <w:jc w:val="left"/>
        <w:rPr>
          <w:rFonts w:hAnsi="Times New Roman" w:cs="宋体"/>
          <w:color w:val="auto"/>
          <w:highlight w:val="none"/>
          <w:lang w:eastAsia="zh-CN"/>
        </w:rPr>
      </w:pPr>
      <w:r>
        <w:rPr>
          <w:rFonts w:cs="宋体"/>
          <w:color w:val="auto"/>
          <w:highlight w:val="none"/>
          <w:lang w:eastAsia="zh-CN"/>
        </w:rPr>
        <w:t>（8）二期混凝土模板的拆除时间及其养护作业，应按监理人批准的施工措施进行。</w:t>
      </w:r>
    </w:p>
    <w:p w14:paraId="4C9CEB1E">
      <w:pPr>
        <w:pStyle w:val="5"/>
        <w:jc w:val="left"/>
        <w:rPr>
          <w:rFonts w:hAnsi="Times New Roman" w:cs="楷体"/>
          <w:color w:val="auto"/>
          <w:highlight w:val="none"/>
          <w:lang w:eastAsia="zh-CN"/>
        </w:rPr>
      </w:pPr>
      <w:r>
        <w:rPr>
          <w:rFonts w:hAnsi="Times New Roman" w:cs="Times New Roman"/>
          <w:color w:val="auto"/>
          <w:highlight w:val="none"/>
          <w:lang w:eastAsia="zh-CN"/>
        </w:rPr>
        <w:t>14.5.7</w:t>
      </w:r>
      <w:r>
        <w:rPr>
          <w:rFonts w:hint="eastAsia" w:hAnsi="Times New Roman" w:cs="Times New Roman"/>
          <w:color w:val="auto"/>
          <w:highlight w:val="none"/>
          <w:lang w:eastAsia="zh-CN"/>
        </w:rPr>
        <w:t>　</w:t>
      </w:r>
      <w:r>
        <w:rPr>
          <w:rFonts w:hAnsi="楷体" w:cs="楷体"/>
          <w:color w:val="auto"/>
          <w:highlight w:val="none"/>
          <w:lang w:eastAsia="zh-CN"/>
        </w:rPr>
        <w:t>抗冲、抗磨蚀部位的混凝土施工</w:t>
      </w:r>
    </w:p>
    <w:p w14:paraId="044B100F">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）本条规定的应用范围为高速水流过流的溢洪道、底孔与底孔进出口段等泄水建筑物。</w:t>
      </w:r>
    </w:p>
    <w:p w14:paraId="5A4F34A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）抗冲和抗磨混凝土的材料和配合比应遵守《水工建筑物抗冲磨防空蚀混凝土技术规范》（</w:t>
      </w:r>
      <w:r>
        <w:rPr>
          <w:rFonts w:hAnsi="Times New Roman" w:cs="Times New Roman"/>
          <w:color w:val="auto"/>
          <w:highlight w:val="none"/>
          <w:lang w:eastAsia="zh-CN"/>
        </w:rPr>
        <w:t>DL/T5207—2021</w:t>
      </w:r>
      <w:r>
        <w:rPr>
          <w:rFonts w:cs="宋体"/>
          <w:color w:val="auto"/>
          <w:highlight w:val="none"/>
          <w:lang w:eastAsia="zh-CN"/>
        </w:rPr>
        <w:t>）的规定。</w:t>
      </w:r>
    </w:p>
    <w:p w14:paraId="1D6DEDA6">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）抗冲和抗磨混凝土施工应遵守《水工建筑物抗冲磨防空蚀混凝土技术规范》（</w:t>
      </w:r>
      <w:r>
        <w:rPr>
          <w:rFonts w:hAnsi="Times New Roman" w:cs="Times New Roman"/>
          <w:color w:val="auto"/>
          <w:highlight w:val="none"/>
          <w:lang w:eastAsia="zh-CN"/>
        </w:rPr>
        <w:t>DL/T5207—2021</w:t>
      </w:r>
      <w:r>
        <w:rPr>
          <w:rFonts w:cs="宋体"/>
          <w:color w:val="auto"/>
          <w:highlight w:val="none"/>
          <w:lang w:eastAsia="zh-CN"/>
        </w:rPr>
        <w:t>）的有关规定。</w:t>
      </w:r>
    </w:p>
    <w:p w14:paraId="1D569802">
      <w:pPr>
        <w:ind w:firstLine="420"/>
        <w:jc w:val="left"/>
        <w:rPr>
          <w:rFonts w:cs="Times New Roman" w:hAnsiTheme="minorEastAsia"/>
          <w:color w:val="auto"/>
          <w:kern w:val="2"/>
          <w:highlight w:val="none"/>
          <w:lang w:eastAsia="zh-CN"/>
        </w:rPr>
      </w:pPr>
      <w:r>
        <w:rPr>
          <w:rFonts w:hint="eastAsia" w:cs="宋体"/>
          <w:color w:val="auto"/>
          <w:highlight w:val="none"/>
          <w:lang w:eastAsia="zh-CN"/>
        </w:rPr>
        <w:t>（</w:t>
      </w:r>
      <w:r>
        <w:rPr>
          <w:rFonts w:cs="宋体"/>
          <w:color w:val="auto"/>
          <w:highlight w:val="none"/>
          <w:lang w:eastAsia="zh-CN"/>
        </w:rPr>
        <w:t>4）</w:t>
      </w:r>
      <w:r>
        <w:rPr>
          <w:rFonts w:hint="eastAsia" w:cs="Times New Roman" w:hAnsiTheme="minorEastAsia"/>
          <w:color w:val="auto"/>
          <w:kern w:val="2"/>
          <w:highlight w:val="none"/>
          <w:lang w:eastAsia="zh-CN"/>
        </w:rPr>
        <w:t>施工工艺</w:t>
      </w:r>
    </w:p>
    <w:p w14:paraId="114737F0">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1）混凝土应从低处（</w:t>
      </w:r>
      <w:r>
        <w:rPr>
          <w:rFonts w:hint="eastAsia" w:cs="Times New Roman" w:hAnsiTheme="minorEastAsia"/>
          <w:color w:val="auto"/>
          <w:kern w:val="2"/>
          <w:highlight w:val="none"/>
          <w:lang w:eastAsia="zh-CN"/>
        </w:rPr>
        <w:t>斜坡面</w:t>
      </w:r>
      <w:r>
        <w:rPr>
          <w:rFonts w:cs="Times New Roman" w:hAnsiTheme="minorEastAsia"/>
          <w:color w:val="auto"/>
          <w:kern w:val="2"/>
          <w:highlight w:val="none"/>
          <w:lang w:eastAsia="zh-CN"/>
        </w:rPr>
        <w:t>）</w:t>
      </w:r>
      <w:r>
        <w:rPr>
          <w:rFonts w:hint="eastAsia" w:cs="Times New Roman" w:hAnsiTheme="minorEastAsia"/>
          <w:color w:val="auto"/>
          <w:kern w:val="2"/>
          <w:highlight w:val="none"/>
          <w:lang w:eastAsia="zh-CN"/>
        </w:rPr>
        <w:t>向高处进行浇筑。</w:t>
      </w:r>
    </w:p>
    <w:p w14:paraId="14BF9FE0">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2）抗冲耐磨混凝土表面采用施工样架控制设计轮廊线和高程时，样架应有足够刚度。</w:t>
      </w:r>
    </w:p>
    <w:p w14:paraId="478E3D17">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3）抗冲磨混凝土易产生早期塑性开裂，浇筑过程中发现混凝土面发白或混凝土表面水分蒸发速度大于0.5kg/（m</w:t>
      </w:r>
      <w:r>
        <w:rPr>
          <w:rFonts w:cs="Times New Roman" w:hAnsiTheme="minorEastAsia"/>
          <w:color w:val="auto"/>
          <w:kern w:val="2"/>
          <w:highlight w:val="none"/>
          <w:vertAlign w:val="superscript"/>
          <w:lang w:eastAsia="zh-CN"/>
        </w:rPr>
        <w:t>2</w:t>
      </w:r>
      <w:r>
        <w:rPr>
          <w:rFonts w:hint="eastAsia" w:cs="Times New Roman" w:hAnsiTheme="minorEastAsia"/>
          <w:color w:val="auto"/>
          <w:kern w:val="2"/>
          <w:highlight w:val="none"/>
          <w:lang w:eastAsia="zh-CN"/>
        </w:rPr>
        <w:t>·</w:t>
      </w:r>
      <w:r>
        <w:rPr>
          <w:rFonts w:cs="Times New Roman" w:hAnsiTheme="minorEastAsia"/>
          <w:color w:val="auto"/>
          <w:kern w:val="2"/>
          <w:highlight w:val="none"/>
          <w:lang w:eastAsia="zh-CN"/>
        </w:rPr>
        <w:t>h</w:t>
      </w:r>
      <w:r>
        <w:rPr>
          <w:rFonts w:hint="eastAsia" w:cs="Times New Roman" w:hAnsiTheme="minorEastAsia"/>
          <w:color w:val="auto"/>
          <w:kern w:val="2"/>
          <w:highlight w:val="none"/>
          <w:lang w:eastAsia="zh-CN"/>
        </w:rPr>
        <w:t>）时，应采取挡风装置，喷雾保持表面湿度，降低混凝土温度措施。</w:t>
      </w:r>
    </w:p>
    <w:p w14:paraId="6C636603">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4）混凝土表面应采用原浆抹面，严禁临时加灰加水，抹面平整度应满足要求。采用机械抹面时应避免骨料过度下沉，导致降低表层混凝土的抗磨蚀性能或发生裂缝。</w:t>
      </w:r>
    </w:p>
    <w:p w14:paraId="1A409AC3">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5）抗冲耐磨混凝土和结构混凝土一次浇筑时，应严防品种错乱。当分开浇筑时，施工缝缝面应细致认真处理，保证在无水而又湿润的条件下浇筑上层抗冲耐磨混凝土，浇筑层之间尽可能短间歇上升，间歇期不超过5～7d。</w:t>
      </w:r>
    </w:p>
    <w:p w14:paraId="4BB0DFFD">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6）还应根据DL/T5207-2005第6、7章的规定，进行抗磨蚀混凝土的施工。</w:t>
      </w:r>
    </w:p>
    <w:p w14:paraId="48F2DF92">
      <w:pPr>
        <w:ind w:firstLine="420"/>
        <w:jc w:val="left"/>
        <w:rPr>
          <w:rFonts w:cs="Times New Roman" w:hAnsiTheme="minorEastAsia"/>
          <w:color w:val="auto"/>
          <w:kern w:val="2"/>
          <w:highlight w:val="none"/>
          <w:lang w:eastAsia="zh-CN"/>
        </w:rPr>
      </w:pPr>
      <w:r>
        <w:rPr>
          <w:rFonts w:hint="eastAsia" w:cs="Times New Roman" w:hAnsiTheme="minorEastAsia"/>
          <w:color w:val="auto"/>
          <w:kern w:val="2"/>
          <w:highlight w:val="none"/>
          <w:lang w:eastAsia="zh-CN"/>
        </w:rPr>
        <w:t>（</w:t>
      </w:r>
      <w:r>
        <w:rPr>
          <w:rFonts w:cs="Times New Roman" w:hAnsiTheme="minorEastAsia"/>
          <w:color w:val="auto"/>
          <w:kern w:val="2"/>
          <w:highlight w:val="none"/>
          <w:lang w:eastAsia="zh-CN"/>
        </w:rPr>
        <w:t>5）混凝土表面平整度</w:t>
      </w:r>
    </w:p>
    <w:p w14:paraId="46F2311A">
      <w:pPr>
        <w:ind w:firstLine="420"/>
        <w:jc w:val="left"/>
        <w:rPr>
          <w:rFonts w:cs="Times New Roman" w:hAnsiTheme="minorEastAsia"/>
          <w:color w:val="auto"/>
          <w:kern w:val="2"/>
          <w:highlight w:val="none"/>
          <w:lang w:eastAsia="zh-CN"/>
        </w:rPr>
      </w:pPr>
      <w:r>
        <w:rPr>
          <w:rFonts w:cs="Times New Roman" w:hAnsiTheme="minorEastAsia"/>
          <w:color w:val="auto"/>
          <w:kern w:val="2"/>
          <w:highlight w:val="none"/>
          <w:lang w:eastAsia="zh-CN"/>
        </w:rPr>
        <w:t>1）泄洪闸高速水流混凝土表面凹凸不平整度不应超过本合同施工图纸规定的允许值，并应严格按本合同施工图纸要求将凹凸超限部位进行磨平处理。</w:t>
      </w:r>
    </w:p>
    <w:p w14:paraId="19A89E96">
      <w:pPr>
        <w:ind w:firstLine="420"/>
        <w:jc w:val="left"/>
        <w:rPr>
          <w:rFonts w:cs="宋体"/>
          <w:color w:val="auto"/>
          <w:highlight w:val="none"/>
          <w:lang w:eastAsia="zh-CN"/>
        </w:rPr>
      </w:pPr>
      <w:r>
        <w:rPr>
          <w:rFonts w:cs="Times New Roman" w:hAnsiTheme="minorEastAsia"/>
          <w:color w:val="auto"/>
          <w:kern w:val="2"/>
          <w:highlight w:val="none"/>
          <w:lang w:eastAsia="zh-CN"/>
        </w:rPr>
        <w:t>2）泄水建筑物的进出水口结构和闸门底槛及临近闸门底槛的混凝土表面应光滑，并控制在本合同施工图纸规定的偏差限值内，应根据DL/T5207-2005第5.3.4条</w:t>
      </w:r>
      <w:r>
        <w:rPr>
          <w:rFonts w:hint="eastAsia" w:cs="Times New Roman" w:hAnsiTheme="minorEastAsia"/>
          <w:color w:val="auto"/>
          <w:kern w:val="2"/>
          <w:highlight w:val="none"/>
          <w:lang w:eastAsia="zh-CN"/>
        </w:rPr>
        <w:t>及</w:t>
      </w:r>
      <w:r>
        <w:rPr>
          <w:rFonts w:cs="Times New Roman" w:hAnsiTheme="minorEastAsia"/>
          <w:color w:val="auto"/>
          <w:kern w:val="2"/>
          <w:highlight w:val="none"/>
          <w:lang w:eastAsia="zh-CN"/>
        </w:rPr>
        <w:t>本技术条款</w:t>
      </w:r>
      <w:r>
        <w:rPr>
          <w:rFonts w:hint="eastAsia" w:cs="Times New Roman" w:hAnsiTheme="minorEastAsia"/>
          <w:color w:val="auto"/>
          <w:kern w:val="2"/>
          <w:highlight w:val="none"/>
          <w:lang w:eastAsia="zh-CN"/>
        </w:rPr>
        <w:t>第</w:t>
      </w:r>
      <w:r>
        <w:rPr>
          <w:rFonts w:cs="Times New Roman" w:hAnsiTheme="minorEastAsia"/>
          <w:color w:val="auto"/>
          <w:kern w:val="2"/>
          <w:highlight w:val="none"/>
          <w:lang w:eastAsia="zh-CN"/>
        </w:rPr>
        <w:t>12章的规定，确定过流表面的不平整度处理指标。</w:t>
      </w:r>
    </w:p>
    <w:p w14:paraId="19CD035B">
      <w:pPr>
        <w:pStyle w:val="5"/>
        <w:jc w:val="left"/>
        <w:rPr>
          <w:rFonts w:hAnsi="Times New Roman" w:cs="楷体"/>
          <w:color w:val="auto"/>
          <w:highlight w:val="none"/>
          <w:lang w:eastAsia="zh-CN"/>
        </w:rPr>
      </w:pPr>
      <w:r>
        <w:rPr>
          <w:rFonts w:hAnsi="Times New Roman" w:cs="Times New Roman"/>
          <w:color w:val="auto"/>
          <w:highlight w:val="none"/>
          <w:lang w:eastAsia="zh-CN"/>
        </w:rPr>
        <w:t>14.5.8</w:t>
      </w:r>
      <w:r>
        <w:rPr>
          <w:rFonts w:hint="eastAsia" w:hAnsi="Times New Roman" w:cs="Times New Roman"/>
          <w:color w:val="auto"/>
          <w:highlight w:val="none"/>
          <w:lang w:eastAsia="zh-CN"/>
        </w:rPr>
        <w:t>　</w:t>
      </w:r>
      <w:r>
        <w:rPr>
          <w:rFonts w:hAnsi="楷体" w:cs="楷体"/>
          <w:color w:val="auto"/>
          <w:highlight w:val="none"/>
          <w:lang w:eastAsia="zh-CN"/>
        </w:rPr>
        <w:t>止水、伸缩缝和排水</w:t>
      </w:r>
    </w:p>
    <w:p w14:paraId="7F579D36">
      <w:pPr>
        <w:ind w:firstLine="420"/>
        <w:jc w:val="left"/>
        <w:rPr>
          <w:rFonts w:cs="宋体"/>
          <w:color w:val="auto"/>
          <w:highlight w:val="none"/>
          <w:lang w:eastAsia="zh-CN"/>
        </w:rPr>
      </w:pPr>
      <w:r>
        <w:rPr>
          <w:rFonts w:cs="宋体"/>
          <w:color w:val="auto"/>
          <w:highlight w:val="none"/>
          <w:lang w:eastAsia="zh-CN"/>
        </w:rPr>
        <w:t>止水、伸缩缝和排水施工应遵守《水工混凝土施工规范》（</w:t>
      </w:r>
      <w:r>
        <w:rPr>
          <w:rFonts w:hAnsi="Times New Roman" w:cs="宋体"/>
          <w:color w:val="auto"/>
          <w:highlight w:val="none"/>
          <w:lang w:eastAsia="zh-CN"/>
        </w:rPr>
        <w:t>SL677-2014</w:t>
      </w:r>
      <w:r>
        <w:rPr>
          <w:rFonts w:cs="宋体"/>
          <w:color w:val="auto"/>
          <w:highlight w:val="none"/>
          <w:lang w:eastAsia="zh-CN"/>
        </w:rPr>
        <w:t>）第</w:t>
      </w:r>
      <w:r>
        <w:rPr>
          <w:rFonts w:hAnsi="Times New Roman" w:cs="宋体"/>
          <w:color w:val="auto"/>
          <w:highlight w:val="none"/>
          <w:lang w:eastAsia="zh-CN"/>
        </w:rPr>
        <w:t>10.2</w:t>
      </w:r>
      <w:r>
        <w:rPr>
          <w:rFonts w:hint="eastAsia" w:hAnsi="Times New Roman" w:cs="宋体"/>
          <w:color w:val="auto"/>
          <w:highlight w:val="none"/>
          <w:lang w:eastAsia="zh-CN"/>
        </w:rPr>
        <w:t>～</w:t>
      </w:r>
      <w:r>
        <w:rPr>
          <w:rFonts w:hAnsi="Times New Roman" w:cs="宋体"/>
          <w:color w:val="auto"/>
          <w:highlight w:val="none"/>
          <w:lang w:eastAsia="zh-CN"/>
        </w:rPr>
        <w:t>10.3</w:t>
      </w:r>
      <w:r>
        <w:rPr>
          <w:rFonts w:hint="eastAsia" w:cs="宋体"/>
          <w:color w:val="auto"/>
          <w:highlight w:val="none"/>
          <w:lang w:eastAsia="zh-CN"/>
        </w:rPr>
        <w:t>节的有关规定。</w:t>
      </w:r>
    </w:p>
    <w:p w14:paraId="51BFDF9D">
      <w:pPr>
        <w:pStyle w:val="5"/>
        <w:jc w:val="left"/>
        <w:rPr>
          <w:rFonts w:cs="宋体"/>
          <w:color w:val="auto"/>
          <w:highlight w:val="none"/>
          <w:lang w:eastAsia="zh-CN"/>
        </w:rPr>
      </w:pPr>
      <w:r>
        <w:rPr>
          <w:rFonts w:cs="宋体"/>
          <w:color w:val="auto"/>
          <w:highlight w:val="none"/>
          <w:lang w:eastAsia="zh-CN"/>
        </w:rPr>
        <w:t>14.5.8.1</w:t>
      </w:r>
      <w:r>
        <w:rPr>
          <w:rFonts w:hint="eastAsia" w:cs="宋体"/>
          <w:color w:val="auto"/>
          <w:highlight w:val="none"/>
          <w:lang w:eastAsia="zh-CN"/>
        </w:rPr>
        <w:t>　</w:t>
      </w:r>
      <w:r>
        <w:rPr>
          <w:rFonts w:cs="宋体"/>
          <w:color w:val="auto"/>
          <w:highlight w:val="none"/>
          <w:lang w:eastAsia="zh-CN"/>
        </w:rPr>
        <w:t>伸缩缝止水材料</w:t>
      </w:r>
    </w:p>
    <w:p w14:paraId="60585E13">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1）伸缩缝止水材料的尺寸及品种规格等，均应符合施工详图规定，如有更改须经监理人批准后方可实施。</w:t>
      </w:r>
    </w:p>
    <w:p w14:paraId="710810A4">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（2）伸缩缝止水材料的材质应符合以下要求：</w:t>
      </w:r>
    </w:p>
    <w:p w14:paraId="50E1B424">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1）紫铜止水片、塑料止水片的物理力学性能见表</w:t>
      </w:r>
      <w:r>
        <w:rPr>
          <w:rFonts w:hAnsi="Times New Roman" w:cs="宋体"/>
          <w:color w:val="auto"/>
          <w:kern w:val="2"/>
          <w:highlight w:val="none"/>
          <w:lang w:eastAsia="zh-CN"/>
        </w:rPr>
        <w:t>14.5.8-1</w:t>
      </w:r>
      <w:r>
        <w:rPr>
          <w:rFonts w:hint="eastAsia" w:hAnsi="Times New Roman" w:cs="宋体"/>
          <w:color w:val="auto"/>
          <w:kern w:val="2"/>
          <w:highlight w:val="none"/>
          <w:lang w:eastAsia="zh-CN"/>
        </w:rPr>
        <w:t>及表</w:t>
      </w:r>
      <w:r>
        <w:rPr>
          <w:rFonts w:hAnsi="Times New Roman" w:cs="宋体"/>
          <w:color w:val="auto"/>
          <w:kern w:val="2"/>
          <w:highlight w:val="none"/>
          <w:lang w:eastAsia="zh-CN"/>
        </w:rPr>
        <w:t>14.5.8-2</w:t>
      </w:r>
      <w:r>
        <w:rPr>
          <w:rFonts w:hint="eastAsia" w:hAnsi="Times New Roman" w:cs="宋体"/>
          <w:color w:val="auto"/>
          <w:kern w:val="2"/>
          <w:highlight w:val="none"/>
          <w:lang w:eastAsia="zh-CN"/>
        </w:rPr>
        <w:t>。</w:t>
      </w:r>
    </w:p>
    <w:p w14:paraId="0FA2B4AF">
      <w:pPr>
        <w:ind w:firstLine="420"/>
        <w:jc w:val="left"/>
        <w:rPr>
          <w:rFonts w:hAnsi="Times New Roman" w:cs="宋体"/>
          <w:b/>
          <w:bCs/>
          <w:color w:val="auto"/>
          <w:highlight w:val="none"/>
          <w:lang w:eastAsia="zh-CN"/>
        </w:rPr>
      </w:pPr>
      <w:r>
        <w:rPr>
          <w:rFonts w:hint="eastAsia" w:hAnsi="Times New Roman" w:cs="宋体"/>
          <w:b/>
          <w:bCs/>
          <w:color w:val="auto"/>
          <w:highlight w:val="none"/>
          <w:lang w:eastAsia="zh-CN"/>
        </w:rPr>
        <w:t>表</w:t>
      </w:r>
      <w:r>
        <w:rPr>
          <w:rFonts w:hAnsi="Times New Roman" w:cs="宋体"/>
          <w:b/>
          <w:bCs/>
          <w:color w:val="auto"/>
          <w:kern w:val="2"/>
          <w:highlight w:val="none"/>
          <w:lang w:eastAsia="zh-CN"/>
        </w:rPr>
        <w:t>14.5.8-1</w:t>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highlight w:val="none"/>
          <w:lang w:eastAsia="zh-CN"/>
        </w:rPr>
        <w:t>紫铜止水片物理力学指标表</w:t>
      </w:r>
    </w:p>
    <w:tbl>
      <w:tblPr>
        <w:tblStyle w:val="18"/>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43"/>
        <w:gridCol w:w="1884"/>
        <w:gridCol w:w="2213"/>
        <w:gridCol w:w="2346"/>
        <w:gridCol w:w="1543"/>
      </w:tblGrid>
      <w:tr w14:paraId="04014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143" w:type="dxa"/>
            <w:tcBorders>
              <w:tl2br w:val="nil"/>
              <w:tr2bl w:val="nil"/>
            </w:tcBorders>
            <w:vAlign w:val="center"/>
          </w:tcPr>
          <w:p w14:paraId="3CAF2782">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材料名称</w:t>
            </w:r>
          </w:p>
        </w:tc>
        <w:tc>
          <w:tcPr>
            <w:tcW w:w="1884" w:type="dxa"/>
            <w:tcBorders>
              <w:tl2br w:val="nil"/>
              <w:tr2bl w:val="nil"/>
            </w:tcBorders>
            <w:vAlign w:val="center"/>
          </w:tcPr>
          <w:p w14:paraId="494C44E7">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容重（kN/m</w:t>
            </w:r>
            <w:r>
              <w:rPr>
                <w:rFonts w:hAnsi="Times New Roman" w:cs="Times New Roman"/>
                <w:color w:val="auto"/>
                <w:kern w:val="2"/>
                <w:sz w:val="21"/>
                <w:szCs w:val="21"/>
                <w:highlight w:val="none"/>
                <w:u w:color="000000"/>
                <w:vertAlign w:val="superscript"/>
                <w:lang w:eastAsia="zh-CN"/>
              </w:rPr>
              <w:t>3</w:t>
            </w:r>
            <w:r>
              <w:rPr>
                <w:rFonts w:hint="eastAsia" w:hAnsi="Times New Roman" w:cs="Times New Roman"/>
                <w:color w:val="auto"/>
                <w:kern w:val="2"/>
                <w:sz w:val="21"/>
                <w:szCs w:val="21"/>
                <w:highlight w:val="none"/>
                <w:u w:color="000000"/>
                <w:lang w:eastAsia="zh-CN"/>
              </w:rPr>
              <w:t>）</w:t>
            </w:r>
          </w:p>
        </w:tc>
        <w:tc>
          <w:tcPr>
            <w:tcW w:w="2213" w:type="dxa"/>
            <w:tcBorders>
              <w:tl2br w:val="nil"/>
              <w:tr2bl w:val="nil"/>
            </w:tcBorders>
            <w:vAlign w:val="center"/>
          </w:tcPr>
          <w:p w14:paraId="42216B0B">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抗拉强度（MPa）</w:t>
            </w:r>
          </w:p>
        </w:tc>
        <w:tc>
          <w:tcPr>
            <w:tcW w:w="2346" w:type="dxa"/>
            <w:tcBorders>
              <w:tl2br w:val="nil"/>
              <w:tr2bl w:val="nil"/>
            </w:tcBorders>
            <w:vAlign w:val="center"/>
          </w:tcPr>
          <w:p w14:paraId="74B96354">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伸长率（%）</w:t>
            </w:r>
          </w:p>
        </w:tc>
        <w:tc>
          <w:tcPr>
            <w:tcW w:w="1543" w:type="dxa"/>
            <w:tcBorders>
              <w:tl2br w:val="nil"/>
              <w:tr2bl w:val="nil"/>
            </w:tcBorders>
            <w:vAlign w:val="center"/>
          </w:tcPr>
          <w:p w14:paraId="0E3D1E0B">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熔点（℃）</w:t>
            </w:r>
          </w:p>
        </w:tc>
      </w:tr>
      <w:tr w14:paraId="5E2C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143" w:type="dxa"/>
            <w:tcBorders>
              <w:tl2br w:val="nil"/>
              <w:tr2bl w:val="nil"/>
            </w:tcBorders>
            <w:vAlign w:val="center"/>
          </w:tcPr>
          <w:p w14:paraId="775E5C58">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紫铜片</w:t>
            </w:r>
          </w:p>
        </w:tc>
        <w:tc>
          <w:tcPr>
            <w:tcW w:w="1884" w:type="dxa"/>
            <w:tcBorders>
              <w:tl2br w:val="nil"/>
              <w:tr2bl w:val="nil"/>
            </w:tcBorders>
            <w:vAlign w:val="center"/>
          </w:tcPr>
          <w:p w14:paraId="6EFBE185">
            <w:pPr>
              <w:spacing w:line="0" w:lineRule="atLeast"/>
              <w:ind w:firstLine="0" w:firstLineChars="0"/>
              <w:jc w:val="center"/>
              <w:rPr>
                <w:rFonts w:hAnsi="Times New Roman" w:cs="Times New Roman"/>
                <w:color w:val="auto"/>
                <w:kern w:val="2"/>
                <w:sz w:val="21"/>
                <w:szCs w:val="21"/>
                <w:highlight w:val="none"/>
                <w:u w:color="000000"/>
                <w:lang w:eastAsia="zh-CN"/>
              </w:rPr>
            </w:pPr>
            <w:r>
              <w:rPr>
                <w:rFonts w:hAnsi="Times New Roman" w:cs="Times New Roman"/>
                <w:color w:val="auto"/>
                <w:kern w:val="2"/>
                <w:sz w:val="21"/>
                <w:szCs w:val="21"/>
                <w:highlight w:val="none"/>
                <w:u w:color="000000"/>
                <w:lang w:eastAsia="zh-CN"/>
              </w:rPr>
              <w:t>89</w:t>
            </w:r>
          </w:p>
        </w:tc>
        <w:tc>
          <w:tcPr>
            <w:tcW w:w="2213" w:type="dxa"/>
            <w:tcBorders>
              <w:tl2br w:val="nil"/>
              <w:tr2bl w:val="nil"/>
            </w:tcBorders>
            <w:vAlign w:val="center"/>
          </w:tcPr>
          <w:p w14:paraId="20F45973">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≥2</w:t>
            </w:r>
            <w:r>
              <w:rPr>
                <w:rFonts w:hAnsi="Times New Roman" w:cs="Times New Roman"/>
                <w:color w:val="auto"/>
                <w:kern w:val="2"/>
                <w:sz w:val="21"/>
                <w:szCs w:val="21"/>
                <w:highlight w:val="none"/>
                <w:u w:color="000000"/>
                <w:lang w:eastAsia="zh-CN"/>
              </w:rPr>
              <w:t>05</w:t>
            </w:r>
          </w:p>
        </w:tc>
        <w:tc>
          <w:tcPr>
            <w:tcW w:w="2346" w:type="dxa"/>
            <w:tcBorders>
              <w:tl2br w:val="nil"/>
              <w:tr2bl w:val="nil"/>
            </w:tcBorders>
            <w:vAlign w:val="center"/>
          </w:tcPr>
          <w:p w14:paraId="1A37C41B">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≥30</w:t>
            </w:r>
          </w:p>
        </w:tc>
        <w:tc>
          <w:tcPr>
            <w:tcW w:w="1543" w:type="dxa"/>
            <w:tcBorders>
              <w:tl2br w:val="nil"/>
              <w:tr2bl w:val="nil"/>
            </w:tcBorders>
            <w:vAlign w:val="center"/>
          </w:tcPr>
          <w:p w14:paraId="371B7DAE">
            <w:pPr>
              <w:spacing w:line="0" w:lineRule="atLeast"/>
              <w:ind w:firstLine="0" w:firstLineChars="0"/>
              <w:jc w:val="center"/>
              <w:rPr>
                <w:rFonts w:hAnsi="Times New Roman" w:cs="Times New Roman"/>
                <w:color w:val="auto"/>
                <w:kern w:val="2"/>
                <w:sz w:val="21"/>
                <w:szCs w:val="21"/>
                <w:highlight w:val="none"/>
                <w:u w:color="000000"/>
                <w:lang w:eastAsia="zh-CN"/>
              </w:rPr>
            </w:pPr>
            <w:r>
              <w:rPr>
                <w:rFonts w:hAnsi="Times New Roman" w:cs="Times New Roman"/>
                <w:color w:val="auto"/>
                <w:kern w:val="2"/>
                <w:sz w:val="21"/>
                <w:szCs w:val="21"/>
                <w:highlight w:val="none"/>
                <w:u w:color="000000"/>
                <w:lang w:eastAsia="zh-CN"/>
              </w:rPr>
              <w:t>1084.5</w:t>
            </w:r>
          </w:p>
        </w:tc>
      </w:tr>
    </w:tbl>
    <w:p w14:paraId="12C9CE50">
      <w:pPr>
        <w:ind w:firstLine="420"/>
        <w:jc w:val="left"/>
        <w:rPr>
          <w:rFonts w:hAnsi="Times New Roman" w:cs="宋体"/>
          <w:b/>
          <w:bCs/>
          <w:color w:val="auto"/>
          <w:highlight w:val="none"/>
          <w:lang w:eastAsia="zh-CN"/>
        </w:rPr>
      </w:pPr>
      <w:r>
        <w:rPr>
          <w:rFonts w:hint="eastAsia" w:hAnsi="Times New Roman" w:cs="宋体"/>
          <w:b/>
          <w:bCs/>
          <w:color w:val="auto"/>
          <w:highlight w:val="none"/>
          <w:lang w:eastAsia="zh-CN"/>
        </w:rPr>
        <w:t>表</w:t>
      </w:r>
      <w:r>
        <w:rPr>
          <w:rFonts w:hAnsi="Times New Roman" w:cs="宋体"/>
          <w:b/>
          <w:bCs/>
          <w:color w:val="auto"/>
          <w:kern w:val="2"/>
          <w:highlight w:val="none"/>
          <w:lang w:eastAsia="zh-CN"/>
        </w:rPr>
        <w:t>14.5.8-2</w:t>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kern w:val="2"/>
          <w:highlight w:val="none"/>
          <w:lang w:val="en-US" w:eastAsia="zh-CN"/>
        </w:rPr>
        <w:tab/>
      </w:r>
      <w:r>
        <w:rPr>
          <w:rFonts w:hint="eastAsia" w:hAnsi="Times New Roman" w:cs="宋体"/>
          <w:b/>
          <w:bCs/>
          <w:color w:val="auto"/>
          <w:highlight w:val="none"/>
          <w:lang w:eastAsia="zh-CN"/>
        </w:rPr>
        <w:t>塑料止水片物理力学指标表</w:t>
      </w:r>
    </w:p>
    <w:tbl>
      <w:tblPr>
        <w:tblStyle w:val="18"/>
        <w:tblW w:w="50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7"/>
        <w:gridCol w:w="1450"/>
        <w:gridCol w:w="2251"/>
        <w:gridCol w:w="2279"/>
        <w:gridCol w:w="1390"/>
      </w:tblGrid>
      <w:tr w14:paraId="1858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95" w:type="pct"/>
            <w:tcBorders>
              <w:tl2br w:val="nil"/>
              <w:tr2bl w:val="nil"/>
            </w:tcBorders>
            <w:vAlign w:val="center"/>
          </w:tcPr>
          <w:p w14:paraId="3F986726">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材料名称</w:t>
            </w:r>
          </w:p>
        </w:tc>
        <w:tc>
          <w:tcPr>
            <w:tcW w:w="807" w:type="pct"/>
            <w:tcBorders>
              <w:tl2br w:val="nil"/>
              <w:tr2bl w:val="nil"/>
            </w:tcBorders>
            <w:vAlign w:val="center"/>
          </w:tcPr>
          <w:p w14:paraId="3C1267E1">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硬度（度）</w:t>
            </w:r>
          </w:p>
        </w:tc>
        <w:tc>
          <w:tcPr>
            <w:tcW w:w="1253" w:type="pct"/>
            <w:tcBorders>
              <w:tl2br w:val="nil"/>
              <w:tr2bl w:val="nil"/>
            </w:tcBorders>
            <w:vAlign w:val="center"/>
          </w:tcPr>
          <w:p w14:paraId="63606066">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拉伸强度（MPa）</w:t>
            </w:r>
          </w:p>
        </w:tc>
        <w:tc>
          <w:tcPr>
            <w:tcW w:w="1269" w:type="pct"/>
            <w:tcBorders>
              <w:tl2br w:val="nil"/>
              <w:tr2bl w:val="nil"/>
            </w:tcBorders>
            <w:vAlign w:val="center"/>
          </w:tcPr>
          <w:p w14:paraId="5A2995F5">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拉断伸长率（%）</w:t>
            </w:r>
          </w:p>
        </w:tc>
        <w:tc>
          <w:tcPr>
            <w:tcW w:w="774" w:type="pct"/>
            <w:tcBorders>
              <w:tl2br w:val="nil"/>
              <w:tr2bl w:val="nil"/>
            </w:tcBorders>
            <w:vAlign w:val="center"/>
          </w:tcPr>
          <w:p w14:paraId="6519842E">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撕裂强度（</w:t>
            </w:r>
            <w:r>
              <w:rPr>
                <w:rFonts w:hAnsi="Times New Roman" w:cs="Times New Roman"/>
                <w:color w:val="auto"/>
                <w:kern w:val="2"/>
                <w:sz w:val="21"/>
                <w:szCs w:val="21"/>
                <w:highlight w:val="none"/>
                <w:u w:color="000000"/>
                <w:lang w:eastAsia="zh-CN"/>
              </w:rPr>
              <w:t>kN/m</w:t>
            </w:r>
            <w:r>
              <w:rPr>
                <w:rFonts w:hint="eastAsia" w:hAnsi="Times New Roman" w:cs="Times New Roman"/>
                <w:color w:val="auto"/>
                <w:kern w:val="2"/>
                <w:sz w:val="21"/>
                <w:szCs w:val="21"/>
                <w:highlight w:val="none"/>
                <w:u w:color="000000"/>
                <w:lang w:eastAsia="zh-CN"/>
              </w:rPr>
              <w:t>）</w:t>
            </w:r>
          </w:p>
        </w:tc>
      </w:tr>
      <w:tr w14:paraId="2644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895" w:type="pct"/>
            <w:tcBorders>
              <w:tl2br w:val="nil"/>
              <w:tr2bl w:val="nil"/>
            </w:tcBorders>
            <w:vAlign w:val="center"/>
          </w:tcPr>
          <w:p w14:paraId="735897A0">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钢边橡胶止水带</w:t>
            </w:r>
          </w:p>
        </w:tc>
        <w:tc>
          <w:tcPr>
            <w:tcW w:w="807" w:type="pct"/>
            <w:tcBorders>
              <w:tl2br w:val="nil"/>
              <w:tr2bl w:val="nil"/>
            </w:tcBorders>
            <w:vAlign w:val="center"/>
          </w:tcPr>
          <w:p w14:paraId="7425B73E">
            <w:pPr>
              <w:spacing w:line="0" w:lineRule="atLeast"/>
              <w:ind w:firstLine="0" w:firstLineChars="0"/>
              <w:jc w:val="center"/>
              <w:rPr>
                <w:rFonts w:hAnsi="Times New Roman" w:cs="Times New Roman"/>
                <w:color w:val="auto"/>
                <w:kern w:val="2"/>
                <w:sz w:val="21"/>
                <w:szCs w:val="21"/>
                <w:highlight w:val="none"/>
                <w:u w:color="000000"/>
                <w:lang w:eastAsia="zh-CN"/>
              </w:rPr>
            </w:pPr>
            <w:r>
              <w:rPr>
                <w:rFonts w:hAnsi="Times New Roman" w:cs="Times New Roman"/>
                <w:color w:val="auto"/>
                <w:kern w:val="2"/>
                <w:sz w:val="21"/>
                <w:szCs w:val="21"/>
                <w:highlight w:val="none"/>
                <w:u w:color="000000"/>
                <w:lang w:eastAsia="zh-CN"/>
              </w:rPr>
              <w:t>60±5</w:t>
            </w:r>
          </w:p>
        </w:tc>
        <w:tc>
          <w:tcPr>
            <w:tcW w:w="1253" w:type="pct"/>
            <w:tcBorders>
              <w:tl2br w:val="nil"/>
              <w:tr2bl w:val="nil"/>
            </w:tcBorders>
            <w:vAlign w:val="center"/>
          </w:tcPr>
          <w:p w14:paraId="241C584E">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w:t>
            </w:r>
            <w:r>
              <w:rPr>
                <w:rFonts w:hAnsi="Times New Roman" w:cs="Times New Roman"/>
                <w:color w:val="auto"/>
                <w:kern w:val="2"/>
                <w:sz w:val="21"/>
                <w:szCs w:val="21"/>
                <w:highlight w:val="none"/>
                <w:u w:color="000000"/>
                <w:lang w:eastAsia="zh-CN"/>
              </w:rPr>
              <w:t>12</w:t>
            </w:r>
          </w:p>
        </w:tc>
        <w:tc>
          <w:tcPr>
            <w:tcW w:w="1269" w:type="pct"/>
            <w:tcBorders>
              <w:tl2br w:val="nil"/>
              <w:tr2bl w:val="nil"/>
            </w:tcBorders>
            <w:vAlign w:val="center"/>
          </w:tcPr>
          <w:p w14:paraId="4AA6AE4C">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w:t>
            </w:r>
            <w:r>
              <w:rPr>
                <w:rFonts w:hAnsi="Times New Roman" w:cs="Times New Roman"/>
                <w:color w:val="auto"/>
                <w:kern w:val="2"/>
                <w:sz w:val="21"/>
                <w:szCs w:val="21"/>
                <w:highlight w:val="none"/>
                <w:u w:color="000000"/>
                <w:lang w:eastAsia="zh-CN"/>
              </w:rPr>
              <w:t>450</w:t>
            </w:r>
          </w:p>
        </w:tc>
        <w:tc>
          <w:tcPr>
            <w:tcW w:w="774" w:type="pct"/>
            <w:tcBorders>
              <w:tl2br w:val="nil"/>
              <w:tr2bl w:val="nil"/>
            </w:tcBorders>
            <w:vAlign w:val="center"/>
          </w:tcPr>
          <w:p w14:paraId="2AD5BCAB">
            <w:pPr>
              <w:spacing w:line="0" w:lineRule="atLeast"/>
              <w:ind w:firstLine="0" w:firstLineChars="0"/>
              <w:jc w:val="center"/>
              <w:rPr>
                <w:rFonts w:hAnsi="Times New Roman" w:cs="Times New Roman"/>
                <w:color w:val="auto"/>
                <w:kern w:val="2"/>
                <w:sz w:val="21"/>
                <w:szCs w:val="21"/>
                <w:highlight w:val="none"/>
                <w:u w:color="000000"/>
                <w:lang w:eastAsia="zh-CN"/>
              </w:rPr>
            </w:pPr>
            <w:r>
              <w:rPr>
                <w:rFonts w:hint="eastAsia" w:hAnsi="Times New Roman" w:cs="Times New Roman"/>
                <w:color w:val="auto"/>
                <w:kern w:val="2"/>
                <w:sz w:val="21"/>
                <w:szCs w:val="21"/>
                <w:highlight w:val="none"/>
                <w:u w:color="000000"/>
                <w:lang w:eastAsia="zh-CN"/>
              </w:rPr>
              <w:t>≥25</w:t>
            </w:r>
          </w:p>
        </w:tc>
      </w:tr>
    </w:tbl>
    <w:p w14:paraId="2B19FC23">
      <w:pPr>
        <w:ind w:firstLine="420"/>
        <w:jc w:val="left"/>
        <w:rPr>
          <w:rFonts w:hint="eastAsia" w:hAnsi="Times New Roman" w:cs="宋体"/>
          <w:color w:val="auto"/>
          <w:kern w:val="2"/>
          <w:highlight w:val="none"/>
          <w:lang w:eastAsia="zh-CN"/>
        </w:rPr>
      </w:pPr>
    </w:p>
    <w:p w14:paraId="7985E482">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2）紫铜片应作冷弯试验，180°时不裂缝，冷弯0～60°时，连续张闭50次无裂缝。</w:t>
      </w:r>
    </w:p>
    <w:p w14:paraId="657E662F">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3）聚氯乙烯塑料止水片外观为黑色或灰色，不得有气孔，塑化均匀，不得有焦烧及未塑化的生料，每一批塑料带应有分析检测报告。有变形和撕裂的止水片不得采用。</w:t>
      </w:r>
    </w:p>
    <w:p w14:paraId="192F5E23">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3）金属止水铜片的厚度及宽度应满足设计要求，其材料应符合国家标准GB/T2040-2008中规定的T2（或T3）冷轧软纯铜板的要求。止水铜片表面应光滑平整，并有光泽，其浮皮、锈污、油漆、油渣均应清除干净，如有砂眼、钉孔，应予焊补，如有撕裂，接缝双面焊接，搭接长度不小于3cm。</w:t>
      </w:r>
    </w:p>
    <w:p w14:paraId="1BE97999">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（4）塑料止水片型式、尺寸应满足设计要求，其拉伸强度、伸长度、硬度及老化系数等均应符合有关规定，塑料止水片材料拉伸试验应按国家标准执行。</w:t>
      </w:r>
    </w:p>
    <w:p w14:paraId="6C84816D">
      <w:pPr>
        <w:ind w:firstLine="420"/>
        <w:jc w:val="left"/>
        <w:rPr>
          <w:rFonts w:cs="宋体"/>
          <w:color w:val="auto"/>
          <w:highlight w:val="none"/>
          <w:lang w:eastAsia="zh-CN"/>
        </w:rPr>
      </w:pPr>
      <w:r>
        <w:rPr>
          <w:rFonts w:hint="eastAsia" w:hAnsi="Times New Roman" w:cs="宋体"/>
          <w:color w:val="auto"/>
          <w:kern w:val="2"/>
          <w:highlight w:val="none"/>
          <w:lang w:eastAsia="zh-CN"/>
        </w:rPr>
        <w:t>（5）橡胶止水带断面的形状应同图纸所示的型式相似，尺寸允许偏差：宽度为2mm，厚度为lmm。橡胶止水带应具有DL/T5144</w:t>
      </w:r>
      <w:r>
        <w:rPr>
          <w:rFonts w:hint="eastAsia" w:hAnsi="微软雅黑" w:cs="微软雅黑"/>
          <w:color w:val="auto"/>
          <w:kern w:val="2"/>
          <w:highlight w:val="none"/>
          <w:lang w:eastAsia="zh-CN"/>
        </w:rPr>
        <w:t>―</w:t>
      </w:r>
      <w:r>
        <w:rPr>
          <w:rFonts w:hint="eastAsia" w:hAnsi="Times New Roman" w:cs="宋体"/>
          <w:color w:val="auto"/>
          <w:kern w:val="2"/>
          <w:highlight w:val="none"/>
          <w:lang w:eastAsia="zh-CN"/>
        </w:rPr>
        <w:t>2015中所要求的性能。每一批止水带应有分析检测报告。</w:t>
      </w:r>
    </w:p>
    <w:p w14:paraId="4915EAB4">
      <w:pPr>
        <w:pStyle w:val="5"/>
        <w:jc w:val="left"/>
        <w:rPr>
          <w:rFonts w:cs="宋体"/>
          <w:color w:val="auto"/>
          <w:highlight w:val="none"/>
          <w:lang w:eastAsia="zh-CN"/>
        </w:rPr>
      </w:pPr>
      <w:r>
        <w:rPr>
          <w:rFonts w:cs="宋体"/>
          <w:color w:val="auto"/>
          <w:highlight w:val="none"/>
          <w:lang w:eastAsia="zh-CN"/>
        </w:rPr>
        <w:t>14.5.8.2</w:t>
      </w:r>
      <w:r>
        <w:rPr>
          <w:rFonts w:hint="eastAsia" w:cs="宋体"/>
          <w:color w:val="auto"/>
          <w:highlight w:val="none"/>
          <w:lang w:eastAsia="zh-CN"/>
        </w:rPr>
        <w:t>　伸缩缝止水的安装</w:t>
      </w:r>
    </w:p>
    <w:p w14:paraId="0DABD56F">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（1）止水片须按设计位置跨缝对中进行安装，并用托架、卡具定位，确保在混凝土浇筑过程中不产生变形或位移。不允许有拉筋、钢筋或其它钢结构与止水相碰接。</w:t>
      </w:r>
    </w:p>
    <w:p w14:paraId="7A3B6386">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2）止水铜片的衔接须按其不同厚度分别根据施工详图的规定，采取折叠、咬接或搭接，搭接长度不应小于20mm，咬接或搭接应采取双面焊，焊工需考试合格，焊接作业必须在递交试焊样品报请监理人批准后方可施焊。塑料止水片的搭接长度不应小于10cm。同类材料的衔接接头，均须采用与母体相同的焊接材料。铜片与塑料片接头，应采用铆接，搭接长度不应小于10cm。</w:t>
      </w:r>
    </w:p>
    <w:p w14:paraId="18084580">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（3）止水铜片的“十”字接头和“</w:t>
      </w:r>
      <w:r>
        <w:rPr>
          <w:rFonts w:hAnsi="Times New Roman" w:cs="宋体"/>
          <w:color w:val="auto"/>
          <w:kern w:val="2"/>
          <w:highlight w:val="none"/>
          <w:lang w:eastAsia="zh-CN"/>
        </w:rPr>
        <w:t>T</w:t>
      </w:r>
      <w:r>
        <w:rPr>
          <w:rFonts w:hint="eastAsia" w:hAnsi="Times New Roman" w:cs="宋体"/>
          <w:color w:val="auto"/>
          <w:kern w:val="2"/>
          <w:highlight w:val="none"/>
          <w:lang w:eastAsia="zh-CN"/>
        </w:rPr>
        <w:t>”字形接头应由厂家按设计尺寸提供成型产品，确需在现场加工时，应严格控制焊接质量。</w:t>
      </w:r>
    </w:p>
    <w:p w14:paraId="24C7364B">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4）上下游止水片应按施工图纸要求埋入基岩内。基座混凝土必须振捣密实，混凝土龄期达7d后，方能浇筑坝体混凝土。坝体混凝土浇筑前应在基座混凝土表面涂抹沥青。已埋入先浇混凝土块体内的止水片，应采取措施防止其变形移位和撕裂破坏，且止水片必须高出先浇块表面以上不少于20cm，特别是两项目交界面的止水片，先浇块承包人应对止水片进行妥善保护，并负责将完好的止水片移交给后浇块承包人。大仓面浇筑中仓内伸缩缝止水片，应在混凝土浇筑前架设在预定位置上，并用钢管或角钢等将其固定，不得因混凝土卸料或振捣发生移位。在浇筑坝体混凝土时，应清除止水片周围混凝土料中的大粒径骨料，并确保混凝土浇筑捣质量。</w:t>
      </w:r>
    </w:p>
    <w:p w14:paraId="69F7CA98">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5）止水铜片的凹槽部位须用沥青麻丝填实，安装时应严格保证凹槽部位与伸缩缝位置一致，骑缝布置。埋入混凝土的两翼部分应与混凝土紧密结合，浇筑止水片附近混凝土时应辅以人工振捣密实，严禁混凝土出现蜂窝、狗洞和止水片翻折。</w:t>
      </w:r>
    </w:p>
    <w:p w14:paraId="6D26550E">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6）混凝土与岩体陡坡间止水片应按设计要求，先在基岩面上浇筑带锚筋的混凝土基座，止水片埋设在基座内，基座混凝土必须与基岩结合牢固，并在坝体混凝土浇筑前，在基座混凝土表面涂刷一层薄层沥青，使坝体混凝土与基座混凝土隔离，以防坝体混凝土收缩时拉坏基座混凝土。</w:t>
      </w:r>
    </w:p>
    <w:p w14:paraId="01CFAE40">
      <w:pPr>
        <w:pStyle w:val="5"/>
        <w:jc w:val="left"/>
        <w:rPr>
          <w:rFonts w:cs="宋体"/>
          <w:color w:val="auto"/>
          <w:highlight w:val="none"/>
          <w:lang w:eastAsia="zh-CN"/>
        </w:rPr>
      </w:pPr>
      <w:r>
        <w:rPr>
          <w:rFonts w:cs="宋体"/>
          <w:color w:val="auto"/>
          <w:highlight w:val="none"/>
          <w:lang w:eastAsia="zh-CN"/>
        </w:rPr>
        <w:t>14.5.8.3</w:t>
      </w:r>
      <w:r>
        <w:rPr>
          <w:rFonts w:hint="eastAsia" w:cs="宋体"/>
          <w:color w:val="auto"/>
          <w:highlight w:val="none"/>
          <w:lang w:eastAsia="zh-CN"/>
        </w:rPr>
        <w:t>　止水加工</w:t>
      </w:r>
    </w:p>
    <w:p w14:paraId="4651DCC6">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（1）止水铜片加工宜采用机械切割，不允许加工过程中使用铁器工具锤击铜片表面。</w:t>
      </w:r>
    </w:p>
    <w:p w14:paraId="36F7502F">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（2）止水铜片加工须用模具冷压成型，成型后应对其表面进行检查，如有裂纹（痕）应视为废品，并须对同批材料质量重新进行检验。</w:t>
      </w:r>
    </w:p>
    <w:p w14:paraId="4454802B">
      <w:pPr>
        <w:ind w:firstLine="420"/>
        <w:jc w:val="left"/>
        <w:rPr>
          <w:rFonts w:cs="宋体"/>
          <w:color w:val="auto"/>
          <w:highlight w:val="none"/>
          <w:lang w:eastAsia="zh-CN"/>
        </w:rPr>
      </w:pPr>
      <w:r>
        <w:rPr>
          <w:rFonts w:hint="eastAsia" w:cs="宋体"/>
          <w:color w:val="auto"/>
          <w:kern w:val="2"/>
          <w:highlight w:val="none"/>
          <w:lang w:eastAsia="zh-CN"/>
        </w:rPr>
        <w:t>（</w:t>
      </w:r>
      <w:r>
        <w:rPr>
          <w:rFonts w:cs="宋体"/>
          <w:color w:val="auto"/>
          <w:kern w:val="2"/>
          <w:highlight w:val="none"/>
          <w:lang w:eastAsia="zh-CN"/>
        </w:rPr>
        <w:t>3）不同厚度的止水铜片加工后，应挂牌或做其它标志，以示区别和便于安装。止水铜片牛鼻子的凸出部位，不宜刷油漆。</w:t>
      </w:r>
    </w:p>
    <w:p w14:paraId="78F38CF3">
      <w:pPr>
        <w:pStyle w:val="5"/>
        <w:jc w:val="left"/>
        <w:rPr>
          <w:color w:val="auto"/>
          <w:highlight w:val="none"/>
          <w:lang w:eastAsia="zh-CN"/>
        </w:rPr>
      </w:pPr>
      <w:r>
        <w:rPr>
          <w:rFonts w:cs="宋体"/>
          <w:color w:val="auto"/>
          <w:highlight w:val="none"/>
          <w:lang w:eastAsia="zh-CN"/>
        </w:rPr>
        <w:t>14.5.8.4</w:t>
      </w:r>
      <w:r>
        <w:rPr>
          <w:rFonts w:hint="eastAsia" w:cs="宋体"/>
          <w:color w:val="auto"/>
          <w:highlight w:val="none"/>
          <w:lang w:eastAsia="zh-CN"/>
        </w:rPr>
        <w:t>　</w:t>
      </w:r>
      <w:r>
        <w:rPr>
          <w:rFonts w:hint="eastAsia"/>
          <w:color w:val="auto"/>
          <w:highlight w:val="none"/>
          <w:lang w:eastAsia="zh-CN"/>
        </w:rPr>
        <w:t>止水（浆）片的质量控制</w:t>
      </w:r>
    </w:p>
    <w:p w14:paraId="5D589E5D">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（1）止水（浆）片的定位装置，必须经监理人检查认可后，方可进行混凝土浇筑。</w:t>
      </w:r>
    </w:p>
    <w:p w14:paraId="6B3E5CB4">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（2）止水铜片接头焊接质量须进行检查，监理人认为必要时，须进行渗油检验，合格后应将其油污清洗干净。</w:t>
      </w:r>
    </w:p>
    <w:p w14:paraId="0B8A4FD5">
      <w:pPr>
        <w:ind w:firstLine="420"/>
        <w:jc w:val="left"/>
        <w:rPr>
          <w:rFonts w:cs="宋体"/>
          <w:color w:val="auto"/>
          <w:kern w:val="2"/>
          <w:highlight w:val="none"/>
          <w:lang w:eastAsia="zh-CN"/>
        </w:rPr>
      </w:pPr>
      <w:r>
        <w:rPr>
          <w:rFonts w:cs="宋体"/>
          <w:color w:val="auto"/>
          <w:kern w:val="2"/>
          <w:highlight w:val="none"/>
          <w:lang w:eastAsia="zh-CN"/>
        </w:rPr>
        <w:t>（3）</w:t>
      </w:r>
      <w:r>
        <w:rPr>
          <w:rFonts w:hint="eastAsia" w:cs="宋体"/>
          <w:color w:val="auto"/>
          <w:kern w:val="2"/>
          <w:highlight w:val="none"/>
          <w:lang w:eastAsia="zh-CN"/>
        </w:rPr>
        <w:t>模板架立应牢固，止水</w:t>
      </w:r>
      <w:r>
        <w:rPr>
          <w:rFonts w:cs="宋体"/>
          <w:color w:val="auto"/>
          <w:kern w:val="2"/>
          <w:highlight w:val="none"/>
          <w:lang w:eastAsia="zh-CN"/>
        </w:rPr>
        <w:t>（</w:t>
      </w:r>
      <w:r>
        <w:rPr>
          <w:rFonts w:hint="eastAsia" w:cs="宋体"/>
          <w:color w:val="auto"/>
          <w:kern w:val="2"/>
          <w:highlight w:val="none"/>
          <w:lang w:eastAsia="zh-CN"/>
        </w:rPr>
        <w:t>浆</w:t>
      </w:r>
      <w:r>
        <w:rPr>
          <w:rFonts w:cs="宋体"/>
          <w:color w:val="auto"/>
          <w:kern w:val="2"/>
          <w:highlight w:val="none"/>
          <w:lang w:eastAsia="zh-CN"/>
        </w:rPr>
        <w:t>）</w:t>
      </w:r>
      <w:r>
        <w:rPr>
          <w:rFonts w:hint="eastAsia" w:cs="宋体"/>
          <w:color w:val="auto"/>
          <w:kern w:val="2"/>
          <w:highlight w:val="none"/>
          <w:lang w:eastAsia="zh-CN"/>
        </w:rPr>
        <w:t>片两侧模板须采用“</w:t>
      </w:r>
      <w:r>
        <w:rPr>
          <w:rFonts w:cs="宋体"/>
          <w:color w:val="auto"/>
          <w:kern w:val="2"/>
          <w:highlight w:val="none"/>
          <w:lang w:eastAsia="zh-CN"/>
        </w:rPr>
        <w:t>Ω</w:t>
      </w:r>
      <w:r>
        <w:rPr>
          <w:rFonts w:hint="eastAsia" w:cs="宋体"/>
          <w:color w:val="auto"/>
          <w:kern w:val="2"/>
          <w:highlight w:val="none"/>
          <w:lang w:eastAsia="zh-CN"/>
        </w:rPr>
        <w:t>”形支撑或其它支撑结构，以避免因模板变形而导致错台和漏浆。</w:t>
      </w:r>
    </w:p>
    <w:p w14:paraId="22228871">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4）止水铜片处宜采用整块特制专用模板，以保证止水（浆）片定位牢固和接缝处不漏浆。</w:t>
      </w:r>
    </w:p>
    <w:p w14:paraId="296674B1">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5）浇筑过程中避免大骨料在止水（浆）片部位聚集，并仔细振捣，保证止水（浆）片结合处混凝土密实。</w:t>
      </w:r>
    </w:p>
    <w:p w14:paraId="78892E92">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（6）合理安排布料和振捣程序，注意避免在止水（浆）片处泌水集中。</w:t>
      </w:r>
    </w:p>
    <w:p w14:paraId="73CD18F4">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（7）不应采取用预埋跨缝插筋作为支托止水（浆）片的做法。</w:t>
      </w:r>
    </w:p>
    <w:p w14:paraId="74A9055C">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（8）在混凝土浇筑过程中，承包人应安排专人巡视、管理。监理人应加强对止水部位的检查，如发现跑偏，应指令承包人及时纠正。</w:t>
      </w:r>
    </w:p>
    <w:p w14:paraId="42943391">
      <w:pPr>
        <w:ind w:firstLine="420"/>
        <w:jc w:val="left"/>
        <w:rPr>
          <w:color w:val="auto"/>
          <w:highlight w:val="none"/>
          <w:lang w:eastAsia="zh-CN"/>
        </w:rPr>
      </w:pPr>
      <w:r>
        <w:rPr>
          <w:rFonts w:hint="eastAsia" w:hAnsi="Times New Roman" w:cs="宋体"/>
          <w:color w:val="auto"/>
          <w:kern w:val="2"/>
          <w:highlight w:val="none"/>
          <w:lang w:eastAsia="zh-CN"/>
        </w:rPr>
        <w:t>（9）混凝土收仓后，水平止水片的覆盖厚度不小于30cm。</w:t>
      </w:r>
    </w:p>
    <w:p w14:paraId="162B5F41">
      <w:pPr>
        <w:pStyle w:val="5"/>
        <w:jc w:val="left"/>
        <w:rPr>
          <w:color w:val="auto"/>
          <w:highlight w:val="none"/>
          <w:lang w:eastAsia="zh-CN"/>
        </w:rPr>
      </w:pPr>
      <w:r>
        <w:rPr>
          <w:rFonts w:cs="宋体"/>
          <w:color w:val="auto"/>
          <w:highlight w:val="none"/>
          <w:lang w:eastAsia="zh-CN"/>
        </w:rPr>
        <w:t>14.5.8.5</w:t>
      </w:r>
      <w:r>
        <w:rPr>
          <w:rFonts w:hint="eastAsia" w:cs="宋体"/>
          <w:color w:val="auto"/>
          <w:highlight w:val="none"/>
          <w:lang w:eastAsia="zh-CN"/>
        </w:rPr>
        <w:t>　</w:t>
      </w:r>
      <w:r>
        <w:rPr>
          <w:rFonts w:hint="eastAsia"/>
          <w:color w:val="auto"/>
          <w:highlight w:val="none"/>
          <w:lang w:eastAsia="zh-CN"/>
        </w:rPr>
        <w:t>施工期止水（浆）片的保护和浇筑振捣中的注意事项</w:t>
      </w:r>
    </w:p>
    <w:p w14:paraId="69B1D51E">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（1）混凝土振捣过程中，严禁振捣棒触及止水（浆）片，建议在止水（浆）片附近使用软轴振捣棒。</w:t>
      </w:r>
    </w:p>
    <w:p w14:paraId="3836789E">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（2）禁止在止水（浆）片处直接下料，特别是在水平止水（浆）片处更应严密监控，并防止下料碰撞。</w:t>
      </w:r>
    </w:p>
    <w:p w14:paraId="70617F8D">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（3）在施工过程中，严格禁止践踏水平止水（浆）片。承包人应随时将其上污、杂物清除。</w:t>
      </w:r>
    </w:p>
    <w:p w14:paraId="37861FEA">
      <w:pPr>
        <w:ind w:firstLine="420"/>
        <w:jc w:val="left"/>
        <w:rPr>
          <w:color w:val="auto"/>
          <w:highlight w:val="none"/>
          <w:lang w:eastAsia="zh-CN"/>
        </w:rPr>
      </w:pPr>
      <w:r>
        <w:rPr>
          <w:rFonts w:hint="eastAsia" w:hAnsi="Times New Roman" w:cs="宋体"/>
          <w:color w:val="auto"/>
          <w:kern w:val="2"/>
          <w:highlight w:val="none"/>
          <w:lang w:eastAsia="zh-CN"/>
        </w:rPr>
        <w:t>（4）对混凝土浇筑块暂不上升的竖向止水铜片，宜用木板夹护，防止意外损伤及折扭。</w:t>
      </w:r>
    </w:p>
    <w:p w14:paraId="512BAF87">
      <w:pPr>
        <w:pStyle w:val="5"/>
        <w:jc w:val="left"/>
        <w:rPr>
          <w:color w:val="auto"/>
          <w:highlight w:val="none"/>
          <w:lang w:eastAsia="zh-CN"/>
        </w:rPr>
      </w:pPr>
      <w:r>
        <w:rPr>
          <w:rFonts w:cs="宋体"/>
          <w:color w:val="auto"/>
          <w:highlight w:val="none"/>
          <w:lang w:eastAsia="zh-CN"/>
        </w:rPr>
        <w:t>14.5.8.6</w:t>
      </w:r>
      <w:r>
        <w:rPr>
          <w:rFonts w:hint="eastAsia" w:cs="宋体"/>
          <w:color w:val="auto"/>
          <w:highlight w:val="none"/>
          <w:lang w:eastAsia="zh-CN"/>
        </w:rPr>
        <w:t>　</w:t>
      </w:r>
      <w:r>
        <w:rPr>
          <w:rFonts w:hint="eastAsia"/>
          <w:color w:val="auto"/>
          <w:highlight w:val="none"/>
          <w:lang w:eastAsia="zh-CN"/>
        </w:rPr>
        <w:t>止水施工验收</w:t>
      </w:r>
    </w:p>
    <w:p w14:paraId="4FAB1AFE">
      <w:pPr>
        <w:ind w:firstLine="420"/>
        <w:jc w:val="left"/>
        <w:rPr>
          <w:rFonts w:hAnsi="Times New Roman" w:cs="宋体"/>
          <w:color w:val="auto"/>
          <w:kern w:val="2"/>
          <w:highlight w:val="none"/>
          <w:lang w:eastAsia="zh-CN"/>
        </w:rPr>
      </w:pPr>
      <w:r>
        <w:rPr>
          <w:rFonts w:hint="eastAsia" w:hAnsi="Times New Roman" w:cs="宋体"/>
          <w:color w:val="auto"/>
          <w:kern w:val="2"/>
          <w:highlight w:val="none"/>
          <w:lang w:eastAsia="zh-CN"/>
        </w:rPr>
        <w:t>止水设施的施工质量至关重要，对安装在永久缝（横缝）中的紫铜片、塑料片固定后应按隐蔽工程要求验收，验收合格并经签证后，方准浇混凝土。作为工程完建验收资料保存。</w:t>
      </w:r>
    </w:p>
    <w:p w14:paraId="1BA19E3E">
      <w:pPr>
        <w:ind w:firstLine="420"/>
        <w:jc w:val="left"/>
        <w:rPr>
          <w:color w:val="auto"/>
          <w:highlight w:val="none"/>
          <w:lang w:eastAsia="zh-CN"/>
        </w:rPr>
      </w:pPr>
      <w:r>
        <w:rPr>
          <w:rFonts w:hint="eastAsia" w:hAnsi="Times New Roman" w:cs="宋体"/>
          <w:color w:val="auto"/>
          <w:kern w:val="2"/>
          <w:highlight w:val="none"/>
          <w:lang w:eastAsia="zh-CN"/>
        </w:rPr>
        <w:t>除上述要求外，尚应严格按有关现行部颁规程、规范、规定执行。</w:t>
      </w:r>
    </w:p>
    <w:p w14:paraId="46A6FB51">
      <w:pPr>
        <w:pStyle w:val="5"/>
        <w:jc w:val="left"/>
        <w:rPr>
          <w:rFonts w:hAnsi="Times New Roman" w:cs="楷体"/>
          <w:color w:val="auto"/>
          <w:highlight w:val="none"/>
          <w:lang w:eastAsia="zh-CN"/>
        </w:rPr>
      </w:pPr>
      <w:r>
        <w:rPr>
          <w:rFonts w:hAnsi="Times New Roman" w:cs="Times New Roman"/>
          <w:color w:val="auto"/>
          <w:highlight w:val="none"/>
          <w:lang w:eastAsia="zh-CN"/>
        </w:rPr>
        <w:t>14.5.9</w:t>
      </w:r>
      <w:r>
        <w:rPr>
          <w:rFonts w:hint="eastAsia" w:hAnsi="Times New Roman" w:cs="Times New Roman"/>
          <w:color w:val="auto"/>
          <w:highlight w:val="none"/>
          <w:lang w:eastAsia="zh-CN"/>
        </w:rPr>
        <w:t>　</w:t>
      </w:r>
      <w:r>
        <w:rPr>
          <w:rFonts w:hAnsi="楷体" w:cs="楷体"/>
          <w:color w:val="auto"/>
          <w:highlight w:val="none"/>
          <w:lang w:eastAsia="zh-CN"/>
        </w:rPr>
        <w:t>埋设管路和埋设件</w:t>
      </w:r>
    </w:p>
    <w:p w14:paraId="40BEB5B8">
      <w:pPr>
        <w:ind w:firstLine="420"/>
        <w:jc w:val="left"/>
        <w:rPr>
          <w:rFonts w:hAnsi="Times New Roman" w:cs="Times New Roman"/>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）坝内排水设施施工应遵守《水工混凝土施工规范》（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10.3.5</w:t>
      </w:r>
      <w:r>
        <w:rPr>
          <w:rFonts w:cs="宋体"/>
          <w:color w:val="auto"/>
          <w:highlight w:val="none"/>
          <w:lang w:eastAsia="zh-CN"/>
        </w:rPr>
        <w:t>条的规定。</w:t>
      </w:r>
    </w:p>
    <w:p w14:paraId="1EF1653A">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）冷却水管与接缝灌浆管路埋设应遵守《水工混凝土施工规范》（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10.5</w:t>
      </w:r>
      <w:r>
        <w:rPr>
          <w:rFonts w:cs="宋体"/>
          <w:color w:val="auto"/>
          <w:highlight w:val="none"/>
          <w:lang w:eastAsia="zh-CN"/>
        </w:rPr>
        <w:t>节的有关规定。</w:t>
      </w:r>
    </w:p>
    <w:p w14:paraId="484011FC">
      <w:pPr>
        <w:ind w:firstLine="420"/>
        <w:jc w:val="left"/>
        <w:rPr>
          <w:rFonts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）金属件埋设应遵守《水工混凝土施工规范》（</w:t>
      </w:r>
      <w:r>
        <w:rPr>
          <w:rFonts w:hAnsi="Times New Roman" w:cs="Times New Roman"/>
          <w:color w:val="auto"/>
          <w:highlight w:val="none"/>
          <w:lang w:eastAsia="zh-CN"/>
        </w:rPr>
        <w:t>SL677-2014</w:t>
      </w:r>
      <w:r>
        <w:rPr>
          <w:rFonts w:cs="宋体"/>
          <w:color w:val="auto"/>
          <w:highlight w:val="none"/>
          <w:lang w:eastAsia="zh-CN"/>
        </w:rPr>
        <w:t>）第</w:t>
      </w:r>
      <w:r>
        <w:rPr>
          <w:rFonts w:hAnsi="Times New Roman" w:cs="Times New Roman"/>
          <w:color w:val="auto"/>
          <w:highlight w:val="none"/>
          <w:lang w:eastAsia="zh-CN"/>
        </w:rPr>
        <w:t>10.4</w:t>
      </w:r>
      <w:r>
        <w:rPr>
          <w:rFonts w:cs="宋体"/>
          <w:color w:val="auto"/>
          <w:highlight w:val="none"/>
          <w:lang w:eastAsia="zh-CN"/>
        </w:rPr>
        <w:t>节的有关规定。</w:t>
      </w:r>
    </w:p>
    <w:p w14:paraId="4C3F793E">
      <w:pPr>
        <w:pStyle w:val="5"/>
        <w:jc w:val="left"/>
        <w:rPr>
          <w:rFonts w:cs="宋体"/>
          <w:color w:val="auto"/>
          <w:highlight w:val="none"/>
          <w:lang w:eastAsia="zh-CN"/>
        </w:rPr>
      </w:pPr>
      <w:r>
        <w:rPr>
          <w:rFonts w:cs="宋体"/>
          <w:color w:val="auto"/>
          <w:highlight w:val="none"/>
          <w:lang w:eastAsia="zh-CN"/>
        </w:rPr>
        <w:t>14.5.10</w:t>
      </w:r>
      <w:r>
        <w:rPr>
          <w:rFonts w:hint="eastAsia" w:cs="宋体"/>
          <w:color w:val="auto"/>
          <w:highlight w:val="none"/>
          <w:lang w:eastAsia="zh-CN"/>
        </w:rPr>
        <w:t>　施工缝处理</w:t>
      </w:r>
    </w:p>
    <w:p w14:paraId="236249CB">
      <w:pPr>
        <w:pStyle w:val="5"/>
        <w:jc w:val="left"/>
        <w:rPr>
          <w:color w:val="auto"/>
          <w:highlight w:val="none"/>
          <w:lang w:eastAsia="zh-CN"/>
        </w:rPr>
      </w:pPr>
      <w:r>
        <w:rPr>
          <w:color w:val="auto"/>
          <w:highlight w:val="none"/>
          <w:lang w:eastAsia="zh-CN"/>
        </w:rPr>
        <w:t>14.5.10.1</w:t>
      </w:r>
      <w:r>
        <w:rPr>
          <w:rFonts w:hint="eastAsia"/>
          <w:color w:val="auto"/>
          <w:highlight w:val="none"/>
          <w:lang w:eastAsia="zh-CN"/>
        </w:rPr>
        <w:t>　说明</w:t>
      </w:r>
    </w:p>
    <w:p w14:paraId="34DB25AD">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1）水平施工缝处理包括工作缝处理及冷缝处理。工作缝是指按正常施工计划划分层间歇上升的停浇面。工作缝处理按14.5.10.2条进行。冷缝指混凝土浇筑过程中因故中止或延误、超过允许间歇时间的浇筑缝面。冷缝按14.5.10.3条处理，或根据监理人的指示进行处理。施工缝处理机具及处理工艺必须报监理人批准后方可实施。</w:t>
      </w:r>
    </w:p>
    <w:p w14:paraId="14B89CF0">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2）混凝土浇筑应保持连续性。</w:t>
      </w:r>
    </w:p>
    <w:p w14:paraId="64ACE663">
      <w:pPr>
        <w:pStyle w:val="5"/>
        <w:jc w:val="left"/>
        <w:rPr>
          <w:color w:val="auto"/>
          <w:highlight w:val="none"/>
          <w:lang w:eastAsia="zh-CN"/>
        </w:rPr>
      </w:pPr>
      <w:r>
        <w:rPr>
          <w:color w:val="auto"/>
          <w:highlight w:val="none"/>
          <w:lang w:eastAsia="zh-CN"/>
        </w:rPr>
        <w:t>14.5.10.2</w:t>
      </w:r>
      <w:r>
        <w:rPr>
          <w:rFonts w:hint="eastAsia"/>
          <w:color w:val="auto"/>
          <w:highlight w:val="none"/>
          <w:lang w:eastAsia="zh-CN"/>
        </w:rPr>
        <w:t>　工作缝处理</w:t>
      </w:r>
    </w:p>
    <w:p w14:paraId="210C5E32">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1）工作缝缝面应使用高压水冲毛，如果工作缝缝面因混凝土龄期过长，应改用风砂枪处理成毛面，工作缝缝面必要时可采用人工打毛，以清除缝面上所有浮浆、松散物料及污染体，缝面处理以露出粗砂粒或小石为准，但不得损伤内部骨料。开始冲打毛时间及冲毛时水压、风压等根据现场试验确定并得到监理人认可或批准。对于浇筑仓横缝面必须将缝面清洗干净。</w:t>
      </w:r>
    </w:p>
    <w:p w14:paraId="4C284A0D">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2）缝面冲打毛后应清洗干净，保持清洁、湿润。基岩面与水平施工缝面上的第一坯混凝土应采用高一强度等级的水泥砂浆或同强度等级的二级配混凝土或三级配富浆混凝土作为接触层。铺设工艺必须保证新浇混凝土能与基岩或混凝土施工缝面结合良好，并得到监理人认可或批准。水泥砂浆厚度2～3cm，二级配混凝土厚度一般按20cm控制，三级配富浆混凝土厚度一般按40cm控制。</w:t>
      </w:r>
    </w:p>
    <w:p w14:paraId="02DF250F">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3）已浇筑的混凝土强度未达到2.5MPa前，不得进行下一层混凝土浇筑的准备工作。</w:t>
      </w:r>
    </w:p>
    <w:p w14:paraId="44958A39">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4）遭受有害污染的缝面按工作缝处理，或根据监理人指示处理。</w:t>
      </w:r>
    </w:p>
    <w:p w14:paraId="3B1B46EF">
      <w:pPr>
        <w:pStyle w:val="5"/>
        <w:jc w:val="left"/>
        <w:rPr>
          <w:color w:val="auto"/>
          <w:highlight w:val="none"/>
          <w:lang w:eastAsia="zh-CN"/>
        </w:rPr>
      </w:pPr>
      <w:r>
        <w:rPr>
          <w:color w:val="auto"/>
          <w:highlight w:val="none"/>
          <w:lang w:eastAsia="zh-CN"/>
        </w:rPr>
        <w:t>14.5.10.3</w:t>
      </w:r>
      <w:r>
        <w:rPr>
          <w:rFonts w:hint="eastAsia"/>
          <w:color w:val="auto"/>
          <w:highlight w:val="none"/>
          <w:lang w:eastAsia="zh-CN"/>
        </w:rPr>
        <w:t>　冷缝处理</w:t>
      </w:r>
    </w:p>
    <w:p w14:paraId="6911558B">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1）混凝土浇筑允许间歇时间（自出料时算起到覆盖上坯混凝土时为止）应通过试验确定，并经监理人认可或批准。因故中止浇筑而且超过允许间歇时间的缝面按冷缝处理。冷缝的处理方式与工作缝相同。</w:t>
      </w:r>
    </w:p>
    <w:p w14:paraId="1EE6C971">
      <w:pPr>
        <w:ind w:firstLine="420"/>
        <w:jc w:val="left"/>
        <w:rPr>
          <w:rFonts w:cs="宋体"/>
          <w:color w:val="auto"/>
          <w:kern w:val="2"/>
          <w:highlight w:val="none"/>
          <w:lang w:eastAsia="zh-CN"/>
        </w:rPr>
      </w:pPr>
      <w:r>
        <w:rPr>
          <w:rFonts w:hint="eastAsia" w:cs="宋体"/>
          <w:color w:val="auto"/>
          <w:kern w:val="2"/>
          <w:highlight w:val="none"/>
          <w:lang w:eastAsia="zh-CN"/>
        </w:rPr>
        <w:t>（</w:t>
      </w:r>
      <w:r>
        <w:rPr>
          <w:rFonts w:cs="宋体"/>
          <w:color w:val="auto"/>
          <w:kern w:val="2"/>
          <w:highlight w:val="none"/>
          <w:lang w:eastAsia="zh-CN"/>
        </w:rPr>
        <w:t>2）除按监理人指示形成冷缝外，所有有关冷缝处理费用不另行支付。</w:t>
      </w:r>
    </w:p>
    <w:p w14:paraId="15AAF99E">
      <w:pPr>
        <w:pStyle w:val="5"/>
        <w:jc w:val="left"/>
        <w:rPr>
          <w:rFonts w:cs="宋体"/>
          <w:color w:val="auto"/>
          <w:highlight w:val="none"/>
          <w:lang w:eastAsia="zh-CN"/>
        </w:rPr>
      </w:pPr>
      <w:r>
        <w:rPr>
          <w:rFonts w:cs="宋体"/>
          <w:color w:val="auto"/>
          <w:highlight w:val="none"/>
          <w:lang w:eastAsia="zh-CN"/>
        </w:rPr>
        <w:t>14.5.11</w:t>
      </w:r>
      <w:r>
        <w:rPr>
          <w:rFonts w:hint="eastAsia" w:cs="宋体"/>
          <w:color w:val="auto"/>
          <w:highlight w:val="none"/>
          <w:lang w:eastAsia="zh-CN"/>
        </w:rPr>
        <w:t>　排水设施</w:t>
      </w:r>
    </w:p>
    <w:p w14:paraId="2AD3801D">
      <w:pPr>
        <w:ind w:firstLine="420"/>
        <w:jc w:val="left"/>
        <w:rPr>
          <w:rFonts w:cs="宋体"/>
          <w:color w:val="auto"/>
          <w:highlight w:val="none"/>
          <w:lang w:eastAsia="zh-CN"/>
        </w:rPr>
      </w:pPr>
      <w:r>
        <w:rPr>
          <w:rFonts w:cs="宋体"/>
          <w:color w:val="auto"/>
          <w:highlight w:val="none"/>
          <w:lang w:eastAsia="zh-CN"/>
        </w:rPr>
        <w:t>（1）排水设施的型式、尺寸、位置和材料规格应符合本工程施工图纸规定和监理人的指示。</w:t>
      </w:r>
    </w:p>
    <w:p w14:paraId="7D30B19F">
      <w:pPr>
        <w:ind w:firstLine="420"/>
        <w:jc w:val="left"/>
        <w:rPr>
          <w:rFonts w:cs="宋体"/>
          <w:color w:val="auto"/>
          <w:highlight w:val="none"/>
          <w:lang w:eastAsia="zh-CN"/>
        </w:rPr>
      </w:pPr>
      <w:r>
        <w:rPr>
          <w:rFonts w:cs="宋体"/>
          <w:color w:val="auto"/>
          <w:highlight w:val="none"/>
          <w:lang w:eastAsia="zh-CN"/>
        </w:rPr>
        <w:t>（2）施工图纸规定在岩基内钻设的排水孔，其允许偏差应符合SL677－2014规定。岩基排水孔钻孔完毕后，承包人应仔细冲洗干净，加以保护，以防堵塞。</w:t>
      </w:r>
    </w:p>
    <w:p w14:paraId="574EA998">
      <w:pPr>
        <w:pStyle w:val="5"/>
        <w:jc w:val="left"/>
        <w:rPr>
          <w:rFonts w:hAnsi="Times New Roman" w:cs="楷体"/>
          <w:color w:val="auto"/>
          <w:highlight w:val="none"/>
          <w:lang w:eastAsia="zh-CN"/>
        </w:rPr>
      </w:pPr>
      <w:r>
        <w:rPr>
          <w:rFonts w:hAnsi="Times New Roman" w:cs="Times New Roman"/>
          <w:color w:val="auto"/>
          <w:highlight w:val="none"/>
          <w:lang w:eastAsia="zh-CN"/>
        </w:rPr>
        <w:t>14.5.12</w:t>
      </w:r>
      <w:r>
        <w:rPr>
          <w:rFonts w:hint="eastAsia" w:hAnsi="Times New Roman" w:cs="Times New Roman"/>
          <w:color w:val="auto"/>
          <w:highlight w:val="none"/>
          <w:lang w:eastAsia="zh-CN"/>
        </w:rPr>
        <w:t>　</w:t>
      </w:r>
      <w:r>
        <w:rPr>
          <w:rFonts w:hAnsi="楷体" w:cs="楷体"/>
          <w:color w:val="auto"/>
          <w:highlight w:val="none"/>
          <w:lang w:eastAsia="zh-CN"/>
        </w:rPr>
        <w:t>质量检查和验收</w:t>
      </w:r>
    </w:p>
    <w:p w14:paraId="7AB63DF6">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1</w:t>
      </w:r>
      <w:r>
        <w:rPr>
          <w:rFonts w:cs="宋体"/>
          <w:color w:val="auto"/>
          <w:highlight w:val="none"/>
          <w:lang w:eastAsia="zh-CN"/>
        </w:rPr>
        <w:t>）混凝土原材料的质量检验和验收。</w:t>
      </w:r>
    </w:p>
    <w:p w14:paraId="2979405C">
      <w:pPr>
        <w:ind w:firstLine="420"/>
        <w:jc w:val="left"/>
        <w:rPr>
          <w:rFonts w:hAnsi="Times New Roman" w:cs="宋体"/>
          <w:color w:val="auto"/>
          <w:highlight w:val="none"/>
          <w:lang w:eastAsia="zh-CN"/>
        </w:rPr>
      </w:pPr>
      <w:r>
        <w:rPr>
          <w:rFonts w:cs="宋体"/>
          <w:color w:val="auto"/>
          <w:highlight w:val="none"/>
          <w:lang w:eastAsia="zh-CN"/>
        </w:rPr>
        <w:t>承包人应会同监理人，按本章第</w:t>
      </w:r>
      <w:r>
        <w:rPr>
          <w:rFonts w:hAnsi="Times New Roman" w:cs="Times New Roman"/>
          <w:color w:val="auto"/>
          <w:highlight w:val="none"/>
          <w:lang w:eastAsia="zh-CN"/>
        </w:rPr>
        <w:t>14.2.1</w:t>
      </w:r>
      <w:r>
        <w:rPr>
          <w:rFonts w:cs="宋体"/>
          <w:color w:val="auto"/>
          <w:highlight w:val="none"/>
          <w:lang w:eastAsia="zh-CN"/>
        </w:rPr>
        <w:t>项的规定，对本工程混凝土原材料进行现场抽样检验和入库验收，检验成果应提交监理人。</w:t>
      </w:r>
    </w:p>
    <w:p w14:paraId="3BA91B81">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2</w:t>
      </w:r>
      <w:r>
        <w:rPr>
          <w:rFonts w:cs="宋体"/>
          <w:color w:val="auto"/>
          <w:highlight w:val="none"/>
          <w:lang w:eastAsia="zh-CN"/>
        </w:rPr>
        <w:t>）混凝土拌和物的质量检验。</w:t>
      </w:r>
    </w:p>
    <w:p w14:paraId="39F85414">
      <w:pPr>
        <w:ind w:firstLine="420"/>
        <w:jc w:val="left"/>
        <w:rPr>
          <w:rFonts w:hAnsi="Times New Roman" w:cs="宋体"/>
          <w:color w:val="auto"/>
          <w:highlight w:val="none"/>
          <w:lang w:eastAsia="zh-CN"/>
        </w:rPr>
      </w:pPr>
      <w:r>
        <w:rPr>
          <w:rFonts w:cs="宋体"/>
          <w:color w:val="auto"/>
          <w:highlight w:val="none"/>
          <w:lang w:eastAsia="zh-CN"/>
        </w:rPr>
        <w:t>承包人应会同监理人，按本章第</w:t>
      </w:r>
      <w:r>
        <w:rPr>
          <w:rFonts w:hAnsi="Times New Roman" w:cs="Times New Roman"/>
          <w:color w:val="auto"/>
          <w:highlight w:val="none"/>
          <w:lang w:eastAsia="zh-CN"/>
        </w:rPr>
        <w:t>14.2.3</w:t>
      </w:r>
      <w:r>
        <w:rPr>
          <w:rFonts w:cs="宋体"/>
          <w:color w:val="auto"/>
          <w:highlight w:val="none"/>
          <w:lang w:eastAsia="zh-CN"/>
        </w:rPr>
        <w:t>项的规定进行混凝土拌和物的现场抽样检验，检验成果应提交监理人。</w:t>
      </w:r>
    </w:p>
    <w:p w14:paraId="325555B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3</w:t>
      </w:r>
      <w:r>
        <w:rPr>
          <w:rFonts w:cs="宋体"/>
          <w:color w:val="auto"/>
          <w:highlight w:val="none"/>
          <w:lang w:eastAsia="zh-CN"/>
        </w:rPr>
        <w:t>）建筑物的混凝土浇筑和成型质量的检查和验收。</w:t>
      </w:r>
    </w:p>
    <w:p w14:paraId="0DE3141C">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）建基面混凝土浇筑前，应由承包人会同监理人对建基面的测量放样成果和建基面的基础清理质量进行检查与验收。</w:t>
      </w:r>
    </w:p>
    <w:p w14:paraId="10D83E02">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）混凝土浇筑过程中，承包人应会同监理人对混凝土建筑物的测量放样成果进行检查和验收。其测量放样成果应提交监理人。</w:t>
      </w:r>
    </w:p>
    <w:p w14:paraId="6CF3CD58">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）承包人应会同监理人按《水工混凝土施工规范》（</w:t>
      </w:r>
      <w:r>
        <w:rPr>
          <w:rFonts w:hAnsi="Times New Roman" w:cs="Times New Roman"/>
          <w:color w:val="auto"/>
          <w:highlight w:val="none"/>
          <w:lang w:eastAsia="zh-CN"/>
        </w:rPr>
        <w:t>SL677-2014</w:t>
      </w:r>
      <w:r>
        <w:rPr>
          <w:rFonts w:cs="宋体"/>
          <w:color w:val="auto"/>
          <w:highlight w:val="none"/>
          <w:lang w:eastAsia="zh-CN"/>
        </w:rPr>
        <w:t>）的有关规定，对现场浇筑的混凝土的强度、浇筑温度和坝体内温度进行检验和检测，其检验和检测成果应提交监理人。</w:t>
      </w:r>
    </w:p>
    <w:p w14:paraId="67C6A1D3">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）混凝土浇筑过程中，承包人应会同监理人对各浇筑面的施工浇筑质量和养护质量，以及各种埋设件的埋设质量进行质量检查和验收，检查和验收记录应提交监理人。</w:t>
      </w:r>
    </w:p>
    <w:p w14:paraId="5907BA22">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）混凝土工程建筑物浇筑完成后，承包人应会同监理人对混凝土工程建筑物永久结构面的成型质量进行检查和验收。检查和验收记录应提交监理人。</w:t>
      </w:r>
    </w:p>
    <w:p w14:paraId="6C32396C">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4</w:t>
      </w:r>
      <w:r>
        <w:rPr>
          <w:rFonts w:cs="宋体"/>
          <w:color w:val="auto"/>
          <w:highlight w:val="none"/>
          <w:lang w:eastAsia="zh-CN"/>
        </w:rPr>
        <w:t>）堆石坝面板（趾板）混凝土质量的检验。</w:t>
      </w:r>
    </w:p>
    <w:p w14:paraId="6F4C59AA">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）面板滑动模板的质量应参照《混凝土面板堆石坝施工规范》（</w:t>
      </w:r>
      <w:r>
        <w:rPr>
          <w:rFonts w:hAnsi="Times New Roman" w:cs="Times New Roman"/>
          <w:color w:val="auto"/>
          <w:highlight w:val="none"/>
          <w:lang w:eastAsia="zh-CN"/>
        </w:rPr>
        <w:t>SL49—2015</w:t>
      </w:r>
      <w:r>
        <w:rPr>
          <w:rFonts w:cs="宋体"/>
          <w:color w:val="auto"/>
          <w:highlight w:val="none"/>
          <w:lang w:eastAsia="zh-CN"/>
        </w:rPr>
        <w:t>）附录</w:t>
      </w:r>
      <w:r>
        <w:rPr>
          <w:rFonts w:hAnsi="Times New Roman" w:cs="Times New Roman"/>
          <w:color w:val="auto"/>
          <w:highlight w:val="none"/>
          <w:lang w:eastAsia="zh-CN"/>
        </w:rPr>
        <w:t>A.5</w:t>
      </w:r>
      <w:r>
        <w:rPr>
          <w:rFonts w:cs="宋体"/>
          <w:color w:val="auto"/>
          <w:highlight w:val="none"/>
          <w:lang w:eastAsia="zh-CN"/>
        </w:rPr>
        <w:t>的有关数据进行检查。</w:t>
      </w:r>
    </w:p>
    <w:p w14:paraId="716ECFE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）面板混凝土浇筑质量应参照《混凝土面板堆石坝施工规范》（</w:t>
      </w:r>
      <w:r>
        <w:rPr>
          <w:rFonts w:hAnsi="Times New Roman" w:cs="Times New Roman"/>
          <w:color w:val="auto"/>
          <w:highlight w:val="none"/>
          <w:lang w:eastAsia="zh-CN"/>
        </w:rPr>
        <w:t>SL49—2015</w:t>
      </w:r>
      <w:r>
        <w:rPr>
          <w:rFonts w:cs="宋体"/>
          <w:color w:val="auto"/>
          <w:highlight w:val="none"/>
          <w:lang w:eastAsia="zh-CN"/>
        </w:rPr>
        <w:t>）附录</w:t>
      </w:r>
      <w:r>
        <w:rPr>
          <w:rFonts w:hAnsi="Times New Roman" w:cs="Times New Roman"/>
          <w:color w:val="auto"/>
          <w:highlight w:val="none"/>
          <w:lang w:eastAsia="zh-CN"/>
        </w:rPr>
        <w:t>A.5</w:t>
      </w:r>
      <w:r>
        <w:rPr>
          <w:rFonts w:cs="宋体"/>
          <w:color w:val="auto"/>
          <w:highlight w:val="none"/>
          <w:lang w:eastAsia="zh-CN"/>
        </w:rPr>
        <w:t>的有关数据进行检查，并按《混凝土面板堆石坝施工规范》（</w:t>
      </w:r>
      <w:r>
        <w:rPr>
          <w:rFonts w:hAnsi="Times New Roman" w:cs="Times New Roman"/>
          <w:color w:val="auto"/>
          <w:highlight w:val="none"/>
          <w:lang w:eastAsia="zh-CN"/>
        </w:rPr>
        <w:t>SL49—2015</w:t>
      </w:r>
      <w:r>
        <w:rPr>
          <w:rFonts w:cs="宋体"/>
          <w:color w:val="auto"/>
          <w:highlight w:val="none"/>
          <w:lang w:eastAsia="zh-CN"/>
        </w:rPr>
        <w:t>）附录</w:t>
      </w:r>
      <w:r>
        <w:rPr>
          <w:rFonts w:hAnsi="Times New Roman" w:cs="Times New Roman"/>
          <w:color w:val="auto"/>
          <w:highlight w:val="none"/>
          <w:lang w:eastAsia="zh-CN"/>
        </w:rPr>
        <w:t>A</w:t>
      </w:r>
      <w:r>
        <w:rPr>
          <w:rFonts w:cs="宋体"/>
          <w:color w:val="auto"/>
          <w:highlight w:val="none"/>
          <w:lang w:eastAsia="zh-CN"/>
        </w:rPr>
        <w:t>的相关规定进行取样检测。检测成果应提交监理人。</w:t>
      </w:r>
    </w:p>
    <w:p w14:paraId="2A63760F">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）面板、趾板的止水设施质量应参照《混凝土面板堆石坝施工规范》（</w:t>
      </w:r>
      <w:r>
        <w:rPr>
          <w:rFonts w:hAnsi="Times New Roman" w:cs="Times New Roman"/>
          <w:color w:val="auto"/>
          <w:highlight w:val="none"/>
          <w:lang w:eastAsia="zh-CN"/>
        </w:rPr>
        <w:t>SL49—2015</w:t>
      </w:r>
      <w:r>
        <w:rPr>
          <w:rFonts w:cs="宋体"/>
          <w:color w:val="auto"/>
          <w:highlight w:val="none"/>
          <w:lang w:eastAsia="zh-CN"/>
        </w:rPr>
        <w:t>）附录</w:t>
      </w:r>
      <w:r>
        <w:rPr>
          <w:rFonts w:hAnsi="Times New Roman" w:cs="Times New Roman"/>
          <w:color w:val="auto"/>
          <w:highlight w:val="none"/>
          <w:lang w:eastAsia="zh-CN"/>
        </w:rPr>
        <w:t>A.6</w:t>
      </w:r>
      <w:r>
        <w:rPr>
          <w:rFonts w:cs="宋体"/>
          <w:color w:val="auto"/>
          <w:highlight w:val="none"/>
          <w:lang w:eastAsia="zh-CN"/>
        </w:rPr>
        <w:t>的规定进行检查，止水设施至少每</w:t>
      </w:r>
      <w:r>
        <w:rPr>
          <w:rFonts w:hAnsi="Times New Roman" w:cs="Times New Roman"/>
          <w:color w:val="auto"/>
          <w:highlight w:val="none"/>
          <w:u w:val="single"/>
          <w:lang w:eastAsia="zh-CN"/>
        </w:rPr>
        <w:t>5m</w:t>
      </w:r>
      <w:r>
        <w:rPr>
          <w:rFonts w:cs="宋体"/>
          <w:color w:val="auto"/>
          <w:highlight w:val="none"/>
          <w:lang w:eastAsia="zh-CN"/>
        </w:rPr>
        <w:t>检查一点。</w:t>
      </w:r>
    </w:p>
    <w:p w14:paraId="3F8D6F02">
      <w:pPr>
        <w:ind w:firstLine="420"/>
        <w:jc w:val="left"/>
        <w:rPr>
          <w:rFonts w:hAnsi="Times New Roman" w:cs="宋体"/>
          <w:color w:val="auto"/>
          <w:highlight w:val="none"/>
          <w:lang w:eastAsia="zh-CN"/>
        </w:rPr>
      </w:pPr>
      <w:r>
        <w:rPr>
          <w:rFonts w:cs="宋体"/>
          <w:color w:val="auto"/>
          <w:highlight w:val="none"/>
          <w:lang w:eastAsia="zh-CN"/>
        </w:rPr>
        <w:t>（</w:t>
      </w:r>
      <w:r>
        <w:rPr>
          <w:rFonts w:hAnsi="Times New Roman" w:cs="Times New Roman"/>
          <w:color w:val="auto"/>
          <w:highlight w:val="none"/>
          <w:lang w:eastAsia="zh-CN"/>
        </w:rPr>
        <w:t>5</w:t>
      </w:r>
      <w:r>
        <w:rPr>
          <w:rFonts w:cs="宋体"/>
          <w:color w:val="auto"/>
          <w:highlight w:val="none"/>
          <w:lang w:eastAsia="zh-CN"/>
        </w:rPr>
        <w:t>）完工验收。</w:t>
      </w:r>
    </w:p>
    <w:p w14:paraId="5DA0367B">
      <w:pPr>
        <w:ind w:firstLine="420"/>
        <w:jc w:val="left"/>
        <w:rPr>
          <w:rFonts w:hAnsi="Times New Roman" w:cs="宋体"/>
          <w:color w:val="auto"/>
          <w:highlight w:val="none"/>
          <w:lang w:eastAsia="zh-CN"/>
        </w:rPr>
      </w:pPr>
      <w:r>
        <w:rPr>
          <w:rFonts w:cs="宋体"/>
          <w:color w:val="auto"/>
          <w:highlight w:val="none"/>
          <w:lang w:eastAsia="zh-CN"/>
        </w:rPr>
        <w:t>混凝土工程建筑物全部完工后，承包人应向发包人申请完工验收，并提交以下完工资料。</w:t>
      </w:r>
    </w:p>
    <w:p w14:paraId="2869E4FA">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cs="宋体"/>
          <w:color w:val="auto"/>
          <w:highlight w:val="none"/>
          <w:lang w:eastAsia="zh-CN"/>
        </w:rPr>
        <w:t>）混凝土工程建筑物竣工图（包括布置图和主要结构图）。</w:t>
      </w:r>
    </w:p>
    <w:p w14:paraId="3CD389B1">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cs="宋体"/>
          <w:color w:val="auto"/>
          <w:highlight w:val="none"/>
          <w:lang w:eastAsia="zh-CN"/>
        </w:rPr>
        <w:t>）混凝土工程建筑物的隐蔽工程及工程隐蔽部位的质量检查验收报告。</w:t>
      </w:r>
    </w:p>
    <w:p w14:paraId="73AE2445">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cs="宋体"/>
          <w:color w:val="auto"/>
          <w:highlight w:val="none"/>
          <w:lang w:eastAsia="zh-CN"/>
        </w:rPr>
        <w:t>）混凝土工程建筑物的永久观测设施的竣工资料及建筑物观测成果。</w:t>
      </w:r>
    </w:p>
    <w:p w14:paraId="2722CFD5">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cs="宋体"/>
          <w:color w:val="auto"/>
          <w:highlight w:val="none"/>
          <w:lang w:eastAsia="zh-CN"/>
        </w:rPr>
        <w:t>）混凝土建筑物的缺陷修补和质量事故处理报告。</w:t>
      </w:r>
    </w:p>
    <w:p w14:paraId="23A9B551">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cs="宋体"/>
          <w:color w:val="auto"/>
          <w:highlight w:val="none"/>
          <w:lang w:eastAsia="zh-CN"/>
        </w:rPr>
        <w:t>）混凝土工程建筑物成型复测成果。</w:t>
      </w:r>
    </w:p>
    <w:p w14:paraId="21D8E9E1">
      <w:pPr>
        <w:ind w:firstLine="420"/>
        <w:jc w:val="left"/>
        <w:rPr>
          <w:rFonts w:cs="宋体"/>
          <w:color w:val="auto"/>
          <w:highlight w:val="none"/>
          <w:lang w:eastAsia="zh-CN"/>
        </w:rPr>
      </w:pPr>
      <w:r>
        <w:rPr>
          <w:rFonts w:hAnsi="Times New Roman" w:cs="Times New Roman"/>
          <w:color w:val="auto"/>
          <w:highlight w:val="none"/>
          <w:lang w:eastAsia="zh-CN"/>
        </w:rPr>
        <w:t>6</w:t>
      </w:r>
      <w:r>
        <w:rPr>
          <w:rFonts w:cs="宋体"/>
          <w:color w:val="auto"/>
          <w:highlight w:val="none"/>
          <w:lang w:eastAsia="zh-CN"/>
        </w:rPr>
        <w:t>）监理人要求提交的其它完工资料。</w:t>
      </w:r>
    </w:p>
    <w:p w14:paraId="0DFA1D8B">
      <w:pPr>
        <w:pStyle w:val="4"/>
        <w:spacing w:beforeLines="0" w:afterLines="0"/>
        <w:jc w:val="both"/>
        <w:rPr>
          <w:rFonts w:hint="eastAsia" w:hAnsi="宋体" w:cs="宋体"/>
          <w:bCs/>
          <w:color w:val="auto"/>
          <w:szCs w:val="24"/>
          <w:highlight w:val="none"/>
          <w:lang w:eastAsia="zh-CN"/>
        </w:rPr>
      </w:pPr>
      <w:bookmarkStart w:id="2140" w:name="_Toc5416"/>
      <w:bookmarkStart w:id="2141" w:name="_Toc26934"/>
      <w:bookmarkStart w:id="2142" w:name="_Toc26978"/>
      <w:r>
        <w:rPr>
          <w:rFonts w:hint="eastAsia" w:cs="宋体"/>
          <w:bCs/>
          <w:color w:val="auto"/>
          <w:szCs w:val="24"/>
          <w:highlight w:val="none"/>
          <w:lang w:eastAsia="zh-CN"/>
        </w:rPr>
        <w:t>14.6　预制混凝土</w:t>
      </w:r>
      <w:bookmarkEnd w:id="2140"/>
      <w:bookmarkEnd w:id="2141"/>
      <w:bookmarkEnd w:id="2142"/>
    </w:p>
    <w:p w14:paraId="75AB905E">
      <w:pPr>
        <w:ind w:firstLine="420"/>
        <w:jc w:val="left"/>
        <w:rPr>
          <w:rFonts w:hAnsi="Times New Roman" w:cs="宋体"/>
          <w:color w:val="auto"/>
          <w:highlight w:val="none"/>
          <w:lang w:eastAsia="zh-CN"/>
        </w:rPr>
      </w:pPr>
      <w:r>
        <w:rPr>
          <w:rFonts w:hint="eastAsia" w:cs="宋体"/>
          <w:color w:val="auto"/>
          <w:highlight w:val="none"/>
          <w:lang w:val="en-US" w:eastAsia="zh-CN"/>
        </w:rPr>
        <w:t>本标段不涉及</w:t>
      </w:r>
      <w:r>
        <w:rPr>
          <w:rFonts w:cs="宋体"/>
          <w:color w:val="auto"/>
          <w:highlight w:val="none"/>
          <w:lang w:eastAsia="zh-CN"/>
        </w:rPr>
        <w:t>。</w:t>
      </w:r>
    </w:p>
    <w:p w14:paraId="11BC84D1">
      <w:pPr>
        <w:pStyle w:val="4"/>
        <w:spacing w:beforeLines="0" w:afterLines="0"/>
        <w:jc w:val="both"/>
        <w:rPr>
          <w:rFonts w:hAnsi="Times New Roman" w:cs="楷体"/>
          <w:color w:val="auto"/>
          <w:highlight w:val="none"/>
          <w:lang w:eastAsia="zh-CN"/>
        </w:rPr>
      </w:pPr>
      <w:bookmarkStart w:id="2143" w:name="_Toc6859"/>
      <w:bookmarkStart w:id="2144" w:name="_Toc26879"/>
      <w:bookmarkStart w:id="2145" w:name="_Toc32324"/>
      <w:r>
        <w:rPr>
          <w:rFonts w:hint="eastAsia" w:cs="宋体"/>
          <w:bCs/>
          <w:color w:val="auto"/>
          <w:szCs w:val="24"/>
          <w:highlight w:val="none"/>
          <w:lang w:eastAsia="zh-CN"/>
        </w:rPr>
        <w:t>14.7　预应力混凝土</w:t>
      </w:r>
      <w:bookmarkEnd w:id="2143"/>
      <w:bookmarkEnd w:id="2144"/>
      <w:bookmarkEnd w:id="2145"/>
    </w:p>
    <w:p w14:paraId="56522207">
      <w:pPr>
        <w:ind w:firstLine="420"/>
        <w:jc w:val="left"/>
        <w:rPr>
          <w:rFonts w:hAnsi="Times New Roman" w:cs="宋体"/>
          <w:color w:val="auto"/>
          <w:highlight w:val="none"/>
          <w:lang w:eastAsia="zh-CN"/>
        </w:rPr>
      </w:pPr>
      <w:r>
        <w:rPr>
          <w:rFonts w:hint="eastAsia" w:cs="宋体"/>
          <w:color w:val="auto"/>
          <w:highlight w:val="none"/>
          <w:lang w:val="en-US" w:eastAsia="zh-CN"/>
        </w:rPr>
        <w:t>本标段不涉及</w:t>
      </w:r>
      <w:r>
        <w:rPr>
          <w:rFonts w:cs="宋体"/>
          <w:color w:val="auto"/>
          <w:highlight w:val="none"/>
          <w:lang w:eastAsia="zh-CN"/>
        </w:rPr>
        <w:t>。</w:t>
      </w:r>
    </w:p>
    <w:p w14:paraId="3FB0720D">
      <w:pPr>
        <w:pStyle w:val="4"/>
        <w:jc w:val="left"/>
        <w:rPr>
          <w:rFonts w:hint="eastAsia"/>
          <w:color w:val="auto"/>
          <w:szCs w:val="24"/>
          <w:highlight w:val="none"/>
          <w:lang w:eastAsia="zh-CN"/>
        </w:rPr>
      </w:pPr>
      <w:bookmarkStart w:id="2146" w:name="_Toc15456"/>
      <w:r>
        <w:rPr>
          <w:color w:val="auto"/>
          <w:szCs w:val="24"/>
          <w:highlight w:val="none"/>
          <w:lang w:eastAsia="zh-CN"/>
        </w:rPr>
        <w:t>14.8</w:t>
      </w:r>
      <w:r>
        <w:rPr>
          <w:rFonts w:hint="eastAsia"/>
          <w:color w:val="auto"/>
          <w:szCs w:val="24"/>
          <w:highlight w:val="none"/>
          <w:lang w:eastAsia="zh-CN"/>
        </w:rPr>
        <w:t>　水下混凝土</w:t>
      </w:r>
      <w:bookmarkEnd w:id="2146"/>
    </w:p>
    <w:p w14:paraId="133F1CB1">
      <w:pPr>
        <w:rPr>
          <w:rFonts w:hint="default"/>
          <w:color w:val="auto"/>
          <w:highlight w:val="none"/>
          <w:lang w:val="en-US" w:eastAsia="zh-CN"/>
        </w:rPr>
      </w:pPr>
      <w:r>
        <w:rPr>
          <w:rFonts w:hint="eastAsia"/>
          <w:color w:val="auto"/>
          <w:szCs w:val="24"/>
          <w:highlight w:val="none"/>
          <w:lang w:val="en-US" w:eastAsia="zh-CN"/>
        </w:rPr>
        <w:t>本标段不涉及</w:t>
      </w:r>
    </w:p>
    <w:p w14:paraId="4E45BB99">
      <w:pPr>
        <w:pStyle w:val="4"/>
        <w:spacing w:beforeLines="0" w:afterLines="0"/>
        <w:jc w:val="both"/>
        <w:rPr>
          <w:rFonts w:hint="eastAsia" w:cs="宋体"/>
          <w:bCs/>
          <w:color w:val="auto"/>
          <w:szCs w:val="24"/>
          <w:highlight w:val="none"/>
          <w:lang w:eastAsia="zh-CN"/>
        </w:rPr>
      </w:pPr>
      <w:bookmarkStart w:id="2147" w:name="_Toc23254"/>
      <w:bookmarkStart w:id="2148" w:name="_Toc20072"/>
      <w:bookmarkStart w:id="2149" w:name="_Toc27251"/>
      <w:r>
        <w:rPr>
          <w:rFonts w:hint="eastAsia" w:cs="宋体"/>
          <w:bCs/>
          <w:color w:val="auto"/>
          <w:szCs w:val="24"/>
          <w:highlight w:val="none"/>
          <w:lang w:eastAsia="zh-CN"/>
        </w:rPr>
        <w:t>14.9　碾压混凝土</w:t>
      </w:r>
      <w:bookmarkEnd w:id="2147"/>
      <w:bookmarkEnd w:id="2148"/>
      <w:bookmarkEnd w:id="2149"/>
    </w:p>
    <w:p w14:paraId="5BE1BE32">
      <w:pPr>
        <w:rPr>
          <w:rFonts w:hint="default"/>
          <w:color w:val="auto"/>
          <w:highlight w:val="none"/>
          <w:lang w:val="en-US" w:eastAsia="zh-CN"/>
        </w:rPr>
      </w:pPr>
      <w:r>
        <w:rPr>
          <w:rFonts w:hint="eastAsia" w:cs="宋体"/>
          <w:bCs/>
          <w:color w:val="auto"/>
          <w:szCs w:val="24"/>
          <w:highlight w:val="none"/>
          <w:lang w:val="en-US" w:eastAsia="zh-CN"/>
        </w:rPr>
        <w:t>本标段不涉及</w:t>
      </w:r>
    </w:p>
    <w:p w14:paraId="6FF4E110">
      <w:pPr>
        <w:pStyle w:val="4"/>
        <w:spacing w:beforeLines="0" w:afterLines="0"/>
        <w:jc w:val="both"/>
        <w:rPr>
          <w:rFonts w:hint="eastAsia" w:cs="宋体"/>
          <w:bCs/>
          <w:color w:val="auto"/>
          <w:szCs w:val="24"/>
          <w:highlight w:val="none"/>
          <w:lang w:eastAsia="zh-CN"/>
        </w:rPr>
      </w:pPr>
      <w:bookmarkStart w:id="2150" w:name="_Toc17221"/>
      <w:bookmarkStart w:id="2151" w:name="_Toc18150"/>
      <w:bookmarkStart w:id="2152" w:name="_Toc6896"/>
      <w:r>
        <w:rPr>
          <w:rFonts w:hint="eastAsia" w:cs="宋体"/>
          <w:bCs/>
          <w:color w:val="auto"/>
          <w:szCs w:val="24"/>
          <w:highlight w:val="none"/>
          <w:lang w:eastAsia="zh-CN"/>
        </w:rPr>
        <w:t>14.10　泵送混凝土</w:t>
      </w:r>
      <w:bookmarkEnd w:id="2150"/>
      <w:bookmarkEnd w:id="2151"/>
      <w:bookmarkEnd w:id="2152"/>
    </w:p>
    <w:p w14:paraId="20B0A194">
      <w:pPr>
        <w:pStyle w:val="5"/>
        <w:jc w:val="left"/>
        <w:rPr>
          <w:rFonts w:hAnsi="Times New Roman" w:cs="楷体"/>
          <w:color w:val="auto"/>
          <w:highlight w:val="none"/>
          <w:lang w:eastAsia="zh-CN"/>
        </w:rPr>
      </w:pPr>
      <w:r>
        <w:rPr>
          <w:rFonts w:hAnsi="Times New Roman" w:cs="Times New Roman"/>
          <w:color w:val="auto"/>
          <w:highlight w:val="none"/>
          <w:lang w:eastAsia="zh-CN"/>
        </w:rPr>
        <w:t>14.10.1</w:t>
      </w:r>
      <w:r>
        <w:rPr>
          <w:rFonts w:hint="eastAsia" w:hAnsi="Times New Roman" w:cs="Times New Roman"/>
          <w:color w:val="auto"/>
          <w:highlight w:val="none"/>
          <w:lang w:eastAsia="zh-CN"/>
        </w:rPr>
        <w:t>　</w:t>
      </w:r>
      <w:r>
        <w:rPr>
          <w:rFonts w:hint="eastAsia" w:hAnsi="Times New Roman" w:cs="楷体"/>
          <w:color w:val="auto"/>
          <w:highlight w:val="none"/>
          <w:lang w:eastAsia="zh-CN"/>
        </w:rPr>
        <w:t>一般要求</w:t>
      </w:r>
    </w:p>
    <w:p w14:paraId="03664C5E">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）泵送混凝土施工前，应将模板、钢筋等各项前工序验收合格后方可进行。</w:t>
      </w:r>
    </w:p>
    <w:p w14:paraId="1486A47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）泵送混凝土的运输应遵守《混凝土泵送施工技术规程》（</w:t>
      </w:r>
      <w:r>
        <w:rPr>
          <w:rFonts w:hAnsi="Times New Roman" w:cs="Times New Roman"/>
          <w:color w:val="auto"/>
          <w:highlight w:val="none"/>
          <w:lang w:eastAsia="zh-CN"/>
        </w:rPr>
        <w:t>JGJ/T10—2011</w:t>
      </w:r>
      <w:r>
        <w:rPr>
          <w:rFonts w:hint="eastAsia" w:hAnsi="Times New Roman" w:cs="宋体"/>
          <w:color w:val="auto"/>
          <w:highlight w:val="none"/>
          <w:lang w:eastAsia="zh-CN"/>
        </w:rPr>
        <w:t>）第</w:t>
      </w:r>
      <w:r>
        <w:rPr>
          <w:rFonts w:hAnsi="Times New Roman" w:cs="Times New Roman"/>
          <w:color w:val="auto"/>
          <w:highlight w:val="none"/>
          <w:lang w:eastAsia="zh-CN"/>
        </w:rPr>
        <w:t>4</w:t>
      </w:r>
      <w:r>
        <w:rPr>
          <w:rFonts w:hint="eastAsia" w:hAnsi="Times New Roman" w:cs="宋体"/>
          <w:color w:val="auto"/>
          <w:highlight w:val="none"/>
          <w:lang w:eastAsia="zh-CN"/>
        </w:rPr>
        <w:t>章的规定；施工设备及管道的选择与布置应遵守《混凝土泵送施工技术规程》（</w:t>
      </w:r>
      <w:r>
        <w:rPr>
          <w:rFonts w:hAnsi="Times New Roman" w:cs="Times New Roman"/>
          <w:color w:val="auto"/>
          <w:highlight w:val="none"/>
          <w:lang w:eastAsia="zh-CN"/>
        </w:rPr>
        <w:t>JGJ/T10—2011</w:t>
      </w:r>
      <w:r>
        <w:rPr>
          <w:rFonts w:hint="eastAsia" w:hAnsi="Times New Roman" w:cs="宋体"/>
          <w:color w:val="auto"/>
          <w:highlight w:val="none"/>
          <w:lang w:eastAsia="zh-CN"/>
        </w:rPr>
        <w:t>）第</w:t>
      </w:r>
      <w:r>
        <w:rPr>
          <w:rFonts w:hAnsi="Times New Roman" w:cs="Times New Roman"/>
          <w:color w:val="auto"/>
          <w:highlight w:val="none"/>
          <w:lang w:eastAsia="zh-CN"/>
        </w:rPr>
        <w:t>5</w:t>
      </w:r>
      <w:r>
        <w:rPr>
          <w:rFonts w:hint="eastAsia" w:hAnsi="Times New Roman" w:cs="宋体"/>
          <w:color w:val="auto"/>
          <w:highlight w:val="none"/>
          <w:lang w:eastAsia="zh-CN"/>
        </w:rPr>
        <w:t>章的规定；混凝土的泵送与浇筑应遵守《混凝土泵送施工技术规程》（</w:t>
      </w:r>
      <w:r>
        <w:rPr>
          <w:rFonts w:hAnsi="Times New Roman" w:cs="Times New Roman"/>
          <w:color w:val="auto"/>
          <w:highlight w:val="none"/>
          <w:lang w:eastAsia="zh-CN"/>
        </w:rPr>
        <w:t>JGJ/T10—2011</w:t>
      </w:r>
      <w:r>
        <w:rPr>
          <w:rFonts w:hint="eastAsia" w:hAnsi="Times New Roman" w:cs="宋体"/>
          <w:color w:val="auto"/>
          <w:highlight w:val="none"/>
          <w:lang w:eastAsia="zh-CN"/>
        </w:rPr>
        <w:t>）第</w:t>
      </w:r>
      <w:r>
        <w:rPr>
          <w:rFonts w:hAnsi="Times New Roman" w:cs="Times New Roman"/>
          <w:color w:val="auto"/>
          <w:highlight w:val="none"/>
          <w:lang w:eastAsia="zh-CN"/>
        </w:rPr>
        <w:t>5</w:t>
      </w:r>
      <w:r>
        <w:rPr>
          <w:rFonts w:hint="eastAsia" w:hAnsi="Times New Roman" w:cs="宋体"/>
          <w:color w:val="auto"/>
          <w:highlight w:val="none"/>
          <w:lang w:eastAsia="zh-CN"/>
        </w:rPr>
        <w:t>章和第</w:t>
      </w:r>
      <w:r>
        <w:rPr>
          <w:rFonts w:hAnsi="Times New Roman" w:cs="Times New Roman"/>
          <w:color w:val="auto"/>
          <w:highlight w:val="none"/>
          <w:lang w:eastAsia="zh-CN"/>
        </w:rPr>
        <w:t>6</w:t>
      </w:r>
      <w:r>
        <w:rPr>
          <w:rFonts w:hint="eastAsia" w:hAnsi="Times New Roman" w:cs="宋体"/>
          <w:color w:val="auto"/>
          <w:highlight w:val="none"/>
          <w:lang w:eastAsia="zh-CN"/>
        </w:rPr>
        <w:t>章的规定；混凝土泵送施工的质量控制应遵守《混凝土泵送施工技术规程》（</w:t>
      </w:r>
      <w:r>
        <w:rPr>
          <w:rFonts w:hAnsi="Times New Roman" w:cs="Times New Roman"/>
          <w:color w:val="auto"/>
          <w:highlight w:val="none"/>
          <w:lang w:eastAsia="zh-CN"/>
        </w:rPr>
        <w:t>JGJ/T10—2011</w:t>
      </w:r>
      <w:r>
        <w:rPr>
          <w:rFonts w:hint="eastAsia" w:hAnsi="Times New Roman" w:cs="宋体"/>
          <w:color w:val="auto"/>
          <w:highlight w:val="none"/>
          <w:lang w:eastAsia="zh-CN"/>
        </w:rPr>
        <w:t>）第</w:t>
      </w:r>
      <w:r>
        <w:rPr>
          <w:rFonts w:hAnsi="Times New Roman" w:cs="Times New Roman"/>
          <w:color w:val="auto"/>
          <w:highlight w:val="none"/>
          <w:lang w:eastAsia="zh-CN"/>
        </w:rPr>
        <w:t>8</w:t>
      </w:r>
      <w:r>
        <w:rPr>
          <w:rFonts w:hint="eastAsia" w:hAnsi="Times New Roman" w:cs="宋体"/>
          <w:color w:val="auto"/>
          <w:highlight w:val="none"/>
          <w:lang w:eastAsia="zh-CN"/>
        </w:rPr>
        <w:t>章的有关规定。</w:t>
      </w:r>
    </w:p>
    <w:p w14:paraId="62FDD5E8">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）泵送混凝土施工时的安全技术和劳动保护等要求必须符合国家有关规定。</w:t>
      </w:r>
    </w:p>
    <w:p w14:paraId="28AB9B49">
      <w:pPr>
        <w:pStyle w:val="5"/>
        <w:jc w:val="left"/>
        <w:rPr>
          <w:rFonts w:hAnsi="Times New Roman" w:cs="楷体"/>
          <w:color w:val="auto"/>
          <w:highlight w:val="none"/>
          <w:lang w:eastAsia="zh-CN"/>
        </w:rPr>
      </w:pPr>
      <w:r>
        <w:rPr>
          <w:rFonts w:hAnsi="Times New Roman" w:cs="Times New Roman"/>
          <w:color w:val="auto"/>
          <w:highlight w:val="none"/>
          <w:lang w:eastAsia="zh-CN"/>
        </w:rPr>
        <w:t>14.10.2</w:t>
      </w:r>
      <w:r>
        <w:rPr>
          <w:rFonts w:hint="eastAsia" w:hAnsi="Times New Roman" w:cs="Times New Roman"/>
          <w:color w:val="auto"/>
          <w:highlight w:val="none"/>
          <w:lang w:eastAsia="zh-CN"/>
        </w:rPr>
        <w:t>　</w:t>
      </w:r>
      <w:r>
        <w:rPr>
          <w:rFonts w:hint="eastAsia" w:hAnsi="Times New Roman" w:cs="楷体"/>
          <w:color w:val="auto"/>
          <w:highlight w:val="none"/>
          <w:lang w:eastAsia="zh-CN"/>
        </w:rPr>
        <w:t>泵送混凝土施工配合比</w:t>
      </w:r>
    </w:p>
    <w:p w14:paraId="375006B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）泵送混凝土的施工配合比，应符合《普通混凝土配合比设计规程》（</w:t>
      </w:r>
      <w:r>
        <w:rPr>
          <w:rFonts w:hAnsi="Times New Roman" w:cs="Times New Roman"/>
          <w:color w:val="auto"/>
          <w:highlight w:val="none"/>
          <w:lang w:eastAsia="zh-CN"/>
        </w:rPr>
        <w:t>JGJ55—2011</w:t>
      </w:r>
      <w:r>
        <w:rPr>
          <w:rFonts w:hint="eastAsia" w:hAnsi="Times New Roman" w:cs="宋体"/>
          <w:color w:val="auto"/>
          <w:highlight w:val="none"/>
          <w:lang w:eastAsia="zh-CN"/>
        </w:rPr>
        <w:t>）、《混凝土结构工程施工质量验收规范》（</w:t>
      </w:r>
      <w:r>
        <w:rPr>
          <w:rFonts w:hAnsi="Times New Roman" w:cs="Times New Roman"/>
          <w:color w:val="auto"/>
          <w:highlight w:val="none"/>
          <w:lang w:eastAsia="zh-CN"/>
        </w:rPr>
        <w:t>GB50204—2015</w:t>
      </w:r>
      <w:r>
        <w:rPr>
          <w:rFonts w:hint="eastAsia" w:hAnsi="Times New Roman" w:cs="宋体"/>
          <w:color w:val="auto"/>
          <w:highlight w:val="none"/>
          <w:lang w:eastAsia="zh-CN"/>
        </w:rPr>
        <w:t>）和《混凝土强度检验评定标准》（</w:t>
      </w:r>
      <w:r>
        <w:rPr>
          <w:rFonts w:hAnsi="Times New Roman" w:cs="Times New Roman"/>
          <w:color w:val="auto"/>
          <w:highlight w:val="none"/>
          <w:lang w:eastAsia="zh-CN"/>
        </w:rPr>
        <w:t>GB/T50107—2010</w:t>
      </w:r>
      <w:r>
        <w:rPr>
          <w:rFonts w:hint="eastAsia" w:hAnsi="Times New Roman" w:cs="宋体"/>
          <w:color w:val="auto"/>
          <w:highlight w:val="none"/>
          <w:lang w:eastAsia="zh-CN"/>
        </w:rPr>
        <w:t>）的要求。</w:t>
      </w:r>
    </w:p>
    <w:p w14:paraId="6478B72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）泵送混凝土施工的可泵性，可用压力泌水试验结合施工经验进行控制，一般</w:t>
      </w:r>
      <w:r>
        <w:rPr>
          <w:rFonts w:hAnsi="Times New Roman" w:cs="Times New Roman"/>
          <w:color w:val="auto"/>
          <w:highlight w:val="none"/>
          <w:u w:val="single"/>
          <w:lang w:eastAsia="zh-CN"/>
        </w:rPr>
        <w:t>10s</w:t>
      </w:r>
      <w:r>
        <w:rPr>
          <w:rFonts w:hint="eastAsia" w:hAnsi="Times New Roman" w:cs="宋体"/>
          <w:color w:val="auto"/>
          <w:highlight w:val="none"/>
          <w:lang w:eastAsia="zh-CN"/>
        </w:rPr>
        <w:t>时的相对压力泌水率</w:t>
      </w:r>
      <w:r>
        <w:rPr>
          <w:rFonts w:hAnsi="Times New Roman" w:cs="Times New Roman"/>
          <w:color w:val="auto"/>
          <w:highlight w:val="none"/>
          <w:lang w:eastAsia="zh-CN"/>
        </w:rPr>
        <w:t>S10</w:t>
      </w:r>
      <w:r>
        <w:rPr>
          <w:rFonts w:hint="eastAsia" w:hAnsi="Times New Roman" w:cs="宋体"/>
          <w:color w:val="auto"/>
          <w:highlight w:val="none"/>
          <w:lang w:eastAsia="zh-CN"/>
        </w:rPr>
        <w:t>不宜超过</w:t>
      </w:r>
      <w:r>
        <w:rPr>
          <w:rFonts w:hAnsi="Times New Roman" w:cs="Times New Roman"/>
          <w:color w:val="auto"/>
          <w:highlight w:val="none"/>
          <w:u w:val="single"/>
          <w:lang w:eastAsia="zh-CN"/>
        </w:rPr>
        <w:t>40%</w:t>
      </w:r>
      <w:r>
        <w:rPr>
          <w:rFonts w:hint="eastAsia" w:hAnsi="Times New Roman" w:cs="宋体"/>
          <w:color w:val="auto"/>
          <w:highlight w:val="none"/>
          <w:lang w:eastAsia="zh-CN"/>
        </w:rPr>
        <w:t>。</w:t>
      </w:r>
    </w:p>
    <w:p w14:paraId="3EF56386">
      <w:pPr>
        <w:ind w:firstLine="420"/>
        <w:jc w:val="left"/>
        <w:rPr>
          <w:rFonts w:hAnsi="Times New Roman" w:cs="Times New Roman"/>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）泵送混凝土的施工参数可参照《混凝土结构工程施工质量验收规范》（</w:t>
      </w:r>
      <w:r>
        <w:rPr>
          <w:rFonts w:hAnsi="Times New Roman" w:cs="Times New Roman"/>
          <w:color w:val="auto"/>
          <w:highlight w:val="none"/>
          <w:lang w:eastAsia="zh-CN"/>
        </w:rPr>
        <w:t>GB50204—2015</w:t>
      </w:r>
      <w:r>
        <w:rPr>
          <w:rFonts w:hint="eastAsia" w:hAnsi="Times New Roman" w:cs="宋体"/>
          <w:color w:val="auto"/>
          <w:highlight w:val="none"/>
          <w:lang w:eastAsia="zh-CN"/>
        </w:rPr>
        <w:t>）的规定选用。</w:t>
      </w:r>
    </w:p>
    <w:p w14:paraId="52F12FDE">
      <w:pPr>
        <w:pStyle w:val="4"/>
        <w:spacing w:beforeLines="0" w:afterLines="0"/>
        <w:jc w:val="both"/>
        <w:rPr>
          <w:rFonts w:hint="eastAsia" w:cs="宋体"/>
          <w:bCs/>
          <w:color w:val="auto"/>
          <w:szCs w:val="24"/>
          <w:highlight w:val="none"/>
          <w:lang w:eastAsia="zh-CN"/>
        </w:rPr>
      </w:pPr>
      <w:bookmarkStart w:id="2153" w:name="_Toc7418"/>
      <w:bookmarkStart w:id="2154" w:name="_Toc30752"/>
      <w:bookmarkStart w:id="2155" w:name="_Toc5683"/>
      <w:r>
        <w:rPr>
          <w:rFonts w:hint="eastAsia" w:cs="宋体"/>
          <w:bCs/>
          <w:color w:val="auto"/>
          <w:szCs w:val="24"/>
          <w:highlight w:val="none"/>
          <w:lang w:eastAsia="zh-CN"/>
        </w:rPr>
        <w:t>14.11　涂装</w:t>
      </w:r>
      <w:bookmarkEnd w:id="2153"/>
      <w:bookmarkEnd w:id="2154"/>
      <w:bookmarkEnd w:id="2155"/>
    </w:p>
    <w:p w14:paraId="066CE2E5">
      <w:pPr>
        <w:ind w:firstLine="420"/>
        <w:jc w:val="left"/>
        <w:rPr>
          <w:rFonts w:hAnsi="Times New Roman"/>
          <w:color w:val="auto"/>
          <w:highlight w:val="none"/>
          <w:lang w:eastAsia="zh-CN"/>
        </w:rPr>
      </w:pPr>
      <w:r>
        <w:rPr>
          <w:rFonts w:hint="eastAsia" w:hAnsi="Times New Roman"/>
          <w:color w:val="auto"/>
          <w:highlight w:val="none"/>
          <w:lang w:eastAsia="zh-CN"/>
        </w:rPr>
        <w:t>本技术要求应用于隧洞混凝土内衬内防腐、隧洞喷锚支护内防腐以及泵站、调压塔、倒虹吸、水池、暗涵等水工建筑物涉水范围混凝土外防腐的涂料及涂装施工，要求涂料满足现场使用条件并确保水质不受影响。</w:t>
      </w:r>
    </w:p>
    <w:p w14:paraId="72EF4016">
      <w:pPr>
        <w:pStyle w:val="5"/>
        <w:jc w:val="left"/>
        <w:rPr>
          <w:rFonts w:hAnsi="Times New Roman"/>
          <w:color w:val="auto"/>
          <w:highlight w:val="none"/>
          <w:lang w:eastAsia="zh-CN"/>
        </w:rPr>
      </w:pPr>
      <w:r>
        <w:rPr>
          <w:rFonts w:hAnsi="Times New Roman"/>
          <w:color w:val="auto"/>
          <w:highlight w:val="none"/>
          <w:lang w:eastAsia="zh-CN"/>
        </w:rPr>
        <w:t>14.11.1</w:t>
      </w:r>
      <w:r>
        <w:rPr>
          <w:rFonts w:hint="eastAsia" w:hAnsi="Times New Roman"/>
          <w:color w:val="auto"/>
          <w:highlight w:val="none"/>
          <w:lang w:eastAsia="zh-CN"/>
        </w:rPr>
        <w:t>　涂装工艺措施报告</w:t>
      </w:r>
    </w:p>
    <w:p w14:paraId="35C9C297">
      <w:pPr>
        <w:ind w:firstLine="420"/>
        <w:jc w:val="left"/>
        <w:rPr>
          <w:rFonts w:hAnsi="Times New Roman"/>
          <w:color w:val="auto"/>
          <w:highlight w:val="none"/>
          <w:lang w:eastAsia="zh-CN"/>
        </w:rPr>
      </w:pPr>
      <w:r>
        <w:rPr>
          <w:rFonts w:hint="eastAsia" w:hAnsi="Times New Roman"/>
          <w:color w:val="auto"/>
          <w:highlight w:val="none"/>
          <w:lang w:eastAsia="zh-CN"/>
        </w:rPr>
        <w:t>承包人应在涂装作业前21天，编制隧洞内涂装工艺措施报告，提交监理人批准。涂装工艺措施应详细说明各种涂装材料的施涂方法、使用设备、质量检验和涂装缺陷修补措施。</w:t>
      </w:r>
    </w:p>
    <w:p w14:paraId="4816AC11">
      <w:pPr>
        <w:pStyle w:val="5"/>
        <w:jc w:val="left"/>
        <w:rPr>
          <w:rFonts w:hAnsi="Times New Roman"/>
          <w:color w:val="auto"/>
          <w:highlight w:val="none"/>
          <w:lang w:eastAsia="zh-CN"/>
        </w:rPr>
      </w:pPr>
      <w:r>
        <w:rPr>
          <w:rFonts w:hAnsi="Times New Roman"/>
          <w:color w:val="auto"/>
          <w:highlight w:val="none"/>
          <w:lang w:eastAsia="zh-CN"/>
        </w:rPr>
        <w:t>14.11.2</w:t>
      </w:r>
      <w:r>
        <w:rPr>
          <w:rFonts w:hint="eastAsia" w:hAnsi="Times New Roman"/>
          <w:color w:val="auto"/>
          <w:highlight w:val="none"/>
          <w:lang w:eastAsia="zh-CN"/>
        </w:rPr>
        <w:t>　防腐涂料</w:t>
      </w:r>
    </w:p>
    <w:p w14:paraId="4512205F">
      <w:pPr>
        <w:ind w:firstLine="420"/>
        <w:jc w:val="left"/>
        <w:rPr>
          <w:rFonts w:hAnsi="Times New Roman"/>
          <w:color w:val="auto"/>
          <w:highlight w:val="none"/>
          <w:lang w:eastAsia="zh-CN"/>
        </w:rPr>
      </w:pPr>
      <w:r>
        <w:rPr>
          <w:rFonts w:hint="eastAsia" w:hAnsi="Times New Roman"/>
          <w:color w:val="auto"/>
          <w:highlight w:val="none"/>
          <w:lang w:eastAsia="zh-CN"/>
        </w:rPr>
        <w:t>本工程隧洞内涂本工程隧洞混凝土内衬防腐涂料应满足设计要求。</w:t>
      </w:r>
    </w:p>
    <w:p w14:paraId="7CC90AB3">
      <w:pPr>
        <w:ind w:firstLine="420"/>
        <w:jc w:val="left"/>
        <w:rPr>
          <w:rFonts w:hAnsi="Times New Roman"/>
          <w:color w:val="auto"/>
          <w:highlight w:val="none"/>
          <w:lang w:eastAsia="zh-CN"/>
        </w:rPr>
      </w:pPr>
      <w:r>
        <w:rPr>
          <w:rFonts w:hint="eastAsia" w:hAnsi="Times New Roman"/>
          <w:color w:val="auto"/>
          <w:highlight w:val="none"/>
          <w:lang w:eastAsia="zh-CN"/>
        </w:rPr>
        <w:t>涂料技术要求如下：</w:t>
      </w:r>
    </w:p>
    <w:p w14:paraId="09AF04BA">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1</w:t>
      </w:r>
      <w:r>
        <w:rPr>
          <w:rFonts w:hint="eastAsia" w:hAnsi="Times New Roman"/>
          <w:color w:val="auto"/>
          <w:highlight w:val="none"/>
          <w:lang w:eastAsia="zh-CN"/>
        </w:rPr>
        <w:t>）涂料耐久性要求达到</w:t>
      </w:r>
      <w:r>
        <w:rPr>
          <w:rFonts w:hAnsi="Times New Roman"/>
          <w:color w:val="auto"/>
          <w:highlight w:val="none"/>
          <w:lang w:eastAsia="zh-CN"/>
        </w:rPr>
        <w:t>50</w:t>
      </w:r>
      <w:r>
        <w:rPr>
          <w:rFonts w:hint="eastAsia" w:hAnsi="Times New Roman"/>
          <w:color w:val="auto"/>
          <w:highlight w:val="none"/>
          <w:lang w:eastAsia="zh-CN"/>
        </w:rPr>
        <w:t>年。</w:t>
      </w:r>
    </w:p>
    <w:p w14:paraId="3F0E2023">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2</w:t>
      </w:r>
      <w:r>
        <w:rPr>
          <w:rFonts w:hint="eastAsia" w:hAnsi="Times New Roman"/>
          <w:color w:val="auto"/>
          <w:highlight w:val="none"/>
          <w:lang w:eastAsia="zh-CN"/>
        </w:rPr>
        <w:t>）隧洞内衬内壁采用无溶剂环氧液体涂料，厚度不小于</w:t>
      </w:r>
      <w:r>
        <w:rPr>
          <w:rFonts w:hAnsi="Times New Roman"/>
          <w:color w:val="auto"/>
          <w:highlight w:val="none"/>
          <w:lang w:eastAsia="zh-CN"/>
        </w:rPr>
        <w:t>400μm</w:t>
      </w:r>
      <w:r>
        <w:rPr>
          <w:rFonts w:hint="eastAsia" w:hAnsi="Times New Roman"/>
          <w:color w:val="auto"/>
          <w:highlight w:val="none"/>
          <w:lang w:eastAsia="zh-CN"/>
        </w:rPr>
        <w:t>。无溶剂环氧液体涂料的性能应符合《</w:t>
      </w:r>
      <w:r>
        <w:rPr>
          <w:rFonts w:hAnsi="Times New Roman"/>
          <w:color w:val="auto"/>
          <w:highlight w:val="none"/>
          <w:lang w:eastAsia="zh-CN"/>
        </w:rPr>
        <w:t>GB/T31361</w:t>
      </w:r>
      <w:r>
        <w:rPr>
          <w:rFonts w:hint="eastAsia" w:hAnsi="Times New Roman"/>
          <w:color w:val="auto"/>
          <w:highlight w:val="none"/>
          <w:lang w:eastAsia="zh-CN"/>
        </w:rPr>
        <w:t>无溶剂环氧液体涂料的防腐蚀涂装》第</w:t>
      </w:r>
      <w:r>
        <w:rPr>
          <w:rFonts w:hAnsi="Times New Roman"/>
          <w:color w:val="auto"/>
          <w:highlight w:val="none"/>
          <w:lang w:eastAsia="zh-CN"/>
        </w:rPr>
        <w:t>6.2.5</w:t>
      </w:r>
      <w:r>
        <w:rPr>
          <w:rFonts w:hint="eastAsia" w:hAnsi="Times New Roman"/>
          <w:color w:val="auto"/>
          <w:highlight w:val="none"/>
          <w:lang w:eastAsia="zh-CN"/>
        </w:rPr>
        <w:t>条的规定。涂装施工前，应在实验室内进行涂层物理性能测试，基材表面应按照《</w:t>
      </w:r>
      <w:r>
        <w:rPr>
          <w:rFonts w:hAnsi="Times New Roman"/>
          <w:color w:val="auto"/>
          <w:highlight w:val="none"/>
          <w:lang w:eastAsia="zh-CN"/>
        </w:rPr>
        <w:t>GB/T31361</w:t>
      </w:r>
      <w:r>
        <w:rPr>
          <w:rFonts w:hint="eastAsia" w:hAnsi="Times New Roman"/>
          <w:color w:val="auto"/>
          <w:highlight w:val="none"/>
          <w:lang w:eastAsia="zh-CN"/>
        </w:rPr>
        <w:t>无溶剂环氧液体涂料的防腐蚀涂装》第</w:t>
      </w:r>
      <w:r>
        <w:rPr>
          <w:rFonts w:hAnsi="Times New Roman"/>
          <w:color w:val="auto"/>
          <w:highlight w:val="none"/>
          <w:lang w:eastAsia="zh-CN"/>
        </w:rPr>
        <w:t>7.2</w:t>
      </w:r>
      <w:r>
        <w:rPr>
          <w:rFonts w:hint="eastAsia" w:hAnsi="Times New Roman"/>
          <w:color w:val="auto"/>
          <w:highlight w:val="none"/>
          <w:lang w:eastAsia="zh-CN"/>
        </w:rPr>
        <w:t>条的规定处理。涂装施工前，每批环氧液体涂料都应进行测定。环氧涂层性能指标应符合《</w:t>
      </w:r>
      <w:r>
        <w:rPr>
          <w:rFonts w:hAnsi="Times New Roman"/>
          <w:color w:val="auto"/>
          <w:highlight w:val="none"/>
          <w:lang w:eastAsia="zh-CN"/>
        </w:rPr>
        <w:t>GB/T31361</w:t>
      </w:r>
      <w:r>
        <w:rPr>
          <w:rFonts w:hint="eastAsia" w:hAnsi="Times New Roman"/>
          <w:color w:val="auto"/>
          <w:highlight w:val="none"/>
          <w:lang w:eastAsia="zh-CN"/>
        </w:rPr>
        <w:t>无溶剂环氧液体涂料的防腐蚀涂装》第</w:t>
      </w:r>
      <w:r>
        <w:rPr>
          <w:rFonts w:hAnsi="Times New Roman"/>
          <w:color w:val="auto"/>
          <w:highlight w:val="none"/>
          <w:lang w:eastAsia="zh-CN"/>
        </w:rPr>
        <w:t>8.2</w:t>
      </w:r>
      <w:r>
        <w:rPr>
          <w:rFonts w:hint="eastAsia" w:hAnsi="Times New Roman"/>
          <w:color w:val="auto"/>
          <w:highlight w:val="none"/>
          <w:lang w:eastAsia="zh-CN"/>
        </w:rPr>
        <w:t>条的要求。</w:t>
      </w:r>
    </w:p>
    <w:p w14:paraId="2723BF5E">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3</w:t>
      </w:r>
      <w:r>
        <w:rPr>
          <w:rFonts w:hint="eastAsia" w:hAnsi="Times New Roman"/>
          <w:color w:val="auto"/>
          <w:highlight w:val="none"/>
          <w:lang w:eastAsia="zh-CN"/>
        </w:rPr>
        <w:t>）上述防腐涂料、涂层技术指标若与图纸要求不一致，应以施工图纸为准。</w:t>
      </w:r>
    </w:p>
    <w:p w14:paraId="796DC63E">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4</w:t>
      </w:r>
      <w:r>
        <w:rPr>
          <w:rFonts w:hint="eastAsia" w:hAnsi="Times New Roman"/>
          <w:color w:val="auto"/>
          <w:highlight w:val="none"/>
          <w:lang w:eastAsia="zh-CN"/>
        </w:rPr>
        <w:t>）隧洞内壁涂料安全性检验应满足《生活饮用水输配水设备及防护材料的安全评价标准》</w:t>
      </w:r>
      <w:r>
        <w:rPr>
          <w:rFonts w:hAnsi="Times New Roman"/>
          <w:color w:val="auto"/>
          <w:highlight w:val="none"/>
          <w:lang w:eastAsia="zh-CN"/>
        </w:rPr>
        <w:t>GB/T17219</w:t>
      </w:r>
      <w:r>
        <w:rPr>
          <w:rFonts w:hint="eastAsia" w:hAnsi="Times New Roman"/>
          <w:color w:val="auto"/>
          <w:highlight w:val="none"/>
          <w:lang w:eastAsia="zh-CN"/>
        </w:rPr>
        <w:t>，应提供卫生部认定涉及饮用水卫生安全产品检验机构检验报告，并获得省级及以上卫生部门颁发的涉及饮用水卫生安全产品</w:t>
      </w:r>
      <w:r>
        <w:rPr>
          <w:rFonts w:hAnsi="Times New Roman"/>
          <w:color w:val="auto"/>
          <w:highlight w:val="none"/>
          <w:lang w:eastAsia="zh-CN"/>
        </w:rPr>
        <w:t>"</w:t>
      </w:r>
      <w:r>
        <w:rPr>
          <w:rFonts w:hint="eastAsia" w:hAnsi="Times New Roman"/>
          <w:color w:val="auto"/>
          <w:highlight w:val="none"/>
          <w:lang w:eastAsia="zh-CN"/>
        </w:rPr>
        <w:t>卫生许可批件</w:t>
      </w:r>
      <w:r>
        <w:rPr>
          <w:rFonts w:hAnsi="Times New Roman"/>
          <w:color w:val="auto"/>
          <w:highlight w:val="none"/>
          <w:lang w:eastAsia="zh-CN"/>
        </w:rPr>
        <w:t>"</w:t>
      </w:r>
      <w:r>
        <w:rPr>
          <w:rFonts w:hint="eastAsia" w:hAnsi="Times New Roman"/>
          <w:color w:val="auto"/>
          <w:highlight w:val="none"/>
          <w:lang w:eastAsia="zh-CN"/>
        </w:rPr>
        <w:t>，且该</w:t>
      </w:r>
      <w:r>
        <w:rPr>
          <w:rFonts w:hAnsi="Times New Roman"/>
          <w:color w:val="auto"/>
          <w:highlight w:val="none"/>
          <w:lang w:eastAsia="zh-CN"/>
        </w:rPr>
        <w:t>"</w:t>
      </w:r>
      <w:r>
        <w:rPr>
          <w:rFonts w:hint="eastAsia" w:hAnsi="Times New Roman"/>
          <w:color w:val="auto"/>
          <w:highlight w:val="none"/>
          <w:lang w:eastAsia="zh-CN"/>
        </w:rPr>
        <w:t>卫生许可批件</w:t>
      </w:r>
      <w:r>
        <w:rPr>
          <w:rFonts w:hAnsi="Times New Roman"/>
          <w:color w:val="auto"/>
          <w:highlight w:val="none"/>
          <w:lang w:eastAsia="zh-CN"/>
        </w:rPr>
        <w:t>"</w:t>
      </w:r>
      <w:r>
        <w:rPr>
          <w:rFonts w:hint="eastAsia" w:hAnsi="Times New Roman"/>
          <w:color w:val="auto"/>
          <w:highlight w:val="none"/>
          <w:lang w:eastAsia="zh-CN"/>
        </w:rPr>
        <w:t>在整个合同执行过程中处于有效期内。</w:t>
      </w:r>
    </w:p>
    <w:p w14:paraId="2A6AB8D1">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5</w:t>
      </w:r>
      <w:r>
        <w:rPr>
          <w:rFonts w:hint="eastAsia" w:hAnsi="Times New Roman"/>
          <w:color w:val="auto"/>
          <w:highlight w:val="none"/>
          <w:lang w:eastAsia="zh-CN"/>
        </w:rPr>
        <w:t>）涂料应附有制造厂的产品质量证明书和使用说明书。说明书内容应包括涂料特性、配比、使用设备、干硬时间、再涂时间、养护、运输和保管办法等。</w:t>
      </w:r>
    </w:p>
    <w:p w14:paraId="7CA03ED6">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6</w:t>
      </w:r>
      <w:r>
        <w:rPr>
          <w:rFonts w:hint="eastAsia" w:hAnsi="Times New Roman"/>
          <w:color w:val="auto"/>
          <w:highlight w:val="none"/>
          <w:lang w:eastAsia="zh-CN"/>
        </w:rPr>
        <w:t>）涂料供应提供规范和标准规定的检测和试验报告，并确定其数据符合规范和标准以及本技术要求的要求。</w:t>
      </w:r>
    </w:p>
    <w:p w14:paraId="09DA3445">
      <w:pPr>
        <w:ind w:firstLine="420"/>
        <w:jc w:val="left"/>
        <w:rPr>
          <w:rFonts w:hAnsi="Times New Roman"/>
          <w:color w:val="auto"/>
          <w:highlight w:val="none"/>
          <w:lang w:eastAsia="zh-CN"/>
        </w:rPr>
      </w:pPr>
      <w:r>
        <w:rPr>
          <w:rFonts w:hint="eastAsia" w:hAnsi="Times New Roman"/>
          <w:color w:val="auto"/>
          <w:highlight w:val="none"/>
          <w:lang w:eastAsia="zh-CN"/>
        </w:rPr>
        <w:t>（</w:t>
      </w:r>
      <w:r>
        <w:rPr>
          <w:rFonts w:hAnsi="Times New Roman"/>
          <w:color w:val="auto"/>
          <w:highlight w:val="none"/>
          <w:lang w:eastAsia="zh-CN"/>
        </w:rPr>
        <w:t>7</w:t>
      </w:r>
      <w:r>
        <w:rPr>
          <w:rFonts w:hint="eastAsia" w:hAnsi="Times New Roman"/>
          <w:color w:val="auto"/>
          <w:highlight w:val="none"/>
          <w:lang w:eastAsia="zh-CN"/>
        </w:rPr>
        <w:t>）涂料供应商应通过</w:t>
      </w:r>
      <w:r>
        <w:rPr>
          <w:rFonts w:hAnsi="Times New Roman"/>
          <w:color w:val="auto"/>
          <w:highlight w:val="none"/>
          <w:lang w:eastAsia="zh-CN"/>
        </w:rPr>
        <w:t>ISO9001</w:t>
      </w:r>
      <w:r>
        <w:rPr>
          <w:rFonts w:hint="eastAsia" w:hAnsi="Times New Roman"/>
          <w:color w:val="auto"/>
          <w:highlight w:val="none"/>
          <w:lang w:eastAsia="zh-CN"/>
        </w:rPr>
        <w:t>、</w:t>
      </w:r>
      <w:r>
        <w:rPr>
          <w:rFonts w:hAnsi="Times New Roman"/>
          <w:color w:val="auto"/>
          <w:highlight w:val="none"/>
          <w:lang w:eastAsia="zh-CN"/>
        </w:rPr>
        <w:t>ISO18001</w:t>
      </w:r>
      <w:r>
        <w:rPr>
          <w:rFonts w:hint="eastAsia" w:hAnsi="Times New Roman"/>
          <w:color w:val="auto"/>
          <w:highlight w:val="none"/>
          <w:lang w:eastAsia="zh-CN"/>
        </w:rPr>
        <w:t>，</w:t>
      </w:r>
      <w:r>
        <w:rPr>
          <w:rFonts w:hAnsi="Times New Roman"/>
          <w:color w:val="auto"/>
          <w:highlight w:val="none"/>
          <w:lang w:eastAsia="zh-CN"/>
        </w:rPr>
        <w:t>ISO14001</w:t>
      </w:r>
      <w:r>
        <w:rPr>
          <w:rFonts w:hint="eastAsia" w:hAnsi="Times New Roman"/>
          <w:color w:val="auto"/>
          <w:highlight w:val="none"/>
          <w:lang w:eastAsia="zh-CN"/>
        </w:rPr>
        <w:t>认证，且具备安全生产许可证，工业产品许可证、危险化学品经营许可证、危险化学品生产单位登记证等证书；必须配备足够的生产能力，工厂近</w:t>
      </w:r>
      <w:r>
        <w:rPr>
          <w:rFonts w:hAnsi="Times New Roman"/>
          <w:color w:val="auto"/>
          <w:highlight w:val="none"/>
          <w:lang w:eastAsia="zh-CN"/>
        </w:rPr>
        <w:t>3</w:t>
      </w:r>
      <w:r>
        <w:rPr>
          <w:rFonts w:hint="eastAsia" w:hAnsi="Times New Roman"/>
          <w:color w:val="auto"/>
          <w:highlight w:val="none"/>
          <w:lang w:eastAsia="zh-CN"/>
        </w:rPr>
        <w:t>年年产能力达到</w:t>
      </w:r>
      <w:r>
        <w:rPr>
          <w:rFonts w:hAnsi="Times New Roman"/>
          <w:color w:val="auto"/>
          <w:highlight w:val="none"/>
          <w:lang w:eastAsia="zh-CN"/>
        </w:rPr>
        <w:t>5</w:t>
      </w:r>
      <w:r>
        <w:rPr>
          <w:rFonts w:hint="eastAsia" w:hAnsi="Times New Roman"/>
          <w:color w:val="auto"/>
          <w:highlight w:val="none"/>
          <w:lang w:eastAsia="zh-CN"/>
        </w:rPr>
        <w:t>万吨以上。</w:t>
      </w:r>
    </w:p>
    <w:p w14:paraId="735DDC93">
      <w:pPr>
        <w:pStyle w:val="5"/>
        <w:jc w:val="left"/>
        <w:rPr>
          <w:rFonts w:hAnsi="Times New Roman"/>
          <w:color w:val="auto"/>
          <w:highlight w:val="none"/>
          <w:lang w:eastAsia="zh-CN"/>
        </w:rPr>
      </w:pPr>
      <w:r>
        <w:rPr>
          <w:rFonts w:hAnsi="Times New Roman"/>
          <w:bCs/>
          <w:color w:val="auto"/>
          <w:highlight w:val="none"/>
          <w:lang w:eastAsia="zh-CN"/>
        </w:rPr>
        <w:t>14.11.3</w:t>
      </w:r>
      <w:r>
        <w:rPr>
          <w:rFonts w:hint="eastAsia" w:hAnsi="Times New Roman"/>
          <w:bCs/>
          <w:color w:val="auto"/>
          <w:highlight w:val="none"/>
          <w:lang w:eastAsia="zh-CN"/>
        </w:rPr>
        <w:t>　</w:t>
      </w:r>
      <w:r>
        <w:rPr>
          <w:rFonts w:hint="eastAsia" w:hAnsi="Times New Roman"/>
          <w:color w:val="auto"/>
          <w:highlight w:val="none"/>
          <w:lang w:eastAsia="zh-CN"/>
        </w:rPr>
        <w:t>涂料应有生产厂家出厂质量检验报告及产品说明书，在产品说明书中应明确规定产品的质量指标、工艺要求及储存条件和储存期限。检验报告中的检验项目及结果应符合本章</w:t>
      </w:r>
      <w:r>
        <w:rPr>
          <w:rFonts w:hAnsi="Times New Roman"/>
          <w:bCs/>
          <w:color w:val="auto"/>
          <w:highlight w:val="none"/>
          <w:lang w:eastAsia="zh-CN"/>
        </w:rPr>
        <w:t>14.10.2</w:t>
      </w:r>
      <w:r>
        <w:rPr>
          <w:rFonts w:hint="eastAsia" w:hAnsi="Times New Roman"/>
          <w:color w:val="auto"/>
          <w:highlight w:val="none"/>
          <w:lang w:eastAsia="zh-CN"/>
        </w:rPr>
        <w:t>的规定。当用户有要求时，应向用户提供有效期内的检测报告。</w:t>
      </w:r>
    </w:p>
    <w:p w14:paraId="383769F9">
      <w:pPr>
        <w:pStyle w:val="5"/>
        <w:jc w:val="left"/>
        <w:rPr>
          <w:rFonts w:hAnsi="Times New Roman"/>
          <w:color w:val="auto"/>
          <w:highlight w:val="none"/>
          <w:lang w:eastAsia="zh-CN"/>
        </w:rPr>
      </w:pPr>
      <w:r>
        <w:rPr>
          <w:rFonts w:hAnsi="Times New Roman"/>
          <w:bCs/>
          <w:color w:val="auto"/>
          <w:highlight w:val="none"/>
          <w:lang w:eastAsia="zh-CN"/>
        </w:rPr>
        <w:t>14.11.4</w:t>
      </w:r>
      <w:r>
        <w:rPr>
          <w:rFonts w:hint="eastAsia" w:hAnsi="Times New Roman"/>
          <w:bCs/>
          <w:color w:val="auto"/>
          <w:highlight w:val="none"/>
          <w:lang w:eastAsia="zh-CN"/>
        </w:rPr>
        <w:t>　</w:t>
      </w:r>
      <w:r>
        <w:rPr>
          <w:rFonts w:hint="eastAsia" w:hAnsi="Times New Roman"/>
          <w:color w:val="auto"/>
          <w:highlight w:val="none"/>
          <w:lang w:eastAsia="zh-CN"/>
        </w:rPr>
        <w:t>输水管道内防腐层所用涂料的性能指标除应符合本章14.10.2的规定外，还应符合国家现行的《生活饮用水卫生监督管理办法》的有关要求。其化学检验指标和毒理学检验指标应符合《生活饮用水卫生标准》GB5749的规定，并应提供国家卫生主管部门的认可证件。</w:t>
      </w:r>
    </w:p>
    <w:p w14:paraId="3D311D7A">
      <w:pPr>
        <w:pStyle w:val="5"/>
        <w:jc w:val="left"/>
        <w:rPr>
          <w:rFonts w:hAnsi="Times New Roman"/>
          <w:color w:val="auto"/>
          <w:highlight w:val="none"/>
          <w:lang w:eastAsia="zh-CN"/>
        </w:rPr>
      </w:pPr>
      <w:r>
        <w:rPr>
          <w:rFonts w:hAnsi="Times New Roman"/>
          <w:bCs/>
          <w:color w:val="auto"/>
          <w:highlight w:val="none"/>
          <w:lang w:eastAsia="zh-CN"/>
        </w:rPr>
        <w:t>14.11.5</w:t>
      </w:r>
      <w:r>
        <w:rPr>
          <w:rFonts w:hint="eastAsia" w:hAnsi="Times New Roman"/>
          <w:bCs/>
          <w:color w:val="auto"/>
          <w:highlight w:val="none"/>
          <w:lang w:eastAsia="zh-CN"/>
        </w:rPr>
        <w:t>　</w:t>
      </w:r>
      <w:r>
        <w:rPr>
          <w:rFonts w:hint="eastAsia" w:hAnsi="Times New Roman"/>
          <w:color w:val="auto"/>
          <w:highlight w:val="none"/>
          <w:lang w:eastAsia="zh-CN"/>
        </w:rPr>
        <w:t>涂料检验应按《涂料产品的取样》GB3186的规定取样。涂料用户应结合涂料所附检验报告按本章14.10.2的规定对防腐涂料进行检验或验证；对涂料的其它性能有怀疑时，亦应进行检验，其性能指标应符合本章14.10.2的规定。若不合格，应加倍取样重新检验；如仍不合格，则该批涂料为不合格，不得使用。</w:t>
      </w:r>
    </w:p>
    <w:p w14:paraId="6B0DFCB7">
      <w:pPr>
        <w:pStyle w:val="5"/>
        <w:jc w:val="left"/>
        <w:rPr>
          <w:rFonts w:hAnsi="Times New Roman"/>
          <w:color w:val="auto"/>
          <w:highlight w:val="none"/>
          <w:lang w:eastAsia="zh-CN"/>
        </w:rPr>
      </w:pPr>
      <w:r>
        <w:rPr>
          <w:rFonts w:hAnsi="Times New Roman"/>
          <w:bCs/>
          <w:color w:val="auto"/>
          <w:highlight w:val="none"/>
          <w:lang w:eastAsia="zh-CN"/>
        </w:rPr>
        <w:t>14.11.6</w:t>
      </w:r>
      <w:r>
        <w:rPr>
          <w:rFonts w:hint="eastAsia" w:hAnsi="Times New Roman"/>
          <w:bCs/>
          <w:color w:val="auto"/>
          <w:highlight w:val="none"/>
          <w:lang w:eastAsia="zh-CN"/>
        </w:rPr>
        <w:t>　</w:t>
      </w:r>
      <w:r>
        <w:rPr>
          <w:rFonts w:hint="eastAsia" w:hAnsi="Times New Roman"/>
          <w:color w:val="auto"/>
          <w:highlight w:val="none"/>
          <w:lang w:eastAsia="zh-CN"/>
        </w:rPr>
        <w:t>施工后的涂层应具有良好的光滑度，摩阻小，抗磨损，并能阻止微生物或藻类的滋生。内防腐完成后的管道内壁粗糙系数应≤0.0105。</w:t>
      </w:r>
    </w:p>
    <w:p w14:paraId="7B5BFBE1">
      <w:pPr>
        <w:pStyle w:val="5"/>
        <w:jc w:val="left"/>
        <w:rPr>
          <w:rFonts w:hAnsi="Times New Roman"/>
          <w:bCs/>
          <w:color w:val="auto"/>
          <w:highlight w:val="none"/>
          <w:lang w:eastAsia="zh-CN"/>
        </w:rPr>
      </w:pPr>
      <w:r>
        <w:rPr>
          <w:rFonts w:hAnsi="Times New Roman"/>
          <w:bCs/>
          <w:color w:val="auto"/>
          <w:highlight w:val="none"/>
          <w:lang w:eastAsia="zh-CN"/>
        </w:rPr>
        <w:t>14.11.7</w:t>
      </w:r>
      <w:r>
        <w:rPr>
          <w:rFonts w:hint="eastAsia" w:hAnsi="Times New Roman"/>
          <w:bCs/>
          <w:color w:val="auto"/>
          <w:highlight w:val="none"/>
          <w:lang w:eastAsia="zh-CN"/>
        </w:rPr>
        <w:t>　涂装工艺措施</w:t>
      </w:r>
    </w:p>
    <w:p w14:paraId="078EA243">
      <w:pPr>
        <w:ind w:firstLine="420"/>
        <w:jc w:val="left"/>
        <w:rPr>
          <w:rFonts w:hAnsi="Times New Roman"/>
          <w:bCs/>
          <w:color w:val="auto"/>
          <w:highlight w:val="none"/>
          <w:lang w:eastAsia="zh-CN"/>
        </w:rPr>
      </w:pPr>
      <w:r>
        <w:rPr>
          <w:rFonts w:hint="eastAsia" w:hAnsi="Times New Roman"/>
          <w:bCs/>
          <w:color w:val="auto"/>
          <w:highlight w:val="none"/>
          <w:lang w:eastAsia="zh-CN"/>
        </w:rPr>
        <w:t>承包人应在涂装作业前21天，提交涂装工艺措施给监理人。涂装工艺措施应详细说明各种涂装材料的施涂方法、使用设备、质量检验和涂装缺陷修补措施等。</w:t>
      </w:r>
    </w:p>
    <w:p w14:paraId="72CA396C">
      <w:pPr>
        <w:pStyle w:val="5"/>
        <w:jc w:val="left"/>
        <w:rPr>
          <w:rFonts w:hAnsi="Times New Roman"/>
          <w:bCs/>
          <w:color w:val="auto"/>
          <w:highlight w:val="none"/>
          <w:lang w:eastAsia="zh-CN"/>
        </w:rPr>
      </w:pPr>
      <w:r>
        <w:rPr>
          <w:rFonts w:hAnsi="Times New Roman"/>
          <w:bCs/>
          <w:color w:val="auto"/>
          <w:highlight w:val="none"/>
          <w:lang w:eastAsia="zh-CN"/>
        </w:rPr>
        <w:t>14.11.8</w:t>
      </w:r>
      <w:r>
        <w:rPr>
          <w:rFonts w:hint="eastAsia" w:hAnsi="Times New Roman"/>
          <w:bCs/>
          <w:color w:val="auto"/>
          <w:highlight w:val="none"/>
          <w:lang w:eastAsia="zh-CN"/>
        </w:rPr>
        <w:t>　表面预处理</w:t>
      </w:r>
    </w:p>
    <w:p w14:paraId="0601BF2C">
      <w:pPr>
        <w:ind w:firstLine="420"/>
        <w:jc w:val="left"/>
        <w:rPr>
          <w:rFonts w:hAnsi="Times New Roman"/>
          <w:bCs/>
          <w:color w:val="auto"/>
          <w:highlight w:val="none"/>
          <w:lang w:eastAsia="zh-CN"/>
        </w:rPr>
      </w:pPr>
      <w:r>
        <w:rPr>
          <w:rFonts w:hint="eastAsia" w:hAnsi="Times New Roman"/>
          <w:bCs/>
          <w:color w:val="auto"/>
          <w:highlight w:val="none"/>
          <w:lang w:eastAsia="zh-CN"/>
        </w:rPr>
        <w:t>混凝土表面涂装前，必须进行表面预处理。处理方法应按照现行规范《无溶剂环氧液体涂料的防腐蚀涂装》（GB/T31361）第7.2条的要求进行。</w:t>
      </w:r>
    </w:p>
    <w:p w14:paraId="68E1644D">
      <w:pPr>
        <w:pStyle w:val="5"/>
        <w:jc w:val="left"/>
        <w:rPr>
          <w:rFonts w:hAnsi="Times New Roman"/>
          <w:bCs/>
          <w:color w:val="auto"/>
          <w:highlight w:val="none"/>
          <w:lang w:eastAsia="zh-CN"/>
        </w:rPr>
      </w:pPr>
      <w:r>
        <w:rPr>
          <w:rFonts w:hAnsi="Times New Roman"/>
          <w:bCs/>
          <w:color w:val="auto"/>
          <w:highlight w:val="none"/>
          <w:lang w:eastAsia="zh-CN"/>
        </w:rPr>
        <w:t>14.11.9</w:t>
      </w:r>
      <w:r>
        <w:rPr>
          <w:rFonts w:hint="eastAsia" w:hAnsi="Times New Roman"/>
          <w:bCs/>
          <w:color w:val="auto"/>
          <w:highlight w:val="none"/>
          <w:lang w:eastAsia="zh-CN"/>
        </w:rPr>
        <w:t>　涂装施工、修补</w:t>
      </w:r>
    </w:p>
    <w:p w14:paraId="54A83432">
      <w:pPr>
        <w:ind w:firstLine="420"/>
        <w:jc w:val="left"/>
        <w:rPr>
          <w:rFonts w:hAnsi="Times New Roman"/>
          <w:bCs/>
          <w:color w:val="auto"/>
          <w:highlight w:val="none"/>
          <w:lang w:eastAsia="zh-CN"/>
        </w:rPr>
      </w:pPr>
      <w:r>
        <w:rPr>
          <w:rFonts w:hint="eastAsia" w:hAnsi="Times New Roman"/>
          <w:bCs/>
          <w:color w:val="auto"/>
          <w:highlight w:val="none"/>
          <w:lang w:eastAsia="zh-CN"/>
        </w:rPr>
        <w:t>隧洞混凝土内衬的防腐涂装施工、修补应满足《无溶剂环氧液体涂料的防腐蚀涂装》（GB/T31361）第7.3条和第10.1条的要求。</w:t>
      </w:r>
    </w:p>
    <w:p w14:paraId="77DA31F4">
      <w:pPr>
        <w:pStyle w:val="5"/>
        <w:jc w:val="left"/>
        <w:rPr>
          <w:rFonts w:hAnsi="Times New Roman"/>
          <w:bCs/>
          <w:color w:val="auto"/>
          <w:highlight w:val="none"/>
          <w:lang w:eastAsia="zh-CN"/>
        </w:rPr>
      </w:pPr>
      <w:r>
        <w:rPr>
          <w:rFonts w:hAnsi="Times New Roman"/>
          <w:bCs/>
          <w:color w:val="auto"/>
          <w:highlight w:val="none"/>
          <w:lang w:eastAsia="zh-CN"/>
        </w:rPr>
        <w:t>14.11.10</w:t>
      </w:r>
      <w:r>
        <w:rPr>
          <w:rFonts w:hint="eastAsia" w:hAnsi="Times New Roman"/>
          <w:bCs/>
          <w:color w:val="auto"/>
          <w:highlight w:val="none"/>
          <w:lang w:eastAsia="zh-CN"/>
        </w:rPr>
        <w:t>　涂装质量检测</w:t>
      </w:r>
    </w:p>
    <w:p w14:paraId="2F604246">
      <w:pPr>
        <w:ind w:firstLine="420"/>
        <w:jc w:val="left"/>
        <w:rPr>
          <w:rFonts w:hAnsi="Times New Roman" w:cs="宋体"/>
          <w:color w:val="auto"/>
          <w:highlight w:val="none"/>
          <w:lang w:eastAsia="zh-CN"/>
        </w:rPr>
      </w:pPr>
      <w:r>
        <w:rPr>
          <w:rFonts w:hint="eastAsia" w:hAnsi="Times New Roman"/>
          <w:color w:val="auto"/>
          <w:highlight w:val="none"/>
          <w:lang w:eastAsia="zh-CN"/>
        </w:rPr>
        <w:t>隧洞混凝土内衬的防腐涂装质量检测应满足《无溶剂环氧液体涂料的防腐蚀涂装》（GB/T31361）等规范的要求。</w:t>
      </w:r>
    </w:p>
    <w:p w14:paraId="5B2D5FAC">
      <w:pPr>
        <w:pStyle w:val="4"/>
        <w:spacing w:beforeLines="0" w:afterLines="0"/>
        <w:jc w:val="both"/>
        <w:rPr>
          <w:rFonts w:hint="eastAsia" w:cs="宋体"/>
          <w:bCs/>
          <w:color w:val="auto"/>
          <w:szCs w:val="24"/>
          <w:highlight w:val="none"/>
          <w:lang w:eastAsia="zh-CN"/>
        </w:rPr>
      </w:pPr>
      <w:bookmarkStart w:id="2156" w:name="_Toc11559"/>
      <w:bookmarkStart w:id="2157" w:name="_Toc4331"/>
      <w:bookmarkStart w:id="2158" w:name="_Toc12716"/>
      <w:r>
        <w:rPr>
          <w:rFonts w:hint="eastAsia" w:cs="宋体"/>
          <w:bCs/>
          <w:color w:val="auto"/>
          <w:szCs w:val="24"/>
          <w:highlight w:val="none"/>
          <w:lang w:eastAsia="zh-CN"/>
        </w:rPr>
        <w:t>14.12　预制管片</w:t>
      </w:r>
      <w:bookmarkEnd w:id="2156"/>
      <w:bookmarkEnd w:id="2157"/>
      <w:bookmarkEnd w:id="2158"/>
    </w:p>
    <w:p w14:paraId="57FC9BBC">
      <w:pPr>
        <w:rPr>
          <w:rFonts w:hint="default"/>
          <w:color w:val="auto"/>
          <w:highlight w:val="none"/>
          <w:lang w:val="en-US" w:eastAsia="zh-CN"/>
        </w:rPr>
      </w:pPr>
      <w:r>
        <w:rPr>
          <w:rFonts w:hint="eastAsia" w:cs="宋体"/>
          <w:bCs/>
          <w:color w:val="auto"/>
          <w:szCs w:val="24"/>
          <w:highlight w:val="none"/>
          <w:lang w:val="en-US" w:eastAsia="zh-CN"/>
        </w:rPr>
        <w:t>本标段不涉及</w:t>
      </w:r>
    </w:p>
    <w:p w14:paraId="212EB76A">
      <w:pPr>
        <w:pStyle w:val="4"/>
        <w:spacing w:beforeLines="0" w:afterLines="0"/>
        <w:jc w:val="both"/>
        <w:rPr>
          <w:rFonts w:hint="eastAsia" w:cs="宋体"/>
          <w:bCs/>
          <w:color w:val="auto"/>
          <w:szCs w:val="24"/>
          <w:highlight w:val="none"/>
          <w:lang w:eastAsia="zh-CN"/>
        </w:rPr>
      </w:pPr>
      <w:bookmarkStart w:id="2159" w:name="_Toc1881"/>
      <w:bookmarkStart w:id="2160" w:name="_Toc2916"/>
      <w:bookmarkStart w:id="2161" w:name="_Toc14247"/>
      <w:r>
        <w:rPr>
          <w:rFonts w:hint="eastAsia" w:cs="宋体"/>
          <w:bCs/>
          <w:color w:val="auto"/>
          <w:szCs w:val="24"/>
          <w:highlight w:val="none"/>
          <w:lang w:eastAsia="zh-CN"/>
        </w:rPr>
        <w:t>14.13　计量和支付</w:t>
      </w:r>
      <w:bookmarkEnd w:id="2159"/>
      <w:bookmarkEnd w:id="2160"/>
      <w:bookmarkEnd w:id="2161"/>
    </w:p>
    <w:p w14:paraId="5E99DD27">
      <w:pPr>
        <w:pStyle w:val="5"/>
        <w:jc w:val="left"/>
        <w:rPr>
          <w:rFonts w:hAnsi="Times New Roman" w:cs="楷体"/>
          <w:color w:val="auto"/>
          <w:highlight w:val="none"/>
          <w:lang w:eastAsia="zh-CN"/>
        </w:rPr>
      </w:pPr>
      <w:r>
        <w:rPr>
          <w:rFonts w:hAnsi="Times New Roman" w:cs="Times New Roman"/>
          <w:color w:val="auto"/>
          <w:highlight w:val="none"/>
          <w:lang w:eastAsia="zh-CN"/>
        </w:rPr>
        <w:t>14.13.1</w:t>
      </w:r>
      <w:r>
        <w:rPr>
          <w:rFonts w:hint="eastAsia" w:hAnsi="Times New Roman" w:cs="Times New Roman"/>
          <w:color w:val="auto"/>
          <w:highlight w:val="none"/>
          <w:lang w:eastAsia="zh-CN"/>
        </w:rPr>
        <w:t>　</w:t>
      </w:r>
      <w:r>
        <w:rPr>
          <w:rFonts w:hint="eastAsia" w:hAnsi="Times New Roman" w:cs="楷体"/>
          <w:color w:val="auto"/>
          <w:highlight w:val="none"/>
          <w:lang w:eastAsia="zh-CN"/>
        </w:rPr>
        <w:t>模扳</w:t>
      </w:r>
    </w:p>
    <w:p w14:paraId="4B98CF0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）除合同另有约定外，现浇混凝土的模板全部费用，已包含在《工程量清单》相应混凝土或钢筋混凝土项目有效工程量的每立方米工程单价中，发包人不另行计量和支付。</w:t>
      </w:r>
    </w:p>
    <w:p w14:paraId="75F45EE9">
      <w:pPr>
        <w:pStyle w:val="5"/>
        <w:jc w:val="left"/>
        <w:rPr>
          <w:rFonts w:hAnsi="Times New Roman" w:cs="楷体"/>
          <w:color w:val="auto"/>
          <w:highlight w:val="none"/>
          <w:lang w:eastAsia="zh-CN"/>
        </w:rPr>
      </w:pPr>
      <w:r>
        <w:rPr>
          <w:rFonts w:hAnsi="Times New Roman" w:cs="Times New Roman"/>
          <w:color w:val="auto"/>
          <w:highlight w:val="none"/>
          <w:lang w:eastAsia="zh-CN"/>
        </w:rPr>
        <w:t>14.13.2</w:t>
      </w:r>
      <w:r>
        <w:rPr>
          <w:rFonts w:hint="eastAsia" w:hAnsi="Times New Roman" w:cs="Times New Roman"/>
          <w:color w:val="auto"/>
          <w:highlight w:val="none"/>
          <w:lang w:eastAsia="zh-CN"/>
        </w:rPr>
        <w:t>　</w:t>
      </w:r>
      <w:r>
        <w:rPr>
          <w:rFonts w:hint="eastAsia" w:hAnsi="Times New Roman" w:cs="楷体"/>
          <w:color w:val="auto"/>
          <w:highlight w:val="none"/>
          <w:lang w:eastAsia="zh-CN"/>
        </w:rPr>
        <w:t>钢筋及锚筋</w:t>
      </w:r>
    </w:p>
    <w:p w14:paraId="650A5B32">
      <w:pPr>
        <w:ind w:firstLine="0"/>
        <w:jc w:val="left"/>
        <w:rPr>
          <w:color w:val="auto"/>
          <w:highlight w:val="none"/>
          <w:lang w:eastAsia="zh-CN"/>
        </w:rPr>
      </w:pPr>
      <w:r>
        <w:rPr>
          <w:rFonts w:hint="eastAsia"/>
          <w:color w:val="auto"/>
          <w:highlight w:val="none"/>
          <w:lang w:eastAsia="zh-CN"/>
        </w:rPr>
        <w:t>钢筋按施工图纸所示钢筋强度等级、直径和长度计算的有效重量以吨为单位计量，由发包人按《工程量清单》相应项目有效工程量的每吨工程单价支付。施工架立筋、搭接、套筒连接、加工及安装过程中操作损耗等所需费用，均包含在《工程量清单》相应项目有效工程量的每吨工程单价中，发包人不另行支付。</w:t>
      </w:r>
    </w:p>
    <w:p w14:paraId="64ACCA45">
      <w:pPr>
        <w:ind w:firstLine="420"/>
        <w:jc w:val="left"/>
        <w:rPr>
          <w:color w:val="auto"/>
          <w:highlight w:val="none"/>
          <w:lang w:eastAsia="zh-CN"/>
        </w:rPr>
      </w:pPr>
      <w:r>
        <w:rPr>
          <w:rFonts w:hint="eastAsia"/>
          <w:color w:val="auto"/>
          <w:highlight w:val="none"/>
          <w:lang w:eastAsia="zh-CN"/>
        </w:rPr>
        <w:t>锚筋按施工图纸所示不同直径和长度以根为单位计量，由发包人按《工程量清单》相应项目有效工程量的每根单价支付。单价中应包含钻孔、锚筋制作加工、水泥砂浆拌和运输（或锚固剂购买和运输）、锚筋安装、埋设等所需费用，制作安装损耗及填塞用的水泥砂浆（或锚固剂）等施工附加量均包含在《工程量清单》相应项目有效工程量的每根单价中，发包人不另行支付。</w:t>
      </w:r>
    </w:p>
    <w:p w14:paraId="7140D333">
      <w:pPr>
        <w:pStyle w:val="5"/>
        <w:jc w:val="left"/>
        <w:rPr>
          <w:rFonts w:hAnsi="Times New Roman" w:cs="楷体"/>
          <w:color w:val="auto"/>
          <w:highlight w:val="none"/>
          <w:lang w:eastAsia="zh-CN"/>
        </w:rPr>
      </w:pPr>
      <w:r>
        <w:rPr>
          <w:rFonts w:hAnsi="Times New Roman" w:cs="Times New Roman"/>
          <w:color w:val="auto"/>
          <w:highlight w:val="none"/>
          <w:lang w:eastAsia="zh-CN"/>
        </w:rPr>
        <w:t>14.13.3</w:t>
      </w:r>
      <w:r>
        <w:rPr>
          <w:rFonts w:hint="eastAsia" w:hAnsi="Times New Roman" w:cs="Times New Roman"/>
          <w:color w:val="auto"/>
          <w:highlight w:val="none"/>
          <w:lang w:eastAsia="zh-CN"/>
        </w:rPr>
        <w:t>　</w:t>
      </w:r>
      <w:r>
        <w:rPr>
          <w:rFonts w:hint="eastAsia" w:hAnsi="Times New Roman" w:cs="楷体"/>
          <w:color w:val="auto"/>
          <w:highlight w:val="none"/>
          <w:lang w:eastAsia="zh-CN"/>
        </w:rPr>
        <w:t>普通混凝土</w:t>
      </w:r>
    </w:p>
    <w:p w14:paraId="0F34B76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）普通混凝土按施工图纸所示尺寸计算的有效体积以立方米为单位计量，由发包人按《工程量清单》相应项目有效工程量的每立方米工程单价支付。</w:t>
      </w:r>
    </w:p>
    <w:p w14:paraId="7C0C2734">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）混凝土有效工程量不扣除设计单体体积小于</w:t>
      </w:r>
      <w:r>
        <w:rPr>
          <w:rFonts w:hAnsi="Times New Roman" w:cs="Times New Roman"/>
          <w:color w:val="auto"/>
          <w:highlight w:val="none"/>
          <w:lang w:eastAsia="zh-CN"/>
        </w:rPr>
        <w:t>0.1m</w:t>
      </w:r>
      <w:r>
        <w:rPr>
          <w:rFonts w:hAnsi="Times New Roman" w:cs="Times New Roman"/>
          <w:color w:val="auto"/>
          <w:highlight w:val="none"/>
          <w:vertAlign w:val="superscript"/>
          <w:lang w:eastAsia="zh-CN"/>
        </w:rPr>
        <w:t>3</w:t>
      </w:r>
      <w:r>
        <w:rPr>
          <w:rFonts w:hint="eastAsia" w:hAnsi="Times New Roman" w:cs="宋体"/>
          <w:color w:val="auto"/>
          <w:highlight w:val="none"/>
          <w:lang w:eastAsia="zh-CN"/>
        </w:rPr>
        <w:t>的圆角或斜角，单体占用的空间体积小于</w:t>
      </w:r>
      <w:r>
        <w:rPr>
          <w:rFonts w:hAnsi="Times New Roman" w:cs="Times New Roman"/>
          <w:color w:val="auto"/>
          <w:highlight w:val="none"/>
          <w:lang w:eastAsia="zh-CN"/>
        </w:rPr>
        <w:t>0.1m</w:t>
      </w:r>
      <w:r>
        <w:rPr>
          <w:rFonts w:hAnsi="Times New Roman" w:cs="Times New Roman"/>
          <w:color w:val="auto"/>
          <w:highlight w:val="none"/>
          <w:vertAlign w:val="superscript"/>
          <w:lang w:eastAsia="zh-CN"/>
        </w:rPr>
        <w:t>3</w:t>
      </w:r>
      <w:r>
        <w:rPr>
          <w:rFonts w:hint="eastAsia" w:hAnsi="Times New Roman" w:cs="宋体"/>
          <w:color w:val="auto"/>
          <w:highlight w:val="none"/>
          <w:lang w:eastAsia="zh-CN"/>
        </w:rPr>
        <w:t>的钢筋和金属件，单体横截面积小于</w:t>
      </w:r>
      <w:r>
        <w:rPr>
          <w:rFonts w:hAnsi="Times New Roman" w:cs="Times New Roman"/>
          <w:color w:val="auto"/>
          <w:highlight w:val="none"/>
          <w:lang w:eastAsia="zh-CN"/>
        </w:rPr>
        <w:t>0.1m</w:t>
      </w:r>
      <w:r>
        <w:rPr>
          <w:rFonts w:hAnsi="Times New Roman" w:cs="Times New Roman"/>
          <w:color w:val="auto"/>
          <w:highlight w:val="none"/>
          <w:vertAlign w:val="superscript"/>
          <w:lang w:eastAsia="zh-CN"/>
        </w:rPr>
        <w:t>2</w:t>
      </w:r>
      <w:r>
        <w:rPr>
          <w:rFonts w:hint="eastAsia" w:hAnsi="Times New Roman" w:cs="宋体"/>
          <w:color w:val="auto"/>
          <w:highlight w:val="none"/>
          <w:lang w:eastAsia="zh-CN"/>
        </w:rPr>
        <w:t>的孔洞、排水管、预埋管和凹槽等所占的体积，按设计要求对上述孔洞回填的混凝土也不予计量。</w:t>
      </w:r>
    </w:p>
    <w:p w14:paraId="70CC8ADE">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不可预见地质原因超挖引起的超填工程量所发生的费用，由发包人按《工程量清单》相应项目或变更项目的每立方米工程单价支付。除此之外，同一承包人由于其他原因超挖引起的超填工程量和由此增加的其他工作所需的费用，均应包含在《工程量清单》相应项目有效工程量的每立方米工程单价中，发包人不另行支付。</w:t>
      </w:r>
    </w:p>
    <w:p w14:paraId="7620D22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）混凝土在冲（凿）毛、拌和、运输和浇筑过程中的操作损耗，以及为临时性施工措施增加的附加混凝土量所需的费用，应包含在《工程量清单》相应项目有效工程量的每立方米工程单价中，发包人不另行支付。</w:t>
      </w:r>
    </w:p>
    <w:p w14:paraId="4120A62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施工过程中，承包人按本合同技术条款规定进行的各项混凝土试验所需的费用（不包括以总价形式支付的混凝土配合比试验费），均包含在《工程量清单》相应项目有效工程量的每立方米工程单价中，发包人不另行支付。</w:t>
      </w:r>
    </w:p>
    <w:p w14:paraId="221E071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6</w:t>
      </w:r>
      <w:r>
        <w:rPr>
          <w:rFonts w:hint="eastAsia" w:hAnsi="Times New Roman" w:cs="宋体"/>
          <w:color w:val="auto"/>
          <w:highlight w:val="none"/>
          <w:lang w:eastAsia="zh-CN"/>
        </w:rPr>
        <w:t>）止水、止浆、伸缩缝等按施工图纸所示各种材料以米（或平方米）为单位计量，由发包人按《工程量清单》相应项目有效工程量的每米（或平方米）工程单价支付。</w:t>
      </w:r>
      <w:r>
        <w:rPr>
          <w:rFonts w:hint="eastAsia" w:hAnsi="Times New Roman"/>
          <w:color w:val="auto"/>
          <w:highlight w:val="none"/>
          <w:lang w:eastAsia="zh-CN"/>
        </w:rPr>
        <w:t>结构缝所填的沥青麻绳、沥青麻絮、密封膏等材料含在单价中，发包人不另行支付。</w:t>
      </w:r>
    </w:p>
    <w:p w14:paraId="63DC92E2">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int="eastAsia" w:hAnsi="Times New Roman" w:cs="宋体"/>
          <w:color w:val="auto"/>
          <w:highlight w:val="none"/>
          <w:lang w:val="en-US" w:eastAsia="zh-CN"/>
        </w:rPr>
        <w:t>7</w:t>
      </w:r>
      <w:r>
        <w:rPr>
          <w:rFonts w:hint="eastAsia" w:hAnsi="Times New Roman" w:cs="宋体"/>
          <w:color w:val="auto"/>
          <w:highlight w:val="none"/>
          <w:lang w:eastAsia="zh-CN"/>
        </w:rPr>
        <w:t>）隧洞施工缝按施工图纸所示工程量有效长度以米为单位计量，由发包人按《工程量清单》相应项目有效工程量的每米工程单价支付。其余混凝土的施工缝所需费用包含在混凝土单价中，不单独计量与支付。</w:t>
      </w:r>
    </w:p>
    <w:p w14:paraId="0DD19A46">
      <w:pPr>
        <w:ind w:firstLine="420"/>
        <w:jc w:val="left"/>
        <w:rPr>
          <w:rFonts w:hAnsi="Times New Roman"/>
          <w:color w:val="auto"/>
          <w:highlight w:val="none"/>
          <w:lang w:eastAsia="zh-CN"/>
        </w:rPr>
      </w:pPr>
      <w:r>
        <w:rPr>
          <w:rFonts w:hint="eastAsia" w:hAnsi="Times New Roman"/>
          <w:color w:val="auto"/>
          <w:highlight w:val="none"/>
          <w:lang w:eastAsia="zh-CN"/>
        </w:rPr>
        <w:t>（</w:t>
      </w:r>
      <w:r>
        <w:rPr>
          <w:rFonts w:hint="eastAsia" w:hAnsi="Times New Roman"/>
          <w:color w:val="auto"/>
          <w:highlight w:val="none"/>
          <w:lang w:val="en-US" w:eastAsia="zh-CN"/>
        </w:rPr>
        <w:t>8</w:t>
      </w:r>
      <w:r>
        <w:rPr>
          <w:rFonts w:hint="eastAsia" w:hAnsi="Times New Roman"/>
          <w:color w:val="auto"/>
          <w:highlight w:val="none"/>
          <w:lang w:eastAsia="zh-CN"/>
        </w:rPr>
        <w:t>）混凝土工程中的反滤包、排水管等费用由发包人按《工程量清单》相应项目有效工程量的单价支付。</w:t>
      </w:r>
    </w:p>
    <w:p w14:paraId="2CB82879">
      <w:pPr>
        <w:pStyle w:val="5"/>
        <w:jc w:val="left"/>
        <w:rPr>
          <w:rFonts w:hAnsi="Times New Roman" w:cs="楷体"/>
          <w:color w:val="auto"/>
          <w:highlight w:val="none"/>
          <w:lang w:eastAsia="zh-CN"/>
        </w:rPr>
      </w:pPr>
      <w:r>
        <w:rPr>
          <w:rFonts w:hAnsi="Times New Roman" w:cs="Times New Roman"/>
          <w:color w:val="auto"/>
          <w:highlight w:val="none"/>
          <w:lang w:eastAsia="zh-CN"/>
        </w:rPr>
        <w:t>14.13.4</w:t>
      </w:r>
      <w:r>
        <w:rPr>
          <w:rFonts w:hint="eastAsia" w:hAnsi="Times New Roman" w:cs="Times New Roman"/>
          <w:color w:val="auto"/>
          <w:highlight w:val="none"/>
          <w:lang w:eastAsia="zh-CN"/>
        </w:rPr>
        <w:t>　</w:t>
      </w:r>
      <w:r>
        <w:rPr>
          <w:rFonts w:hint="eastAsia" w:hAnsi="Times New Roman" w:cs="楷体"/>
          <w:color w:val="auto"/>
          <w:highlight w:val="none"/>
          <w:lang w:eastAsia="zh-CN"/>
        </w:rPr>
        <w:t>预制混凝土</w:t>
      </w:r>
    </w:p>
    <w:p w14:paraId="0319A140">
      <w:pPr>
        <w:ind w:firstLine="420"/>
        <w:jc w:val="left"/>
        <w:rPr>
          <w:rFonts w:hAnsi="Times New Roman" w:cs="宋体"/>
          <w:color w:val="auto"/>
          <w:highlight w:val="none"/>
          <w:lang w:eastAsia="zh-CN"/>
        </w:rPr>
      </w:pPr>
      <w:r>
        <w:rPr>
          <w:rFonts w:hint="eastAsia" w:hAnsi="Times New Roman" w:cs="宋体"/>
          <w:color w:val="auto"/>
          <w:highlight w:val="none"/>
          <w:lang w:val="en-US" w:eastAsia="zh-CN"/>
        </w:rPr>
        <w:t>本标段不涉及</w:t>
      </w:r>
      <w:r>
        <w:rPr>
          <w:rFonts w:hint="eastAsia" w:hAnsi="Times New Roman" w:cs="宋体"/>
          <w:color w:val="auto"/>
          <w:highlight w:val="none"/>
          <w:lang w:eastAsia="zh-CN"/>
        </w:rPr>
        <w:t>。</w:t>
      </w:r>
    </w:p>
    <w:p w14:paraId="6A520FF7">
      <w:pPr>
        <w:pStyle w:val="5"/>
        <w:jc w:val="left"/>
        <w:rPr>
          <w:rFonts w:hAnsi="Times New Roman" w:cs="楷体"/>
          <w:color w:val="auto"/>
          <w:highlight w:val="none"/>
          <w:lang w:eastAsia="zh-CN"/>
        </w:rPr>
      </w:pPr>
      <w:r>
        <w:rPr>
          <w:rFonts w:hAnsi="Times New Roman" w:cs="Times New Roman"/>
          <w:color w:val="auto"/>
          <w:highlight w:val="none"/>
          <w:lang w:eastAsia="zh-CN"/>
        </w:rPr>
        <w:t>14.13.5</w:t>
      </w:r>
      <w:r>
        <w:rPr>
          <w:rFonts w:hint="eastAsia" w:hAnsi="Times New Roman" w:cs="Times New Roman"/>
          <w:color w:val="auto"/>
          <w:highlight w:val="none"/>
          <w:lang w:eastAsia="zh-CN"/>
        </w:rPr>
        <w:t>　</w:t>
      </w:r>
      <w:r>
        <w:rPr>
          <w:rFonts w:hint="eastAsia" w:hAnsi="Times New Roman" w:cs="楷体"/>
          <w:color w:val="auto"/>
          <w:highlight w:val="none"/>
          <w:lang w:eastAsia="zh-CN"/>
        </w:rPr>
        <w:t>预应力混凝土</w:t>
      </w:r>
    </w:p>
    <w:p w14:paraId="1BDFF0E1">
      <w:pPr>
        <w:ind w:firstLine="420"/>
        <w:jc w:val="left"/>
        <w:rPr>
          <w:rFonts w:hAnsi="Times New Roman" w:cs="宋体"/>
          <w:color w:val="auto"/>
          <w:highlight w:val="none"/>
          <w:lang w:eastAsia="zh-CN"/>
        </w:rPr>
      </w:pPr>
      <w:r>
        <w:rPr>
          <w:rFonts w:hint="eastAsia" w:hAnsi="Times New Roman" w:cs="宋体"/>
          <w:color w:val="auto"/>
          <w:highlight w:val="none"/>
          <w:lang w:val="en-US" w:eastAsia="zh-CN"/>
        </w:rPr>
        <w:t>本标段不涉及</w:t>
      </w:r>
      <w:r>
        <w:rPr>
          <w:rFonts w:hint="eastAsia" w:hAnsi="Times New Roman"/>
          <w:color w:val="auto"/>
          <w:highlight w:val="none"/>
          <w:lang w:eastAsia="zh-CN"/>
        </w:rPr>
        <w:t>。</w:t>
      </w:r>
    </w:p>
    <w:p w14:paraId="21F8CD2A">
      <w:pPr>
        <w:pStyle w:val="5"/>
        <w:jc w:val="left"/>
        <w:rPr>
          <w:rFonts w:hAnsi="Times New Roman" w:cs="楷体"/>
          <w:color w:val="auto"/>
          <w:highlight w:val="none"/>
          <w:lang w:eastAsia="zh-CN"/>
        </w:rPr>
      </w:pPr>
      <w:r>
        <w:rPr>
          <w:rFonts w:hAnsi="Times New Roman" w:cs="Times New Roman"/>
          <w:color w:val="auto"/>
          <w:highlight w:val="none"/>
          <w:lang w:eastAsia="zh-CN"/>
        </w:rPr>
        <w:t>14.13.7</w:t>
      </w:r>
      <w:r>
        <w:rPr>
          <w:rFonts w:hint="eastAsia" w:hAnsi="Times New Roman" w:cs="Times New Roman"/>
          <w:color w:val="auto"/>
          <w:highlight w:val="none"/>
          <w:lang w:eastAsia="zh-CN"/>
        </w:rPr>
        <w:t>　</w:t>
      </w:r>
      <w:r>
        <w:rPr>
          <w:rFonts w:hint="eastAsia" w:hAnsi="Times New Roman" w:cs="楷体"/>
          <w:color w:val="auto"/>
          <w:highlight w:val="none"/>
          <w:lang w:eastAsia="zh-CN"/>
        </w:rPr>
        <w:t>碾压混凝土</w:t>
      </w:r>
    </w:p>
    <w:p w14:paraId="74F5DF90">
      <w:pPr>
        <w:ind w:firstLine="420"/>
        <w:jc w:val="left"/>
        <w:rPr>
          <w:rFonts w:hAnsi="Times New Roman" w:cs="宋体"/>
          <w:color w:val="auto"/>
          <w:highlight w:val="none"/>
          <w:lang w:eastAsia="zh-CN"/>
        </w:rPr>
      </w:pPr>
      <w:r>
        <w:rPr>
          <w:rFonts w:hint="eastAsia" w:hAnsi="Times New Roman" w:cs="宋体"/>
          <w:color w:val="auto"/>
          <w:highlight w:val="none"/>
          <w:lang w:val="en-US" w:eastAsia="zh-CN"/>
        </w:rPr>
        <w:t>本标段不涉及</w:t>
      </w:r>
      <w:r>
        <w:rPr>
          <w:rFonts w:hint="eastAsia" w:hAnsi="Times New Roman" w:cs="宋体"/>
          <w:color w:val="auto"/>
          <w:highlight w:val="none"/>
          <w:lang w:eastAsia="zh-CN"/>
        </w:rPr>
        <w:t>。</w:t>
      </w:r>
    </w:p>
    <w:p w14:paraId="56B5DEC5">
      <w:pPr>
        <w:pStyle w:val="5"/>
        <w:jc w:val="left"/>
        <w:rPr>
          <w:rFonts w:hAnsi="Times New Roman"/>
          <w:color w:val="auto"/>
          <w:highlight w:val="none"/>
          <w:lang w:eastAsia="zh-CN"/>
        </w:rPr>
      </w:pPr>
      <w:r>
        <w:rPr>
          <w:rFonts w:hAnsi="Times New Roman"/>
          <w:color w:val="auto"/>
          <w:highlight w:val="none"/>
          <w:lang w:eastAsia="zh-CN"/>
        </w:rPr>
        <w:t>14.12.8</w:t>
      </w:r>
      <w:r>
        <w:rPr>
          <w:rFonts w:hint="eastAsia" w:hAnsi="Times New Roman"/>
          <w:color w:val="auto"/>
          <w:highlight w:val="none"/>
          <w:lang w:eastAsia="zh-CN"/>
        </w:rPr>
        <w:t>　防腐表面涂装</w:t>
      </w:r>
    </w:p>
    <w:p w14:paraId="442A9EFF">
      <w:pPr>
        <w:ind w:firstLine="420"/>
        <w:jc w:val="left"/>
        <w:rPr>
          <w:rFonts w:hAnsi="Times New Roman"/>
          <w:color w:val="auto"/>
          <w:highlight w:val="none"/>
          <w:lang w:eastAsia="zh-CN"/>
        </w:rPr>
      </w:pPr>
      <w:r>
        <w:rPr>
          <w:rFonts w:hint="eastAsia" w:hAnsi="Times New Roman"/>
          <w:color w:val="auto"/>
          <w:highlight w:val="none"/>
          <w:lang w:eastAsia="zh-CN"/>
        </w:rPr>
        <w:t>（1）防腐表面涂装工程的计量按图纸所示的建筑物轮廓，并经监理人确认的工程量以平方米为单位计量，并按《工程量清单》所列项目的每平方米单价进行支付。</w:t>
      </w:r>
    </w:p>
    <w:p w14:paraId="4FE8824B">
      <w:pPr>
        <w:ind w:firstLine="420"/>
        <w:jc w:val="left"/>
        <w:rPr>
          <w:rFonts w:hAnsi="Times New Roman"/>
          <w:color w:val="auto"/>
          <w:highlight w:val="none"/>
          <w:lang w:eastAsia="zh-CN"/>
        </w:rPr>
      </w:pPr>
      <w:r>
        <w:rPr>
          <w:rFonts w:hint="eastAsia" w:hAnsi="Times New Roman"/>
          <w:color w:val="auto"/>
          <w:highlight w:val="none"/>
          <w:lang w:eastAsia="zh-CN"/>
        </w:rPr>
        <w:t>（2）防腐表面涂装施工前相关辅助工作（含基面处理），施工所用的各项材料的采购、运输、保管、试验、生产、养护以及质量检查和验收等所需的全部人工、材料及使用设备和设施等的一切费用均已包括在每平方米单价中。</w:t>
      </w:r>
    </w:p>
    <w:p w14:paraId="135071EC">
      <w:pPr>
        <w:pStyle w:val="5"/>
        <w:jc w:val="left"/>
        <w:rPr>
          <w:rFonts w:hAnsi="Times New Roman" w:cs="Times New Roman"/>
          <w:color w:val="auto"/>
          <w:highlight w:val="none"/>
          <w:lang w:eastAsia="zh-CN"/>
        </w:rPr>
      </w:pPr>
      <w:r>
        <w:rPr>
          <w:rFonts w:hAnsi="Times New Roman" w:cs="Times New Roman"/>
          <w:color w:val="auto"/>
          <w:highlight w:val="none"/>
          <w:lang w:eastAsia="zh-CN"/>
        </w:rPr>
        <w:t>14.12.10</w:t>
      </w:r>
      <w:r>
        <w:rPr>
          <w:rFonts w:hint="eastAsia" w:hAnsi="Times New Roman" w:cs="Times New Roman"/>
          <w:color w:val="auto"/>
          <w:highlight w:val="none"/>
          <w:lang w:eastAsia="zh-CN"/>
        </w:rPr>
        <w:t>　预制管片</w:t>
      </w:r>
    </w:p>
    <w:p w14:paraId="39F26577">
      <w:pPr>
        <w:suppressAutoHyphens/>
        <w:ind w:firstLine="420"/>
        <w:jc w:val="left"/>
        <w:rPr>
          <w:color w:val="auto"/>
          <w:highlight w:val="none"/>
          <w:lang w:eastAsia="zh-CN"/>
        </w:rPr>
      </w:pPr>
      <w:r>
        <w:rPr>
          <w:rFonts w:hint="eastAsia"/>
          <w:color w:val="auto"/>
          <w:highlight w:val="none"/>
          <w:lang w:eastAsia="zh-CN"/>
        </w:rPr>
        <w:t>预制管片（仰拱块、行车道）混凝土按施工图纸所示并经监理人确认的各型号管片尺寸计算的有效体积以m</w:t>
      </w:r>
      <w:r>
        <w:rPr>
          <w:rFonts w:cs="Times New Roman"/>
          <w:color w:val="auto"/>
          <w:highlight w:val="none"/>
          <w:vertAlign w:val="superscript"/>
          <w:lang w:eastAsia="zh-CN"/>
        </w:rPr>
        <w:t>3</w:t>
      </w:r>
      <w:r>
        <w:rPr>
          <w:rFonts w:hint="eastAsia"/>
          <w:color w:val="auto"/>
          <w:highlight w:val="none"/>
          <w:lang w:eastAsia="zh-CN"/>
        </w:rPr>
        <w:t>为单位计量，并按《工程量清单》所列项目的单价支付。预制管片的混凝土单价包括原材料的采购（加工）、运输、储存，模具的制作（包括试生产、试拼装）、搬运和架设，管片混凝土浇筑、养护、检验（包括水平拼装）、堆放、运输、安装（包括试拼装）等所需的全部人工、材料及使用设备和辅助设施以及试验检验和验收等一切费用。</w:t>
      </w:r>
    </w:p>
    <w:p w14:paraId="4B8A1CDA">
      <w:pPr>
        <w:suppressAutoHyphens/>
        <w:ind w:firstLine="420"/>
        <w:jc w:val="left"/>
        <w:rPr>
          <w:color w:val="auto"/>
          <w:highlight w:val="none"/>
          <w:lang w:eastAsia="zh-CN"/>
        </w:rPr>
      </w:pPr>
      <w:r>
        <w:rPr>
          <w:rFonts w:hint="eastAsia"/>
          <w:color w:val="auto"/>
          <w:highlight w:val="none"/>
          <w:lang w:eastAsia="zh-CN"/>
        </w:rPr>
        <w:t>（2）预制管片的钢筋以t计量支付。</w:t>
      </w:r>
    </w:p>
    <w:p w14:paraId="6648A93D">
      <w:pPr>
        <w:suppressAutoHyphens/>
        <w:ind w:firstLine="420"/>
        <w:jc w:val="left"/>
        <w:rPr>
          <w:color w:val="auto"/>
          <w:highlight w:val="none"/>
          <w:lang w:eastAsia="zh-CN"/>
        </w:rPr>
      </w:pPr>
      <w:r>
        <w:rPr>
          <w:rFonts w:hint="eastAsia"/>
          <w:color w:val="auto"/>
          <w:highlight w:val="none"/>
          <w:lang w:eastAsia="zh-CN"/>
        </w:rPr>
        <w:t>（3）预制管片内PVC管等预埋件的采购、运输、埋置等所需的全部费用，包含在《工程量清单》相应的混凝土单价中，发包人不另行支付。</w:t>
      </w:r>
    </w:p>
    <w:p w14:paraId="1A6C7502">
      <w:pPr>
        <w:suppressAutoHyphens/>
        <w:ind w:firstLine="420"/>
        <w:jc w:val="left"/>
        <w:rPr>
          <w:color w:val="auto"/>
          <w:highlight w:val="none"/>
          <w:lang w:eastAsia="zh-CN"/>
        </w:rPr>
      </w:pPr>
      <w:r>
        <w:rPr>
          <w:rFonts w:hint="eastAsia"/>
          <w:color w:val="auto"/>
          <w:highlight w:val="none"/>
          <w:lang w:eastAsia="zh-CN"/>
        </w:rPr>
        <w:t>（4）承包人完成预制管片的吊装、运输、就位、固定、填缝灌浆、外露钢筋防腐蚀和除锈、复检等工作所需的费用，包含在《工程量清单》相应的混凝土单价中，发包人不另行支付。</w:t>
      </w:r>
    </w:p>
    <w:p w14:paraId="3FDAECDF">
      <w:pPr>
        <w:suppressAutoHyphens/>
        <w:ind w:firstLine="420"/>
        <w:jc w:val="left"/>
        <w:rPr>
          <w:color w:val="auto"/>
          <w:highlight w:val="none"/>
          <w:lang w:eastAsia="zh-CN"/>
        </w:rPr>
      </w:pPr>
      <w:r>
        <w:rPr>
          <w:rFonts w:hint="eastAsia"/>
          <w:color w:val="auto"/>
          <w:highlight w:val="none"/>
          <w:lang w:eastAsia="zh-CN"/>
        </w:rPr>
        <w:t>（5）预制管片拼装所需的</w:t>
      </w:r>
      <w:r>
        <w:rPr>
          <w:rFonts w:hint="eastAsia" w:cs="宋体"/>
          <w:color w:val="auto"/>
          <w:highlight w:val="none"/>
          <w:lang w:eastAsia="zh-CN"/>
        </w:rPr>
        <w:t>管片定位棒、丁腈软木衬垫等材料的</w:t>
      </w:r>
      <w:r>
        <w:rPr>
          <w:rFonts w:hint="eastAsia"/>
          <w:color w:val="auto"/>
          <w:highlight w:val="none"/>
          <w:lang w:eastAsia="zh-CN"/>
        </w:rPr>
        <w:t>采购、运输、安装等所需的全部费用，包含在《工程量清单》相应的混凝土单价中，发包人不另行支付。</w:t>
      </w:r>
    </w:p>
    <w:p w14:paraId="48173E05">
      <w:pPr>
        <w:suppressAutoHyphens/>
        <w:ind w:firstLine="420"/>
        <w:jc w:val="left"/>
        <w:rPr>
          <w:color w:val="auto"/>
          <w:highlight w:val="none"/>
          <w:lang w:eastAsia="zh-CN"/>
        </w:rPr>
      </w:pPr>
      <w:r>
        <w:rPr>
          <w:rFonts w:hint="eastAsia"/>
          <w:color w:val="auto"/>
          <w:highlight w:val="none"/>
          <w:lang w:eastAsia="zh-CN"/>
        </w:rPr>
        <w:t>（6）预制管片（抗硫酸盐混凝土）无溶剂环氧液体涂层的采购、运输、喷涂等所需的全部费用，按《工程量清单》所列出的项目按每m</w:t>
      </w:r>
      <w:r>
        <w:rPr>
          <w:rFonts w:cs="Times New Roman"/>
          <w:color w:val="auto"/>
          <w:highlight w:val="none"/>
          <w:vertAlign w:val="superscript"/>
          <w:lang w:eastAsia="zh-CN"/>
        </w:rPr>
        <w:t>2</w:t>
      </w:r>
      <w:r>
        <w:rPr>
          <w:rFonts w:hint="eastAsia"/>
          <w:color w:val="auto"/>
          <w:highlight w:val="none"/>
          <w:lang w:eastAsia="zh-CN"/>
        </w:rPr>
        <w:t>单价支付。</w:t>
      </w:r>
    </w:p>
    <w:p w14:paraId="35936346">
      <w:pPr>
        <w:ind w:firstLine="420"/>
        <w:jc w:val="left"/>
        <w:rPr>
          <w:color w:val="auto"/>
          <w:highlight w:val="none"/>
          <w:lang w:eastAsia="zh-CN"/>
        </w:rPr>
      </w:pPr>
      <w:r>
        <w:rPr>
          <w:rFonts w:hint="eastAsia"/>
          <w:color w:val="auto"/>
          <w:highlight w:val="none"/>
          <w:lang w:eastAsia="zh-CN"/>
        </w:rPr>
        <w:t>（7）以监理人审批的设计文件所示工程量为依据，预制管片的三元乙丙橡胶密封垫、遇水膨胀橡胶止水条按《工程量清单》列出的项目按每延米单价支付；连接螺栓按《工程量清单》所列出的项目按每套单价支付；封孔环氧砂浆、聚硫密封胶按《工程量清单》所列出的项目按每m</w:t>
      </w:r>
      <w:r>
        <w:rPr>
          <w:rFonts w:cs="Times New Roman"/>
          <w:color w:val="auto"/>
          <w:highlight w:val="none"/>
          <w:vertAlign w:val="superscript"/>
          <w:lang w:eastAsia="zh-CN"/>
        </w:rPr>
        <w:t>3</w:t>
      </w:r>
      <w:r>
        <w:rPr>
          <w:rFonts w:hint="eastAsia"/>
          <w:color w:val="auto"/>
          <w:highlight w:val="none"/>
          <w:lang w:eastAsia="zh-CN"/>
        </w:rPr>
        <w:t>单价支付。以上各材料的单价包括采购、运输、存储、加工，安装、保护、检测检验以及质量检查和验收等所需的全部人工、设备、辅助设施及其它所必需的一切费用。</w:t>
      </w:r>
    </w:p>
    <w:p w14:paraId="29565CFE">
      <w:pPr>
        <w:suppressAutoHyphens/>
        <w:ind w:firstLine="420"/>
        <w:jc w:val="left"/>
        <w:rPr>
          <w:color w:val="auto"/>
          <w:highlight w:val="none"/>
          <w:lang w:eastAsia="zh-CN"/>
        </w:rPr>
      </w:pPr>
      <w:r>
        <w:rPr>
          <w:rFonts w:hint="eastAsia"/>
          <w:color w:val="auto"/>
          <w:highlight w:val="none"/>
          <w:lang w:eastAsia="zh-CN"/>
        </w:rPr>
        <w:t>（8）豆砾石吹填与壁后灌浆应按施工图纸所示吹填与灌浆区域，根据顶拱、底拱和左右边墙4组取样点结石体的平均厚度形成的圆环面积再乘以检查孔代表验收合格长度所得的体积，扣除计量区段底部回填的速凝水泥砂浆图纸工程量后，按《工程量清单》相应项目每m</w:t>
      </w:r>
      <w:r>
        <w:rPr>
          <w:rFonts w:cs="Times New Roman"/>
          <w:color w:val="auto"/>
          <w:highlight w:val="none"/>
          <w:vertAlign w:val="superscript"/>
          <w:lang w:eastAsia="zh-CN"/>
        </w:rPr>
        <w:t>3</w:t>
      </w:r>
      <w:r>
        <w:rPr>
          <w:rFonts w:hint="eastAsia"/>
          <w:color w:val="auto"/>
          <w:highlight w:val="none"/>
          <w:lang w:eastAsia="zh-CN"/>
        </w:rPr>
        <w:t>工程单价支付。豆砾石吹填与壁后灌浆的单价包括豆砾石、吹填、止浆环、灌浆孔及检查孔、试验孔、观测孔等各种辅助孔和测孔、清孔、维护等工作费用、水泥、掺和料、外加剂等材料的采购、运输、储存和保管费用，以及为实施全部管路埋设、灌浆作业所需的人工、材料、钻孔、使用设备和辅助设施以及各种试验、观测和质量检查（含质量检查孔钻孔、压水试验、物探法饱满度检测等）、验收等所需的一切费用。</w:t>
      </w:r>
    </w:p>
    <w:p w14:paraId="5FFB00A5">
      <w:pPr>
        <w:pStyle w:val="7"/>
        <w:ind w:firstLine="420"/>
        <w:jc w:val="left"/>
        <w:rPr>
          <w:color w:val="auto"/>
          <w:highlight w:val="none"/>
          <w:lang w:eastAsia="zh-CN"/>
        </w:rPr>
      </w:pPr>
      <w:r>
        <w:rPr>
          <w:rFonts w:hint="eastAsia"/>
          <w:color w:val="auto"/>
          <w:highlight w:val="none"/>
          <w:lang w:eastAsia="zh-CN"/>
        </w:rPr>
        <w:t>（9）预制管片底部回填的M</w:t>
      </w:r>
      <w:r>
        <w:rPr>
          <w:color w:val="auto"/>
          <w:highlight w:val="none"/>
          <w:lang w:eastAsia="zh-CN"/>
        </w:rPr>
        <w:t>20</w:t>
      </w:r>
      <w:r>
        <w:rPr>
          <w:rFonts w:hint="eastAsia"/>
          <w:color w:val="auto"/>
          <w:highlight w:val="none"/>
          <w:lang w:eastAsia="zh-CN"/>
        </w:rPr>
        <w:t>速凝水泥砂浆、仰拱块底部回填的C</w:t>
      </w:r>
      <w:r>
        <w:rPr>
          <w:color w:val="auto"/>
          <w:highlight w:val="none"/>
          <w:lang w:eastAsia="zh-CN"/>
        </w:rPr>
        <w:t>20</w:t>
      </w:r>
      <w:r>
        <w:rPr>
          <w:rFonts w:hint="eastAsia"/>
          <w:color w:val="auto"/>
          <w:highlight w:val="none"/>
          <w:lang w:eastAsia="zh-CN"/>
        </w:rPr>
        <w:t>无收缩速凝细石混凝土按施工图纸所示的回填区域面积，乘以监理人验收合格长度所得的体积，按《工程量清单》所列出的项目按每m</w:t>
      </w:r>
      <w:r>
        <w:rPr>
          <w:color w:val="auto"/>
          <w:highlight w:val="none"/>
          <w:vertAlign w:val="superscript"/>
          <w:lang w:eastAsia="zh-CN"/>
        </w:rPr>
        <w:t>3</w:t>
      </w:r>
      <w:r>
        <w:rPr>
          <w:rFonts w:hint="eastAsia"/>
          <w:color w:val="auto"/>
          <w:highlight w:val="none"/>
          <w:lang w:eastAsia="zh-CN"/>
        </w:rPr>
        <w:t>单价支付。速凝水泥砂浆、速凝细石混凝土的单价包括临时止浆、灌注孔及检查孔等各种辅助孔和测孔、清孔、维护等工作费用、水泥、骨料、掺和料、外加剂等材料的采购、运输、储存和保管费用，以及为实施灌注作业所需的人工、材料、钻孔、使用设备和辅助设施以及各种试验、观测和质量检查、验收等所需的一切费用。</w:t>
      </w:r>
    </w:p>
    <w:p w14:paraId="2E59B806">
      <w:pPr>
        <w:pStyle w:val="5"/>
        <w:jc w:val="left"/>
        <w:rPr>
          <w:rFonts w:hAnsi="Times New Roman"/>
          <w:color w:val="auto"/>
          <w:highlight w:val="none"/>
          <w:lang w:eastAsia="zh-CN"/>
        </w:rPr>
      </w:pPr>
      <w:r>
        <w:rPr>
          <w:rFonts w:hAnsi="Times New Roman" w:cs="Times New Roman"/>
          <w:color w:val="auto"/>
          <w:highlight w:val="none"/>
          <w:lang w:eastAsia="zh-CN"/>
        </w:rPr>
        <w:t>14.12.11</w:t>
      </w:r>
      <w:r>
        <w:rPr>
          <w:rFonts w:hint="eastAsia" w:hAnsi="Times New Roman" w:cs="Times New Roman"/>
          <w:color w:val="auto"/>
          <w:highlight w:val="none"/>
          <w:lang w:eastAsia="zh-CN"/>
        </w:rPr>
        <w:t>　其他</w:t>
      </w:r>
    </w:p>
    <w:p w14:paraId="2D7224D6">
      <w:pPr>
        <w:ind w:firstLine="420"/>
        <w:jc w:val="left"/>
        <w:rPr>
          <w:rFonts w:hAnsi="Times New Roman"/>
          <w:color w:val="auto"/>
          <w:highlight w:val="none"/>
          <w:lang w:eastAsia="zh-CN"/>
        </w:rPr>
      </w:pPr>
      <w:r>
        <w:rPr>
          <w:rFonts w:hint="eastAsia" w:hAnsi="Times New Roman" w:cs="宋体"/>
          <w:color w:val="auto"/>
          <w:highlight w:val="none"/>
          <w:lang w:eastAsia="zh-CN"/>
        </w:rPr>
        <w:t>（</w:t>
      </w:r>
      <w:r>
        <w:rPr>
          <w:rFonts w:hAnsi="Times New Roman"/>
          <w:color w:val="auto"/>
          <w:highlight w:val="none"/>
          <w:lang w:eastAsia="zh-CN"/>
        </w:rPr>
        <w:t>1</w:t>
      </w:r>
      <w:r>
        <w:rPr>
          <w:rFonts w:hint="eastAsia" w:hAnsi="Times New Roman" w:cs="宋体"/>
          <w:color w:val="auto"/>
          <w:highlight w:val="none"/>
          <w:lang w:eastAsia="zh-CN"/>
        </w:rPr>
        <w:t>）工程所需混凝土粗细骨料以及商品混凝土在商品市场购买，混凝土粗细骨料以及商品混凝土的运距由施工承包商自行现场踏勘确定，相应项目的单价不随运距的变化而变化。</w:t>
      </w:r>
    </w:p>
    <w:p w14:paraId="2B71992A">
      <w:pPr>
        <w:ind w:firstLine="420"/>
        <w:jc w:val="left"/>
        <w:rPr>
          <w:rFonts w:hAnsi="Times New Roman"/>
          <w:color w:val="auto"/>
          <w:highlight w:val="none"/>
          <w:lang w:eastAsia="zh-CN"/>
        </w:rPr>
      </w:pPr>
      <w:r>
        <w:rPr>
          <w:rFonts w:hint="eastAsia" w:hAnsi="Times New Roman" w:cs="宋体"/>
          <w:color w:val="auto"/>
          <w:highlight w:val="none"/>
          <w:lang w:eastAsia="zh-CN"/>
        </w:rPr>
        <w:t>（</w:t>
      </w:r>
      <w:r>
        <w:rPr>
          <w:rFonts w:hAnsi="Times New Roman"/>
          <w:color w:val="auto"/>
          <w:highlight w:val="none"/>
          <w:lang w:eastAsia="zh-CN"/>
        </w:rPr>
        <w:t>2</w:t>
      </w:r>
      <w:r>
        <w:rPr>
          <w:rFonts w:hint="eastAsia" w:hAnsi="Times New Roman" w:cs="宋体"/>
          <w:color w:val="auto"/>
          <w:highlight w:val="none"/>
          <w:lang w:eastAsia="zh-CN"/>
        </w:rPr>
        <w:t>）混凝土的级配、抗渗、抗冻等级应满足设计图纸的要求，其单价不随混凝土级配、抗渗、抗冻等级的变化而变化。</w:t>
      </w:r>
    </w:p>
    <w:p w14:paraId="67F60152">
      <w:pPr>
        <w:ind w:firstLine="420"/>
        <w:jc w:val="left"/>
        <w:rPr>
          <w:rFonts w:hAnsi="Times New Roman"/>
          <w:color w:val="auto"/>
          <w:highlight w:val="none"/>
          <w:lang w:eastAsia="zh-CN"/>
        </w:rPr>
      </w:pPr>
      <w:r>
        <w:rPr>
          <w:rFonts w:hint="eastAsia" w:hAnsi="Times New Roman" w:cs="宋体"/>
          <w:color w:val="auto"/>
          <w:highlight w:val="none"/>
          <w:lang w:eastAsia="zh-CN"/>
        </w:rPr>
        <w:t>（</w:t>
      </w:r>
      <w:r>
        <w:rPr>
          <w:rFonts w:hAnsi="Times New Roman"/>
          <w:color w:val="auto"/>
          <w:highlight w:val="none"/>
          <w:lang w:eastAsia="zh-CN"/>
        </w:rPr>
        <w:t>3</w:t>
      </w:r>
      <w:r>
        <w:rPr>
          <w:rFonts w:hint="eastAsia" w:hAnsi="Times New Roman" w:cs="宋体"/>
          <w:color w:val="auto"/>
          <w:highlight w:val="none"/>
          <w:lang w:eastAsia="zh-CN"/>
        </w:rPr>
        <w:t>）吊机的安拆、运行和维修等工作所需的一切费用，包含在《工程量清单》相应项目有效工程量的工程单价中，发包人不另行支付。</w:t>
      </w:r>
    </w:p>
    <w:p w14:paraId="5A67EB31">
      <w:pPr>
        <w:ind w:firstLine="420"/>
        <w:jc w:val="left"/>
        <w:rPr>
          <w:rFonts w:hAnsi="Times New Roman"/>
          <w:color w:val="auto"/>
          <w:highlight w:val="none"/>
          <w:lang w:eastAsia="zh-CN"/>
        </w:rPr>
      </w:pPr>
      <w:r>
        <w:rPr>
          <w:rFonts w:hint="eastAsia" w:hAnsi="Times New Roman" w:cs="宋体"/>
          <w:color w:val="auto"/>
          <w:highlight w:val="none"/>
          <w:lang w:eastAsia="zh-CN"/>
        </w:rPr>
        <w:t>（</w:t>
      </w:r>
      <w:r>
        <w:rPr>
          <w:rFonts w:hAnsi="Times New Roman"/>
          <w:color w:val="auto"/>
          <w:highlight w:val="none"/>
          <w:lang w:eastAsia="zh-CN"/>
        </w:rPr>
        <w:t>4</w:t>
      </w:r>
      <w:r>
        <w:rPr>
          <w:rFonts w:hint="eastAsia" w:hAnsi="Times New Roman" w:cs="宋体"/>
          <w:color w:val="auto"/>
          <w:highlight w:val="none"/>
          <w:lang w:eastAsia="zh-CN"/>
        </w:rPr>
        <w:t>）混凝土的单价应包括水泥、骨料、外加剂和粉煤灰等材料的供应和混凝土配合比试验、拌合、运输、浇筑、养护、温度控制、修整、质量检查和验收所需的人工、材料及使用设备和辅助设施，以及为确定正常损耗量所进行试验的一切费用。</w:t>
      </w:r>
    </w:p>
    <w:p w14:paraId="55D3902F">
      <w:pPr>
        <w:pStyle w:val="3"/>
        <w:spacing w:beforeLines="0" w:afterLines="0" w:line="360" w:lineRule="auto"/>
        <w:jc w:val="both"/>
        <w:outlineLvl w:val="1"/>
        <w:rPr>
          <w:rFonts w:hint="eastAsia" w:cs="宋体"/>
          <w:color w:val="auto"/>
          <w:sz w:val="30"/>
          <w:szCs w:val="30"/>
          <w:highlight w:val="none"/>
        </w:rPr>
      </w:pPr>
      <w:bookmarkStart w:id="2162" w:name="_Toc10791"/>
      <w:bookmarkStart w:id="2163" w:name="_Toc32095"/>
      <w:bookmarkStart w:id="2164" w:name="_Toc3103"/>
      <w:bookmarkStart w:id="2165" w:name="_Toc27629"/>
      <w:bookmarkStart w:id="2166" w:name="_Toc7413"/>
      <w:bookmarkStart w:id="2167" w:name="_Toc21347"/>
      <w:bookmarkStart w:id="2168" w:name="_Toc26319"/>
      <w:bookmarkStart w:id="2169" w:name="_Toc14625"/>
      <w:bookmarkStart w:id="2170" w:name="_Toc23501"/>
      <w:bookmarkStart w:id="2171" w:name="_Toc21192"/>
      <w:bookmarkStart w:id="2172" w:name="_Toc6208"/>
      <w:bookmarkStart w:id="2173" w:name="_Toc284"/>
      <w:bookmarkStart w:id="2174" w:name="_Toc2972"/>
      <w:bookmarkStart w:id="2175" w:name="_Toc6053"/>
      <w:bookmarkStart w:id="2176" w:name="_Toc18576"/>
      <w:r>
        <w:rPr>
          <w:rFonts w:hint="eastAsia" w:cs="宋体"/>
          <w:color w:val="auto"/>
          <w:sz w:val="30"/>
          <w:szCs w:val="30"/>
          <w:highlight w:val="none"/>
        </w:rPr>
        <w:t>15</w:t>
      </w:r>
      <w:r>
        <w:rPr>
          <w:rFonts w:hint="eastAsia" w:cs="宋体"/>
          <w:color w:val="auto"/>
          <w:sz w:val="30"/>
          <w:szCs w:val="30"/>
          <w:highlight w:val="none"/>
          <w:lang w:eastAsia="zh-CN"/>
        </w:rPr>
        <w:t>　</w:t>
      </w:r>
      <w:r>
        <w:rPr>
          <w:rFonts w:hint="eastAsia" w:cs="宋体"/>
          <w:color w:val="auto"/>
          <w:sz w:val="30"/>
          <w:szCs w:val="30"/>
          <w:highlight w:val="none"/>
        </w:rPr>
        <w:t>沥青混凝土工程</w:t>
      </w:r>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p>
    <w:p w14:paraId="26C76990">
      <w:pPr>
        <w:ind w:firstLine="420"/>
        <w:jc w:val="left"/>
        <w:rPr>
          <w:rFonts w:cs="宋体"/>
          <w:color w:val="auto"/>
          <w:highlight w:val="none"/>
          <w:lang w:eastAsia="zh-CN"/>
        </w:rPr>
      </w:pPr>
      <w:r>
        <w:rPr>
          <w:rFonts w:hint="eastAsia" w:cs="宋体"/>
          <w:color w:val="auto"/>
          <w:highlight w:val="none"/>
          <w:lang w:eastAsia="zh-CN"/>
        </w:rPr>
        <w:t>本标段不涉及沥青混凝土工程</w:t>
      </w:r>
      <w:r>
        <w:rPr>
          <w:rFonts w:cs="宋体"/>
          <w:color w:val="auto"/>
          <w:highlight w:val="none"/>
          <w:lang w:eastAsia="zh-CN"/>
        </w:rPr>
        <w:t>。</w:t>
      </w:r>
    </w:p>
    <w:p w14:paraId="2D7AFA45">
      <w:pPr>
        <w:pStyle w:val="3"/>
        <w:spacing w:beforeLines="0" w:afterLines="0" w:line="360" w:lineRule="auto"/>
        <w:jc w:val="both"/>
        <w:outlineLvl w:val="1"/>
        <w:rPr>
          <w:rFonts w:hint="eastAsia" w:cs="宋体"/>
          <w:color w:val="auto"/>
          <w:sz w:val="30"/>
          <w:szCs w:val="30"/>
          <w:highlight w:val="none"/>
        </w:rPr>
      </w:pPr>
      <w:bookmarkStart w:id="2177" w:name="_Toc17914"/>
      <w:bookmarkStart w:id="2178" w:name="_Toc23545"/>
      <w:bookmarkStart w:id="2179" w:name="_Toc1920"/>
      <w:bookmarkStart w:id="2180" w:name="_Toc4025"/>
      <w:bookmarkStart w:id="2181" w:name="_Toc3632"/>
      <w:bookmarkStart w:id="2182" w:name="_Toc30778"/>
      <w:bookmarkStart w:id="2183" w:name="_Toc24509"/>
      <w:bookmarkStart w:id="2184" w:name="_Toc21975"/>
      <w:bookmarkStart w:id="2185" w:name="_Toc8368"/>
      <w:bookmarkStart w:id="2186" w:name="_Toc31101"/>
      <w:bookmarkStart w:id="2187" w:name="_Toc14043"/>
      <w:bookmarkStart w:id="2188" w:name="_Toc10648"/>
      <w:bookmarkStart w:id="2189" w:name="_Toc16765"/>
      <w:bookmarkStart w:id="2190" w:name="_Toc13274"/>
      <w:bookmarkStart w:id="2191" w:name="_Toc25674"/>
      <w:r>
        <w:rPr>
          <w:rFonts w:hint="eastAsia" w:cs="宋体"/>
          <w:color w:val="auto"/>
          <w:sz w:val="30"/>
          <w:szCs w:val="30"/>
          <w:highlight w:val="none"/>
        </w:rPr>
        <w:t>16</w:t>
      </w:r>
      <w:r>
        <w:rPr>
          <w:rFonts w:hint="eastAsia" w:cs="宋体"/>
          <w:color w:val="auto"/>
          <w:sz w:val="30"/>
          <w:szCs w:val="30"/>
          <w:highlight w:val="none"/>
          <w:lang w:eastAsia="zh-CN"/>
        </w:rPr>
        <w:t>　</w:t>
      </w:r>
      <w:r>
        <w:rPr>
          <w:rFonts w:hint="eastAsia" w:cs="宋体"/>
          <w:color w:val="auto"/>
          <w:sz w:val="30"/>
          <w:szCs w:val="30"/>
          <w:highlight w:val="none"/>
        </w:rPr>
        <w:t>砌体工程</w:t>
      </w:r>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p>
    <w:p w14:paraId="1D3D2BF2">
      <w:pPr>
        <w:ind w:firstLine="420"/>
        <w:jc w:val="left"/>
        <w:rPr>
          <w:rFonts w:cs="宋体"/>
          <w:color w:val="auto"/>
          <w:highlight w:val="none"/>
          <w:lang w:eastAsia="zh-CN"/>
        </w:rPr>
      </w:pPr>
      <w:r>
        <w:rPr>
          <w:rFonts w:hint="eastAsia" w:cs="宋体"/>
          <w:color w:val="auto"/>
          <w:highlight w:val="none"/>
          <w:lang w:eastAsia="zh-CN"/>
        </w:rPr>
        <w:t>本标段不涉及砌体工程</w:t>
      </w:r>
      <w:r>
        <w:rPr>
          <w:rFonts w:cs="宋体"/>
          <w:color w:val="auto"/>
          <w:highlight w:val="none"/>
          <w:lang w:eastAsia="zh-CN"/>
        </w:rPr>
        <w:t>。</w:t>
      </w:r>
    </w:p>
    <w:p w14:paraId="4448C6BE">
      <w:pPr>
        <w:pStyle w:val="3"/>
        <w:spacing w:beforeLines="0" w:afterLines="0" w:line="360" w:lineRule="auto"/>
        <w:jc w:val="both"/>
        <w:outlineLvl w:val="1"/>
        <w:rPr>
          <w:rFonts w:hint="eastAsia" w:cs="宋体"/>
          <w:color w:val="auto"/>
          <w:sz w:val="30"/>
          <w:szCs w:val="30"/>
          <w:highlight w:val="none"/>
        </w:rPr>
      </w:pPr>
      <w:bookmarkStart w:id="2192" w:name="_Toc29968"/>
      <w:bookmarkStart w:id="2193" w:name="_Toc2999"/>
      <w:bookmarkStart w:id="2194" w:name="_Toc25645"/>
      <w:bookmarkStart w:id="2195" w:name="_Toc11250"/>
      <w:bookmarkStart w:id="2196" w:name="_Toc29944"/>
      <w:bookmarkStart w:id="2197" w:name="_Toc17420"/>
      <w:bookmarkStart w:id="2198" w:name="_Toc28864"/>
      <w:bookmarkStart w:id="2199" w:name="_Toc5449"/>
      <w:bookmarkStart w:id="2200" w:name="_Toc9081"/>
      <w:bookmarkStart w:id="2201" w:name="_Toc14295"/>
      <w:bookmarkStart w:id="2202" w:name="_Toc4662"/>
      <w:bookmarkStart w:id="2203" w:name="_Toc29766"/>
      <w:bookmarkStart w:id="2204" w:name="_Toc12707"/>
      <w:bookmarkStart w:id="2205" w:name="_Toc16409"/>
      <w:bookmarkStart w:id="2206" w:name="_Toc6672"/>
      <w:r>
        <w:rPr>
          <w:rFonts w:hint="eastAsia" w:cs="宋体"/>
          <w:color w:val="auto"/>
          <w:sz w:val="30"/>
          <w:szCs w:val="30"/>
          <w:highlight w:val="none"/>
        </w:rPr>
        <w:t>17</w:t>
      </w:r>
      <w:r>
        <w:rPr>
          <w:rFonts w:hint="eastAsia" w:cs="宋体"/>
          <w:color w:val="auto"/>
          <w:sz w:val="30"/>
          <w:szCs w:val="30"/>
          <w:highlight w:val="none"/>
          <w:lang w:eastAsia="zh-CN"/>
        </w:rPr>
        <w:t>　</w:t>
      </w:r>
      <w:r>
        <w:rPr>
          <w:rFonts w:hint="eastAsia" w:cs="宋体"/>
          <w:color w:val="auto"/>
          <w:sz w:val="30"/>
          <w:szCs w:val="30"/>
          <w:highlight w:val="none"/>
        </w:rPr>
        <w:t>疏浚和吹填工程</w:t>
      </w:r>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p>
    <w:p w14:paraId="743A3B98">
      <w:pPr>
        <w:ind w:firstLine="420"/>
        <w:jc w:val="left"/>
        <w:rPr>
          <w:rFonts w:cs="宋体"/>
          <w:color w:val="auto"/>
          <w:highlight w:val="none"/>
          <w:lang w:eastAsia="zh-CN"/>
        </w:rPr>
      </w:pPr>
      <w:r>
        <w:rPr>
          <w:rFonts w:hint="eastAsia" w:cs="宋体"/>
          <w:color w:val="auto"/>
          <w:highlight w:val="none"/>
          <w:lang w:eastAsia="zh-CN"/>
        </w:rPr>
        <w:t>本标段不涉及疏浚和吹填工程</w:t>
      </w:r>
      <w:r>
        <w:rPr>
          <w:rFonts w:cs="宋体"/>
          <w:color w:val="auto"/>
          <w:highlight w:val="none"/>
          <w:lang w:eastAsia="zh-CN"/>
        </w:rPr>
        <w:t>。</w:t>
      </w:r>
    </w:p>
    <w:p w14:paraId="770159E1">
      <w:pPr>
        <w:pStyle w:val="3"/>
        <w:spacing w:beforeLines="0" w:afterLines="0" w:line="360" w:lineRule="auto"/>
        <w:jc w:val="both"/>
        <w:outlineLvl w:val="1"/>
        <w:rPr>
          <w:rFonts w:hint="eastAsia" w:cs="宋体"/>
          <w:color w:val="auto"/>
          <w:sz w:val="30"/>
          <w:szCs w:val="30"/>
          <w:highlight w:val="none"/>
        </w:rPr>
      </w:pPr>
      <w:bookmarkStart w:id="2207" w:name="_Toc18486"/>
      <w:bookmarkStart w:id="2208" w:name="_Toc20313"/>
      <w:bookmarkStart w:id="2209" w:name="_Toc18573"/>
      <w:bookmarkStart w:id="2210" w:name="_Toc3053"/>
      <w:bookmarkStart w:id="2211" w:name="_Toc4443"/>
      <w:bookmarkStart w:id="2212" w:name="_Toc13473"/>
      <w:bookmarkStart w:id="2213" w:name="_Toc20649"/>
      <w:bookmarkStart w:id="2214" w:name="_Toc31691"/>
      <w:bookmarkStart w:id="2215" w:name="_Toc14832"/>
      <w:bookmarkStart w:id="2216" w:name="_Toc22901"/>
      <w:bookmarkStart w:id="2217" w:name="_Toc31036"/>
      <w:bookmarkStart w:id="2218" w:name="_Toc23685"/>
      <w:bookmarkStart w:id="2219" w:name="_Toc4775"/>
      <w:bookmarkStart w:id="2220" w:name="_Toc20748"/>
      <w:bookmarkStart w:id="2221" w:name="_Toc12731"/>
      <w:r>
        <w:rPr>
          <w:rFonts w:hint="eastAsia" w:cs="宋体"/>
          <w:color w:val="auto"/>
          <w:sz w:val="30"/>
          <w:szCs w:val="30"/>
          <w:highlight w:val="none"/>
        </w:rPr>
        <w:t>18</w:t>
      </w:r>
      <w:r>
        <w:rPr>
          <w:rFonts w:hint="eastAsia" w:cs="宋体"/>
          <w:color w:val="auto"/>
          <w:sz w:val="30"/>
          <w:szCs w:val="30"/>
          <w:highlight w:val="none"/>
          <w:lang w:eastAsia="zh-CN"/>
        </w:rPr>
        <w:t>　</w:t>
      </w:r>
      <w:r>
        <w:rPr>
          <w:rFonts w:hint="eastAsia" w:cs="宋体"/>
          <w:color w:val="auto"/>
          <w:sz w:val="30"/>
          <w:szCs w:val="30"/>
          <w:highlight w:val="none"/>
        </w:rPr>
        <w:t>屋面和地面建筑工程</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p>
    <w:p w14:paraId="05CDBE0D">
      <w:pPr>
        <w:ind w:firstLine="0"/>
        <w:jc w:val="left"/>
        <w:rPr>
          <w:rFonts w:cs="宋体"/>
          <w:color w:val="auto"/>
          <w:highlight w:val="none"/>
          <w:lang w:eastAsia="zh-CN"/>
        </w:rPr>
      </w:pPr>
      <w:r>
        <w:rPr>
          <w:rFonts w:hint="eastAsia" w:cs="宋体"/>
          <w:color w:val="auto"/>
          <w:highlight w:val="none"/>
          <w:lang w:eastAsia="zh-CN"/>
        </w:rPr>
        <w:t>本标段不涉及屋面和地面建筑工程</w:t>
      </w:r>
      <w:r>
        <w:rPr>
          <w:rFonts w:cs="宋体"/>
          <w:color w:val="auto"/>
          <w:highlight w:val="none"/>
          <w:lang w:eastAsia="zh-CN"/>
        </w:rPr>
        <w:t>。</w:t>
      </w:r>
    </w:p>
    <w:p w14:paraId="0DB9CCEC">
      <w:pPr>
        <w:pStyle w:val="3"/>
        <w:kinsoku w:val="0"/>
        <w:autoSpaceDE w:val="0"/>
        <w:autoSpaceDN w:val="0"/>
        <w:adjustRightInd w:val="0"/>
        <w:snapToGrid w:val="0"/>
        <w:textAlignment w:val="baseline"/>
        <w:rPr>
          <w:color w:val="auto"/>
          <w:highlight w:val="none"/>
          <w:lang w:bidi="ar-SA"/>
        </w:rPr>
      </w:pPr>
      <w:bookmarkStart w:id="2222" w:name="_Toc2634"/>
      <w:bookmarkStart w:id="2223" w:name="_Toc13349"/>
      <w:bookmarkStart w:id="2224" w:name="_Toc24604"/>
      <w:r>
        <w:rPr>
          <w:rFonts w:hint="eastAsia"/>
          <w:color w:val="auto"/>
          <w:highlight w:val="none"/>
          <w:lang w:bidi="ar-SA"/>
        </w:rPr>
        <w:t>19</w:t>
      </w:r>
      <w:r>
        <w:rPr>
          <w:rFonts w:hint="eastAsia" w:cs="宋体"/>
          <w:color w:val="auto"/>
          <w:szCs w:val="30"/>
          <w:highlight w:val="none"/>
        </w:rPr>
        <w:t>　</w:t>
      </w:r>
      <w:r>
        <w:rPr>
          <w:rFonts w:hint="eastAsia"/>
          <w:color w:val="auto"/>
          <w:highlight w:val="none"/>
          <w:lang w:bidi="ar-SA"/>
        </w:rPr>
        <w:t>压力钢管制造和安装</w:t>
      </w:r>
      <w:bookmarkEnd w:id="2222"/>
      <w:bookmarkEnd w:id="2223"/>
      <w:bookmarkEnd w:id="2224"/>
    </w:p>
    <w:p w14:paraId="6AD3BE31">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 1</w:t>
      </w:r>
      <w:r>
        <w:rPr>
          <w:rFonts w:hint="eastAsia" w:ascii="Arial" w:hAnsi="Arial" w:cs="宋体"/>
          <w:bCs/>
          <w:color w:val="auto"/>
          <w:szCs w:val="24"/>
          <w:highlight w:val="none"/>
        </w:rPr>
        <w:t>　</w:t>
      </w:r>
      <w:r>
        <w:rPr>
          <w:rFonts w:ascii="Arial" w:hAnsi="Arial" w:cs="宋体"/>
          <w:bCs/>
          <w:color w:val="auto"/>
          <w:szCs w:val="24"/>
          <w:highlight w:val="none"/>
        </w:rPr>
        <w:t>一般规定</w:t>
      </w:r>
    </w:p>
    <w:p w14:paraId="33AEB6D8">
      <w:pPr>
        <w:pStyle w:val="5"/>
        <w:kinsoku w:val="0"/>
        <w:autoSpaceDE w:val="0"/>
        <w:autoSpaceDN w:val="0"/>
        <w:rPr>
          <w:color w:val="auto"/>
          <w:szCs w:val="24"/>
          <w:highlight w:val="none"/>
          <w:lang w:eastAsia="zh-CN"/>
        </w:rPr>
      </w:pPr>
      <w:r>
        <w:rPr>
          <w:rFonts w:hint="eastAsia"/>
          <w:color w:val="auto"/>
          <w:szCs w:val="24"/>
          <w:highlight w:val="none"/>
          <w:lang w:eastAsia="zh-CN"/>
        </w:rPr>
        <w:t>19</w:t>
      </w:r>
      <w:r>
        <w:rPr>
          <w:color w:val="auto"/>
          <w:szCs w:val="24"/>
          <w:highlight w:val="none"/>
          <w:lang w:eastAsia="zh-CN"/>
        </w:rPr>
        <w:t>.1.1</w:t>
      </w:r>
      <w:r>
        <w:rPr>
          <w:rFonts w:hint="eastAsia" w:cs="宋体"/>
          <w:bCs/>
          <w:color w:val="auto"/>
          <w:szCs w:val="24"/>
          <w:highlight w:val="none"/>
          <w:lang w:eastAsia="zh-CN"/>
        </w:rPr>
        <w:t>　</w:t>
      </w:r>
      <w:r>
        <w:rPr>
          <w:color w:val="auto"/>
          <w:szCs w:val="24"/>
          <w:highlight w:val="none"/>
          <w:lang w:eastAsia="zh-CN"/>
        </w:rPr>
        <w:t>应用范围</w:t>
      </w:r>
    </w:p>
    <w:p w14:paraId="5D438F81">
      <w:pPr>
        <w:autoSpaceDE w:val="0"/>
        <w:autoSpaceDN w:val="0"/>
        <w:adjustRightInd/>
        <w:ind w:firstLine="480"/>
        <w:rPr>
          <w:color w:val="auto"/>
          <w:szCs w:val="20"/>
          <w:highlight w:val="none"/>
          <w:lang w:eastAsia="zh-CN"/>
        </w:rPr>
      </w:pPr>
      <w:r>
        <w:rPr>
          <w:rFonts w:hint="eastAsia"/>
          <w:color w:val="auto"/>
          <w:szCs w:val="20"/>
          <w:highlight w:val="none"/>
          <w:lang w:eastAsia="zh-CN"/>
        </w:rPr>
        <w:t>本章规定适用于本合同施工图纸所示输水钢管的直管、弯管、渐变管、岔管、支管及其附件的制造与安装。</w:t>
      </w:r>
    </w:p>
    <w:p w14:paraId="3ADACB17">
      <w:pPr>
        <w:autoSpaceDE w:val="0"/>
        <w:autoSpaceDN w:val="0"/>
        <w:adjustRightInd/>
        <w:ind w:firstLine="480"/>
        <w:rPr>
          <w:color w:val="auto"/>
          <w:szCs w:val="20"/>
          <w:highlight w:val="none"/>
          <w:lang w:eastAsia="zh-CN"/>
        </w:rPr>
      </w:pPr>
      <w:r>
        <w:rPr>
          <w:rFonts w:hint="eastAsia"/>
          <w:color w:val="auto"/>
          <w:szCs w:val="20"/>
          <w:highlight w:val="none"/>
          <w:lang w:eastAsia="zh-CN"/>
        </w:rPr>
        <w:t>(1)管道的定义：钢管——指本合同范围内隧洞内衬钢管的直管、渐变管、岔管及配件等。</w:t>
      </w:r>
    </w:p>
    <w:p w14:paraId="45911F65">
      <w:pPr>
        <w:autoSpaceDE w:val="0"/>
        <w:autoSpaceDN w:val="0"/>
        <w:adjustRightInd/>
        <w:ind w:firstLine="480"/>
        <w:rPr>
          <w:color w:val="auto"/>
          <w:szCs w:val="20"/>
          <w:highlight w:val="none"/>
          <w:lang w:eastAsia="zh-CN"/>
        </w:rPr>
      </w:pPr>
      <w:r>
        <w:rPr>
          <w:rFonts w:hint="eastAsia"/>
          <w:color w:val="auto"/>
          <w:szCs w:val="20"/>
          <w:highlight w:val="none"/>
          <w:lang w:eastAsia="zh-CN"/>
        </w:rPr>
        <w:t>(2)设计和生产应分别满足设计标准和制造标准。建立一整套全面的质量保证及质量控制(QA/QC)计划，包括最新的质量保证及质量控制(QA/QC)程序、测试设备及合格人员。建立原材料供应商的资格审查计划。原材料采购中应有严格的质量保证及质量控制程序，对由供应商提供并用于钢管生产的所有原材料如钢材、连接件、焊接材料、涂装材料等均应进行监督(测)。所有原材料及钢管制造工艺除满足上述要求外还必须满足本招标技术要求的规定。</w:t>
      </w:r>
    </w:p>
    <w:p w14:paraId="424C3599">
      <w:pPr>
        <w:autoSpaceDE w:val="0"/>
        <w:autoSpaceDN w:val="0"/>
        <w:adjustRightInd/>
        <w:ind w:firstLine="480"/>
        <w:rPr>
          <w:color w:val="auto"/>
          <w:szCs w:val="20"/>
          <w:highlight w:val="none"/>
          <w:lang w:eastAsia="zh-CN"/>
        </w:rPr>
      </w:pPr>
      <w:r>
        <w:rPr>
          <w:rFonts w:hint="eastAsia"/>
          <w:color w:val="auto"/>
          <w:szCs w:val="20"/>
          <w:highlight w:val="none"/>
          <w:lang w:eastAsia="zh-CN"/>
        </w:rPr>
        <w:t>(3)确定钢管的运输方式，保证钢管按计划供应到施工现场。保证运输过程中的管道安全。</w:t>
      </w:r>
    </w:p>
    <w:p w14:paraId="6137B777">
      <w:pPr>
        <w:autoSpaceDE w:val="0"/>
        <w:autoSpaceDN w:val="0"/>
        <w:adjustRightInd/>
        <w:ind w:firstLine="480"/>
        <w:rPr>
          <w:color w:val="auto"/>
          <w:szCs w:val="20"/>
          <w:highlight w:val="none"/>
          <w:lang w:eastAsia="zh-CN"/>
        </w:rPr>
      </w:pPr>
      <w:r>
        <w:rPr>
          <w:rFonts w:hint="eastAsia"/>
          <w:color w:val="auto"/>
          <w:szCs w:val="20"/>
          <w:highlight w:val="none"/>
          <w:lang w:eastAsia="zh-CN"/>
        </w:rPr>
        <w:t>(4)承包人应根据《水利工程压力钢管制造安装及验收规范》SL432的规定及本招标技术要求，提供验收资料，参加验收，并对工程(产品)质量负责。</w:t>
      </w:r>
    </w:p>
    <w:p w14:paraId="629A459B">
      <w:pPr>
        <w:autoSpaceDE w:val="0"/>
        <w:autoSpaceDN w:val="0"/>
        <w:adjustRightInd/>
        <w:ind w:firstLine="480"/>
        <w:rPr>
          <w:color w:val="auto"/>
          <w:szCs w:val="20"/>
          <w:highlight w:val="none"/>
          <w:lang w:eastAsia="zh-CN"/>
        </w:rPr>
      </w:pPr>
      <w:r>
        <w:rPr>
          <w:rFonts w:hint="eastAsia"/>
          <w:color w:val="auto"/>
          <w:szCs w:val="20"/>
          <w:highlight w:val="none"/>
          <w:lang w:eastAsia="zh-CN"/>
        </w:rPr>
        <w:t>(5)本技术要求规定的产品或工作质量与本节规定的标准的规定的产品或工作质量发生矛盾时，应同时满足本技术要求规定和相关规范标准的要求。</w:t>
      </w:r>
    </w:p>
    <w:p w14:paraId="03942D84">
      <w:pPr>
        <w:pStyle w:val="5"/>
        <w:kinsoku w:val="0"/>
        <w:autoSpaceDE w:val="0"/>
        <w:autoSpaceDN w:val="0"/>
        <w:rPr>
          <w:color w:val="auto"/>
          <w:szCs w:val="24"/>
          <w:highlight w:val="none"/>
          <w:lang w:eastAsia="zh-CN"/>
        </w:rPr>
      </w:pPr>
      <w:r>
        <w:rPr>
          <w:rFonts w:hint="eastAsia"/>
          <w:color w:val="auto"/>
          <w:szCs w:val="24"/>
          <w:highlight w:val="none"/>
          <w:lang w:eastAsia="zh-CN"/>
        </w:rPr>
        <w:t>19</w:t>
      </w:r>
      <w:r>
        <w:rPr>
          <w:color w:val="auto"/>
          <w:szCs w:val="24"/>
          <w:highlight w:val="none"/>
          <w:lang w:eastAsia="zh-CN"/>
        </w:rPr>
        <w:t>.1.2</w:t>
      </w:r>
      <w:r>
        <w:rPr>
          <w:rFonts w:hint="eastAsia" w:cs="宋体"/>
          <w:bCs/>
          <w:color w:val="auto"/>
          <w:szCs w:val="24"/>
          <w:highlight w:val="none"/>
          <w:lang w:eastAsia="zh-CN"/>
        </w:rPr>
        <w:t>　</w:t>
      </w:r>
      <w:r>
        <w:rPr>
          <w:color w:val="auto"/>
          <w:szCs w:val="24"/>
          <w:highlight w:val="none"/>
          <w:lang w:eastAsia="zh-CN"/>
        </w:rPr>
        <w:t>承包人责任</w:t>
      </w:r>
    </w:p>
    <w:p w14:paraId="4BA729F6">
      <w:pPr>
        <w:autoSpaceDE w:val="0"/>
        <w:autoSpaceDN w:val="0"/>
        <w:adjustRightInd/>
        <w:ind w:firstLine="480"/>
        <w:rPr>
          <w:color w:val="auto"/>
          <w:szCs w:val="20"/>
          <w:highlight w:val="none"/>
          <w:lang w:eastAsia="zh-CN"/>
        </w:rPr>
      </w:pPr>
      <w:r>
        <w:rPr>
          <w:rFonts w:hint="eastAsia"/>
          <w:color w:val="auto"/>
          <w:szCs w:val="20"/>
          <w:highlight w:val="none"/>
          <w:lang w:eastAsia="zh-CN"/>
        </w:rPr>
        <w:t>（1）除合同另有约定外，承包人应负责采购本工程钢管</w:t>
      </w:r>
      <w:r>
        <w:rPr>
          <w:rFonts w:hint="eastAsia"/>
          <w:color w:val="auto"/>
          <w:szCs w:val="20"/>
          <w:highlight w:val="none"/>
          <w:lang w:val="en-US" w:eastAsia="zh-CN"/>
        </w:rPr>
        <w:t>制造、</w:t>
      </w:r>
      <w:r>
        <w:rPr>
          <w:rFonts w:hint="eastAsia"/>
          <w:color w:val="auto"/>
          <w:szCs w:val="20"/>
          <w:highlight w:val="none"/>
          <w:lang w:eastAsia="zh-CN"/>
        </w:rPr>
        <w:t>安装所需的全部材料，并按本章第 19.2 节的规定，进行检验和验收。</w:t>
      </w:r>
    </w:p>
    <w:p w14:paraId="3BA551AB">
      <w:pPr>
        <w:autoSpaceDE w:val="0"/>
        <w:autoSpaceDN w:val="0"/>
        <w:adjustRightInd/>
        <w:ind w:firstLine="480"/>
        <w:rPr>
          <w:color w:val="auto"/>
          <w:szCs w:val="20"/>
          <w:highlight w:val="none"/>
          <w:lang w:eastAsia="zh-CN"/>
        </w:rPr>
      </w:pPr>
      <w:r>
        <w:rPr>
          <w:rFonts w:hint="eastAsia"/>
          <w:color w:val="auto"/>
          <w:szCs w:val="20"/>
          <w:highlight w:val="none"/>
          <w:lang w:eastAsia="zh-CN"/>
        </w:rPr>
        <w:t>（2）承包人应按本章第 19.3~19.10 节的规定，进行钢管的现场质量检查和验收、接收、卸车、二次转运、工地储藏及保管、工地运输、现场运输、焊接、试验、内防腐、施工现场管子拼接口及不能采用熔结工艺涂装的管件的现场外防腐、钢管内临时支撑拆除以及质量检查和验收的全部工作。</w:t>
      </w:r>
    </w:p>
    <w:p w14:paraId="3E72903B">
      <w:pPr>
        <w:pStyle w:val="5"/>
        <w:kinsoku w:val="0"/>
        <w:autoSpaceDE w:val="0"/>
        <w:autoSpaceDN w:val="0"/>
        <w:rPr>
          <w:color w:val="auto"/>
          <w:szCs w:val="24"/>
          <w:highlight w:val="none"/>
          <w:lang w:eastAsia="zh-CN"/>
        </w:rPr>
      </w:pPr>
      <w:r>
        <w:rPr>
          <w:rFonts w:hint="eastAsia"/>
          <w:color w:val="auto"/>
          <w:szCs w:val="24"/>
          <w:highlight w:val="none"/>
          <w:lang w:eastAsia="zh-CN"/>
        </w:rPr>
        <w:t>19</w:t>
      </w:r>
      <w:r>
        <w:rPr>
          <w:color w:val="auto"/>
          <w:szCs w:val="24"/>
          <w:highlight w:val="none"/>
          <w:lang w:eastAsia="zh-CN"/>
        </w:rPr>
        <w:t>.1.3</w:t>
      </w:r>
      <w:r>
        <w:rPr>
          <w:rFonts w:hint="eastAsia" w:cs="宋体"/>
          <w:bCs/>
          <w:color w:val="auto"/>
          <w:szCs w:val="24"/>
          <w:highlight w:val="none"/>
          <w:lang w:eastAsia="zh-CN"/>
        </w:rPr>
        <w:t>　</w:t>
      </w:r>
      <w:r>
        <w:rPr>
          <w:color w:val="auto"/>
          <w:szCs w:val="24"/>
          <w:highlight w:val="none"/>
          <w:lang w:eastAsia="zh-CN"/>
        </w:rPr>
        <w:t>主要提交件</w:t>
      </w:r>
    </w:p>
    <w:p w14:paraId="2E3677ED">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承包人应在钢管工程施工前，应将钢管供应和安装措施计划，提交监理人批准，其内包括：</w:t>
      </w:r>
    </w:p>
    <w:p w14:paraId="6DE612C6">
      <w:pPr>
        <w:autoSpaceDE w:val="0"/>
        <w:autoSpaceDN w:val="0"/>
        <w:adjustRightInd/>
        <w:ind w:firstLine="480"/>
        <w:rPr>
          <w:color w:val="auto"/>
          <w:szCs w:val="20"/>
          <w:highlight w:val="none"/>
          <w:lang w:eastAsia="zh-CN"/>
        </w:rPr>
      </w:pPr>
      <w:r>
        <w:rPr>
          <w:rFonts w:hint="eastAsia"/>
          <w:color w:val="auto"/>
          <w:szCs w:val="20"/>
          <w:highlight w:val="none"/>
          <w:lang w:eastAsia="zh-CN"/>
        </w:rPr>
        <w:t>1）钢管供应计划；</w:t>
      </w:r>
    </w:p>
    <w:p w14:paraId="1C04034E">
      <w:pPr>
        <w:autoSpaceDE w:val="0"/>
        <w:autoSpaceDN w:val="0"/>
        <w:adjustRightInd/>
        <w:ind w:firstLine="480"/>
        <w:rPr>
          <w:color w:val="auto"/>
          <w:szCs w:val="20"/>
          <w:highlight w:val="none"/>
          <w:lang w:eastAsia="zh-CN"/>
        </w:rPr>
      </w:pPr>
      <w:r>
        <w:rPr>
          <w:rFonts w:hint="eastAsia"/>
          <w:color w:val="auto"/>
          <w:szCs w:val="20"/>
          <w:highlight w:val="none"/>
          <w:lang w:eastAsia="zh-CN"/>
        </w:rPr>
        <w:t>2）钢管安装、焊接、涂装工艺设计；</w:t>
      </w:r>
    </w:p>
    <w:p w14:paraId="31BBF0DE">
      <w:pPr>
        <w:autoSpaceDE w:val="0"/>
        <w:autoSpaceDN w:val="0"/>
        <w:adjustRightInd/>
        <w:ind w:firstLine="480"/>
        <w:rPr>
          <w:color w:val="auto"/>
          <w:szCs w:val="20"/>
          <w:highlight w:val="none"/>
          <w:lang w:eastAsia="zh-CN"/>
        </w:rPr>
      </w:pPr>
      <w:r>
        <w:rPr>
          <w:rFonts w:hint="eastAsia"/>
          <w:color w:val="auto"/>
          <w:szCs w:val="20"/>
          <w:highlight w:val="none"/>
          <w:lang w:eastAsia="zh-CN"/>
        </w:rPr>
        <w:t>3）钢管卸货、二次转运、工地储藏保管、工地运输、现场运输和安装措施（其内容包括：安装场地及主要临时建筑设施布置及说明；材料采购计划焊接工艺计划、运输和吊装方案；钢管安装方法；钢管水压试验方案；钢管内壁防腐施工工艺、养护措施；安装进度计划等）；</w:t>
      </w:r>
    </w:p>
    <w:p w14:paraId="644A6ACE">
      <w:pPr>
        <w:autoSpaceDE w:val="0"/>
        <w:autoSpaceDN w:val="0"/>
        <w:adjustRightInd/>
        <w:ind w:firstLine="480"/>
        <w:rPr>
          <w:color w:val="auto"/>
          <w:szCs w:val="20"/>
          <w:highlight w:val="none"/>
          <w:lang w:eastAsia="zh-CN"/>
        </w:rPr>
      </w:pPr>
      <w:r>
        <w:rPr>
          <w:rFonts w:hint="eastAsia"/>
          <w:color w:val="auto"/>
          <w:szCs w:val="20"/>
          <w:highlight w:val="none"/>
          <w:lang w:eastAsia="zh-CN"/>
        </w:rPr>
        <w:t>4）质量和安全保证措施；</w:t>
      </w:r>
    </w:p>
    <w:p w14:paraId="4E21CE49">
      <w:pPr>
        <w:autoSpaceDE w:val="0"/>
        <w:autoSpaceDN w:val="0"/>
        <w:adjustRightInd/>
        <w:ind w:firstLine="480"/>
        <w:rPr>
          <w:color w:val="auto"/>
          <w:szCs w:val="20"/>
          <w:highlight w:val="none"/>
          <w:lang w:eastAsia="zh-CN"/>
        </w:rPr>
      </w:pPr>
      <w:r>
        <w:rPr>
          <w:rFonts w:hint="eastAsia"/>
          <w:color w:val="auto"/>
          <w:szCs w:val="20"/>
          <w:highlight w:val="none"/>
          <w:lang w:eastAsia="zh-CN"/>
        </w:rPr>
        <w:t>5）施工进度计划；</w:t>
      </w:r>
    </w:p>
    <w:p w14:paraId="157E1225">
      <w:pPr>
        <w:autoSpaceDE w:val="0"/>
        <w:autoSpaceDN w:val="0"/>
        <w:adjustRightInd/>
        <w:ind w:firstLine="480"/>
        <w:rPr>
          <w:color w:val="auto"/>
          <w:szCs w:val="20"/>
          <w:highlight w:val="none"/>
          <w:lang w:eastAsia="zh-CN"/>
        </w:rPr>
      </w:pPr>
      <w:r>
        <w:rPr>
          <w:rFonts w:hint="eastAsia"/>
          <w:color w:val="auto"/>
          <w:szCs w:val="20"/>
          <w:highlight w:val="none"/>
          <w:lang w:eastAsia="zh-CN"/>
        </w:rPr>
        <w:t>6）材料采购计划</w:t>
      </w:r>
    </w:p>
    <w:p w14:paraId="4139DDAD">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承包人应根据合同进度计划和施工图纸的要求，并按本合同的有关规定提交材料的采购计划报送监理人审批。</w:t>
      </w:r>
    </w:p>
    <w:p w14:paraId="622A16CA">
      <w:pPr>
        <w:autoSpaceDE w:val="0"/>
        <w:autoSpaceDN w:val="0"/>
        <w:adjustRightInd/>
        <w:ind w:firstLine="480"/>
        <w:rPr>
          <w:color w:val="auto"/>
          <w:szCs w:val="20"/>
          <w:highlight w:val="none"/>
          <w:lang w:eastAsia="zh-CN"/>
        </w:rPr>
      </w:pPr>
      <w:r>
        <w:rPr>
          <w:rFonts w:hint="eastAsia"/>
          <w:color w:val="auto"/>
          <w:szCs w:val="20"/>
          <w:highlight w:val="none"/>
          <w:lang w:eastAsia="zh-CN"/>
        </w:rPr>
        <w:t>7)材料检验成果报告</w:t>
      </w:r>
    </w:p>
    <w:p w14:paraId="141C0029">
      <w:pPr>
        <w:autoSpaceDE w:val="0"/>
        <w:autoSpaceDN w:val="0"/>
        <w:adjustRightInd/>
        <w:ind w:firstLine="480"/>
        <w:rPr>
          <w:color w:val="auto"/>
          <w:szCs w:val="20"/>
          <w:highlight w:val="none"/>
          <w:lang w:eastAsia="zh-CN"/>
        </w:rPr>
      </w:pPr>
      <w:r>
        <w:rPr>
          <w:rFonts w:hint="eastAsia"/>
          <w:color w:val="auto"/>
          <w:szCs w:val="20"/>
          <w:highlight w:val="none"/>
          <w:lang w:eastAsia="zh-CN"/>
        </w:rPr>
        <w:t>承包人按本合同有关规定所作的钢材检验成果、焊接材料检验成果和涂装材料检验成果，均应及时报送监理人。</w:t>
      </w:r>
    </w:p>
    <w:p w14:paraId="0393588E">
      <w:pPr>
        <w:autoSpaceDE w:val="0"/>
        <w:autoSpaceDN w:val="0"/>
        <w:adjustRightInd/>
        <w:ind w:firstLine="480"/>
        <w:rPr>
          <w:color w:val="auto"/>
          <w:szCs w:val="20"/>
          <w:highlight w:val="none"/>
          <w:lang w:eastAsia="zh-CN"/>
        </w:rPr>
      </w:pPr>
      <w:r>
        <w:rPr>
          <w:rFonts w:hint="eastAsia"/>
          <w:color w:val="auto"/>
          <w:szCs w:val="20"/>
          <w:highlight w:val="none"/>
          <w:lang w:eastAsia="zh-CN"/>
        </w:rPr>
        <w:t>8)焊接工艺计划承包人应在施焊开始前 42 天，编制一份焊接工艺计划报送监理人审批。监理人应在收到报告后 21 天内批复承包人。</w:t>
      </w:r>
    </w:p>
    <w:p w14:paraId="2F177BE0">
      <w:pPr>
        <w:autoSpaceDE w:val="0"/>
        <w:autoSpaceDN w:val="0"/>
        <w:adjustRightInd/>
        <w:ind w:firstLine="480"/>
        <w:rPr>
          <w:color w:val="auto"/>
          <w:szCs w:val="20"/>
          <w:highlight w:val="none"/>
          <w:lang w:eastAsia="zh-CN"/>
        </w:rPr>
      </w:pPr>
      <w:r>
        <w:rPr>
          <w:rFonts w:hint="eastAsia"/>
          <w:color w:val="auto"/>
          <w:szCs w:val="20"/>
          <w:highlight w:val="none"/>
          <w:lang w:eastAsia="zh-CN"/>
        </w:rPr>
        <w:t>9)焊接工艺评定报告</w:t>
      </w:r>
    </w:p>
    <w:p w14:paraId="08A89CF0">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承包人应在向监理人报送焊接工艺计划的同时，应编制焊接工艺评定报告报送监理人审批。</w:t>
      </w:r>
    </w:p>
    <w:p w14:paraId="7D4B1BB2">
      <w:pPr>
        <w:autoSpaceDE w:val="0"/>
        <w:autoSpaceDN w:val="0"/>
        <w:adjustRightInd/>
        <w:ind w:firstLine="480"/>
        <w:rPr>
          <w:color w:val="auto"/>
          <w:szCs w:val="20"/>
          <w:highlight w:val="none"/>
          <w:lang w:eastAsia="zh-CN"/>
        </w:rPr>
      </w:pPr>
      <w:r>
        <w:rPr>
          <w:rFonts w:hint="eastAsia"/>
          <w:color w:val="auto"/>
          <w:szCs w:val="20"/>
          <w:highlight w:val="none"/>
          <w:lang w:eastAsia="zh-CN"/>
        </w:rPr>
        <w:t>监理人应在收到报告后 21 天内一并批复承包人。</w:t>
      </w:r>
    </w:p>
    <w:p w14:paraId="5731C9D4">
      <w:pPr>
        <w:autoSpaceDE w:val="0"/>
        <w:autoSpaceDN w:val="0"/>
        <w:adjustRightInd/>
        <w:ind w:firstLine="480"/>
        <w:rPr>
          <w:color w:val="auto"/>
          <w:szCs w:val="20"/>
          <w:highlight w:val="none"/>
          <w:lang w:eastAsia="zh-CN"/>
        </w:rPr>
      </w:pPr>
      <w:r>
        <w:rPr>
          <w:rFonts w:hint="eastAsia"/>
          <w:color w:val="auto"/>
          <w:szCs w:val="20"/>
          <w:highlight w:val="none"/>
          <w:lang w:eastAsia="zh-CN"/>
        </w:rPr>
        <w:t>10)结构件水密试验措施计划和试验成果报告</w:t>
      </w:r>
    </w:p>
    <w:p w14:paraId="1329C271">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承包人应按本章第 19.5.1 条的规定，编制钢管水压试验措施计划，提交监理人批准并按本章第 19.5.4 条的规定，将试验成果报告提交监理人。承包人应提交一份结构件水密试验措施计划和试验成果报告，承包人应在压力钢管制造过程中，及时提交压力钢管制造的质量检查记录报送监理人审批。</w:t>
      </w:r>
    </w:p>
    <w:p w14:paraId="5C554536">
      <w:pPr>
        <w:autoSpaceDE w:val="0"/>
        <w:autoSpaceDN w:val="0"/>
        <w:adjustRightInd/>
        <w:ind w:firstLine="480"/>
        <w:rPr>
          <w:color w:val="auto"/>
          <w:szCs w:val="20"/>
          <w:highlight w:val="none"/>
          <w:lang w:eastAsia="zh-CN"/>
        </w:rPr>
      </w:pPr>
      <w:r>
        <w:rPr>
          <w:rFonts w:hint="eastAsia"/>
          <w:color w:val="auto"/>
          <w:szCs w:val="20"/>
          <w:highlight w:val="none"/>
          <w:lang w:eastAsia="zh-CN"/>
        </w:rPr>
        <w:t>11)涂装工艺措施报告和质量检验成果</w:t>
      </w:r>
    </w:p>
    <w:p w14:paraId="314CAA0B">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承包人应在实施涂装开始前 42 天，提交一份压力钢管涂装工艺措施，在涂装后 14 天内提交涂装质量检验成果，报送监理人审批。</w:t>
      </w:r>
    </w:p>
    <w:p w14:paraId="6BCCCC2A">
      <w:pPr>
        <w:autoSpaceDE w:val="0"/>
        <w:autoSpaceDN w:val="0"/>
        <w:adjustRightInd/>
        <w:ind w:firstLine="480"/>
        <w:rPr>
          <w:color w:val="auto"/>
          <w:szCs w:val="20"/>
          <w:highlight w:val="none"/>
          <w:lang w:eastAsia="zh-CN"/>
        </w:rPr>
      </w:pPr>
      <w:r>
        <w:rPr>
          <w:rFonts w:hint="eastAsia"/>
          <w:color w:val="auto"/>
          <w:szCs w:val="20"/>
          <w:highlight w:val="none"/>
          <w:lang w:eastAsia="zh-CN"/>
        </w:rPr>
        <w:t>12）监理人要求提交的其它资料。</w:t>
      </w:r>
    </w:p>
    <w:p w14:paraId="1FA6685E">
      <w:pPr>
        <w:pStyle w:val="5"/>
        <w:kinsoku w:val="0"/>
        <w:autoSpaceDE w:val="0"/>
        <w:autoSpaceDN w:val="0"/>
        <w:rPr>
          <w:color w:val="auto"/>
          <w:szCs w:val="24"/>
          <w:highlight w:val="none"/>
          <w:lang w:eastAsia="zh-CN"/>
        </w:rPr>
      </w:pPr>
      <w:r>
        <w:rPr>
          <w:rFonts w:hint="eastAsia"/>
          <w:color w:val="auto"/>
          <w:szCs w:val="24"/>
          <w:highlight w:val="none"/>
          <w:lang w:eastAsia="zh-CN"/>
        </w:rPr>
        <w:t>19</w:t>
      </w:r>
      <w:r>
        <w:rPr>
          <w:color w:val="auto"/>
          <w:szCs w:val="24"/>
          <w:highlight w:val="none"/>
          <w:lang w:eastAsia="zh-CN"/>
        </w:rPr>
        <w:t>.1.4 引用标准</w:t>
      </w:r>
    </w:p>
    <w:p w14:paraId="7CEB85D5">
      <w:pPr>
        <w:autoSpaceDE w:val="0"/>
        <w:autoSpaceDN w:val="0"/>
        <w:adjustRightInd/>
        <w:ind w:firstLine="480"/>
        <w:rPr>
          <w:color w:val="auto"/>
          <w:szCs w:val="20"/>
          <w:highlight w:val="none"/>
          <w:lang w:eastAsia="zh-CN"/>
        </w:rPr>
      </w:pPr>
      <w:r>
        <w:rPr>
          <w:rFonts w:hint="eastAsia"/>
          <w:color w:val="auto"/>
          <w:szCs w:val="20"/>
          <w:highlight w:val="none"/>
          <w:lang w:eastAsia="zh-CN"/>
        </w:rPr>
        <w:t>（1）《低合金高强度结构钢》（GB/T1591—2018）。</w:t>
      </w:r>
    </w:p>
    <w:p w14:paraId="5228A34E">
      <w:pPr>
        <w:autoSpaceDE w:val="0"/>
        <w:autoSpaceDN w:val="0"/>
        <w:adjustRightInd/>
        <w:ind w:firstLine="480"/>
        <w:rPr>
          <w:color w:val="auto"/>
          <w:szCs w:val="20"/>
          <w:highlight w:val="none"/>
          <w:lang w:eastAsia="zh-CN"/>
        </w:rPr>
      </w:pPr>
      <w:r>
        <w:rPr>
          <w:rFonts w:hint="eastAsia"/>
          <w:color w:val="auto"/>
          <w:szCs w:val="20"/>
          <w:highlight w:val="none"/>
          <w:lang w:eastAsia="zh-CN"/>
        </w:rPr>
        <w:t>（2）《锅炉和压力容器用钢板》（GB713—2014）。</w:t>
      </w:r>
    </w:p>
    <w:p w14:paraId="204D3C3D">
      <w:pPr>
        <w:autoSpaceDE w:val="0"/>
        <w:autoSpaceDN w:val="0"/>
        <w:adjustRightInd/>
        <w:ind w:firstLine="480"/>
        <w:rPr>
          <w:color w:val="auto"/>
          <w:szCs w:val="20"/>
          <w:highlight w:val="none"/>
          <w:lang w:eastAsia="zh-CN"/>
        </w:rPr>
      </w:pPr>
      <w:r>
        <w:rPr>
          <w:rFonts w:hint="eastAsia"/>
          <w:color w:val="auto"/>
          <w:szCs w:val="20"/>
          <w:highlight w:val="none"/>
          <w:lang w:eastAsia="zh-CN"/>
        </w:rPr>
        <w:t>（3）《热轧钢板和钢带的尺寸、外形、重量及允许偏差》（GB/T709—2019）。</w:t>
      </w:r>
    </w:p>
    <w:p w14:paraId="0E7832E7">
      <w:pPr>
        <w:autoSpaceDE w:val="0"/>
        <w:autoSpaceDN w:val="0"/>
        <w:adjustRightInd/>
        <w:ind w:firstLine="480"/>
        <w:rPr>
          <w:color w:val="auto"/>
          <w:szCs w:val="20"/>
          <w:highlight w:val="none"/>
          <w:lang w:eastAsia="zh-CN"/>
        </w:rPr>
      </w:pPr>
      <w:r>
        <w:rPr>
          <w:rFonts w:hint="eastAsia"/>
          <w:color w:val="auto"/>
          <w:szCs w:val="20"/>
          <w:highlight w:val="none"/>
          <w:lang w:eastAsia="zh-CN"/>
        </w:rPr>
        <w:t>（4）《金属熔化焊对接接头射线检测技术和质量分级》（DL/T821-2017）。</w:t>
      </w:r>
    </w:p>
    <w:p w14:paraId="1EA11084">
      <w:pPr>
        <w:autoSpaceDE w:val="0"/>
        <w:autoSpaceDN w:val="0"/>
        <w:adjustRightInd/>
        <w:ind w:firstLine="480"/>
        <w:rPr>
          <w:color w:val="auto"/>
          <w:szCs w:val="20"/>
          <w:highlight w:val="none"/>
          <w:lang w:eastAsia="zh-CN"/>
        </w:rPr>
      </w:pPr>
      <w:r>
        <w:rPr>
          <w:rFonts w:hint="eastAsia"/>
          <w:color w:val="auto"/>
          <w:szCs w:val="20"/>
          <w:highlight w:val="none"/>
          <w:lang w:eastAsia="zh-CN"/>
        </w:rPr>
        <w:t>（5）《无损检测人员资格鉴定与认证》（GB/T9445—2015）。</w:t>
      </w:r>
    </w:p>
    <w:p w14:paraId="4DA02678">
      <w:pPr>
        <w:autoSpaceDE w:val="0"/>
        <w:autoSpaceDN w:val="0"/>
        <w:adjustRightInd/>
        <w:ind w:firstLine="480"/>
        <w:rPr>
          <w:color w:val="auto"/>
          <w:szCs w:val="20"/>
          <w:highlight w:val="none"/>
          <w:lang w:eastAsia="zh-CN"/>
        </w:rPr>
      </w:pPr>
      <w:r>
        <w:rPr>
          <w:rFonts w:hint="eastAsia"/>
          <w:color w:val="auto"/>
          <w:szCs w:val="20"/>
          <w:highlight w:val="none"/>
          <w:lang w:eastAsia="zh-CN"/>
        </w:rPr>
        <w:t>（6）《厚钢板超声检测方法》（GB/T2970—2016）。</w:t>
      </w:r>
    </w:p>
    <w:p w14:paraId="1BAADE03">
      <w:pPr>
        <w:autoSpaceDE w:val="0"/>
        <w:autoSpaceDN w:val="0"/>
        <w:adjustRightInd/>
        <w:ind w:firstLine="480"/>
        <w:rPr>
          <w:color w:val="auto"/>
          <w:szCs w:val="20"/>
          <w:highlight w:val="none"/>
          <w:lang w:eastAsia="zh-CN"/>
        </w:rPr>
      </w:pPr>
      <w:r>
        <w:rPr>
          <w:rFonts w:hint="eastAsia"/>
          <w:color w:val="auto"/>
          <w:szCs w:val="20"/>
          <w:highlight w:val="none"/>
          <w:lang w:eastAsia="zh-CN"/>
        </w:rPr>
        <w:t>（7）《压力容器用调质高强度钢板》（GB19189—2011）。</w:t>
      </w:r>
    </w:p>
    <w:p w14:paraId="6AEB0CAB">
      <w:pPr>
        <w:autoSpaceDE w:val="0"/>
        <w:autoSpaceDN w:val="0"/>
        <w:adjustRightInd/>
        <w:ind w:firstLine="480"/>
        <w:rPr>
          <w:color w:val="auto"/>
          <w:szCs w:val="20"/>
          <w:highlight w:val="none"/>
          <w:lang w:eastAsia="zh-CN"/>
        </w:rPr>
      </w:pPr>
      <w:r>
        <w:rPr>
          <w:rFonts w:hint="eastAsia"/>
          <w:color w:val="auto"/>
          <w:szCs w:val="20"/>
          <w:highlight w:val="none"/>
          <w:lang w:eastAsia="zh-CN"/>
        </w:rPr>
        <w:t>（8）《焊缝无损检测超声检测技术、检测等级和评定》（GB/T11345—2013）。</w:t>
      </w:r>
    </w:p>
    <w:p w14:paraId="4DF906C2">
      <w:pPr>
        <w:autoSpaceDE w:val="0"/>
        <w:autoSpaceDN w:val="0"/>
        <w:adjustRightInd/>
        <w:ind w:firstLine="480"/>
        <w:rPr>
          <w:color w:val="auto"/>
          <w:szCs w:val="20"/>
          <w:highlight w:val="none"/>
          <w:lang w:eastAsia="zh-CN"/>
        </w:rPr>
      </w:pPr>
      <w:r>
        <w:rPr>
          <w:rFonts w:hint="eastAsia"/>
          <w:color w:val="auto"/>
          <w:szCs w:val="20"/>
          <w:highlight w:val="none"/>
          <w:lang w:eastAsia="zh-CN"/>
        </w:rPr>
        <w:t>（9）《气焊、焊条电弧焊、气体保护焊和高能束焊的推荐坡口》（GB/T985.1—2008）。</w:t>
      </w:r>
    </w:p>
    <w:p w14:paraId="4F4F7216">
      <w:pPr>
        <w:autoSpaceDE w:val="0"/>
        <w:autoSpaceDN w:val="0"/>
        <w:adjustRightInd/>
        <w:ind w:firstLine="480"/>
        <w:rPr>
          <w:color w:val="auto"/>
          <w:szCs w:val="20"/>
          <w:highlight w:val="none"/>
          <w:lang w:eastAsia="zh-CN"/>
        </w:rPr>
      </w:pPr>
      <w:r>
        <w:rPr>
          <w:rFonts w:hint="eastAsia"/>
          <w:color w:val="auto"/>
          <w:szCs w:val="20"/>
          <w:highlight w:val="none"/>
          <w:lang w:eastAsia="zh-CN"/>
        </w:rPr>
        <w:t>（10）《埋弧焊的推荐坡口》（GB/T985.2—2008）。</w:t>
      </w:r>
    </w:p>
    <w:p w14:paraId="73E0A992">
      <w:pPr>
        <w:autoSpaceDE w:val="0"/>
        <w:autoSpaceDN w:val="0"/>
        <w:adjustRightInd/>
        <w:ind w:firstLine="480"/>
        <w:rPr>
          <w:color w:val="auto"/>
          <w:szCs w:val="20"/>
          <w:highlight w:val="none"/>
          <w:lang w:eastAsia="zh-CN"/>
        </w:rPr>
      </w:pPr>
      <w:r>
        <w:rPr>
          <w:rFonts w:hint="eastAsia"/>
          <w:color w:val="auto"/>
          <w:szCs w:val="20"/>
          <w:highlight w:val="none"/>
          <w:lang w:eastAsia="zh-CN"/>
        </w:rPr>
        <w:t>（11）《未涂覆过的钢材表面和全面清除原有涂层后的钢材表面的锈蚀等级和处理等级》（GB/T8923.1—2011）。</w:t>
      </w:r>
    </w:p>
    <w:p w14:paraId="0F8A3937">
      <w:pPr>
        <w:autoSpaceDE w:val="0"/>
        <w:autoSpaceDN w:val="0"/>
        <w:adjustRightInd/>
        <w:ind w:firstLine="480"/>
        <w:rPr>
          <w:color w:val="auto"/>
          <w:szCs w:val="20"/>
          <w:highlight w:val="none"/>
          <w:lang w:eastAsia="zh-CN"/>
        </w:rPr>
      </w:pPr>
      <w:r>
        <w:rPr>
          <w:rFonts w:hint="eastAsia"/>
          <w:color w:val="auto"/>
          <w:szCs w:val="20"/>
          <w:highlight w:val="none"/>
          <w:lang w:eastAsia="zh-CN"/>
        </w:rPr>
        <w:t>（12）《优质碳素结构钢》（GB/T699—2015）。</w:t>
      </w:r>
    </w:p>
    <w:p w14:paraId="36E4EA53">
      <w:pPr>
        <w:autoSpaceDE w:val="0"/>
        <w:autoSpaceDN w:val="0"/>
        <w:adjustRightInd/>
        <w:ind w:firstLine="480"/>
        <w:rPr>
          <w:color w:val="auto"/>
          <w:szCs w:val="20"/>
          <w:highlight w:val="none"/>
          <w:lang w:eastAsia="zh-CN"/>
        </w:rPr>
      </w:pPr>
      <w:r>
        <w:rPr>
          <w:rFonts w:hint="eastAsia"/>
          <w:color w:val="auto"/>
          <w:szCs w:val="20"/>
          <w:highlight w:val="none"/>
          <w:lang w:eastAsia="zh-CN"/>
        </w:rPr>
        <w:t>（13）《碳素结构钢》（GB/T700—2006）。</w:t>
      </w:r>
    </w:p>
    <w:p w14:paraId="153F7478">
      <w:pPr>
        <w:autoSpaceDE w:val="0"/>
        <w:autoSpaceDN w:val="0"/>
        <w:adjustRightInd/>
        <w:ind w:firstLine="480"/>
        <w:rPr>
          <w:color w:val="auto"/>
          <w:szCs w:val="20"/>
          <w:highlight w:val="none"/>
          <w:lang w:eastAsia="zh-CN"/>
        </w:rPr>
      </w:pPr>
      <w:r>
        <w:rPr>
          <w:rFonts w:hint="eastAsia"/>
          <w:color w:val="auto"/>
          <w:szCs w:val="20"/>
          <w:highlight w:val="none"/>
          <w:lang w:eastAsia="zh-CN"/>
        </w:rPr>
        <w:t>（14）《厚度方向性能钢板》（GB/T5313—2010）。</w:t>
      </w:r>
    </w:p>
    <w:p w14:paraId="1AF56D61">
      <w:pPr>
        <w:autoSpaceDE w:val="0"/>
        <w:autoSpaceDN w:val="0"/>
        <w:adjustRightInd/>
        <w:ind w:firstLine="480"/>
        <w:rPr>
          <w:color w:val="auto"/>
          <w:szCs w:val="20"/>
          <w:highlight w:val="none"/>
          <w:lang w:eastAsia="zh-CN"/>
        </w:rPr>
      </w:pPr>
      <w:r>
        <w:rPr>
          <w:rFonts w:hint="eastAsia"/>
          <w:color w:val="auto"/>
          <w:szCs w:val="20"/>
          <w:highlight w:val="none"/>
          <w:lang w:eastAsia="zh-CN"/>
        </w:rPr>
        <w:t>（15）《水利工程压力钢管制造安装及验收规范》（SL432—2008）。</w:t>
      </w:r>
    </w:p>
    <w:p w14:paraId="51C07572">
      <w:pPr>
        <w:autoSpaceDE w:val="0"/>
        <w:autoSpaceDN w:val="0"/>
        <w:adjustRightInd/>
        <w:ind w:firstLine="480"/>
        <w:rPr>
          <w:color w:val="auto"/>
          <w:szCs w:val="20"/>
          <w:highlight w:val="none"/>
          <w:lang w:eastAsia="zh-CN"/>
        </w:rPr>
      </w:pPr>
      <w:r>
        <w:rPr>
          <w:rFonts w:hint="eastAsia"/>
          <w:color w:val="auto"/>
          <w:szCs w:val="20"/>
          <w:highlight w:val="none"/>
          <w:lang w:eastAsia="zh-CN"/>
        </w:rPr>
        <w:t>（16）《水工金属结构防腐蚀规范》（SL105—2007）。</w:t>
      </w:r>
    </w:p>
    <w:p w14:paraId="54745425">
      <w:pPr>
        <w:autoSpaceDE w:val="0"/>
        <w:autoSpaceDN w:val="0"/>
        <w:adjustRightInd/>
        <w:ind w:firstLine="480"/>
        <w:rPr>
          <w:color w:val="auto"/>
          <w:szCs w:val="20"/>
          <w:highlight w:val="none"/>
          <w:lang w:eastAsia="zh-CN"/>
        </w:rPr>
      </w:pPr>
      <w:r>
        <w:rPr>
          <w:rFonts w:hint="eastAsia"/>
          <w:color w:val="auto"/>
          <w:szCs w:val="20"/>
          <w:highlight w:val="none"/>
          <w:lang w:eastAsia="zh-CN"/>
        </w:rPr>
        <w:t>（17）《水利水电工程机电设备安装安全技术规程》（SL400—2016）。</w:t>
      </w:r>
    </w:p>
    <w:p w14:paraId="7CF956E7">
      <w:pPr>
        <w:autoSpaceDE w:val="0"/>
        <w:autoSpaceDN w:val="0"/>
        <w:adjustRightInd/>
        <w:ind w:firstLine="480"/>
        <w:rPr>
          <w:color w:val="auto"/>
          <w:szCs w:val="20"/>
          <w:highlight w:val="none"/>
          <w:lang w:eastAsia="zh-CN"/>
        </w:rPr>
      </w:pPr>
      <w:r>
        <w:rPr>
          <w:rFonts w:hint="eastAsia"/>
          <w:color w:val="auto"/>
          <w:szCs w:val="20"/>
          <w:highlight w:val="none"/>
          <w:lang w:eastAsia="zh-CN"/>
        </w:rPr>
        <w:t>（18）《水工金属结构焊接通用技术条件》（SL36—2016）。</w:t>
      </w:r>
    </w:p>
    <w:p w14:paraId="5E3CF730">
      <w:pPr>
        <w:autoSpaceDE w:val="0"/>
        <w:autoSpaceDN w:val="0"/>
        <w:adjustRightInd/>
        <w:ind w:firstLine="480"/>
        <w:rPr>
          <w:color w:val="auto"/>
          <w:szCs w:val="20"/>
          <w:highlight w:val="none"/>
          <w:lang w:eastAsia="zh-CN"/>
        </w:rPr>
      </w:pPr>
      <w:r>
        <w:rPr>
          <w:rFonts w:hint="eastAsia"/>
          <w:color w:val="auto"/>
          <w:szCs w:val="20"/>
          <w:highlight w:val="none"/>
          <w:lang w:eastAsia="zh-CN"/>
        </w:rPr>
        <w:t>（19）《焊缝无损检测焊缝磁粉检测验收等级》（GB/T26952-2011）。</w:t>
      </w:r>
    </w:p>
    <w:p w14:paraId="1835F777">
      <w:pPr>
        <w:autoSpaceDE w:val="0"/>
        <w:autoSpaceDN w:val="0"/>
        <w:adjustRightInd/>
        <w:ind w:firstLine="480"/>
        <w:rPr>
          <w:color w:val="auto"/>
          <w:szCs w:val="20"/>
          <w:highlight w:val="none"/>
          <w:lang w:eastAsia="zh-CN"/>
        </w:rPr>
      </w:pPr>
      <w:r>
        <w:rPr>
          <w:rFonts w:hint="eastAsia"/>
          <w:color w:val="auto"/>
          <w:szCs w:val="20"/>
          <w:highlight w:val="none"/>
          <w:lang w:eastAsia="zh-CN"/>
        </w:rPr>
        <w:t>（20）《焊缝无损检测焊缝渗透检测验收等级》（GB/T26953-2011）。</w:t>
      </w:r>
    </w:p>
    <w:p w14:paraId="1332D5E7">
      <w:pPr>
        <w:autoSpaceDE w:val="0"/>
        <w:autoSpaceDN w:val="0"/>
        <w:adjustRightInd/>
        <w:ind w:firstLine="480"/>
        <w:rPr>
          <w:color w:val="auto"/>
          <w:szCs w:val="20"/>
          <w:highlight w:val="none"/>
          <w:lang w:eastAsia="zh-CN"/>
        </w:rPr>
      </w:pPr>
      <w:r>
        <w:rPr>
          <w:rFonts w:hint="eastAsia"/>
          <w:color w:val="auto"/>
          <w:szCs w:val="20"/>
          <w:highlight w:val="none"/>
          <w:lang w:eastAsia="zh-CN"/>
        </w:rPr>
        <w:t>（21）《水利水电工程压力钢管设计规范》（SL/T281—2020)。</w:t>
      </w:r>
    </w:p>
    <w:p w14:paraId="3D65855A">
      <w:pPr>
        <w:autoSpaceDE w:val="0"/>
        <w:autoSpaceDN w:val="0"/>
        <w:adjustRightInd/>
        <w:ind w:firstLine="480"/>
        <w:rPr>
          <w:color w:val="auto"/>
          <w:szCs w:val="20"/>
          <w:highlight w:val="none"/>
          <w:lang w:eastAsia="zh-CN"/>
        </w:rPr>
      </w:pPr>
      <w:r>
        <w:rPr>
          <w:rFonts w:hint="eastAsia"/>
          <w:color w:val="auto"/>
          <w:szCs w:val="20"/>
          <w:highlight w:val="none"/>
          <w:lang w:eastAsia="zh-CN"/>
        </w:rPr>
        <w:t>以上所列标准，是设计、制造、安装、检修及验收依照执行的标准，但不限于此。在合同执行过程中如有新的版本或替代标准时，则按新颁布的版本或其替代标准执行。当标准之间的技术要求不一致时，按要求严格的标准内容执行。</w:t>
      </w:r>
    </w:p>
    <w:p w14:paraId="7B7970D0">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 2</w:t>
      </w:r>
      <w:r>
        <w:rPr>
          <w:rFonts w:hint="eastAsia" w:ascii="Arial" w:hAnsi="Arial" w:cs="宋体"/>
          <w:bCs/>
          <w:color w:val="auto"/>
          <w:szCs w:val="24"/>
          <w:highlight w:val="none"/>
        </w:rPr>
        <w:t>　</w:t>
      </w:r>
      <w:r>
        <w:rPr>
          <w:rFonts w:ascii="Arial" w:hAnsi="Arial" w:cs="宋体"/>
          <w:bCs/>
          <w:color w:val="auto"/>
          <w:szCs w:val="24"/>
          <w:highlight w:val="none"/>
        </w:rPr>
        <w:t>材料</w:t>
      </w:r>
    </w:p>
    <w:p w14:paraId="524616CA">
      <w:pPr>
        <w:autoSpaceDE w:val="0"/>
        <w:autoSpaceDN w:val="0"/>
        <w:adjustRightInd/>
        <w:ind w:firstLine="480"/>
        <w:rPr>
          <w:color w:val="auto"/>
          <w:szCs w:val="20"/>
          <w:highlight w:val="none"/>
          <w:lang w:eastAsia="zh-CN"/>
        </w:rPr>
      </w:pPr>
      <w:r>
        <w:rPr>
          <w:rFonts w:hint="eastAsia"/>
          <w:color w:val="auto"/>
          <w:szCs w:val="20"/>
          <w:highlight w:val="none"/>
          <w:lang w:eastAsia="zh-CN"/>
        </w:rPr>
        <w:t>钢管用各种钢材应按《水利水电工程压力钢管设计规范》（SL/T281—2020)的规定选用。承包人应向监理人提交产品质量证明书等技术文件。每批材料应由承包人会同监理人进行人库验收。承包人应按监理人指示进行抽样检验，对钢材标号不清或对材质有疑问时应予复验，复验成果应提交监理人。</w:t>
      </w:r>
    </w:p>
    <w:p w14:paraId="1C40CA58">
      <w:pPr>
        <w:pStyle w:val="4"/>
        <w:numPr>
          <w:ilvl w:val="0"/>
          <w:numId w:val="6"/>
        </w:numPr>
        <w:kinsoku w:val="0"/>
        <w:autoSpaceDE w:val="0"/>
        <w:autoSpaceDN w:val="0"/>
        <w:rPr>
          <w:rFonts w:ascii="Arial" w:hAnsi="Arial" w:cs="宋体"/>
          <w:bCs/>
          <w:color w:val="auto"/>
          <w:szCs w:val="24"/>
          <w:highlight w:val="none"/>
        </w:rPr>
      </w:pPr>
      <w:r>
        <w:rPr>
          <w:rFonts w:ascii="Arial" w:hAnsi="Arial" w:cs="宋体"/>
          <w:bCs/>
          <w:color w:val="auto"/>
          <w:szCs w:val="24"/>
          <w:highlight w:val="none"/>
        </w:rPr>
        <w:t>3</w:t>
      </w:r>
      <w:r>
        <w:rPr>
          <w:rFonts w:hint="eastAsia" w:ascii="Arial" w:hAnsi="Arial" w:cs="宋体"/>
          <w:bCs/>
          <w:color w:val="auto"/>
          <w:szCs w:val="24"/>
          <w:highlight w:val="none"/>
        </w:rPr>
        <w:t>　</w:t>
      </w:r>
      <w:r>
        <w:rPr>
          <w:rFonts w:ascii="Arial" w:hAnsi="Arial" w:cs="宋体"/>
          <w:bCs/>
          <w:color w:val="auto"/>
          <w:szCs w:val="24"/>
          <w:highlight w:val="none"/>
        </w:rPr>
        <w:t>钢管制造</w:t>
      </w:r>
    </w:p>
    <w:p w14:paraId="2F9083D7">
      <w:pPr>
        <w:numPr>
          <w:ilvl w:val="255"/>
          <w:numId w:val="0"/>
        </w:numPr>
        <w:ind w:firstLine="480"/>
        <w:rPr>
          <w:color w:val="auto"/>
          <w:highlight w:val="none"/>
          <w:lang w:eastAsia="zh-CN"/>
        </w:rPr>
      </w:pPr>
      <w:r>
        <w:rPr>
          <w:rFonts w:hint="eastAsia"/>
          <w:color w:val="auto"/>
          <w:highlight w:val="none"/>
          <w:lang w:eastAsia="zh-CN"/>
        </w:rPr>
        <w:t>19.3.1.1按图制造</w:t>
      </w:r>
    </w:p>
    <w:p w14:paraId="403AD04F">
      <w:pPr>
        <w:numPr>
          <w:ilvl w:val="255"/>
          <w:numId w:val="0"/>
        </w:numPr>
        <w:ind w:firstLine="480"/>
        <w:rPr>
          <w:color w:val="auto"/>
          <w:highlight w:val="none"/>
          <w:lang w:eastAsia="zh-CN"/>
        </w:rPr>
      </w:pPr>
      <w:r>
        <w:rPr>
          <w:rFonts w:hint="eastAsia"/>
          <w:color w:val="auto"/>
          <w:highlight w:val="none"/>
          <w:lang w:eastAsia="zh-CN"/>
        </w:rPr>
        <w:t>压力钢管制造必须按施工图（含技术要求说明书和设计修改通知单，后同）进行，如有修改，应取得发包人的书面同意，对修改的内容，应作详细记录，并作为绘制制造竣工图样的依据。</w:t>
      </w:r>
    </w:p>
    <w:p w14:paraId="4D40F3A8">
      <w:pPr>
        <w:numPr>
          <w:ilvl w:val="255"/>
          <w:numId w:val="0"/>
        </w:numPr>
        <w:ind w:firstLine="480"/>
        <w:rPr>
          <w:color w:val="auto"/>
          <w:highlight w:val="none"/>
          <w:lang w:eastAsia="zh-CN"/>
        </w:rPr>
      </w:pPr>
      <w:r>
        <w:rPr>
          <w:rFonts w:hint="eastAsia"/>
          <w:color w:val="auto"/>
          <w:highlight w:val="none"/>
          <w:lang w:eastAsia="zh-CN"/>
        </w:rPr>
        <w:t>19.3.1.2设计联络会</w:t>
      </w:r>
    </w:p>
    <w:p w14:paraId="4566D28C">
      <w:pPr>
        <w:numPr>
          <w:ilvl w:val="255"/>
          <w:numId w:val="0"/>
        </w:numPr>
        <w:ind w:firstLine="480"/>
        <w:rPr>
          <w:color w:val="auto"/>
          <w:highlight w:val="none"/>
          <w:lang w:eastAsia="zh-CN"/>
        </w:rPr>
      </w:pPr>
      <w:r>
        <w:rPr>
          <w:rFonts w:hint="eastAsia"/>
          <w:color w:val="auto"/>
          <w:highlight w:val="none"/>
          <w:lang w:eastAsia="zh-CN"/>
        </w:rPr>
        <w:t>19.3.1.2.1总则</w:t>
      </w:r>
    </w:p>
    <w:p w14:paraId="6B57BABB">
      <w:pPr>
        <w:numPr>
          <w:ilvl w:val="255"/>
          <w:numId w:val="0"/>
        </w:numPr>
        <w:ind w:firstLine="480"/>
        <w:rPr>
          <w:color w:val="auto"/>
          <w:highlight w:val="none"/>
          <w:lang w:eastAsia="zh-CN"/>
        </w:rPr>
      </w:pPr>
      <w:r>
        <w:rPr>
          <w:rFonts w:hint="eastAsia"/>
          <w:color w:val="auto"/>
          <w:highlight w:val="none"/>
          <w:lang w:eastAsia="zh-CN"/>
        </w:rPr>
        <w:t>1）为保证合同有效顺利地实施，发包人将与承包人通过设计联络会对合同设备的设计、制造的有关图纸、技术文件及其它方面的技术问题进行协调、讨论和审查。</w:t>
      </w:r>
    </w:p>
    <w:p w14:paraId="2FF06C24">
      <w:pPr>
        <w:numPr>
          <w:ilvl w:val="255"/>
          <w:numId w:val="0"/>
        </w:numPr>
        <w:ind w:firstLine="480"/>
        <w:rPr>
          <w:color w:val="auto"/>
          <w:highlight w:val="none"/>
          <w:lang w:eastAsia="zh-CN"/>
        </w:rPr>
      </w:pPr>
      <w:r>
        <w:rPr>
          <w:rFonts w:hint="eastAsia"/>
          <w:color w:val="auto"/>
          <w:highlight w:val="none"/>
          <w:lang w:eastAsia="zh-CN"/>
        </w:rPr>
        <w:t>2）设计联络会均需签订会议纪要，该会议纪要将成为合同的正式组成部分，双方必须遵守。在设计联络会中如对合同条款、技术条款有重大修改时，须经过双方授权代表签字。</w:t>
      </w:r>
    </w:p>
    <w:p w14:paraId="76157E47">
      <w:pPr>
        <w:numPr>
          <w:ilvl w:val="255"/>
          <w:numId w:val="0"/>
        </w:numPr>
        <w:ind w:firstLine="480"/>
        <w:rPr>
          <w:color w:val="auto"/>
          <w:highlight w:val="none"/>
          <w:lang w:eastAsia="zh-CN"/>
        </w:rPr>
      </w:pPr>
      <w:r>
        <w:rPr>
          <w:rFonts w:hint="eastAsia"/>
          <w:color w:val="auto"/>
          <w:highlight w:val="none"/>
          <w:lang w:eastAsia="zh-CN"/>
        </w:rPr>
        <w:t>3）发包人对承包人设计图纸和技术文件的讨论、审查并不免除承包人对本合同设备设计、制造的任何责任。</w:t>
      </w:r>
    </w:p>
    <w:p w14:paraId="4861E84A">
      <w:pPr>
        <w:numPr>
          <w:ilvl w:val="255"/>
          <w:numId w:val="0"/>
        </w:numPr>
        <w:ind w:firstLine="480"/>
        <w:rPr>
          <w:color w:val="auto"/>
          <w:highlight w:val="none"/>
          <w:lang w:eastAsia="zh-CN"/>
        </w:rPr>
      </w:pPr>
      <w:r>
        <w:rPr>
          <w:rFonts w:hint="eastAsia"/>
          <w:color w:val="auto"/>
          <w:highlight w:val="none"/>
          <w:lang w:eastAsia="zh-CN"/>
        </w:rPr>
        <w:t>19.3.1.2.2设计联络会的要求及需提交的资料</w:t>
      </w:r>
    </w:p>
    <w:p w14:paraId="570726D4">
      <w:pPr>
        <w:numPr>
          <w:ilvl w:val="255"/>
          <w:numId w:val="0"/>
        </w:numPr>
        <w:ind w:firstLine="480"/>
        <w:rPr>
          <w:color w:val="auto"/>
          <w:highlight w:val="none"/>
          <w:lang w:eastAsia="zh-CN"/>
        </w:rPr>
      </w:pPr>
      <w:r>
        <w:rPr>
          <w:rFonts w:hint="eastAsia"/>
          <w:color w:val="auto"/>
          <w:highlight w:val="none"/>
          <w:lang w:eastAsia="zh-CN"/>
        </w:rPr>
        <w:t>1）根据完成的合同工期要求，由承包人提出召开联络会的时间，并报监理人。发包人将会同监理人、工程设计单位、安装运行单位的有关人员出席。</w:t>
      </w:r>
    </w:p>
    <w:p w14:paraId="0D2892A6">
      <w:pPr>
        <w:numPr>
          <w:ilvl w:val="255"/>
          <w:numId w:val="0"/>
        </w:numPr>
        <w:ind w:firstLine="480"/>
        <w:rPr>
          <w:color w:val="auto"/>
          <w:highlight w:val="none"/>
          <w:lang w:eastAsia="zh-CN"/>
        </w:rPr>
      </w:pPr>
      <w:r>
        <w:rPr>
          <w:rFonts w:hint="eastAsia"/>
          <w:color w:val="auto"/>
          <w:highlight w:val="none"/>
          <w:lang w:eastAsia="zh-CN"/>
        </w:rPr>
        <w:t>2）设计联络会讨论并审查压力钢管制造工艺流程、场地、焊接工艺、制造质量保证措施、防腐方案及实施、压力钢管现场安装、出厂验收的有关事项，协调与土建的技术问题等。设计联络时间和联络会讨论内容可根据现场施工进度要求调整，各合同压力钢管供货时间在设计联络会商定。</w:t>
      </w:r>
    </w:p>
    <w:p w14:paraId="3297866D">
      <w:pPr>
        <w:numPr>
          <w:ilvl w:val="255"/>
          <w:numId w:val="0"/>
        </w:numPr>
        <w:ind w:firstLine="480"/>
        <w:rPr>
          <w:color w:val="auto"/>
          <w:highlight w:val="none"/>
          <w:lang w:eastAsia="zh-CN"/>
        </w:rPr>
      </w:pPr>
      <w:r>
        <w:rPr>
          <w:rFonts w:hint="eastAsia"/>
          <w:color w:val="auto"/>
          <w:highlight w:val="none"/>
          <w:lang w:eastAsia="zh-CN"/>
        </w:rPr>
        <w:t>19.3.2材料</w:t>
      </w:r>
    </w:p>
    <w:p w14:paraId="3A58A545">
      <w:pPr>
        <w:numPr>
          <w:ilvl w:val="255"/>
          <w:numId w:val="0"/>
        </w:numPr>
        <w:ind w:firstLine="480"/>
        <w:rPr>
          <w:color w:val="auto"/>
          <w:highlight w:val="none"/>
          <w:lang w:eastAsia="zh-CN"/>
        </w:rPr>
      </w:pPr>
      <w:r>
        <w:rPr>
          <w:rFonts w:hint="eastAsia"/>
          <w:color w:val="auto"/>
          <w:highlight w:val="none"/>
          <w:lang w:eastAsia="zh-CN"/>
        </w:rPr>
        <w:t>19.3.2.1金属材料</w:t>
      </w:r>
    </w:p>
    <w:p w14:paraId="03C170D7">
      <w:pPr>
        <w:numPr>
          <w:ilvl w:val="255"/>
          <w:numId w:val="0"/>
        </w:numPr>
        <w:ind w:firstLine="480"/>
        <w:rPr>
          <w:color w:val="auto"/>
          <w:highlight w:val="none"/>
          <w:lang w:eastAsia="zh-CN"/>
        </w:rPr>
      </w:pPr>
      <w:r>
        <w:rPr>
          <w:rFonts w:hint="eastAsia"/>
          <w:color w:val="auto"/>
          <w:highlight w:val="none"/>
          <w:lang w:eastAsia="zh-CN"/>
        </w:rPr>
        <w:t>19.3.2.1.1压力钢管制造所用的金属材料，包括黑色金属材料和有色金属材料，必须符合施工图样规定，其机械性能和化学成份必须符合现行的国家标准或部颁标准，并应具有出厂合格证。如无出厂合格证、或标号不清、或数据不全、或对数据有疑问者，应每张或每件进行试验，试验合格并取得监理人的同意才能使用。</w:t>
      </w:r>
    </w:p>
    <w:p w14:paraId="6F612437">
      <w:pPr>
        <w:numPr>
          <w:ilvl w:val="255"/>
          <w:numId w:val="0"/>
        </w:numPr>
        <w:ind w:firstLine="480"/>
        <w:rPr>
          <w:color w:val="auto"/>
          <w:highlight w:val="none"/>
          <w:lang w:eastAsia="zh-CN"/>
        </w:rPr>
      </w:pPr>
      <w:r>
        <w:rPr>
          <w:rFonts w:hint="eastAsia"/>
          <w:color w:val="auto"/>
          <w:highlight w:val="none"/>
          <w:lang w:eastAsia="zh-CN"/>
        </w:rPr>
        <w:t>19.3.2.1.2凡钢板表面存在的缺陷超过GB/T3274的有关规定时，不得用于制造压力钢管。</w:t>
      </w:r>
    </w:p>
    <w:p w14:paraId="7EEF415F">
      <w:pPr>
        <w:numPr>
          <w:ilvl w:val="255"/>
          <w:numId w:val="0"/>
        </w:numPr>
        <w:ind w:firstLine="480"/>
        <w:rPr>
          <w:color w:val="auto"/>
          <w:highlight w:val="none"/>
          <w:lang w:eastAsia="zh-CN"/>
        </w:rPr>
      </w:pPr>
      <w:r>
        <w:rPr>
          <w:rFonts w:hint="eastAsia"/>
          <w:color w:val="auto"/>
          <w:highlight w:val="none"/>
          <w:lang w:eastAsia="zh-CN"/>
        </w:rPr>
        <w:t>1）钢板原材料要求采用宝钢、鞍钢、武钢、首钢、沙钢或同档次及以上厂家生产的卷板，钢管品牌要求采用江苏玉龙、浙江鑫桦、浙江三鼎或同档次及以上厂家所生产。钢材的化学成份要求，见下表。</w:t>
      </w:r>
    </w:p>
    <w:p w14:paraId="32581D51">
      <w:pPr>
        <w:numPr>
          <w:ilvl w:val="255"/>
          <w:numId w:val="0"/>
        </w:numPr>
        <w:ind w:firstLine="480"/>
        <w:rPr>
          <w:color w:val="auto"/>
          <w:highlight w:val="none"/>
          <w:lang w:eastAsia="zh-CN"/>
        </w:rPr>
      </w:pPr>
      <w:r>
        <w:rPr>
          <w:rFonts w:hint="eastAsia"/>
          <w:color w:val="auto"/>
          <w:highlight w:val="none"/>
          <w:lang w:eastAsia="zh-CN"/>
        </w:rPr>
        <w:t>表19.3.2-1              钢材的化学成份要求</w:t>
      </w:r>
    </w:p>
    <w:tbl>
      <w:tblPr>
        <w:tblStyle w:val="24"/>
        <w:tblW w:w="8506" w:type="dxa"/>
        <w:tblInd w:w="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1418"/>
        <w:gridCol w:w="1415"/>
        <w:gridCol w:w="1415"/>
        <w:gridCol w:w="1418"/>
        <w:gridCol w:w="1420"/>
      </w:tblGrid>
      <w:tr w14:paraId="2CA60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420" w:type="dxa"/>
            <w:vMerge w:val="restart"/>
            <w:tcBorders>
              <w:bottom w:val="nil"/>
            </w:tcBorders>
          </w:tcPr>
          <w:p w14:paraId="37B823EE">
            <w:pPr>
              <w:spacing w:line="310" w:lineRule="auto"/>
              <w:ind w:firstLine="420"/>
              <w:jc w:val="center"/>
              <w:rPr>
                <w:rFonts w:ascii="Arial"/>
                <w:color w:val="auto"/>
                <w:sz w:val="21"/>
                <w:highlight w:val="none"/>
                <w:lang w:eastAsia="zh-CN"/>
              </w:rPr>
            </w:pPr>
          </w:p>
          <w:p w14:paraId="757B128E">
            <w:pPr>
              <w:spacing w:before="78" w:line="220" w:lineRule="auto"/>
              <w:ind w:firstLine="0" w:firstLineChars="0"/>
              <w:jc w:val="center"/>
              <w:rPr>
                <w:rFonts w:cs="宋体"/>
                <w:color w:val="auto"/>
                <w:sz w:val="21"/>
                <w:highlight w:val="none"/>
              </w:rPr>
            </w:pPr>
            <w:r>
              <w:rPr>
                <w:rFonts w:cs="宋体"/>
                <w:color w:val="auto"/>
                <w:spacing w:val="-1"/>
                <w:sz w:val="21"/>
                <w:highlight w:val="none"/>
              </w:rPr>
              <w:t>牌号</w:t>
            </w:r>
          </w:p>
        </w:tc>
        <w:tc>
          <w:tcPr>
            <w:tcW w:w="7086" w:type="dxa"/>
            <w:gridSpan w:val="5"/>
          </w:tcPr>
          <w:p w14:paraId="74D7E2E0">
            <w:pPr>
              <w:pStyle w:val="23"/>
              <w:spacing w:before="112" w:line="234" w:lineRule="auto"/>
              <w:ind w:firstLine="0" w:firstLineChars="0"/>
              <w:jc w:val="center"/>
              <w:rPr>
                <w:color w:val="auto"/>
                <w:sz w:val="21"/>
                <w:szCs w:val="21"/>
                <w:highlight w:val="none"/>
              </w:rPr>
            </w:pPr>
            <w:r>
              <w:rPr>
                <w:color w:val="auto"/>
                <w:spacing w:val="6"/>
                <w:sz w:val="21"/>
                <w:szCs w:val="21"/>
                <w:highlight w:val="none"/>
              </w:rPr>
              <w:t>化学成分%</w:t>
            </w:r>
          </w:p>
        </w:tc>
      </w:tr>
      <w:tr w14:paraId="224F1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1420" w:type="dxa"/>
            <w:vMerge w:val="continue"/>
            <w:tcBorders>
              <w:top w:val="nil"/>
            </w:tcBorders>
          </w:tcPr>
          <w:p w14:paraId="4D5D8CA8">
            <w:pPr>
              <w:ind w:firstLine="420"/>
              <w:jc w:val="center"/>
              <w:rPr>
                <w:rFonts w:ascii="Arial"/>
                <w:color w:val="auto"/>
                <w:sz w:val="21"/>
                <w:highlight w:val="none"/>
              </w:rPr>
            </w:pPr>
          </w:p>
        </w:tc>
        <w:tc>
          <w:tcPr>
            <w:tcW w:w="1418" w:type="dxa"/>
          </w:tcPr>
          <w:p w14:paraId="1FF5EB67">
            <w:pPr>
              <w:pStyle w:val="23"/>
              <w:spacing w:before="198" w:line="186" w:lineRule="auto"/>
              <w:ind w:firstLine="0" w:firstLineChars="0"/>
              <w:jc w:val="center"/>
              <w:rPr>
                <w:color w:val="auto"/>
                <w:sz w:val="21"/>
                <w:szCs w:val="21"/>
                <w:highlight w:val="none"/>
              </w:rPr>
            </w:pPr>
            <w:r>
              <w:rPr>
                <w:color w:val="auto"/>
                <w:sz w:val="21"/>
                <w:szCs w:val="21"/>
                <w:highlight w:val="none"/>
              </w:rPr>
              <w:t>C</w:t>
            </w:r>
          </w:p>
        </w:tc>
        <w:tc>
          <w:tcPr>
            <w:tcW w:w="1415" w:type="dxa"/>
          </w:tcPr>
          <w:p w14:paraId="3CECEF73">
            <w:pPr>
              <w:pStyle w:val="23"/>
              <w:spacing w:before="202" w:line="183" w:lineRule="auto"/>
              <w:ind w:firstLine="0" w:firstLineChars="0"/>
              <w:jc w:val="center"/>
              <w:rPr>
                <w:color w:val="auto"/>
                <w:sz w:val="21"/>
                <w:szCs w:val="21"/>
                <w:highlight w:val="none"/>
              </w:rPr>
            </w:pPr>
            <w:r>
              <w:rPr>
                <w:color w:val="auto"/>
                <w:sz w:val="21"/>
                <w:szCs w:val="21"/>
                <w:highlight w:val="none"/>
              </w:rPr>
              <w:t>Mn</w:t>
            </w:r>
          </w:p>
        </w:tc>
        <w:tc>
          <w:tcPr>
            <w:tcW w:w="1415" w:type="dxa"/>
          </w:tcPr>
          <w:p w14:paraId="600663F2">
            <w:pPr>
              <w:pStyle w:val="23"/>
              <w:spacing w:before="194" w:line="190" w:lineRule="auto"/>
              <w:ind w:firstLine="0" w:firstLineChars="0"/>
              <w:jc w:val="center"/>
              <w:rPr>
                <w:color w:val="auto"/>
                <w:sz w:val="21"/>
                <w:szCs w:val="21"/>
                <w:highlight w:val="none"/>
              </w:rPr>
            </w:pPr>
            <w:r>
              <w:rPr>
                <w:color w:val="auto"/>
                <w:spacing w:val="-4"/>
                <w:sz w:val="21"/>
                <w:szCs w:val="21"/>
                <w:highlight w:val="none"/>
              </w:rPr>
              <w:t>Si</w:t>
            </w:r>
          </w:p>
        </w:tc>
        <w:tc>
          <w:tcPr>
            <w:tcW w:w="1418" w:type="dxa"/>
          </w:tcPr>
          <w:p w14:paraId="676A3BA3">
            <w:pPr>
              <w:pStyle w:val="23"/>
              <w:spacing w:before="198" w:line="186" w:lineRule="auto"/>
              <w:ind w:firstLine="0" w:firstLineChars="0"/>
              <w:jc w:val="center"/>
              <w:rPr>
                <w:color w:val="auto"/>
                <w:sz w:val="21"/>
                <w:szCs w:val="21"/>
                <w:highlight w:val="none"/>
              </w:rPr>
            </w:pPr>
            <w:r>
              <w:rPr>
                <w:color w:val="auto"/>
                <w:sz w:val="21"/>
                <w:szCs w:val="21"/>
                <w:highlight w:val="none"/>
              </w:rPr>
              <w:t>S</w:t>
            </w:r>
          </w:p>
        </w:tc>
        <w:tc>
          <w:tcPr>
            <w:tcW w:w="1420" w:type="dxa"/>
          </w:tcPr>
          <w:p w14:paraId="63089AA4">
            <w:pPr>
              <w:pStyle w:val="23"/>
              <w:spacing w:before="202" w:line="183" w:lineRule="auto"/>
              <w:ind w:firstLine="0" w:firstLineChars="0"/>
              <w:jc w:val="center"/>
              <w:rPr>
                <w:color w:val="auto"/>
                <w:sz w:val="21"/>
                <w:szCs w:val="21"/>
                <w:highlight w:val="none"/>
              </w:rPr>
            </w:pPr>
            <w:r>
              <w:rPr>
                <w:color w:val="auto"/>
                <w:sz w:val="21"/>
                <w:szCs w:val="21"/>
                <w:highlight w:val="none"/>
              </w:rPr>
              <w:t>P</w:t>
            </w:r>
          </w:p>
        </w:tc>
      </w:tr>
      <w:tr w14:paraId="32C1F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420" w:type="dxa"/>
          </w:tcPr>
          <w:p w14:paraId="22675AF5">
            <w:pPr>
              <w:pStyle w:val="23"/>
              <w:spacing w:before="149" w:line="194" w:lineRule="auto"/>
              <w:ind w:firstLine="0" w:firstLineChars="0"/>
              <w:jc w:val="center"/>
              <w:rPr>
                <w:color w:val="auto"/>
                <w:sz w:val="21"/>
                <w:szCs w:val="21"/>
                <w:highlight w:val="none"/>
              </w:rPr>
            </w:pPr>
            <w:r>
              <w:rPr>
                <w:color w:val="auto"/>
                <w:spacing w:val="2"/>
                <w:sz w:val="21"/>
                <w:szCs w:val="21"/>
                <w:highlight w:val="none"/>
              </w:rPr>
              <w:t>Q345R</w:t>
            </w:r>
          </w:p>
        </w:tc>
        <w:tc>
          <w:tcPr>
            <w:tcW w:w="1418" w:type="dxa"/>
          </w:tcPr>
          <w:p w14:paraId="7FE60DA8">
            <w:pPr>
              <w:pStyle w:val="23"/>
              <w:spacing w:before="149" w:line="218" w:lineRule="auto"/>
              <w:ind w:firstLine="0" w:firstLineChars="0"/>
              <w:jc w:val="center"/>
              <w:rPr>
                <w:color w:val="auto"/>
                <w:sz w:val="21"/>
                <w:szCs w:val="21"/>
                <w:highlight w:val="none"/>
              </w:rPr>
            </w:pPr>
            <w:r>
              <w:rPr>
                <w:color w:val="auto"/>
                <w:spacing w:val="3"/>
                <w:sz w:val="21"/>
                <w:szCs w:val="21"/>
                <w:highlight w:val="none"/>
              </w:rPr>
              <w:t>≤0.20</w:t>
            </w:r>
          </w:p>
        </w:tc>
        <w:tc>
          <w:tcPr>
            <w:tcW w:w="1415" w:type="dxa"/>
          </w:tcPr>
          <w:p w14:paraId="6A2EB96B">
            <w:pPr>
              <w:pStyle w:val="23"/>
              <w:spacing w:before="153" w:line="186" w:lineRule="auto"/>
              <w:ind w:firstLine="0" w:firstLineChars="0"/>
              <w:jc w:val="center"/>
              <w:rPr>
                <w:color w:val="auto"/>
                <w:sz w:val="21"/>
                <w:szCs w:val="21"/>
                <w:highlight w:val="none"/>
              </w:rPr>
            </w:pPr>
            <w:r>
              <w:rPr>
                <w:color w:val="auto"/>
                <w:spacing w:val="1"/>
                <w:sz w:val="21"/>
                <w:szCs w:val="21"/>
                <w:highlight w:val="none"/>
              </w:rPr>
              <w:t>1.20~1.70</w:t>
            </w:r>
          </w:p>
        </w:tc>
        <w:tc>
          <w:tcPr>
            <w:tcW w:w="1415" w:type="dxa"/>
          </w:tcPr>
          <w:p w14:paraId="35787BFD">
            <w:pPr>
              <w:pStyle w:val="23"/>
              <w:spacing w:before="149" w:line="218" w:lineRule="auto"/>
              <w:ind w:firstLine="0" w:firstLineChars="0"/>
              <w:jc w:val="center"/>
              <w:rPr>
                <w:color w:val="auto"/>
                <w:sz w:val="21"/>
                <w:szCs w:val="21"/>
                <w:highlight w:val="none"/>
              </w:rPr>
            </w:pPr>
            <w:r>
              <w:rPr>
                <w:color w:val="auto"/>
                <w:spacing w:val="3"/>
                <w:sz w:val="21"/>
                <w:szCs w:val="21"/>
                <w:highlight w:val="none"/>
              </w:rPr>
              <w:t>≤0.55</w:t>
            </w:r>
          </w:p>
        </w:tc>
        <w:tc>
          <w:tcPr>
            <w:tcW w:w="1418" w:type="dxa"/>
          </w:tcPr>
          <w:p w14:paraId="7A9CA9DF">
            <w:pPr>
              <w:pStyle w:val="23"/>
              <w:spacing w:before="149" w:line="218" w:lineRule="auto"/>
              <w:ind w:firstLine="0" w:firstLineChars="0"/>
              <w:jc w:val="center"/>
              <w:rPr>
                <w:color w:val="auto"/>
                <w:sz w:val="21"/>
                <w:szCs w:val="21"/>
                <w:highlight w:val="none"/>
              </w:rPr>
            </w:pPr>
            <w:r>
              <w:rPr>
                <w:color w:val="auto"/>
                <w:spacing w:val="3"/>
                <w:sz w:val="21"/>
                <w:szCs w:val="21"/>
                <w:highlight w:val="none"/>
              </w:rPr>
              <w:t>≤0.010</w:t>
            </w:r>
          </w:p>
        </w:tc>
        <w:tc>
          <w:tcPr>
            <w:tcW w:w="1420" w:type="dxa"/>
          </w:tcPr>
          <w:p w14:paraId="5D092990">
            <w:pPr>
              <w:pStyle w:val="23"/>
              <w:spacing w:before="149" w:line="218" w:lineRule="auto"/>
              <w:ind w:firstLine="0" w:firstLineChars="0"/>
              <w:jc w:val="center"/>
              <w:rPr>
                <w:color w:val="auto"/>
                <w:sz w:val="21"/>
                <w:szCs w:val="21"/>
                <w:highlight w:val="none"/>
              </w:rPr>
            </w:pPr>
            <w:r>
              <w:rPr>
                <w:color w:val="auto"/>
                <w:spacing w:val="3"/>
                <w:sz w:val="21"/>
                <w:szCs w:val="21"/>
                <w:highlight w:val="none"/>
              </w:rPr>
              <w:t>≤0.025</w:t>
            </w:r>
          </w:p>
        </w:tc>
      </w:tr>
    </w:tbl>
    <w:p w14:paraId="20061526">
      <w:pPr>
        <w:numPr>
          <w:ilvl w:val="255"/>
          <w:numId w:val="0"/>
        </w:numPr>
        <w:ind w:firstLine="480"/>
        <w:rPr>
          <w:color w:val="auto"/>
          <w:highlight w:val="none"/>
          <w:lang w:eastAsia="zh-CN"/>
        </w:rPr>
      </w:pPr>
      <w:r>
        <w:rPr>
          <w:rFonts w:hint="eastAsia"/>
          <w:color w:val="auto"/>
          <w:highlight w:val="none"/>
          <w:lang w:eastAsia="zh-CN"/>
        </w:rPr>
        <w:t>2）钢材的力学和工艺性能见下表。</w:t>
      </w:r>
    </w:p>
    <w:p w14:paraId="3775E20F">
      <w:pPr>
        <w:numPr>
          <w:ilvl w:val="255"/>
          <w:numId w:val="0"/>
        </w:numPr>
        <w:ind w:firstLine="480"/>
        <w:rPr>
          <w:color w:val="auto"/>
          <w:highlight w:val="none"/>
          <w:lang w:eastAsia="zh-CN"/>
        </w:rPr>
      </w:pPr>
      <w:r>
        <w:rPr>
          <w:rFonts w:hint="eastAsia"/>
          <w:color w:val="auto"/>
          <w:highlight w:val="none"/>
          <w:lang w:eastAsia="zh-CN"/>
        </w:rPr>
        <w:t>表19.3.2-2              钢材的力学和工艺性能</w:t>
      </w:r>
    </w:p>
    <w:tbl>
      <w:tblPr>
        <w:tblStyle w:val="24"/>
        <w:tblW w:w="8502" w:type="dxa"/>
        <w:tblInd w:w="5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1"/>
        <w:gridCol w:w="849"/>
        <w:gridCol w:w="1248"/>
        <w:gridCol w:w="1245"/>
        <w:gridCol w:w="794"/>
        <w:gridCol w:w="794"/>
        <w:gridCol w:w="679"/>
        <w:gridCol w:w="1020"/>
        <w:gridCol w:w="962"/>
      </w:tblGrid>
      <w:tr w14:paraId="3AAEB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911" w:type="dxa"/>
            <w:vMerge w:val="restart"/>
            <w:tcBorders>
              <w:bottom w:val="nil"/>
            </w:tcBorders>
          </w:tcPr>
          <w:p w14:paraId="1048CCF3">
            <w:pPr>
              <w:spacing w:line="310" w:lineRule="auto"/>
              <w:ind w:firstLine="420"/>
              <w:jc w:val="center"/>
              <w:rPr>
                <w:rFonts w:ascii="Arial"/>
                <w:color w:val="auto"/>
                <w:sz w:val="21"/>
                <w:highlight w:val="none"/>
                <w:lang w:eastAsia="zh-CN"/>
              </w:rPr>
            </w:pPr>
          </w:p>
          <w:p w14:paraId="26AB3E77">
            <w:pPr>
              <w:spacing w:line="310" w:lineRule="auto"/>
              <w:ind w:firstLine="420"/>
              <w:jc w:val="center"/>
              <w:rPr>
                <w:rFonts w:ascii="Arial"/>
                <w:color w:val="auto"/>
                <w:sz w:val="21"/>
                <w:highlight w:val="none"/>
                <w:lang w:eastAsia="zh-CN"/>
              </w:rPr>
            </w:pPr>
          </w:p>
          <w:p w14:paraId="0760FF26">
            <w:pPr>
              <w:spacing w:before="78" w:line="220" w:lineRule="auto"/>
              <w:ind w:firstLine="0" w:firstLineChars="0"/>
              <w:jc w:val="center"/>
              <w:rPr>
                <w:rFonts w:cs="宋体"/>
                <w:color w:val="auto"/>
                <w:sz w:val="21"/>
                <w:highlight w:val="none"/>
              </w:rPr>
            </w:pPr>
            <w:r>
              <w:rPr>
                <w:rFonts w:cs="宋体"/>
                <w:color w:val="auto"/>
                <w:spacing w:val="-1"/>
                <w:sz w:val="21"/>
                <w:highlight w:val="none"/>
              </w:rPr>
              <w:t>牌号</w:t>
            </w:r>
          </w:p>
        </w:tc>
        <w:tc>
          <w:tcPr>
            <w:tcW w:w="849" w:type="dxa"/>
            <w:vMerge w:val="restart"/>
            <w:tcBorders>
              <w:bottom w:val="nil"/>
            </w:tcBorders>
          </w:tcPr>
          <w:p w14:paraId="719B20A7">
            <w:pPr>
              <w:spacing w:line="468" w:lineRule="auto"/>
              <w:ind w:firstLine="420"/>
              <w:jc w:val="center"/>
              <w:rPr>
                <w:rFonts w:ascii="Arial"/>
                <w:color w:val="auto"/>
                <w:sz w:val="21"/>
                <w:highlight w:val="none"/>
              </w:rPr>
            </w:pPr>
          </w:p>
          <w:p w14:paraId="1F15E503">
            <w:pPr>
              <w:spacing w:before="78" w:line="229" w:lineRule="auto"/>
              <w:ind w:right="188" w:firstLine="0" w:firstLineChars="0"/>
              <w:jc w:val="center"/>
              <w:rPr>
                <w:rFonts w:cs="宋体"/>
                <w:color w:val="auto"/>
                <w:sz w:val="21"/>
                <w:highlight w:val="none"/>
              </w:rPr>
            </w:pPr>
            <w:r>
              <w:rPr>
                <w:rFonts w:cs="宋体"/>
                <w:color w:val="auto"/>
                <w:spacing w:val="-3"/>
                <w:sz w:val="21"/>
                <w:highlight w:val="none"/>
              </w:rPr>
              <w:t>交货</w:t>
            </w:r>
            <w:r>
              <w:rPr>
                <w:rFonts w:cs="宋体"/>
                <w:color w:val="auto"/>
                <w:sz w:val="21"/>
                <w:highlight w:val="none"/>
              </w:rPr>
              <w:t>状态</w:t>
            </w:r>
          </w:p>
        </w:tc>
        <w:tc>
          <w:tcPr>
            <w:tcW w:w="1248" w:type="dxa"/>
            <w:vMerge w:val="restart"/>
            <w:tcBorders>
              <w:bottom w:val="nil"/>
            </w:tcBorders>
          </w:tcPr>
          <w:p w14:paraId="4F81BD18">
            <w:pPr>
              <w:spacing w:line="243" w:lineRule="auto"/>
              <w:ind w:firstLine="420"/>
              <w:jc w:val="center"/>
              <w:rPr>
                <w:rFonts w:ascii="Arial"/>
                <w:color w:val="auto"/>
                <w:sz w:val="21"/>
                <w:highlight w:val="none"/>
              </w:rPr>
            </w:pPr>
          </w:p>
          <w:p w14:paraId="45CCCB93">
            <w:pPr>
              <w:spacing w:line="243" w:lineRule="auto"/>
              <w:ind w:firstLine="420"/>
              <w:jc w:val="center"/>
              <w:rPr>
                <w:rFonts w:ascii="Arial"/>
                <w:color w:val="auto"/>
                <w:sz w:val="21"/>
                <w:highlight w:val="none"/>
              </w:rPr>
            </w:pPr>
          </w:p>
          <w:p w14:paraId="1CD4747C">
            <w:pPr>
              <w:pStyle w:val="23"/>
              <w:spacing w:before="78" w:line="248" w:lineRule="auto"/>
              <w:ind w:right="133" w:firstLine="0" w:firstLineChars="0"/>
              <w:jc w:val="center"/>
              <w:rPr>
                <w:color w:val="auto"/>
                <w:sz w:val="21"/>
                <w:szCs w:val="21"/>
                <w:highlight w:val="none"/>
              </w:rPr>
            </w:pPr>
            <w:r>
              <w:rPr>
                <w:color w:val="auto"/>
                <w:spacing w:val="6"/>
                <w:sz w:val="21"/>
                <w:szCs w:val="21"/>
                <w:highlight w:val="none"/>
              </w:rPr>
              <w:t>钢材板厚</w:t>
            </w:r>
            <w:r>
              <w:rPr>
                <w:color w:val="auto"/>
                <w:spacing w:val="1"/>
                <w:sz w:val="21"/>
                <w:szCs w:val="21"/>
                <w:highlight w:val="none"/>
              </w:rPr>
              <w:t>mm</w:t>
            </w:r>
          </w:p>
        </w:tc>
        <w:tc>
          <w:tcPr>
            <w:tcW w:w="1245" w:type="dxa"/>
            <w:vMerge w:val="restart"/>
            <w:tcBorders>
              <w:bottom w:val="nil"/>
            </w:tcBorders>
          </w:tcPr>
          <w:p w14:paraId="400BB4C0">
            <w:pPr>
              <w:spacing w:line="242" w:lineRule="auto"/>
              <w:ind w:firstLine="420"/>
              <w:jc w:val="center"/>
              <w:rPr>
                <w:rFonts w:ascii="Arial"/>
                <w:color w:val="auto"/>
                <w:sz w:val="21"/>
                <w:highlight w:val="none"/>
              </w:rPr>
            </w:pPr>
          </w:p>
          <w:p w14:paraId="1BC374E0">
            <w:pPr>
              <w:spacing w:line="242" w:lineRule="auto"/>
              <w:ind w:firstLine="420"/>
              <w:jc w:val="center"/>
              <w:rPr>
                <w:rFonts w:ascii="Arial"/>
                <w:color w:val="auto"/>
                <w:sz w:val="21"/>
                <w:highlight w:val="none"/>
              </w:rPr>
            </w:pPr>
          </w:p>
          <w:p w14:paraId="6B74CC21">
            <w:pPr>
              <w:pStyle w:val="23"/>
              <w:spacing w:before="78" w:line="221" w:lineRule="auto"/>
              <w:ind w:right="132" w:firstLine="0" w:firstLineChars="0"/>
              <w:jc w:val="center"/>
              <w:rPr>
                <w:color w:val="auto"/>
                <w:sz w:val="21"/>
                <w:szCs w:val="21"/>
                <w:highlight w:val="none"/>
              </w:rPr>
            </w:pPr>
            <w:r>
              <w:rPr>
                <w:color w:val="auto"/>
                <w:spacing w:val="5"/>
                <w:sz w:val="21"/>
                <w:szCs w:val="21"/>
                <w:highlight w:val="none"/>
              </w:rPr>
              <w:t>抗拉强度</w:t>
            </w:r>
            <w:r>
              <w:rPr>
                <w:color w:val="auto"/>
                <w:spacing w:val="7"/>
                <w:sz w:val="21"/>
                <w:szCs w:val="21"/>
                <w:highlight w:val="none"/>
              </w:rPr>
              <w:t>N/</w:t>
            </w:r>
            <w:r>
              <w:rPr>
                <w:color w:val="auto"/>
                <w:sz w:val="21"/>
                <w:szCs w:val="21"/>
                <w:highlight w:val="none"/>
              </w:rPr>
              <w:t>mm</w:t>
            </w:r>
            <w:r>
              <w:rPr>
                <w:color w:val="auto"/>
                <w:spacing w:val="7"/>
                <w:position w:val="8"/>
                <w:sz w:val="21"/>
                <w:szCs w:val="21"/>
                <w:highlight w:val="none"/>
              </w:rPr>
              <w:t>2</w:t>
            </w:r>
          </w:p>
        </w:tc>
        <w:tc>
          <w:tcPr>
            <w:tcW w:w="794" w:type="dxa"/>
          </w:tcPr>
          <w:p w14:paraId="6D4972B3">
            <w:pPr>
              <w:pStyle w:val="23"/>
              <w:spacing w:before="36" w:line="231" w:lineRule="auto"/>
              <w:ind w:right="155" w:firstLine="0" w:firstLineChars="0"/>
              <w:jc w:val="center"/>
              <w:rPr>
                <w:color w:val="auto"/>
                <w:sz w:val="21"/>
                <w:szCs w:val="21"/>
                <w:highlight w:val="none"/>
              </w:rPr>
            </w:pPr>
            <w:r>
              <w:rPr>
                <w:color w:val="auto"/>
                <w:spacing w:val="-3"/>
                <w:sz w:val="21"/>
                <w:szCs w:val="21"/>
                <w:highlight w:val="none"/>
              </w:rPr>
              <w:t>屈服强度</w:t>
            </w:r>
            <w:r>
              <w:rPr>
                <w:color w:val="auto"/>
                <w:spacing w:val="7"/>
                <w:sz w:val="21"/>
                <w:szCs w:val="21"/>
                <w:highlight w:val="none"/>
              </w:rPr>
              <w:t>N/m</w:t>
            </w:r>
            <w:r>
              <w:rPr>
                <w:color w:val="auto"/>
                <w:spacing w:val="8"/>
                <w:w w:val="132"/>
                <w:position w:val="-1"/>
                <w:sz w:val="21"/>
                <w:szCs w:val="21"/>
                <w:highlight w:val="none"/>
              </w:rPr>
              <w:t>m</w:t>
            </w:r>
            <w:r>
              <w:rPr>
                <w:color w:val="auto"/>
                <w:spacing w:val="8"/>
                <w:w w:val="132"/>
                <w:position w:val="7"/>
                <w:sz w:val="21"/>
                <w:szCs w:val="21"/>
                <w:highlight w:val="none"/>
              </w:rPr>
              <w:t>2</w:t>
            </w:r>
          </w:p>
        </w:tc>
        <w:tc>
          <w:tcPr>
            <w:tcW w:w="794" w:type="dxa"/>
          </w:tcPr>
          <w:p w14:paraId="54515B44">
            <w:pPr>
              <w:spacing w:before="177" w:line="220" w:lineRule="auto"/>
              <w:ind w:firstLine="0" w:firstLineChars="0"/>
              <w:jc w:val="center"/>
              <w:rPr>
                <w:rFonts w:cs="宋体"/>
                <w:color w:val="auto"/>
                <w:sz w:val="21"/>
                <w:highlight w:val="none"/>
              </w:rPr>
            </w:pPr>
            <w:r>
              <w:rPr>
                <w:rFonts w:cs="宋体"/>
                <w:color w:val="auto"/>
                <w:sz w:val="21"/>
                <w:highlight w:val="none"/>
              </w:rPr>
              <w:t>伸长率</w:t>
            </w:r>
          </w:p>
          <w:p w14:paraId="7EBCB363">
            <w:pPr>
              <w:pStyle w:val="23"/>
              <w:spacing w:before="46" w:line="186" w:lineRule="auto"/>
              <w:ind w:firstLine="0" w:firstLineChars="0"/>
              <w:jc w:val="center"/>
              <w:rPr>
                <w:color w:val="auto"/>
                <w:sz w:val="21"/>
                <w:szCs w:val="21"/>
                <w:highlight w:val="none"/>
              </w:rPr>
            </w:pPr>
            <w:r>
              <w:rPr>
                <w:color w:val="auto"/>
                <w:spacing w:val="1"/>
                <w:sz w:val="21"/>
                <w:szCs w:val="21"/>
                <w:highlight w:val="none"/>
              </w:rPr>
              <w:t>A%</w:t>
            </w:r>
          </w:p>
        </w:tc>
        <w:tc>
          <w:tcPr>
            <w:tcW w:w="679" w:type="dxa"/>
            <w:vMerge w:val="restart"/>
            <w:tcBorders>
              <w:bottom w:val="nil"/>
            </w:tcBorders>
            <w:textDirection w:val="tbRlV"/>
          </w:tcPr>
          <w:p w14:paraId="1F157FBC">
            <w:pPr>
              <w:spacing w:before="221" w:line="209" w:lineRule="auto"/>
              <w:ind w:firstLine="0" w:firstLineChars="0"/>
              <w:jc w:val="center"/>
              <w:rPr>
                <w:rFonts w:cs="宋体"/>
                <w:color w:val="auto"/>
                <w:sz w:val="21"/>
                <w:highlight w:val="none"/>
              </w:rPr>
            </w:pPr>
            <w:r>
              <w:rPr>
                <w:rFonts w:cs="宋体"/>
                <w:color w:val="auto"/>
                <w:sz w:val="21"/>
                <w:highlight w:val="none"/>
              </w:rPr>
              <w:t>温度℃</w:t>
            </w:r>
          </w:p>
        </w:tc>
        <w:tc>
          <w:tcPr>
            <w:tcW w:w="1020" w:type="dxa"/>
          </w:tcPr>
          <w:p w14:paraId="5AE0A877">
            <w:pPr>
              <w:pStyle w:val="23"/>
              <w:spacing w:before="315" w:line="230" w:lineRule="auto"/>
              <w:ind w:right="178" w:firstLine="0" w:firstLineChars="0"/>
              <w:jc w:val="center"/>
              <w:rPr>
                <w:color w:val="auto"/>
                <w:sz w:val="21"/>
                <w:szCs w:val="21"/>
                <w:highlight w:val="none"/>
              </w:rPr>
            </w:pPr>
            <w:r>
              <w:rPr>
                <w:color w:val="auto"/>
                <w:spacing w:val="4"/>
                <w:sz w:val="21"/>
                <w:szCs w:val="21"/>
                <w:highlight w:val="none"/>
              </w:rPr>
              <w:t>V形冲</w:t>
            </w:r>
            <w:r>
              <w:rPr>
                <w:color w:val="auto"/>
                <w:spacing w:val="3"/>
                <w:sz w:val="21"/>
                <w:szCs w:val="21"/>
                <w:highlight w:val="none"/>
              </w:rPr>
              <w:t>击功J</w:t>
            </w:r>
          </w:p>
        </w:tc>
        <w:tc>
          <w:tcPr>
            <w:tcW w:w="962" w:type="dxa"/>
          </w:tcPr>
          <w:p w14:paraId="0B60398B">
            <w:pPr>
              <w:pStyle w:val="23"/>
              <w:spacing w:before="37" w:line="232" w:lineRule="auto"/>
              <w:ind w:right="156" w:firstLine="0" w:firstLineChars="0"/>
              <w:jc w:val="center"/>
              <w:rPr>
                <w:color w:val="auto"/>
                <w:sz w:val="21"/>
                <w:szCs w:val="21"/>
                <w:highlight w:val="none"/>
              </w:rPr>
            </w:pPr>
            <w:r>
              <w:rPr>
                <w:color w:val="auto"/>
                <w:spacing w:val="-3"/>
                <w:sz w:val="21"/>
                <w:szCs w:val="21"/>
                <w:highlight w:val="none"/>
              </w:rPr>
              <w:t>弯曲</w:t>
            </w:r>
            <w:r>
              <w:rPr>
                <w:color w:val="auto"/>
                <w:spacing w:val="6"/>
                <w:sz w:val="21"/>
                <w:szCs w:val="21"/>
                <w:highlight w:val="none"/>
              </w:rPr>
              <w:t>试验</w:t>
            </w:r>
            <w:r>
              <w:rPr>
                <w:color w:val="auto"/>
                <w:spacing w:val="3"/>
                <w:sz w:val="21"/>
                <w:szCs w:val="21"/>
                <w:highlight w:val="none"/>
              </w:rPr>
              <w:t>b=2a</w:t>
            </w:r>
            <w:r>
              <w:rPr>
                <w:color w:val="auto"/>
                <w:spacing w:val="29"/>
                <w:sz w:val="21"/>
                <w:szCs w:val="21"/>
                <w:highlight w:val="none"/>
              </w:rPr>
              <w:t>180°</w:t>
            </w:r>
          </w:p>
        </w:tc>
      </w:tr>
      <w:tr w14:paraId="54AE1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11" w:type="dxa"/>
            <w:vMerge w:val="continue"/>
            <w:tcBorders>
              <w:top w:val="nil"/>
            </w:tcBorders>
          </w:tcPr>
          <w:p w14:paraId="2250D784">
            <w:pPr>
              <w:ind w:firstLine="420"/>
              <w:jc w:val="center"/>
              <w:rPr>
                <w:rFonts w:ascii="Arial"/>
                <w:color w:val="auto"/>
                <w:sz w:val="21"/>
                <w:highlight w:val="none"/>
              </w:rPr>
            </w:pPr>
          </w:p>
        </w:tc>
        <w:tc>
          <w:tcPr>
            <w:tcW w:w="849" w:type="dxa"/>
            <w:vMerge w:val="continue"/>
            <w:tcBorders>
              <w:top w:val="nil"/>
            </w:tcBorders>
          </w:tcPr>
          <w:p w14:paraId="6CC2A975">
            <w:pPr>
              <w:ind w:firstLine="420"/>
              <w:jc w:val="center"/>
              <w:rPr>
                <w:rFonts w:ascii="Arial"/>
                <w:color w:val="auto"/>
                <w:sz w:val="21"/>
                <w:highlight w:val="none"/>
              </w:rPr>
            </w:pPr>
          </w:p>
        </w:tc>
        <w:tc>
          <w:tcPr>
            <w:tcW w:w="1248" w:type="dxa"/>
            <w:vMerge w:val="continue"/>
            <w:tcBorders>
              <w:top w:val="nil"/>
            </w:tcBorders>
          </w:tcPr>
          <w:p w14:paraId="4F88C33B">
            <w:pPr>
              <w:ind w:firstLine="420"/>
              <w:jc w:val="center"/>
              <w:rPr>
                <w:rFonts w:ascii="Arial"/>
                <w:color w:val="auto"/>
                <w:sz w:val="21"/>
                <w:highlight w:val="none"/>
              </w:rPr>
            </w:pPr>
          </w:p>
        </w:tc>
        <w:tc>
          <w:tcPr>
            <w:tcW w:w="1245" w:type="dxa"/>
            <w:vMerge w:val="continue"/>
            <w:tcBorders>
              <w:top w:val="nil"/>
            </w:tcBorders>
          </w:tcPr>
          <w:p w14:paraId="3F0C9370">
            <w:pPr>
              <w:ind w:firstLine="420"/>
              <w:jc w:val="center"/>
              <w:rPr>
                <w:rFonts w:ascii="Arial"/>
                <w:color w:val="auto"/>
                <w:sz w:val="21"/>
                <w:highlight w:val="none"/>
              </w:rPr>
            </w:pPr>
          </w:p>
        </w:tc>
        <w:tc>
          <w:tcPr>
            <w:tcW w:w="1588" w:type="dxa"/>
            <w:gridSpan w:val="2"/>
          </w:tcPr>
          <w:p w14:paraId="32563292">
            <w:pPr>
              <w:spacing w:before="109" w:line="222" w:lineRule="auto"/>
              <w:ind w:firstLine="0" w:firstLineChars="0"/>
              <w:jc w:val="center"/>
              <w:rPr>
                <w:rFonts w:cs="宋体"/>
                <w:color w:val="auto"/>
                <w:sz w:val="21"/>
                <w:highlight w:val="none"/>
              </w:rPr>
            </w:pPr>
            <w:r>
              <w:rPr>
                <w:rFonts w:cs="宋体"/>
                <w:color w:val="auto"/>
                <w:spacing w:val="2"/>
                <w:sz w:val="21"/>
                <w:highlight w:val="none"/>
              </w:rPr>
              <w:t>不小于</w:t>
            </w:r>
          </w:p>
        </w:tc>
        <w:tc>
          <w:tcPr>
            <w:tcW w:w="679" w:type="dxa"/>
            <w:vMerge w:val="continue"/>
            <w:tcBorders>
              <w:top w:val="nil"/>
            </w:tcBorders>
            <w:textDirection w:val="tbRlV"/>
          </w:tcPr>
          <w:p w14:paraId="1F64B193">
            <w:pPr>
              <w:ind w:firstLine="420"/>
              <w:jc w:val="center"/>
              <w:rPr>
                <w:rFonts w:ascii="Arial"/>
                <w:color w:val="auto"/>
                <w:sz w:val="21"/>
                <w:highlight w:val="none"/>
              </w:rPr>
            </w:pPr>
          </w:p>
        </w:tc>
        <w:tc>
          <w:tcPr>
            <w:tcW w:w="1020" w:type="dxa"/>
          </w:tcPr>
          <w:p w14:paraId="497EF725">
            <w:pPr>
              <w:spacing w:before="109" w:line="222" w:lineRule="auto"/>
              <w:ind w:firstLine="0" w:firstLineChars="0"/>
              <w:jc w:val="center"/>
              <w:rPr>
                <w:rFonts w:cs="宋体"/>
                <w:color w:val="auto"/>
                <w:sz w:val="21"/>
                <w:highlight w:val="none"/>
              </w:rPr>
            </w:pPr>
            <w:r>
              <w:rPr>
                <w:rFonts w:cs="宋体"/>
                <w:color w:val="auto"/>
                <w:spacing w:val="2"/>
                <w:sz w:val="21"/>
                <w:highlight w:val="none"/>
              </w:rPr>
              <w:t>不小于</w:t>
            </w:r>
          </w:p>
        </w:tc>
        <w:tc>
          <w:tcPr>
            <w:tcW w:w="962" w:type="dxa"/>
          </w:tcPr>
          <w:p w14:paraId="09BED028">
            <w:pPr>
              <w:ind w:firstLine="420"/>
              <w:jc w:val="center"/>
              <w:rPr>
                <w:rFonts w:ascii="Arial"/>
                <w:color w:val="auto"/>
                <w:sz w:val="21"/>
                <w:highlight w:val="none"/>
              </w:rPr>
            </w:pPr>
          </w:p>
        </w:tc>
      </w:tr>
      <w:tr w14:paraId="42C78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11" w:type="dxa"/>
            <w:vMerge w:val="restart"/>
            <w:tcBorders>
              <w:bottom w:val="nil"/>
            </w:tcBorders>
          </w:tcPr>
          <w:p w14:paraId="5C6265E9">
            <w:pPr>
              <w:spacing w:line="259" w:lineRule="auto"/>
              <w:ind w:firstLine="420"/>
              <w:jc w:val="center"/>
              <w:rPr>
                <w:rFonts w:ascii="Arial"/>
                <w:color w:val="auto"/>
                <w:sz w:val="21"/>
                <w:highlight w:val="none"/>
              </w:rPr>
            </w:pPr>
          </w:p>
          <w:p w14:paraId="2498F7B7">
            <w:pPr>
              <w:spacing w:line="260" w:lineRule="auto"/>
              <w:ind w:firstLine="420"/>
              <w:jc w:val="center"/>
              <w:rPr>
                <w:rFonts w:ascii="Arial"/>
                <w:color w:val="auto"/>
                <w:sz w:val="21"/>
                <w:highlight w:val="none"/>
              </w:rPr>
            </w:pPr>
          </w:p>
          <w:p w14:paraId="60A4C86D">
            <w:pPr>
              <w:spacing w:line="260" w:lineRule="auto"/>
              <w:ind w:firstLine="420"/>
              <w:jc w:val="center"/>
              <w:rPr>
                <w:rFonts w:ascii="Arial"/>
                <w:color w:val="auto"/>
                <w:sz w:val="21"/>
                <w:highlight w:val="none"/>
              </w:rPr>
            </w:pPr>
          </w:p>
          <w:p w14:paraId="060DC624">
            <w:pPr>
              <w:pStyle w:val="23"/>
              <w:spacing w:before="69" w:line="353" w:lineRule="auto"/>
              <w:ind w:right="184" w:firstLine="0" w:firstLineChars="0"/>
              <w:jc w:val="center"/>
              <w:rPr>
                <w:color w:val="auto"/>
                <w:sz w:val="21"/>
                <w:szCs w:val="21"/>
                <w:highlight w:val="none"/>
                <w:lang w:eastAsia="zh-CN"/>
              </w:rPr>
            </w:pPr>
            <w:r>
              <w:rPr>
                <w:color w:val="auto"/>
                <w:spacing w:val="1"/>
                <w:sz w:val="21"/>
                <w:szCs w:val="21"/>
                <w:highlight w:val="none"/>
              </w:rPr>
              <w:t>Q3</w:t>
            </w:r>
            <w:r>
              <w:rPr>
                <w:rFonts w:hint="eastAsia"/>
                <w:color w:val="auto"/>
                <w:spacing w:val="1"/>
                <w:sz w:val="21"/>
                <w:szCs w:val="21"/>
                <w:highlight w:val="none"/>
                <w:lang w:eastAsia="zh-CN"/>
              </w:rPr>
              <w:t>4</w:t>
            </w:r>
            <w:r>
              <w:rPr>
                <w:color w:val="auto"/>
                <w:spacing w:val="1"/>
                <w:sz w:val="21"/>
                <w:szCs w:val="21"/>
                <w:highlight w:val="none"/>
              </w:rPr>
              <w:t>5</w:t>
            </w:r>
            <w:r>
              <w:rPr>
                <w:color w:val="auto"/>
                <w:sz w:val="21"/>
                <w:szCs w:val="21"/>
                <w:highlight w:val="none"/>
              </w:rPr>
              <w:t>R</w:t>
            </w:r>
          </w:p>
        </w:tc>
        <w:tc>
          <w:tcPr>
            <w:tcW w:w="849" w:type="dxa"/>
            <w:vMerge w:val="restart"/>
            <w:tcBorders>
              <w:bottom w:val="nil"/>
            </w:tcBorders>
          </w:tcPr>
          <w:p w14:paraId="0B6534D9">
            <w:pPr>
              <w:spacing w:before="78" w:line="221" w:lineRule="auto"/>
              <w:ind w:firstLine="0" w:firstLineChars="0"/>
              <w:jc w:val="center"/>
              <w:rPr>
                <w:rFonts w:ascii="Arial"/>
                <w:color w:val="auto"/>
                <w:sz w:val="21"/>
                <w:highlight w:val="none"/>
              </w:rPr>
            </w:pPr>
          </w:p>
          <w:p w14:paraId="50A3AD1B">
            <w:pPr>
              <w:spacing w:before="78" w:line="221" w:lineRule="auto"/>
              <w:ind w:firstLine="0" w:firstLineChars="0"/>
              <w:jc w:val="center"/>
              <w:rPr>
                <w:rFonts w:ascii="Arial"/>
                <w:color w:val="auto"/>
                <w:sz w:val="21"/>
                <w:highlight w:val="none"/>
              </w:rPr>
            </w:pPr>
          </w:p>
          <w:p w14:paraId="213F48E8">
            <w:pPr>
              <w:spacing w:before="78" w:line="221" w:lineRule="auto"/>
              <w:ind w:firstLine="0" w:firstLineChars="0"/>
              <w:jc w:val="center"/>
              <w:rPr>
                <w:rFonts w:cs="宋体"/>
                <w:color w:val="auto"/>
                <w:sz w:val="21"/>
                <w:highlight w:val="none"/>
              </w:rPr>
            </w:pPr>
            <w:r>
              <w:rPr>
                <w:rFonts w:cs="宋体"/>
                <w:color w:val="auto"/>
                <w:spacing w:val="-2"/>
                <w:sz w:val="21"/>
                <w:highlight w:val="none"/>
              </w:rPr>
              <w:t>热轧</w:t>
            </w:r>
            <w:r>
              <w:rPr>
                <w:rFonts w:cs="宋体"/>
                <w:color w:val="auto"/>
                <w:spacing w:val="-1"/>
                <w:sz w:val="21"/>
                <w:highlight w:val="none"/>
              </w:rPr>
              <w:t>或正</w:t>
            </w:r>
            <w:r>
              <w:rPr>
                <w:rFonts w:cs="宋体"/>
                <w:color w:val="auto"/>
                <w:sz w:val="21"/>
                <w:highlight w:val="none"/>
              </w:rPr>
              <w:t>火</w:t>
            </w:r>
          </w:p>
        </w:tc>
        <w:tc>
          <w:tcPr>
            <w:tcW w:w="1248" w:type="dxa"/>
          </w:tcPr>
          <w:p w14:paraId="62457A21">
            <w:pPr>
              <w:pStyle w:val="23"/>
              <w:spacing w:before="152" w:line="186" w:lineRule="auto"/>
              <w:ind w:firstLine="0" w:firstLineChars="0"/>
              <w:jc w:val="center"/>
              <w:rPr>
                <w:color w:val="auto"/>
                <w:sz w:val="21"/>
                <w:szCs w:val="21"/>
                <w:highlight w:val="none"/>
              </w:rPr>
            </w:pPr>
            <w:r>
              <w:rPr>
                <w:color w:val="auto"/>
                <w:sz w:val="21"/>
                <w:szCs w:val="21"/>
                <w:highlight w:val="none"/>
              </w:rPr>
              <w:t>6~16</w:t>
            </w:r>
          </w:p>
        </w:tc>
        <w:tc>
          <w:tcPr>
            <w:tcW w:w="1245" w:type="dxa"/>
          </w:tcPr>
          <w:p w14:paraId="74DA9286">
            <w:pPr>
              <w:pStyle w:val="23"/>
              <w:spacing w:before="152" w:line="186" w:lineRule="auto"/>
              <w:ind w:firstLine="0" w:firstLineChars="0"/>
              <w:jc w:val="center"/>
              <w:rPr>
                <w:color w:val="auto"/>
                <w:sz w:val="21"/>
                <w:szCs w:val="21"/>
                <w:highlight w:val="none"/>
              </w:rPr>
            </w:pPr>
            <w:r>
              <w:rPr>
                <w:color w:val="auto"/>
                <w:spacing w:val="2"/>
                <w:sz w:val="21"/>
                <w:szCs w:val="21"/>
                <w:highlight w:val="none"/>
              </w:rPr>
              <w:t>510~640</w:t>
            </w:r>
          </w:p>
        </w:tc>
        <w:tc>
          <w:tcPr>
            <w:tcW w:w="794" w:type="dxa"/>
          </w:tcPr>
          <w:p w14:paraId="66BCBEC9">
            <w:pPr>
              <w:pStyle w:val="23"/>
              <w:spacing w:before="152" w:line="186" w:lineRule="auto"/>
              <w:ind w:firstLine="0" w:firstLineChars="0"/>
              <w:jc w:val="center"/>
              <w:rPr>
                <w:color w:val="auto"/>
                <w:sz w:val="21"/>
                <w:szCs w:val="21"/>
                <w:highlight w:val="none"/>
              </w:rPr>
            </w:pPr>
            <w:r>
              <w:rPr>
                <w:color w:val="auto"/>
                <w:spacing w:val="-1"/>
                <w:sz w:val="21"/>
                <w:szCs w:val="21"/>
                <w:highlight w:val="none"/>
              </w:rPr>
              <w:t>345</w:t>
            </w:r>
          </w:p>
        </w:tc>
        <w:tc>
          <w:tcPr>
            <w:tcW w:w="794" w:type="dxa"/>
            <w:vMerge w:val="restart"/>
            <w:tcBorders>
              <w:bottom w:val="nil"/>
            </w:tcBorders>
          </w:tcPr>
          <w:p w14:paraId="36E852A1">
            <w:pPr>
              <w:spacing w:line="273" w:lineRule="auto"/>
              <w:ind w:firstLine="420"/>
              <w:jc w:val="center"/>
              <w:rPr>
                <w:rFonts w:ascii="Arial"/>
                <w:color w:val="auto"/>
                <w:sz w:val="21"/>
                <w:highlight w:val="none"/>
              </w:rPr>
            </w:pPr>
          </w:p>
          <w:p w14:paraId="7F06AE74">
            <w:pPr>
              <w:spacing w:line="274" w:lineRule="auto"/>
              <w:ind w:firstLine="420"/>
              <w:jc w:val="center"/>
              <w:rPr>
                <w:rFonts w:ascii="Arial"/>
                <w:color w:val="auto"/>
                <w:sz w:val="21"/>
                <w:highlight w:val="none"/>
              </w:rPr>
            </w:pPr>
          </w:p>
          <w:p w14:paraId="146FB8EE">
            <w:pPr>
              <w:pStyle w:val="23"/>
              <w:spacing w:before="69" w:line="186" w:lineRule="auto"/>
              <w:ind w:firstLine="0" w:firstLineChars="0"/>
              <w:jc w:val="center"/>
              <w:rPr>
                <w:color w:val="auto"/>
                <w:sz w:val="21"/>
                <w:szCs w:val="21"/>
                <w:highlight w:val="none"/>
              </w:rPr>
            </w:pPr>
            <w:r>
              <w:rPr>
                <w:color w:val="auto"/>
                <w:spacing w:val="-1"/>
                <w:sz w:val="21"/>
                <w:szCs w:val="21"/>
                <w:highlight w:val="none"/>
              </w:rPr>
              <w:t>21</w:t>
            </w:r>
          </w:p>
        </w:tc>
        <w:tc>
          <w:tcPr>
            <w:tcW w:w="679" w:type="dxa"/>
            <w:vMerge w:val="restart"/>
            <w:tcBorders>
              <w:bottom w:val="nil"/>
            </w:tcBorders>
          </w:tcPr>
          <w:p w14:paraId="23941E06">
            <w:pPr>
              <w:spacing w:line="253" w:lineRule="auto"/>
              <w:ind w:firstLine="0" w:firstLineChars="0"/>
              <w:rPr>
                <w:rFonts w:ascii="Arial"/>
                <w:color w:val="auto"/>
                <w:sz w:val="21"/>
                <w:highlight w:val="none"/>
              </w:rPr>
            </w:pPr>
          </w:p>
          <w:p w14:paraId="50479185">
            <w:pPr>
              <w:pStyle w:val="23"/>
              <w:spacing w:before="69" w:line="186" w:lineRule="auto"/>
              <w:ind w:firstLine="0" w:firstLineChars="0"/>
              <w:jc w:val="center"/>
              <w:rPr>
                <w:color w:val="auto"/>
                <w:sz w:val="21"/>
                <w:szCs w:val="21"/>
                <w:highlight w:val="none"/>
              </w:rPr>
            </w:pPr>
          </w:p>
          <w:p w14:paraId="0577B5BB">
            <w:pPr>
              <w:pStyle w:val="23"/>
              <w:spacing w:before="69" w:line="186" w:lineRule="auto"/>
              <w:ind w:firstLine="0" w:firstLineChars="0"/>
              <w:jc w:val="center"/>
              <w:rPr>
                <w:color w:val="auto"/>
                <w:sz w:val="21"/>
                <w:szCs w:val="21"/>
                <w:highlight w:val="none"/>
              </w:rPr>
            </w:pPr>
          </w:p>
          <w:p w14:paraId="7E3596A8">
            <w:pPr>
              <w:pStyle w:val="23"/>
              <w:spacing w:before="69" w:line="186" w:lineRule="auto"/>
              <w:ind w:firstLine="0" w:firstLineChars="0"/>
              <w:jc w:val="center"/>
              <w:rPr>
                <w:color w:val="auto"/>
                <w:sz w:val="21"/>
                <w:szCs w:val="21"/>
                <w:highlight w:val="none"/>
              </w:rPr>
            </w:pPr>
          </w:p>
          <w:p w14:paraId="714D2736">
            <w:pPr>
              <w:pStyle w:val="23"/>
              <w:spacing w:before="69" w:line="186" w:lineRule="auto"/>
              <w:ind w:firstLine="0" w:firstLineChars="0"/>
              <w:jc w:val="center"/>
              <w:rPr>
                <w:color w:val="auto"/>
                <w:sz w:val="21"/>
                <w:szCs w:val="21"/>
                <w:highlight w:val="none"/>
              </w:rPr>
            </w:pPr>
            <w:r>
              <w:rPr>
                <w:color w:val="auto"/>
                <w:sz w:val="21"/>
                <w:szCs w:val="21"/>
                <w:highlight w:val="none"/>
              </w:rPr>
              <w:t>0</w:t>
            </w:r>
          </w:p>
        </w:tc>
        <w:tc>
          <w:tcPr>
            <w:tcW w:w="1020" w:type="dxa"/>
            <w:vMerge w:val="restart"/>
            <w:tcBorders>
              <w:bottom w:val="nil"/>
            </w:tcBorders>
          </w:tcPr>
          <w:p w14:paraId="020A94EF">
            <w:pPr>
              <w:spacing w:line="253" w:lineRule="auto"/>
              <w:ind w:firstLine="420"/>
              <w:jc w:val="center"/>
              <w:rPr>
                <w:rFonts w:ascii="Arial"/>
                <w:color w:val="auto"/>
                <w:sz w:val="21"/>
                <w:highlight w:val="none"/>
              </w:rPr>
            </w:pPr>
          </w:p>
          <w:p w14:paraId="6D8D0A2A">
            <w:pPr>
              <w:spacing w:line="253" w:lineRule="auto"/>
              <w:ind w:firstLine="420"/>
              <w:jc w:val="center"/>
              <w:rPr>
                <w:rFonts w:ascii="Arial"/>
                <w:color w:val="auto"/>
                <w:sz w:val="21"/>
                <w:highlight w:val="none"/>
              </w:rPr>
            </w:pPr>
          </w:p>
          <w:p w14:paraId="49E410E3">
            <w:pPr>
              <w:spacing w:line="253" w:lineRule="auto"/>
              <w:ind w:firstLine="420"/>
              <w:jc w:val="center"/>
              <w:rPr>
                <w:rFonts w:ascii="Arial"/>
                <w:color w:val="auto"/>
                <w:sz w:val="21"/>
                <w:highlight w:val="none"/>
              </w:rPr>
            </w:pPr>
          </w:p>
          <w:p w14:paraId="78E5B032">
            <w:pPr>
              <w:spacing w:line="253" w:lineRule="auto"/>
              <w:ind w:firstLine="420"/>
              <w:jc w:val="center"/>
              <w:rPr>
                <w:rFonts w:ascii="Arial"/>
                <w:color w:val="auto"/>
                <w:sz w:val="21"/>
                <w:highlight w:val="none"/>
              </w:rPr>
            </w:pPr>
          </w:p>
          <w:p w14:paraId="2672A2B4">
            <w:pPr>
              <w:pStyle w:val="23"/>
              <w:spacing w:before="69" w:line="186" w:lineRule="auto"/>
              <w:ind w:firstLine="0" w:firstLineChars="0"/>
              <w:jc w:val="center"/>
              <w:rPr>
                <w:color w:val="auto"/>
                <w:sz w:val="21"/>
                <w:szCs w:val="21"/>
                <w:highlight w:val="none"/>
              </w:rPr>
            </w:pPr>
            <w:r>
              <w:rPr>
                <w:color w:val="auto"/>
                <w:sz w:val="21"/>
                <w:szCs w:val="21"/>
                <w:highlight w:val="none"/>
              </w:rPr>
              <w:t>41</w:t>
            </w:r>
          </w:p>
        </w:tc>
        <w:tc>
          <w:tcPr>
            <w:tcW w:w="962" w:type="dxa"/>
          </w:tcPr>
          <w:p w14:paraId="1D453D94">
            <w:pPr>
              <w:pStyle w:val="23"/>
              <w:spacing w:before="147" w:line="190" w:lineRule="auto"/>
              <w:ind w:firstLine="0" w:firstLineChars="0"/>
              <w:jc w:val="center"/>
              <w:rPr>
                <w:color w:val="auto"/>
                <w:sz w:val="21"/>
                <w:szCs w:val="21"/>
                <w:highlight w:val="none"/>
              </w:rPr>
            </w:pPr>
            <w:r>
              <w:rPr>
                <w:color w:val="auto"/>
                <w:spacing w:val="1"/>
                <w:sz w:val="21"/>
                <w:szCs w:val="21"/>
                <w:highlight w:val="none"/>
              </w:rPr>
              <w:t>d=2a</w:t>
            </w:r>
          </w:p>
        </w:tc>
      </w:tr>
      <w:tr w14:paraId="44B96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11" w:type="dxa"/>
            <w:vMerge w:val="continue"/>
            <w:tcBorders>
              <w:top w:val="nil"/>
              <w:bottom w:val="nil"/>
            </w:tcBorders>
          </w:tcPr>
          <w:p w14:paraId="0B90E09A">
            <w:pPr>
              <w:ind w:firstLine="420"/>
              <w:jc w:val="center"/>
              <w:rPr>
                <w:rFonts w:ascii="Arial"/>
                <w:color w:val="auto"/>
                <w:sz w:val="21"/>
                <w:highlight w:val="none"/>
              </w:rPr>
            </w:pPr>
          </w:p>
        </w:tc>
        <w:tc>
          <w:tcPr>
            <w:tcW w:w="849" w:type="dxa"/>
            <w:vMerge w:val="continue"/>
            <w:tcBorders>
              <w:top w:val="nil"/>
              <w:bottom w:val="nil"/>
            </w:tcBorders>
          </w:tcPr>
          <w:p w14:paraId="7406A78C">
            <w:pPr>
              <w:ind w:firstLine="420"/>
              <w:jc w:val="center"/>
              <w:rPr>
                <w:rFonts w:ascii="Arial"/>
                <w:color w:val="auto"/>
                <w:sz w:val="21"/>
                <w:highlight w:val="none"/>
              </w:rPr>
            </w:pPr>
          </w:p>
        </w:tc>
        <w:tc>
          <w:tcPr>
            <w:tcW w:w="1248" w:type="dxa"/>
          </w:tcPr>
          <w:p w14:paraId="4D54C7C6">
            <w:pPr>
              <w:pStyle w:val="23"/>
              <w:spacing w:before="152" w:line="186" w:lineRule="auto"/>
              <w:ind w:firstLine="0" w:firstLineChars="0"/>
              <w:jc w:val="center"/>
              <w:rPr>
                <w:color w:val="auto"/>
                <w:sz w:val="21"/>
                <w:szCs w:val="21"/>
                <w:highlight w:val="none"/>
              </w:rPr>
            </w:pPr>
            <w:r>
              <w:rPr>
                <w:color w:val="auto"/>
                <w:spacing w:val="-2"/>
                <w:sz w:val="21"/>
                <w:szCs w:val="21"/>
                <w:highlight w:val="none"/>
              </w:rPr>
              <w:t>16~36</w:t>
            </w:r>
          </w:p>
        </w:tc>
        <w:tc>
          <w:tcPr>
            <w:tcW w:w="1245" w:type="dxa"/>
          </w:tcPr>
          <w:p w14:paraId="463E114A">
            <w:pPr>
              <w:pStyle w:val="23"/>
              <w:spacing w:before="152" w:line="186" w:lineRule="auto"/>
              <w:ind w:firstLine="0" w:firstLineChars="0"/>
              <w:jc w:val="center"/>
              <w:rPr>
                <w:color w:val="auto"/>
                <w:sz w:val="21"/>
                <w:szCs w:val="21"/>
                <w:highlight w:val="none"/>
              </w:rPr>
            </w:pPr>
            <w:r>
              <w:rPr>
                <w:color w:val="auto"/>
                <w:spacing w:val="2"/>
                <w:sz w:val="21"/>
                <w:szCs w:val="21"/>
                <w:highlight w:val="none"/>
              </w:rPr>
              <w:t>500~630</w:t>
            </w:r>
          </w:p>
        </w:tc>
        <w:tc>
          <w:tcPr>
            <w:tcW w:w="794" w:type="dxa"/>
          </w:tcPr>
          <w:p w14:paraId="1084D984">
            <w:pPr>
              <w:pStyle w:val="23"/>
              <w:spacing w:before="152" w:line="186" w:lineRule="auto"/>
              <w:ind w:firstLine="0" w:firstLineChars="0"/>
              <w:jc w:val="center"/>
              <w:rPr>
                <w:color w:val="auto"/>
                <w:sz w:val="21"/>
                <w:szCs w:val="21"/>
                <w:highlight w:val="none"/>
              </w:rPr>
            </w:pPr>
            <w:r>
              <w:rPr>
                <w:color w:val="auto"/>
                <w:spacing w:val="-1"/>
                <w:sz w:val="21"/>
                <w:szCs w:val="21"/>
                <w:highlight w:val="none"/>
              </w:rPr>
              <w:t>325</w:t>
            </w:r>
          </w:p>
        </w:tc>
        <w:tc>
          <w:tcPr>
            <w:tcW w:w="794" w:type="dxa"/>
            <w:vMerge w:val="continue"/>
            <w:tcBorders>
              <w:top w:val="nil"/>
              <w:bottom w:val="nil"/>
            </w:tcBorders>
          </w:tcPr>
          <w:p w14:paraId="4E4119F4">
            <w:pPr>
              <w:ind w:firstLine="420"/>
              <w:jc w:val="center"/>
              <w:rPr>
                <w:rFonts w:ascii="Arial"/>
                <w:color w:val="auto"/>
                <w:sz w:val="21"/>
                <w:highlight w:val="none"/>
              </w:rPr>
            </w:pPr>
          </w:p>
        </w:tc>
        <w:tc>
          <w:tcPr>
            <w:tcW w:w="679" w:type="dxa"/>
            <w:vMerge w:val="continue"/>
            <w:tcBorders>
              <w:top w:val="nil"/>
              <w:bottom w:val="nil"/>
            </w:tcBorders>
          </w:tcPr>
          <w:p w14:paraId="43D3B126">
            <w:pPr>
              <w:ind w:firstLine="420"/>
              <w:jc w:val="center"/>
              <w:rPr>
                <w:rFonts w:ascii="Arial"/>
                <w:color w:val="auto"/>
                <w:sz w:val="21"/>
                <w:highlight w:val="none"/>
              </w:rPr>
            </w:pPr>
          </w:p>
        </w:tc>
        <w:tc>
          <w:tcPr>
            <w:tcW w:w="1020" w:type="dxa"/>
            <w:vMerge w:val="continue"/>
            <w:tcBorders>
              <w:top w:val="nil"/>
              <w:bottom w:val="nil"/>
            </w:tcBorders>
          </w:tcPr>
          <w:p w14:paraId="4C6D9D22">
            <w:pPr>
              <w:ind w:firstLine="420"/>
              <w:jc w:val="center"/>
              <w:rPr>
                <w:rFonts w:ascii="Arial"/>
                <w:color w:val="auto"/>
                <w:sz w:val="21"/>
                <w:highlight w:val="none"/>
              </w:rPr>
            </w:pPr>
          </w:p>
        </w:tc>
        <w:tc>
          <w:tcPr>
            <w:tcW w:w="962" w:type="dxa"/>
            <w:vMerge w:val="restart"/>
            <w:tcBorders>
              <w:bottom w:val="nil"/>
            </w:tcBorders>
          </w:tcPr>
          <w:p w14:paraId="1A6925B7">
            <w:pPr>
              <w:spacing w:line="258" w:lineRule="auto"/>
              <w:ind w:firstLine="420"/>
              <w:jc w:val="center"/>
              <w:rPr>
                <w:rFonts w:ascii="Arial"/>
                <w:color w:val="auto"/>
                <w:sz w:val="21"/>
                <w:highlight w:val="none"/>
              </w:rPr>
            </w:pPr>
          </w:p>
          <w:p w14:paraId="56FC1093">
            <w:pPr>
              <w:spacing w:line="258" w:lineRule="auto"/>
              <w:ind w:firstLine="420"/>
              <w:jc w:val="center"/>
              <w:rPr>
                <w:rFonts w:ascii="Arial"/>
                <w:color w:val="auto"/>
                <w:sz w:val="21"/>
                <w:highlight w:val="none"/>
              </w:rPr>
            </w:pPr>
          </w:p>
          <w:p w14:paraId="66B47B55">
            <w:pPr>
              <w:spacing w:line="258" w:lineRule="auto"/>
              <w:ind w:firstLine="420"/>
              <w:jc w:val="center"/>
              <w:rPr>
                <w:rFonts w:ascii="Arial"/>
                <w:color w:val="auto"/>
                <w:sz w:val="21"/>
                <w:highlight w:val="none"/>
              </w:rPr>
            </w:pPr>
          </w:p>
          <w:p w14:paraId="436CAE7D">
            <w:pPr>
              <w:pStyle w:val="23"/>
              <w:spacing w:before="69" w:line="190" w:lineRule="auto"/>
              <w:ind w:firstLine="0" w:firstLineChars="0"/>
              <w:jc w:val="center"/>
              <w:rPr>
                <w:color w:val="auto"/>
                <w:sz w:val="21"/>
                <w:szCs w:val="21"/>
                <w:highlight w:val="none"/>
              </w:rPr>
            </w:pPr>
            <w:r>
              <w:rPr>
                <w:color w:val="auto"/>
                <w:spacing w:val="1"/>
                <w:sz w:val="21"/>
                <w:szCs w:val="21"/>
                <w:highlight w:val="none"/>
              </w:rPr>
              <w:t>d=3a</w:t>
            </w:r>
          </w:p>
        </w:tc>
      </w:tr>
      <w:tr w14:paraId="665CD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11" w:type="dxa"/>
            <w:vMerge w:val="continue"/>
            <w:tcBorders>
              <w:top w:val="nil"/>
              <w:bottom w:val="nil"/>
            </w:tcBorders>
          </w:tcPr>
          <w:p w14:paraId="73B23F23">
            <w:pPr>
              <w:ind w:firstLine="420"/>
              <w:rPr>
                <w:rFonts w:ascii="Arial"/>
                <w:color w:val="auto"/>
                <w:sz w:val="21"/>
                <w:highlight w:val="none"/>
              </w:rPr>
            </w:pPr>
          </w:p>
        </w:tc>
        <w:tc>
          <w:tcPr>
            <w:tcW w:w="849" w:type="dxa"/>
            <w:vMerge w:val="continue"/>
            <w:tcBorders>
              <w:top w:val="nil"/>
              <w:bottom w:val="nil"/>
            </w:tcBorders>
          </w:tcPr>
          <w:p w14:paraId="26CF02D7">
            <w:pPr>
              <w:ind w:firstLine="420"/>
              <w:rPr>
                <w:rFonts w:ascii="Arial"/>
                <w:color w:val="auto"/>
                <w:sz w:val="21"/>
                <w:highlight w:val="none"/>
              </w:rPr>
            </w:pPr>
          </w:p>
        </w:tc>
        <w:tc>
          <w:tcPr>
            <w:tcW w:w="1248" w:type="dxa"/>
          </w:tcPr>
          <w:p w14:paraId="549FA205">
            <w:pPr>
              <w:pStyle w:val="23"/>
              <w:spacing w:before="155" w:line="186" w:lineRule="auto"/>
              <w:ind w:firstLine="0" w:firstLineChars="0"/>
              <w:jc w:val="center"/>
              <w:rPr>
                <w:color w:val="auto"/>
                <w:sz w:val="21"/>
                <w:szCs w:val="21"/>
                <w:highlight w:val="none"/>
              </w:rPr>
            </w:pPr>
            <w:r>
              <w:rPr>
                <w:color w:val="auto"/>
                <w:spacing w:val="2"/>
                <w:sz w:val="21"/>
                <w:szCs w:val="21"/>
                <w:highlight w:val="none"/>
              </w:rPr>
              <w:t>36~60</w:t>
            </w:r>
          </w:p>
        </w:tc>
        <w:tc>
          <w:tcPr>
            <w:tcW w:w="1245" w:type="dxa"/>
          </w:tcPr>
          <w:p w14:paraId="164569BB">
            <w:pPr>
              <w:pStyle w:val="23"/>
              <w:spacing w:before="155" w:line="186" w:lineRule="auto"/>
              <w:ind w:firstLine="0" w:firstLineChars="0"/>
              <w:jc w:val="center"/>
              <w:rPr>
                <w:color w:val="auto"/>
                <w:sz w:val="21"/>
                <w:szCs w:val="21"/>
                <w:highlight w:val="none"/>
              </w:rPr>
            </w:pPr>
            <w:r>
              <w:rPr>
                <w:color w:val="auto"/>
                <w:spacing w:val="3"/>
                <w:sz w:val="21"/>
                <w:szCs w:val="21"/>
                <w:highlight w:val="none"/>
              </w:rPr>
              <w:t>490~620</w:t>
            </w:r>
          </w:p>
        </w:tc>
        <w:tc>
          <w:tcPr>
            <w:tcW w:w="794" w:type="dxa"/>
          </w:tcPr>
          <w:p w14:paraId="7637577A">
            <w:pPr>
              <w:pStyle w:val="23"/>
              <w:spacing w:before="155" w:line="186" w:lineRule="auto"/>
              <w:ind w:firstLine="0" w:firstLineChars="0"/>
              <w:jc w:val="center"/>
              <w:rPr>
                <w:color w:val="auto"/>
                <w:sz w:val="21"/>
                <w:szCs w:val="21"/>
                <w:highlight w:val="none"/>
              </w:rPr>
            </w:pPr>
            <w:r>
              <w:rPr>
                <w:color w:val="auto"/>
                <w:spacing w:val="-1"/>
                <w:sz w:val="21"/>
                <w:szCs w:val="21"/>
                <w:highlight w:val="none"/>
              </w:rPr>
              <w:t>315</w:t>
            </w:r>
          </w:p>
        </w:tc>
        <w:tc>
          <w:tcPr>
            <w:tcW w:w="794" w:type="dxa"/>
            <w:vMerge w:val="continue"/>
            <w:tcBorders>
              <w:top w:val="nil"/>
            </w:tcBorders>
          </w:tcPr>
          <w:p w14:paraId="26961DCC">
            <w:pPr>
              <w:ind w:firstLine="420"/>
              <w:jc w:val="center"/>
              <w:rPr>
                <w:rFonts w:ascii="Arial"/>
                <w:color w:val="auto"/>
                <w:sz w:val="21"/>
                <w:highlight w:val="none"/>
              </w:rPr>
            </w:pPr>
          </w:p>
        </w:tc>
        <w:tc>
          <w:tcPr>
            <w:tcW w:w="679" w:type="dxa"/>
            <w:vMerge w:val="continue"/>
            <w:tcBorders>
              <w:top w:val="nil"/>
              <w:bottom w:val="nil"/>
            </w:tcBorders>
          </w:tcPr>
          <w:p w14:paraId="2191E8F5">
            <w:pPr>
              <w:ind w:firstLine="420"/>
              <w:rPr>
                <w:rFonts w:ascii="Arial"/>
                <w:color w:val="auto"/>
                <w:sz w:val="21"/>
                <w:highlight w:val="none"/>
              </w:rPr>
            </w:pPr>
          </w:p>
        </w:tc>
        <w:tc>
          <w:tcPr>
            <w:tcW w:w="1020" w:type="dxa"/>
            <w:vMerge w:val="continue"/>
            <w:tcBorders>
              <w:top w:val="nil"/>
              <w:bottom w:val="nil"/>
            </w:tcBorders>
          </w:tcPr>
          <w:p w14:paraId="2C211FEF">
            <w:pPr>
              <w:ind w:firstLine="420"/>
              <w:rPr>
                <w:rFonts w:ascii="Arial"/>
                <w:color w:val="auto"/>
                <w:sz w:val="21"/>
                <w:highlight w:val="none"/>
              </w:rPr>
            </w:pPr>
          </w:p>
        </w:tc>
        <w:tc>
          <w:tcPr>
            <w:tcW w:w="962" w:type="dxa"/>
            <w:vMerge w:val="continue"/>
            <w:tcBorders>
              <w:top w:val="nil"/>
              <w:bottom w:val="nil"/>
            </w:tcBorders>
          </w:tcPr>
          <w:p w14:paraId="34FABE7D">
            <w:pPr>
              <w:ind w:firstLine="420"/>
              <w:rPr>
                <w:rFonts w:ascii="Arial"/>
                <w:color w:val="auto"/>
                <w:sz w:val="21"/>
                <w:highlight w:val="none"/>
              </w:rPr>
            </w:pPr>
          </w:p>
        </w:tc>
      </w:tr>
      <w:tr w14:paraId="000C2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911" w:type="dxa"/>
            <w:vMerge w:val="continue"/>
            <w:tcBorders>
              <w:top w:val="nil"/>
              <w:bottom w:val="nil"/>
            </w:tcBorders>
          </w:tcPr>
          <w:p w14:paraId="055B4569">
            <w:pPr>
              <w:ind w:firstLine="420"/>
              <w:rPr>
                <w:rFonts w:ascii="Arial"/>
                <w:color w:val="auto"/>
                <w:sz w:val="21"/>
                <w:highlight w:val="none"/>
              </w:rPr>
            </w:pPr>
          </w:p>
        </w:tc>
        <w:tc>
          <w:tcPr>
            <w:tcW w:w="849" w:type="dxa"/>
            <w:vMerge w:val="continue"/>
            <w:tcBorders>
              <w:top w:val="nil"/>
              <w:bottom w:val="nil"/>
            </w:tcBorders>
          </w:tcPr>
          <w:p w14:paraId="45466442">
            <w:pPr>
              <w:ind w:firstLine="420"/>
              <w:rPr>
                <w:rFonts w:ascii="Arial"/>
                <w:color w:val="auto"/>
                <w:sz w:val="21"/>
                <w:highlight w:val="none"/>
              </w:rPr>
            </w:pPr>
          </w:p>
        </w:tc>
        <w:tc>
          <w:tcPr>
            <w:tcW w:w="1248" w:type="dxa"/>
          </w:tcPr>
          <w:p w14:paraId="313BDDB0">
            <w:pPr>
              <w:pStyle w:val="23"/>
              <w:spacing w:before="153" w:line="186" w:lineRule="auto"/>
              <w:ind w:firstLine="0" w:firstLineChars="0"/>
              <w:jc w:val="center"/>
              <w:rPr>
                <w:color w:val="auto"/>
                <w:sz w:val="21"/>
                <w:szCs w:val="21"/>
                <w:highlight w:val="none"/>
              </w:rPr>
            </w:pPr>
            <w:r>
              <w:rPr>
                <w:color w:val="auto"/>
                <w:spacing w:val="2"/>
                <w:sz w:val="21"/>
                <w:szCs w:val="21"/>
                <w:highlight w:val="none"/>
              </w:rPr>
              <w:t>60~100</w:t>
            </w:r>
          </w:p>
        </w:tc>
        <w:tc>
          <w:tcPr>
            <w:tcW w:w="1245" w:type="dxa"/>
          </w:tcPr>
          <w:p w14:paraId="4065E4F9">
            <w:pPr>
              <w:pStyle w:val="23"/>
              <w:spacing w:before="153" w:line="186" w:lineRule="auto"/>
              <w:ind w:firstLine="0" w:firstLineChars="0"/>
              <w:jc w:val="center"/>
              <w:rPr>
                <w:color w:val="auto"/>
                <w:sz w:val="21"/>
                <w:szCs w:val="21"/>
                <w:highlight w:val="none"/>
              </w:rPr>
            </w:pPr>
            <w:r>
              <w:rPr>
                <w:color w:val="auto"/>
                <w:spacing w:val="3"/>
                <w:sz w:val="21"/>
                <w:szCs w:val="21"/>
                <w:highlight w:val="none"/>
              </w:rPr>
              <w:t>490~620</w:t>
            </w:r>
          </w:p>
        </w:tc>
        <w:tc>
          <w:tcPr>
            <w:tcW w:w="794" w:type="dxa"/>
          </w:tcPr>
          <w:p w14:paraId="78B05B18">
            <w:pPr>
              <w:pStyle w:val="23"/>
              <w:spacing w:before="153" w:line="186" w:lineRule="auto"/>
              <w:ind w:firstLine="0" w:firstLineChars="0"/>
              <w:jc w:val="center"/>
              <w:rPr>
                <w:color w:val="auto"/>
                <w:sz w:val="21"/>
                <w:szCs w:val="21"/>
                <w:highlight w:val="none"/>
              </w:rPr>
            </w:pPr>
            <w:r>
              <w:rPr>
                <w:color w:val="auto"/>
                <w:spacing w:val="-1"/>
                <w:sz w:val="21"/>
                <w:szCs w:val="21"/>
                <w:highlight w:val="none"/>
              </w:rPr>
              <w:t>305</w:t>
            </w:r>
          </w:p>
        </w:tc>
        <w:tc>
          <w:tcPr>
            <w:tcW w:w="794" w:type="dxa"/>
            <w:vMerge w:val="restart"/>
            <w:tcBorders>
              <w:bottom w:val="nil"/>
            </w:tcBorders>
          </w:tcPr>
          <w:p w14:paraId="12DE356B">
            <w:pPr>
              <w:spacing w:line="315" w:lineRule="auto"/>
              <w:ind w:firstLine="420"/>
              <w:jc w:val="center"/>
              <w:rPr>
                <w:rFonts w:ascii="Arial"/>
                <w:color w:val="auto"/>
                <w:sz w:val="21"/>
                <w:highlight w:val="none"/>
              </w:rPr>
            </w:pPr>
          </w:p>
          <w:p w14:paraId="33038CC4">
            <w:pPr>
              <w:pStyle w:val="23"/>
              <w:spacing w:before="69" w:line="186" w:lineRule="auto"/>
              <w:ind w:firstLine="0" w:firstLineChars="0"/>
              <w:jc w:val="center"/>
              <w:rPr>
                <w:color w:val="auto"/>
                <w:sz w:val="21"/>
                <w:szCs w:val="21"/>
                <w:highlight w:val="none"/>
              </w:rPr>
            </w:pPr>
            <w:r>
              <w:rPr>
                <w:color w:val="auto"/>
                <w:spacing w:val="-1"/>
                <w:sz w:val="21"/>
                <w:szCs w:val="21"/>
                <w:highlight w:val="none"/>
              </w:rPr>
              <w:t>20</w:t>
            </w:r>
          </w:p>
        </w:tc>
        <w:tc>
          <w:tcPr>
            <w:tcW w:w="679" w:type="dxa"/>
            <w:vMerge w:val="continue"/>
            <w:tcBorders>
              <w:top w:val="nil"/>
              <w:bottom w:val="nil"/>
            </w:tcBorders>
          </w:tcPr>
          <w:p w14:paraId="425D84FF">
            <w:pPr>
              <w:ind w:firstLine="420"/>
              <w:rPr>
                <w:rFonts w:ascii="Arial"/>
                <w:color w:val="auto"/>
                <w:sz w:val="21"/>
                <w:highlight w:val="none"/>
              </w:rPr>
            </w:pPr>
          </w:p>
        </w:tc>
        <w:tc>
          <w:tcPr>
            <w:tcW w:w="1020" w:type="dxa"/>
            <w:vMerge w:val="continue"/>
            <w:tcBorders>
              <w:top w:val="nil"/>
              <w:bottom w:val="nil"/>
            </w:tcBorders>
          </w:tcPr>
          <w:p w14:paraId="43862EA1">
            <w:pPr>
              <w:ind w:firstLine="420"/>
              <w:rPr>
                <w:rFonts w:ascii="Arial"/>
                <w:color w:val="auto"/>
                <w:sz w:val="21"/>
                <w:highlight w:val="none"/>
              </w:rPr>
            </w:pPr>
          </w:p>
        </w:tc>
        <w:tc>
          <w:tcPr>
            <w:tcW w:w="962" w:type="dxa"/>
            <w:vMerge w:val="continue"/>
            <w:tcBorders>
              <w:top w:val="nil"/>
              <w:bottom w:val="nil"/>
            </w:tcBorders>
          </w:tcPr>
          <w:p w14:paraId="6BD1E380">
            <w:pPr>
              <w:ind w:firstLine="420"/>
              <w:rPr>
                <w:rFonts w:ascii="Arial"/>
                <w:color w:val="auto"/>
                <w:sz w:val="21"/>
                <w:highlight w:val="none"/>
              </w:rPr>
            </w:pPr>
          </w:p>
        </w:tc>
      </w:tr>
      <w:tr w14:paraId="23574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11" w:type="dxa"/>
            <w:vMerge w:val="continue"/>
            <w:tcBorders>
              <w:top w:val="nil"/>
            </w:tcBorders>
          </w:tcPr>
          <w:p w14:paraId="73B42478">
            <w:pPr>
              <w:ind w:firstLine="420"/>
              <w:rPr>
                <w:rFonts w:ascii="Arial"/>
                <w:color w:val="auto"/>
                <w:sz w:val="21"/>
                <w:highlight w:val="none"/>
              </w:rPr>
            </w:pPr>
          </w:p>
        </w:tc>
        <w:tc>
          <w:tcPr>
            <w:tcW w:w="849" w:type="dxa"/>
            <w:vMerge w:val="continue"/>
            <w:tcBorders>
              <w:top w:val="nil"/>
            </w:tcBorders>
          </w:tcPr>
          <w:p w14:paraId="26CF0513">
            <w:pPr>
              <w:ind w:firstLine="420"/>
              <w:rPr>
                <w:rFonts w:ascii="Arial"/>
                <w:color w:val="auto"/>
                <w:sz w:val="21"/>
                <w:highlight w:val="none"/>
              </w:rPr>
            </w:pPr>
          </w:p>
        </w:tc>
        <w:tc>
          <w:tcPr>
            <w:tcW w:w="1248" w:type="dxa"/>
          </w:tcPr>
          <w:p w14:paraId="407AD5CE">
            <w:pPr>
              <w:pStyle w:val="23"/>
              <w:spacing w:before="154" w:line="186" w:lineRule="auto"/>
              <w:ind w:firstLine="0" w:firstLineChars="0"/>
              <w:jc w:val="center"/>
              <w:rPr>
                <w:color w:val="auto"/>
                <w:sz w:val="21"/>
                <w:szCs w:val="21"/>
                <w:highlight w:val="none"/>
              </w:rPr>
            </w:pPr>
            <w:r>
              <w:rPr>
                <w:color w:val="auto"/>
                <w:sz w:val="21"/>
                <w:szCs w:val="21"/>
                <w:highlight w:val="none"/>
              </w:rPr>
              <w:t>100~150</w:t>
            </w:r>
          </w:p>
        </w:tc>
        <w:tc>
          <w:tcPr>
            <w:tcW w:w="1245" w:type="dxa"/>
          </w:tcPr>
          <w:p w14:paraId="235267F6">
            <w:pPr>
              <w:pStyle w:val="23"/>
              <w:spacing w:before="154" w:line="186" w:lineRule="auto"/>
              <w:ind w:firstLine="0" w:firstLineChars="0"/>
              <w:jc w:val="center"/>
              <w:rPr>
                <w:color w:val="auto"/>
                <w:sz w:val="21"/>
                <w:szCs w:val="21"/>
                <w:highlight w:val="none"/>
              </w:rPr>
            </w:pPr>
            <w:r>
              <w:rPr>
                <w:color w:val="auto"/>
                <w:spacing w:val="3"/>
                <w:sz w:val="21"/>
                <w:szCs w:val="21"/>
                <w:highlight w:val="none"/>
              </w:rPr>
              <w:t>480~610</w:t>
            </w:r>
          </w:p>
        </w:tc>
        <w:tc>
          <w:tcPr>
            <w:tcW w:w="794" w:type="dxa"/>
          </w:tcPr>
          <w:p w14:paraId="01C1B89D">
            <w:pPr>
              <w:pStyle w:val="23"/>
              <w:spacing w:before="154" w:line="186" w:lineRule="auto"/>
              <w:ind w:firstLine="0" w:firstLineChars="0"/>
              <w:jc w:val="center"/>
              <w:rPr>
                <w:color w:val="auto"/>
                <w:sz w:val="21"/>
                <w:szCs w:val="21"/>
                <w:highlight w:val="none"/>
              </w:rPr>
            </w:pPr>
            <w:r>
              <w:rPr>
                <w:color w:val="auto"/>
                <w:spacing w:val="1"/>
                <w:sz w:val="21"/>
                <w:szCs w:val="21"/>
                <w:highlight w:val="none"/>
              </w:rPr>
              <w:t>285</w:t>
            </w:r>
          </w:p>
        </w:tc>
        <w:tc>
          <w:tcPr>
            <w:tcW w:w="794" w:type="dxa"/>
            <w:vMerge w:val="continue"/>
            <w:tcBorders>
              <w:top w:val="nil"/>
            </w:tcBorders>
          </w:tcPr>
          <w:p w14:paraId="358AE92F">
            <w:pPr>
              <w:ind w:firstLine="420"/>
              <w:rPr>
                <w:rFonts w:ascii="Arial"/>
                <w:color w:val="auto"/>
                <w:sz w:val="21"/>
                <w:highlight w:val="none"/>
              </w:rPr>
            </w:pPr>
          </w:p>
        </w:tc>
        <w:tc>
          <w:tcPr>
            <w:tcW w:w="679" w:type="dxa"/>
            <w:vMerge w:val="continue"/>
            <w:tcBorders>
              <w:top w:val="nil"/>
            </w:tcBorders>
          </w:tcPr>
          <w:p w14:paraId="20759883">
            <w:pPr>
              <w:ind w:firstLine="420"/>
              <w:rPr>
                <w:rFonts w:ascii="Arial"/>
                <w:color w:val="auto"/>
                <w:sz w:val="21"/>
                <w:highlight w:val="none"/>
              </w:rPr>
            </w:pPr>
          </w:p>
        </w:tc>
        <w:tc>
          <w:tcPr>
            <w:tcW w:w="1020" w:type="dxa"/>
            <w:vMerge w:val="continue"/>
            <w:tcBorders>
              <w:top w:val="nil"/>
            </w:tcBorders>
          </w:tcPr>
          <w:p w14:paraId="2F8EF2CF">
            <w:pPr>
              <w:ind w:firstLine="420"/>
              <w:rPr>
                <w:rFonts w:ascii="Arial"/>
                <w:color w:val="auto"/>
                <w:sz w:val="21"/>
                <w:highlight w:val="none"/>
              </w:rPr>
            </w:pPr>
          </w:p>
        </w:tc>
        <w:tc>
          <w:tcPr>
            <w:tcW w:w="962" w:type="dxa"/>
            <w:vMerge w:val="continue"/>
            <w:tcBorders>
              <w:top w:val="nil"/>
            </w:tcBorders>
          </w:tcPr>
          <w:p w14:paraId="1B18F37D">
            <w:pPr>
              <w:ind w:firstLine="420"/>
              <w:rPr>
                <w:rFonts w:ascii="Arial"/>
                <w:color w:val="auto"/>
                <w:sz w:val="21"/>
                <w:highlight w:val="none"/>
              </w:rPr>
            </w:pPr>
          </w:p>
        </w:tc>
      </w:tr>
    </w:tbl>
    <w:p w14:paraId="431A9EC1">
      <w:pPr>
        <w:numPr>
          <w:ilvl w:val="255"/>
          <w:numId w:val="0"/>
        </w:numPr>
        <w:ind w:firstLine="480"/>
        <w:rPr>
          <w:color w:val="auto"/>
          <w:highlight w:val="none"/>
          <w:lang w:eastAsia="zh-CN"/>
        </w:rPr>
      </w:pPr>
    </w:p>
    <w:p w14:paraId="77966150">
      <w:pPr>
        <w:numPr>
          <w:ilvl w:val="255"/>
          <w:numId w:val="0"/>
        </w:numPr>
        <w:ind w:firstLine="480"/>
        <w:rPr>
          <w:color w:val="auto"/>
          <w:highlight w:val="none"/>
          <w:lang w:eastAsia="zh-CN"/>
        </w:rPr>
      </w:pPr>
      <w:r>
        <w:rPr>
          <w:rFonts w:hint="eastAsia"/>
          <w:color w:val="auto"/>
          <w:highlight w:val="none"/>
          <w:lang w:eastAsia="zh-CN"/>
        </w:rPr>
        <w:t>说明：压力钢管钢板厚度允许偏差按GB/T709的B类偏差，施工图压力钢管工程量计算按设计厚度计，不计正偏差量。</w:t>
      </w:r>
    </w:p>
    <w:p w14:paraId="2A7E732F">
      <w:pPr>
        <w:numPr>
          <w:ilvl w:val="255"/>
          <w:numId w:val="0"/>
        </w:numPr>
        <w:ind w:firstLine="480"/>
        <w:rPr>
          <w:color w:val="auto"/>
          <w:highlight w:val="none"/>
          <w:lang w:eastAsia="zh-CN"/>
        </w:rPr>
      </w:pPr>
      <w:r>
        <w:rPr>
          <w:rFonts w:hint="eastAsia"/>
          <w:color w:val="auto"/>
          <w:highlight w:val="none"/>
          <w:lang w:eastAsia="zh-CN"/>
        </w:rPr>
        <w:t>3）每批材料入库验收时，应提交产品质量证明书，并接受检查，没有产品合格证件的钢材不得使用。</w:t>
      </w:r>
    </w:p>
    <w:p w14:paraId="2298776F">
      <w:pPr>
        <w:numPr>
          <w:ilvl w:val="255"/>
          <w:numId w:val="0"/>
        </w:numPr>
        <w:ind w:firstLine="480"/>
        <w:rPr>
          <w:color w:val="auto"/>
          <w:highlight w:val="none"/>
          <w:lang w:eastAsia="zh-CN"/>
        </w:rPr>
      </w:pPr>
      <w:r>
        <w:rPr>
          <w:rFonts w:hint="eastAsia"/>
          <w:color w:val="auto"/>
          <w:highlight w:val="none"/>
          <w:lang w:eastAsia="zh-CN"/>
        </w:rPr>
        <w:t>4）钢板应进行抽样检验。每批等厚度的钢板抽样数量为4%，且不少于2张。同一牌号、同一质量等级、同一炉罐号、同一品种、同一热处理制成的钢板可列为一批。</w:t>
      </w:r>
    </w:p>
    <w:p w14:paraId="62F43D35">
      <w:pPr>
        <w:numPr>
          <w:ilvl w:val="255"/>
          <w:numId w:val="0"/>
        </w:numPr>
        <w:ind w:firstLine="480"/>
        <w:rPr>
          <w:color w:val="auto"/>
          <w:highlight w:val="none"/>
          <w:lang w:eastAsia="zh-CN"/>
        </w:rPr>
      </w:pPr>
      <w:r>
        <w:rPr>
          <w:rFonts w:hint="eastAsia"/>
          <w:color w:val="auto"/>
          <w:highlight w:val="none"/>
          <w:lang w:eastAsia="zh-CN"/>
        </w:rPr>
        <w:t>钢板抽样检验项目应包括：表面检查、化学成分、力学性能、超声波探伤检查。检验合格方可使用。</w:t>
      </w:r>
    </w:p>
    <w:p w14:paraId="72E64D97">
      <w:pPr>
        <w:numPr>
          <w:ilvl w:val="0"/>
          <w:numId w:val="7"/>
        </w:numPr>
        <w:ind w:firstLine="480"/>
        <w:rPr>
          <w:color w:val="auto"/>
          <w:highlight w:val="none"/>
          <w:lang w:eastAsia="zh-CN"/>
        </w:rPr>
      </w:pPr>
      <w:r>
        <w:rPr>
          <w:rFonts w:hint="eastAsia"/>
          <w:color w:val="auto"/>
          <w:highlight w:val="none"/>
          <w:lang w:eastAsia="zh-CN"/>
        </w:rPr>
        <w:t>钢板应按钢种、厚度分类堆放，垫离地面，并作出明显标记；在户外时，应架设雨棚，防止腐蚀、污染和变形，并记录到货日期。存放应避免雨淋、锈蚀，钢板叠放与支撑垫条间隔设置应避免产生变形。</w:t>
      </w:r>
    </w:p>
    <w:p w14:paraId="6C5114BB">
      <w:pPr>
        <w:numPr>
          <w:ilvl w:val="255"/>
          <w:numId w:val="0"/>
        </w:numPr>
        <w:ind w:firstLine="480"/>
        <w:rPr>
          <w:color w:val="auto"/>
          <w:highlight w:val="none"/>
          <w:lang w:eastAsia="zh-CN"/>
        </w:rPr>
      </w:pPr>
      <w:r>
        <w:rPr>
          <w:rFonts w:hint="eastAsia"/>
          <w:color w:val="auto"/>
          <w:highlight w:val="none"/>
          <w:lang w:eastAsia="zh-CN"/>
        </w:rPr>
        <w:t>19.3.2.2焊接材料</w:t>
      </w:r>
    </w:p>
    <w:p w14:paraId="4D7C01CE">
      <w:pPr>
        <w:numPr>
          <w:ilvl w:val="255"/>
          <w:numId w:val="0"/>
        </w:numPr>
        <w:ind w:firstLine="480"/>
        <w:rPr>
          <w:color w:val="auto"/>
          <w:highlight w:val="none"/>
          <w:lang w:eastAsia="zh-CN"/>
        </w:rPr>
      </w:pPr>
      <w:r>
        <w:rPr>
          <w:rFonts w:hint="eastAsia"/>
          <w:color w:val="auto"/>
          <w:highlight w:val="none"/>
          <w:lang w:eastAsia="zh-CN"/>
        </w:rPr>
        <w:t>19.3.2.2.1焊条型号或焊丝代号及其焊剂必须符合施工图样的规定，当施工图样没有规定时，应选用与母材强度相适应的焊接材料。</w:t>
      </w:r>
    </w:p>
    <w:p w14:paraId="16DF371C">
      <w:pPr>
        <w:numPr>
          <w:ilvl w:val="255"/>
          <w:numId w:val="0"/>
        </w:numPr>
        <w:ind w:firstLine="480"/>
        <w:rPr>
          <w:color w:val="auto"/>
          <w:highlight w:val="none"/>
          <w:lang w:eastAsia="zh-CN"/>
        </w:rPr>
      </w:pPr>
      <w:r>
        <w:rPr>
          <w:rFonts w:hint="eastAsia"/>
          <w:color w:val="auto"/>
          <w:highlight w:val="none"/>
          <w:lang w:eastAsia="zh-CN"/>
        </w:rPr>
        <w:t>19.3.2.2.2焊条应符合GB/T5117、GB/T5118、GB/T983或GB/T984的有关规定。</w:t>
      </w:r>
    </w:p>
    <w:p w14:paraId="301F58E2">
      <w:pPr>
        <w:numPr>
          <w:ilvl w:val="255"/>
          <w:numId w:val="0"/>
        </w:numPr>
        <w:ind w:firstLine="480"/>
        <w:rPr>
          <w:color w:val="auto"/>
          <w:highlight w:val="none"/>
          <w:lang w:eastAsia="zh-CN"/>
        </w:rPr>
      </w:pPr>
      <w:r>
        <w:rPr>
          <w:rFonts w:hint="eastAsia"/>
          <w:color w:val="auto"/>
          <w:highlight w:val="none"/>
          <w:lang w:eastAsia="zh-CN"/>
        </w:rPr>
        <w:t>19.3.2.2.3自动焊用的钢丝应符合GB/T14957的规定。</w:t>
      </w:r>
    </w:p>
    <w:p w14:paraId="0222FAAD">
      <w:pPr>
        <w:numPr>
          <w:ilvl w:val="255"/>
          <w:numId w:val="0"/>
        </w:numPr>
        <w:ind w:firstLine="480"/>
        <w:rPr>
          <w:color w:val="auto"/>
          <w:highlight w:val="none"/>
          <w:lang w:eastAsia="zh-CN"/>
        </w:rPr>
      </w:pPr>
      <w:r>
        <w:rPr>
          <w:rFonts w:hint="eastAsia"/>
          <w:color w:val="auto"/>
          <w:highlight w:val="none"/>
          <w:lang w:eastAsia="zh-CN"/>
        </w:rPr>
        <w:t>19.3.2.2.4碳素钢埋弧自动焊用焊剂应符合GB/T5293的有关规定。</w:t>
      </w:r>
    </w:p>
    <w:p w14:paraId="4BE89EE4">
      <w:pPr>
        <w:numPr>
          <w:ilvl w:val="255"/>
          <w:numId w:val="0"/>
        </w:numPr>
        <w:ind w:firstLine="480"/>
        <w:rPr>
          <w:color w:val="auto"/>
          <w:highlight w:val="none"/>
          <w:lang w:eastAsia="zh-CN"/>
        </w:rPr>
      </w:pPr>
      <w:r>
        <w:rPr>
          <w:rFonts w:hint="eastAsia"/>
          <w:color w:val="auto"/>
          <w:highlight w:val="none"/>
          <w:lang w:eastAsia="zh-CN"/>
        </w:rPr>
        <w:t>19.3.2.2.5焊接材料都必须具有产品质量合格证。</w:t>
      </w:r>
    </w:p>
    <w:p w14:paraId="22C14C74">
      <w:pPr>
        <w:numPr>
          <w:ilvl w:val="255"/>
          <w:numId w:val="0"/>
        </w:numPr>
        <w:ind w:firstLine="480"/>
        <w:rPr>
          <w:color w:val="auto"/>
          <w:highlight w:val="none"/>
          <w:lang w:eastAsia="zh-CN"/>
        </w:rPr>
      </w:pPr>
      <w:r>
        <w:rPr>
          <w:rFonts w:hint="eastAsia"/>
          <w:color w:val="auto"/>
          <w:highlight w:val="none"/>
          <w:lang w:eastAsia="zh-CN"/>
        </w:rPr>
        <w:t>19.3.2.2.6焊条的贮存与保管遵照规定执行。</w:t>
      </w:r>
    </w:p>
    <w:p w14:paraId="553A9B32">
      <w:pPr>
        <w:numPr>
          <w:ilvl w:val="255"/>
          <w:numId w:val="0"/>
        </w:numPr>
        <w:ind w:firstLine="480"/>
        <w:rPr>
          <w:color w:val="auto"/>
          <w:highlight w:val="none"/>
          <w:lang w:eastAsia="zh-CN"/>
        </w:rPr>
      </w:pPr>
      <w:r>
        <w:rPr>
          <w:rFonts w:hint="eastAsia"/>
          <w:color w:val="auto"/>
          <w:highlight w:val="none"/>
          <w:lang w:eastAsia="zh-CN"/>
        </w:rPr>
        <w:t>19.3.3压力钢管制造</w:t>
      </w:r>
    </w:p>
    <w:p w14:paraId="3CA10C56">
      <w:pPr>
        <w:numPr>
          <w:ilvl w:val="255"/>
          <w:numId w:val="0"/>
        </w:numPr>
        <w:ind w:firstLine="480"/>
        <w:rPr>
          <w:color w:val="auto"/>
          <w:highlight w:val="none"/>
          <w:lang w:eastAsia="zh-CN"/>
        </w:rPr>
      </w:pPr>
      <w:r>
        <w:rPr>
          <w:rFonts w:hint="eastAsia"/>
          <w:color w:val="auto"/>
          <w:highlight w:val="none"/>
          <w:lang w:eastAsia="zh-CN"/>
        </w:rPr>
        <w:t>19.3.3.1直管、弯管和渐变管制造</w:t>
      </w:r>
    </w:p>
    <w:p w14:paraId="2D2D9CDC">
      <w:pPr>
        <w:numPr>
          <w:ilvl w:val="255"/>
          <w:numId w:val="0"/>
        </w:numPr>
        <w:ind w:firstLine="480"/>
        <w:rPr>
          <w:color w:val="auto"/>
          <w:highlight w:val="none"/>
          <w:lang w:eastAsia="zh-CN"/>
        </w:rPr>
      </w:pPr>
      <w:r>
        <w:rPr>
          <w:rFonts w:hint="eastAsia"/>
          <w:color w:val="auto"/>
          <w:highlight w:val="none"/>
          <w:lang w:eastAsia="zh-CN"/>
        </w:rPr>
        <w:t>19.3.3.1.1钢板的卷板应满足下列要求</w:t>
      </w:r>
    </w:p>
    <w:p w14:paraId="41D7C218">
      <w:pPr>
        <w:numPr>
          <w:ilvl w:val="255"/>
          <w:numId w:val="0"/>
        </w:numPr>
        <w:ind w:firstLine="480"/>
        <w:rPr>
          <w:color w:val="auto"/>
          <w:highlight w:val="none"/>
          <w:lang w:eastAsia="zh-CN"/>
        </w:rPr>
      </w:pPr>
      <w:r>
        <w:rPr>
          <w:rFonts w:hint="eastAsia"/>
          <w:color w:val="auto"/>
          <w:highlight w:val="none"/>
          <w:lang w:eastAsia="zh-CN"/>
        </w:rPr>
        <w:t>1）卷板方向应和钢板的压延方向一致。</w:t>
      </w:r>
    </w:p>
    <w:p w14:paraId="651AFFF9">
      <w:pPr>
        <w:numPr>
          <w:ilvl w:val="255"/>
          <w:numId w:val="0"/>
        </w:numPr>
        <w:ind w:firstLine="480"/>
        <w:rPr>
          <w:color w:val="auto"/>
          <w:highlight w:val="none"/>
          <w:lang w:eastAsia="zh-CN"/>
        </w:rPr>
      </w:pPr>
      <w:r>
        <w:rPr>
          <w:rFonts w:hint="eastAsia"/>
          <w:color w:val="auto"/>
          <w:highlight w:val="none"/>
          <w:lang w:eastAsia="zh-CN"/>
        </w:rPr>
        <w:t>2）卷板前和卷制过程中，应将钢板表面已剥离的氧化皮和其它杂质清除干净。</w:t>
      </w:r>
    </w:p>
    <w:p w14:paraId="613BA924">
      <w:pPr>
        <w:numPr>
          <w:ilvl w:val="255"/>
          <w:numId w:val="0"/>
        </w:numPr>
        <w:ind w:firstLine="480"/>
        <w:rPr>
          <w:color w:val="auto"/>
          <w:highlight w:val="none"/>
          <w:lang w:eastAsia="zh-CN"/>
        </w:rPr>
      </w:pPr>
      <w:r>
        <w:rPr>
          <w:rFonts w:hint="eastAsia"/>
          <w:color w:val="auto"/>
          <w:highlight w:val="none"/>
          <w:lang w:eastAsia="zh-CN"/>
        </w:rPr>
        <w:t>3）卷板后，将瓦片以自由状态立于平台上，用样板检查弧度。</w:t>
      </w:r>
    </w:p>
    <w:p w14:paraId="0E635E16">
      <w:pPr>
        <w:numPr>
          <w:ilvl w:val="255"/>
          <w:numId w:val="0"/>
        </w:numPr>
        <w:ind w:firstLine="480"/>
        <w:rPr>
          <w:color w:val="auto"/>
          <w:highlight w:val="none"/>
          <w:lang w:eastAsia="zh-CN"/>
        </w:rPr>
      </w:pPr>
      <w:r>
        <w:rPr>
          <w:rFonts w:hint="eastAsia"/>
          <w:color w:val="auto"/>
          <w:highlight w:val="none"/>
          <w:lang w:eastAsia="zh-CN"/>
        </w:rPr>
        <w:t>4）当钢板内径和壁厚关系符合SL432的规定时，瓦片允许冷卷，否则应热卷或冷卷后进行热处理。</w:t>
      </w:r>
    </w:p>
    <w:p w14:paraId="584C38E1">
      <w:pPr>
        <w:numPr>
          <w:ilvl w:val="255"/>
          <w:numId w:val="0"/>
        </w:numPr>
        <w:ind w:firstLine="480"/>
        <w:rPr>
          <w:color w:val="auto"/>
          <w:highlight w:val="none"/>
          <w:lang w:eastAsia="zh-CN"/>
        </w:rPr>
      </w:pPr>
      <w:r>
        <w:rPr>
          <w:rFonts w:hint="eastAsia"/>
          <w:color w:val="auto"/>
          <w:highlight w:val="none"/>
          <w:lang w:eastAsia="zh-CN"/>
        </w:rPr>
        <w:t>5）卷板时，不得用金属锤直接锤击钢板。</w:t>
      </w:r>
    </w:p>
    <w:p w14:paraId="7C9EBCC9">
      <w:pPr>
        <w:numPr>
          <w:ilvl w:val="255"/>
          <w:numId w:val="0"/>
        </w:numPr>
        <w:ind w:firstLine="480"/>
        <w:rPr>
          <w:color w:val="auto"/>
          <w:highlight w:val="none"/>
          <w:lang w:eastAsia="zh-CN"/>
        </w:rPr>
      </w:pPr>
      <w:r>
        <w:rPr>
          <w:rFonts w:hint="eastAsia"/>
          <w:color w:val="auto"/>
          <w:highlight w:val="none"/>
          <w:lang w:eastAsia="zh-CN"/>
        </w:rPr>
        <w:t>19.3.3.1.2钢板的划线应满足下列要求</w:t>
      </w:r>
    </w:p>
    <w:p w14:paraId="75461765">
      <w:pPr>
        <w:numPr>
          <w:ilvl w:val="255"/>
          <w:numId w:val="0"/>
        </w:numPr>
        <w:ind w:firstLine="480"/>
        <w:rPr>
          <w:color w:val="auto"/>
          <w:highlight w:val="none"/>
          <w:lang w:eastAsia="zh-CN"/>
        </w:rPr>
      </w:pPr>
      <w:r>
        <w:rPr>
          <w:rFonts w:hint="eastAsia"/>
          <w:color w:val="auto"/>
          <w:highlight w:val="none"/>
          <w:lang w:eastAsia="zh-CN"/>
        </w:rPr>
        <w:t>1）同一管节上相邻纵缝间距不应小于500mm。</w:t>
      </w:r>
    </w:p>
    <w:p w14:paraId="1095E541">
      <w:pPr>
        <w:numPr>
          <w:ilvl w:val="255"/>
          <w:numId w:val="0"/>
        </w:numPr>
        <w:ind w:firstLine="480"/>
        <w:rPr>
          <w:color w:val="auto"/>
          <w:highlight w:val="none"/>
          <w:lang w:eastAsia="zh-CN"/>
        </w:rPr>
      </w:pPr>
      <w:r>
        <w:rPr>
          <w:rFonts w:hint="eastAsia"/>
          <w:color w:val="auto"/>
          <w:highlight w:val="none"/>
          <w:lang w:eastAsia="zh-CN"/>
        </w:rPr>
        <w:t>2）相邻管节的纵缝距离应大于板厚5倍且不小于300mm。</w:t>
      </w:r>
    </w:p>
    <w:p w14:paraId="3166A0EC">
      <w:pPr>
        <w:numPr>
          <w:ilvl w:val="255"/>
          <w:numId w:val="0"/>
        </w:numPr>
        <w:ind w:firstLine="480"/>
        <w:rPr>
          <w:color w:val="auto"/>
          <w:highlight w:val="none"/>
          <w:lang w:eastAsia="zh-CN"/>
        </w:rPr>
      </w:pPr>
      <w:r>
        <w:rPr>
          <w:rFonts w:hint="eastAsia"/>
          <w:color w:val="auto"/>
          <w:highlight w:val="none"/>
          <w:lang w:eastAsia="zh-CN"/>
        </w:rPr>
        <w:t>3）环缝间距，直管不宜小于500mm，弯管、渐变管间距不宜小于300mm且10倍管壁厚度。</w:t>
      </w:r>
    </w:p>
    <w:p w14:paraId="15C83B1A">
      <w:pPr>
        <w:numPr>
          <w:ilvl w:val="255"/>
          <w:numId w:val="0"/>
        </w:numPr>
        <w:ind w:firstLine="480"/>
        <w:rPr>
          <w:color w:val="auto"/>
          <w:highlight w:val="none"/>
          <w:lang w:eastAsia="zh-CN"/>
        </w:rPr>
      </w:pPr>
      <w:r>
        <w:rPr>
          <w:rFonts w:hint="eastAsia"/>
          <w:color w:val="auto"/>
          <w:highlight w:val="none"/>
          <w:lang w:eastAsia="zh-CN"/>
        </w:rPr>
        <w:t>19.3.3.1.3钢板的下料切割和坡口加工：采用数控切割机、半自动切割机或刨边机加工。若采用手工火焰切割时，须经监理人同意。用火焰切割后必须用角向磨光机进行坡口打磨。坡口尺寸的极限偏差，在施工图纸未规定时，应符合GB985、GB986的规定。坡口加工完毕后立即涂刷无毒，且不影响焊接性能和质量的坡口除锈涂料。大于34mm（含34mm）的钢板需预热切割，或者通过试验后，再实施切割。</w:t>
      </w:r>
    </w:p>
    <w:p w14:paraId="4A2A4F06">
      <w:pPr>
        <w:numPr>
          <w:ilvl w:val="255"/>
          <w:numId w:val="0"/>
        </w:numPr>
        <w:ind w:firstLine="480"/>
        <w:rPr>
          <w:color w:val="auto"/>
          <w:highlight w:val="none"/>
          <w:lang w:eastAsia="zh-CN"/>
        </w:rPr>
      </w:pPr>
      <w:r>
        <w:rPr>
          <w:rFonts w:hint="eastAsia"/>
          <w:color w:val="auto"/>
          <w:highlight w:val="none"/>
          <w:lang w:eastAsia="zh-CN"/>
        </w:rPr>
        <w:t>19.3.3.1.4钢板划线后用油漆和冲眼作标记分别标出管节编号、水流方向、水平和垂直中心线、坡口角度以及切割线等符号。</w:t>
      </w:r>
    </w:p>
    <w:p w14:paraId="7B857D2C">
      <w:pPr>
        <w:numPr>
          <w:ilvl w:val="255"/>
          <w:numId w:val="0"/>
        </w:numPr>
        <w:ind w:firstLine="480"/>
        <w:rPr>
          <w:color w:val="auto"/>
          <w:highlight w:val="none"/>
          <w:lang w:eastAsia="zh-CN"/>
        </w:rPr>
      </w:pPr>
      <w:r>
        <w:rPr>
          <w:rFonts w:hint="eastAsia"/>
          <w:color w:val="auto"/>
          <w:highlight w:val="none"/>
          <w:lang w:eastAsia="zh-CN"/>
        </w:rPr>
        <w:t>19.3.3.2岔管制造</w:t>
      </w:r>
    </w:p>
    <w:p w14:paraId="10D4ED35">
      <w:pPr>
        <w:numPr>
          <w:ilvl w:val="255"/>
          <w:numId w:val="0"/>
        </w:numPr>
        <w:ind w:firstLine="480"/>
        <w:rPr>
          <w:color w:val="auto"/>
          <w:highlight w:val="none"/>
          <w:lang w:eastAsia="zh-CN"/>
        </w:rPr>
      </w:pPr>
      <w:r>
        <w:rPr>
          <w:rFonts w:hint="eastAsia"/>
          <w:color w:val="auto"/>
          <w:highlight w:val="none"/>
          <w:lang w:eastAsia="zh-CN"/>
        </w:rPr>
        <w:t>19.3.3.2.1按以下规定进行岔管钢板分块，绘制岔管车间制作用加工图。</w:t>
      </w:r>
    </w:p>
    <w:p w14:paraId="15E9D3AB">
      <w:pPr>
        <w:numPr>
          <w:ilvl w:val="255"/>
          <w:numId w:val="0"/>
        </w:numPr>
        <w:ind w:firstLine="480"/>
        <w:rPr>
          <w:color w:val="auto"/>
          <w:highlight w:val="none"/>
          <w:lang w:eastAsia="zh-CN"/>
        </w:rPr>
      </w:pPr>
      <w:r>
        <w:rPr>
          <w:rFonts w:hint="eastAsia"/>
          <w:color w:val="auto"/>
          <w:highlight w:val="none"/>
          <w:lang w:eastAsia="zh-CN"/>
        </w:rPr>
        <w:t>1）岔管管节的环缝间距不小于以下各项的大值：10倍管壁厚度；300mm；3.5(rt)1/2（r为钢管半径，t为管壁厚度）。</w:t>
      </w:r>
    </w:p>
    <w:p w14:paraId="4440E577">
      <w:pPr>
        <w:numPr>
          <w:ilvl w:val="255"/>
          <w:numId w:val="0"/>
        </w:numPr>
        <w:ind w:firstLine="480"/>
        <w:rPr>
          <w:color w:val="auto"/>
          <w:highlight w:val="none"/>
          <w:lang w:eastAsia="zh-CN"/>
        </w:rPr>
      </w:pPr>
      <w:r>
        <w:rPr>
          <w:rFonts w:hint="eastAsia"/>
          <w:color w:val="auto"/>
          <w:highlight w:val="none"/>
          <w:lang w:eastAsia="zh-CN"/>
        </w:rPr>
        <w:t>2）岔管管节的纵缝和顶、底母线所夹的中心角不得小于15°,二者间距（指弧长）不得小于300mm。</w:t>
      </w:r>
    </w:p>
    <w:p w14:paraId="1667BA2E">
      <w:pPr>
        <w:numPr>
          <w:ilvl w:val="255"/>
          <w:numId w:val="0"/>
        </w:numPr>
        <w:ind w:firstLine="480"/>
        <w:rPr>
          <w:color w:val="auto"/>
          <w:highlight w:val="none"/>
          <w:lang w:eastAsia="zh-CN"/>
        </w:rPr>
      </w:pPr>
      <w:r>
        <w:rPr>
          <w:rFonts w:hint="eastAsia"/>
          <w:color w:val="auto"/>
          <w:highlight w:val="none"/>
          <w:lang w:eastAsia="zh-CN"/>
        </w:rPr>
        <w:t>19.3.3.2.2岔管在现场生产车间内进行整体组装和组焊，焊接成形后的各项尺寸要严格符合设计图纸的规定。</w:t>
      </w:r>
    </w:p>
    <w:p w14:paraId="3A8D248A">
      <w:pPr>
        <w:numPr>
          <w:ilvl w:val="255"/>
          <w:numId w:val="0"/>
        </w:numPr>
        <w:ind w:firstLine="480"/>
        <w:rPr>
          <w:color w:val="auto"/>
          <w:highlight w:val="none"/>
          <w:lang w:eastAsia="zh-CN"/>
        </w:rPr>
      </w:pPr>
      <w:r>
        <w:rPr>
          <w:rFonts w:hint="eastAsia"/>
          <w:color w:val="auto"/>
          <w:highlight w:val="none"/>
          <w:lang w:eastAsia="zh-CN"/>
        </w:rPr>
        <w:t>19.3.3.2.3月牙肋本身的连接焊缝及其与相邻管壁间的组合焊缝，在制造车间内完成。</w:t>
      </w:r>
    </w:p>
    <w:p w14:paraId="217FDF7A">
      <w:pPr>
        <w:numPr>
          <w:ilvl w:val="255"/>
          <w:numId w:val="0"/>
        </w:numPr>
        <w:ind w:firstLine="480"/>
        <w:rPr>
          <w:color w:val="auto"/>
          <w:highlight w:val="none"/>
          <w:lang w:eastAsia="zh-CN"/>
        </w:rPr>
      </w:pPr>
      <w:r>
        <w:rPr>
          <w:rFonts w:hint="eastAsia"/>
          <w:color w:val="auto"/>
          <w:highlight w:val="none"/>
          <w:lang w:eastAsia="zh-CN"/>
        </w:rPr>
        <w:t>19.3.3.3钢管坡口的制作</w:t>
      </w:r>
    </w:p>
    <w:p w14:paraId="5488A994">
      <w:pPr>
        <w:numPr>
          <w:ilvl w:val="255"/>
          <w:numId w:val="0"/>
        </w:numPr>
        <w:ind w:firstLine="480"/>
        <w:rPr>
          <w:color w:val="auto"/>
          <w:highlight w:val="none"/>
          <w:lang w:eastAsia="zh-CN"/>
        </w:rPr>
      </w:pPr>
      <w:r>
        <w:rPr>
          <w:rFonts w:hint="eastAsia"/>
          <w:color w:val="auto"/>
          <w:highlight w:val="none"/>
          <w:lang w:eastAsia="zh-CN"/>
        </w:rPr>
        <w:t>钢管坡口形式:所有钢管双端加工成外坡口，坡口角为30度（具体坡口形式需根据设计要求确认）。</w:t>
      </w:r>
    </w:p>
    <w:p w14:paraId="0D254E08">
      <w:pPr>
        <w:numPr>
          <w:ilvl w:val="255"/>
          <w:numId w:val="0"/>
        </w:numPr>
        <w:ind w:firstLine="480"/>
        <w:rPr>
          <w:color w:val="auto"/>
          <w:highlight w:val="none"/>
          <w:lang w:eastAsia="zh-CN"/>
        </w:rPr>
      </w:pPr>
      <w:r>
        <w:rPr>
          <w:rFonts w:hint="eastAsia"/>
          <w:color w:val="auto"/>
          <w:highlight w:val="none"/>
          <w:lang w:eastAsia="zh-CN"/>
        </w:rPr>
        <w:t>19.3.3.4钢管附属部件的制作</w:t>
      </w:r>
    </w:p>
    <w:p w14:paraId="39B1B3E1">
      <w:pPr>
        <w:numPr>
          <w:ilvl w:val="255"/>
          <w:numId w:val="0"/>
        </w:numPr>
        <w:ind w:firstLine="480"/>
        <w:rPr>
          <w:color w:val="auto"/>
          <w:highlight w:val="none"/>
          <w:lang w:eastAsia="zh-CN"/>
        </w:rPr>
      </w:pPr>
      <w:r>
        <w:rPr>
          <w:rFonts w:hint="eastAsia"/>
          <w:color w:val="auto"/>
          <w:highlight w:val="none"/>
          <w:lang w:eastAsia="zh-CN"/>
        </w:rPr>
        <w:t>19.3.3.4.1加劲环、止推环、止水环等的组装、焊接</w:t>
      </w:r>
    </w:p>
    <w:p w14:paraId="35287154">
      <w:pPr>
        <w:numPr>
          <w:ilvl w:val="255"/>
          <w:numId w:val="0"/>
        </w:numPr>
        <w:ind w:firstLine="480"/>
        <w:rPr>
          <w:color w:val="auto"/>
          <w:highlight w:val="none"/>
          <w:lang w:eastAsia="zh-CN"/>
        </w:rPr>
      </w:pPr>
      <w:r>
        <w:rPr>
          <w:rFonts w:hint="eastAsia"/>
          <w:color w:val="auto"/>
          <w:highlight w:val="none"/>
          <w:lang w:eastAsia="zh-CN"/>
        </w:rPr>
        <w:t>1）钢管纵缝焊接完成后，加装调圆架调圆至符合规范要求后，在加劲环组装平台上进行加劲环的安装和焊接，要求加劲环内弧面与钢管外壁的局部间隙不大于3mm。</w:t>
      </w:r>
    </w:p>
    <w:p w14:paraId="1B73A219">
      <w:pPr>
        <w:numPr>
          <w:ilvl w:val="255"/>
          <w:numId w:val="0"/>
        </w:numPr>
        <w:ind w:firstLine="480"/>
        <w:rPr>
          <w:color w:val="auto"/>
          <w:highlight w:val="none"/>
          <w:lang w:eastAsia="zh-CN"/>
        </w:rPr>
      </w:pPr>
      <w:r>
        <w:rPr>
          <w:rFonts w:hint="eastAsia"/>
          <w:color w:val="auto"/>
          <w:highlight w:val="none"/>
          <w:lang w:eastAsia="zh-CN"/>
        </w:rPr>
        <w:t>2）加劲环、止水环、止推环的对接焊缝与钢管的纵缝应错开至少200mm以上。与钢管表面的组合焊缝为双面连续焊缝。</w:t>
      </w:r>
    </w:p>
    <w:p w14:paraId="1517E666">
      <w:pPr>
        <w:numPr>
          <w:ilvl w:val="255"/>
          <w:numId w:val="0"/>
        </w:numPr>
        <w:ind w:firstLine="480"/>
        <w:rPr>
          <w:color w:val="auto"/>
          <w:highlight w:val="none"/>
          <w:lang w:eastAsia="zh-CN"/>
        </w:rPr>
      </w:pPr>
      <w:r>
        <w:rPr>
          <w:rFonts w:hint="eastAsia"/>
          <w:color w:val="auto"/>
          <w:highlight w:val="none"/>
          <w:lang w:eastAsia="zh-CN"/>
        </w:rPr>
        <w:t>19.3.3.4.2凑合节</w:t>
      </w:r>
    </w:p>
    <w:p w14:paraId="6A09B1AF">
      <w:pPr>
        <w:numPr>
          <w:ilvl w:val="255"/>
          <w:numId w:val="0"/>
        </w:numPr>
        <w:ind w:firstLine="480"/>
        <w:rPr>
          <w:color w:val="auto"/>
          <w:highlight w:val="none"/>
          <w:lang w:eastAsia="zh-CN"/>
        </w:rPr>
      </w:pPr>
      <w:r>
        <w:rPr>
          <w:rFonts w:hint="eastAsia"/>
          <w:color w:val="auto"/>
          <w:highlight w:val="none"/>
          <w:lang w:eastAsia="zh-CN"/>
        </w:rPr>
        <w:t>凑合节的制造和加工时应留足够的余量。</w:t>
      </w:r>
    </w:p>
    <w:p w14:paraId="267DA598">
      <w:pPr>
        <w:numPr>
          <w:ilvl w:val="255"/>
          <w:numId w:val="0"/>
        </w:numPr>
        <w:ind w:firstLine="480"/>
        <w:rPr>
          <w:color w:val="auto"/>
          <w:highlight w:val="none"/>
          <w:lang w:eastAsia="zh-CN"/>
        </w:rPr>
      </w:pPr>
      <w:r>
        <w:rPr>
          <w:rFonts w:hint="eastAsia"/>
          <w:color w:val="auto"/>
          <w:highlight w:val="none"/>
          <w:lang w:eastAsia="zh-CN"/>
        </w:rPr>
        <w:t>19.3.3.5其他要求</w:t>
      </w:r>
    </w:p>
    <w:p w14:paraId="3EE97E98">
      <w:pPr>
        <w:numPr>
          <w:ilvl w:val="0"/>
          <w:numId w:val="8"/>
        </w:numPr>
        <w:ind w:firstLine="480"/>
        <w:rPr>
          <w:color w:val="auto"/>
          <w:highlight w:val="none"/>
          <w:lang w:eastAsia="zh-CN"/>
        </w:rPr>
      </w:pPr>
      <w:r>
        <w:rPr>
          <w:rFonts w:hint="eastAsia"/>
          <w:color w:val="auto"/>
          <w:highlight w:val="none"/>
          <w:lang w:eastAsia="zh-CN"/>
        </w:rPr>
        <w:t>圆度(指同端管口相互垂直两直径之差的最大值)不大于3D/1000、且最大值不大于30mm，每端管口应测2对直径，两次测量应错开45°。</w:t>
      </w:r>
    </w:p>
    <w:p w14:paraId="3B46B47F">
      <w:pPr>
        <w:numPr>
          <w:ilvl w:val="0"/>
          <w:numId w:val="8"/>
        </w:numPr>
        <w:ind w:firstLine="480"/>
        <w:rPr>
          <w:color w:val="auto"/>
          <w:highlight w:val="none"/>
          <w:lang w:eastAsia="zh-CN"/>
        </w:rPr>
      </w:pPr>
      <w:r>
        <w:rPr>
          <w:rFonts w:hint="eastAsia"/>
          <w:color w:val="auto"/>
          <w:highlight w:val="none"/>
          <w:lang w:eastAsia="zh-CN"/>
        </w:rPr>
        <w:t>钢管管壁厚度</w:t>
      </w:r>
      <w:r>
        <w:rPr>
          <w:rFonts w:hint="eastAsia"/>
          <w:color w:val="auto"/>
          <w:highlight w:val="none"/>
          <w:lang w:val="en-US" w:eastAsia="zh-CN"/>
        </w:rPr>
        <w:t>应满足SL-432-2008规范要求。</w:t>
      </w:r>
    </w:p>
    <w:p w14:paraId="44806BD8">
      <w:pPr>
        <w:numPr>
          <w:ilvl w:val="0"/>
          <w:numId w:val="8"/>
        </w:numPr>
        <w:ind w:firstLine="480"/>
        <w:rPr>
          <w:color w:val="auto"/>
          <w:highlight w:val="none"/>
          <w:lang w:eastAsia="zh-CN"/>
        </w:rPr>
      </w:pPr>
      <w:r>
        <w:rPr>
          <w:color w:val="auto"/>
          <w:highlight w:val="none"/>
          <w:lang w:eastAsia="zh-CN"/>
        </w:rPr>
        <w:t>焊接钢管一般每支长度为6-12米，需根据设计要求确认。</w:t>
      </w:r>
    </w:p>
    <w:p w14:paraId="00576FA5">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.4</w:t>
      </w:r>
      <w:r>
        <w:rPr>
          <w:rFonts w:hint="eastAsia" w:ascii="Arial" w:hAnsi="Arial" w:cs="宋体"/>
          <w:bCs/>
          <w:color w:val="auto"/>
          <w:szCs w:val="24"/>
          <w:highlight w:val="none"/>
        </w:rPr>
        <w:t>　</w:t>
      </w:r>
      <w:r>
        <w:rPr>
          <w:rFonts w:ascii="Arial" w:hAnsi="Arial" w:cs="宋体"/>
          <w:bCs/>
          <w:color w:val="auto"/>
          <w:szCs w:val="24"/>
          <w:highlight w:val="none"/>
        </w:rPr>
        <w:t>焊接</w:t>
      </w:r>
    </w:p>
    <w:p w14:paraId="4BC3B3AE">
      <w:pPr>
        <w:adjustRightInd/>
        <w:ind w:firstLine="0" w:firstLineChars="0"/>
        <w:rPr>
          <w:color w:val="auto"/>
          <w:szCs w:val="20"/>
          <w:highlight w:val="none"/>
          <w:lang w:eastAsia="zh-CN"/>
        </w:rPr>
      </w:pPr>
      <w:r>
        <w:rPr>
          <w:rFonts w:hint="eastAsia"/>
          <w:color w:val="auto"/>
          <w:szCs w:val="20"/>
          <w:highlight w:val="none"/>
          <w:lang w:eastAsia="zh-CN"/>
        </w:rPr>
        <w:t>19.4.1</w:t>
      </w:r>
      <w:r>
        <w:rPr>
          <w:rFonts w:hint="eastAsia" w:cs="宋体"/>
          <w:bCs/>
          <w:color w:val="auto"/>
          <w:szCs w:val="24"/>
          <w:highlight w:val="none"/>
          <w:lang w:eastAsia="zh-CN"/>
        </w:rPr>
        <w:t>　</w:t>
      </w:r>
      <w:r>
        <w:rPr>
          <w:rFonts w:hint="eastAsia"/>
          <w:color w:val="auto"/>
          <w:szCs w:val="20"/>
          <w:highlight w:val="none"/>
          <w:lang w:eastAsia="zh-CN"/>
        </w:rPr>
        <w:t>焊工和无损检测人员资格</w:t>
      </w:r>
    </w:p>
    <w:p w14:paraId="756D47A5">
      <w:pPr>
        <w:autoSpaceDE w:val="0"/>
        <w:autoSpaceDN w:val="0"/>
        <w:adjustRightInd/>
        <w:ind w:firstLine="480"/>
        <w:rPr>
          <w:color w:val="auto"/>
          <w:szCs w:val="20"/>
          <w:highlight w:val="none"/>
          <w:lang w:eastAsia="zh-CN"/>
        </w:rPr>
      </w:pPr>
      <w:r>
        <w:rPr>
          <w:rFonts w:hint="eastAsia"/>
          <w:color w:val="auto"/>
          <w:szCs w:val="20"/>
          <w:highlight w:val="none"/>
          <w:lang w:eastAsia="zh-CN"/>
        </w:rPr>
        <w:t>（1）焊工应经SL35考试，并取得焊工合格证书，才能从事与其证书相适应的焊接工作。</w:t>
      </w:r>
    </w:p>
    <w:p w14:paraId="3A984A99">
      <w:pPr>
        <w:autoSpaceDE w:val="0"/>
        <w:autoSpaceDN w:val="0"/>
        <w:adjustRightInd/>
        <w:ind w:firstLine="480"/>
        <w:rPr>
          <w:color w:val="auto"/>
          <w:szCs w:val="20"/>
          <w:highlight w:val="none"/>
          <w:lang w:eastAsia="zh-CN"/>
        </w:rPr>
      </w:pPr>
      <w:r>
        <w:rPr>
          <w:rFonts w:hint="eastAsia"/>
          <w:color w:val="auto"/>
          <w:szCs w:val="20"/>
          <w:highlight w:val="none"/>
          <w:lang w:eastAsia="zh-CN"/>
        </w:rPr>
        <w:t>（2）从事钢管质量检测的无损检测人员，其相应的资质应符合SL432—2008第6.4.2条的规定。焊缝质量评定应由持Ⅱ级或Ⅱ级以上资格证书的无损检测人员担任。</w:t>
      </w:r>
    </w:p>
    <w:p w14:paraId="157ED3AC">
      <w:pPr>
        <w:adjustRightInd/>
        <w:ind w:firstLine="0" w:firstLineChars="0"/>
        <w:rPr>
          <w:color w:val="auto"/>
          <w:szCs w:val="20"/>
          <w:highlight w:val="none"/>
          <w:lang w:eastAsia="zh-CN"/>
        </w:rPr>
      </w:pPr>
      <w:r>
        <w:rPr>
          <w:rFonts w:hint="eastAsia"/>
          <w:color w:val="auto"/>
          <w:szCs w:val="20"/>
          <w:highlight w:val="none"/>
          <w:lang w:eastAsia="zh-CN"/>
        </w:rPr>
        <w:t>19.4.2焊接工艺评定报告和焊接工艺规程</w:t>
      </w:r>
    </w:p>
    <w:p w14:paraId="6B1E6308">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承包人应按SL432—2008第6.1节的规定，编制焊接工艺评定报告和焊接工艺规程提交监理人批准。</w:t>
      </w:r>
    </w:p>
    <w:p w14:paraId="6C6ABE72">
      <w:pPr>
        <w:adjustRightInd/>
        <w:ind w:firstLine="0" w:firstLineChars="0"/>
        <w:rPr>
          <w:color w:val="auto"/>
          <w:szCs w:val="20"/>
          <w:highlight w:val="none"/>
          <w:lang w:eastAsia="zh-CN"/>
        </w:rPr>
      </w:pPr>
      <w:r>
        <w:rPr>
          <w:rFonts w:hint="eastAsia"/>
          <w:color w:val="auto"/>
          <w:szCs w:val="20"/>
          <w:highlight w:val="none"/>
          <w:lang w:eastAsia="zh-CN"/>
        </w:rPr>
        <w:t>19.4.3</w:t>
      </w:r>
      <w:r>
        <w:rPr>
          <w:rFonts w:hint="eastAsia" w:cs="宋体"/>
          <w:bCs/>
          <w:color w:val="auto"/>
          <w:szCs w:val="24"/>
          <w:highlight w:val="none"/>
          <w:lang w:eastAsia="zh-CN"/>
        </w:rPr>
        <w:t>　</w:t>
      </w:r>
      <w:r>
        <w:rPr>
          <w:rFonts w:hint="eastAsia"/>
          <w:color w:val="auto"/>
          <w:szCs w:val="20"/>
          <w:highlight w:val="none"/>
          <w:lang w:eastAsia="zh-CN"/>
        </w:rPr>
        <w:t>生产性施焊</w:t>
      </w:r>
    </w:p>
    <w:p w14:paraId="4A0E20BE">
      <w:pPr>
        <w:autoSpaceDE w:val="0"/>
        <w:autoSpaceDN w:val="0"/>
        <w:adjustRightInd/>
        <w:ind w:firstLine="480"/>
        <w:rPr>
          <w:color w:val="auto"/>
          <w:szCs w:val="20"/>
          <w:highlight w:val="none"/>
          <w:lang w:eastAsia="zh-CN"/>
        </w:rPr>
      </w:pPr>
      <w:r>
        <w:rPr>
          <w:rFonts w:hint="eastAsia"/>
          <w:color w:val="auto"/>
          <w:szCs w:val="20"/>
          <w:highlight w:val="none"/>
          <w:lang w:eastAsia="zh-CN"/>
        </w:rPr>
        <w:t>（1）焊缝分类应遵守SL432—2008第6.3.1条的规定。</w:t>
      </w:r>
    </w:p>
    <w:p w14:paraId="6C1664E1">
      <w:pPr>
        <w:autoSpaceDE w:val="0"/>
        <w:autoSpaceDN w:val="0"/>
        <w:adjustRightInd/>
        <w:ind w:firstLine="480"/>
        <w:rPr>
          <w:color w:val="auto"/>
          <w:szCs w:val="20"/>
          <w:highlight w:val="none"/>
          <w:lang w:eastAsia="zh-CN"/>
        </w:rPr>
      </w:pPr>
      <w:r>
        <w:rPr>
          <w:rFonts w:hint="eastAsia"/>
          <w:color w:val="auto"/>
          <w:szCs w:val="20"/>
          <w:highlight w:val="none"/>
          <w:lang w:eastAsia="zh-CN"/>
        </w:rPr>
        <w:t>（2）焊接材料，应具有产品质量证明书和使用说明书，并按监理人的指示进行批样检验，检验成果报送监理人；焊接材料的选用应符合GB/T5117、GB/T5118、GB/T983或GB/T984的有关规定，自动焊用的钢丝应符合GB/T14957的规定；碳素钢埋弧自动焊用焊剂应符合GB/T5293的有关规定；焊接环境、焊接烘焙和保管应遵守 SL432—2008第6.3.3条、第6.3.4条和第6.3.6条的规定。</w:t>
      </w:r>
    </w:p>
    <w:p w14:paraId="5AC7263A">
      <w:pPr>
        <w:autoSpaceDE w:val="0"/>
        <w:autoSpaceDN w:val="0"/>
        <w:adjustRightInd/>
        <w:ind w:firstLine="480"/>
        <w:rPr>
          <w:color w:val="auto"/>
          <w:szCs w:val="20"/>
          <w:highlight w:val="none"/>
          <w:lang w:eastAsia="zh-CN"/>
        </w:rPr>
      </w:pPr>
      <w:r>
        <w:rPr>
          <w:rFonts w:hint="eastAsia"/>
          <w:color w:val="auto"/>
          <w:szCs w:val="20"/>
          <w:highlight w:val="none"/>
          <w:lang w:eastAsia="zh-CN"/>
        </w:rPr>
        <w:t>（3）焊前清理：所有拟焊面及坡口两侧各10~20mm范围内的氧化皮、铁锈、油污及其它杂物应清除干净，每一焊道焊完后也应及时清理，检查合格后才能继续施焊。</w:t>
      </w:r>
    </w:p>
    <w:p w14:paraId="05FBD81A">
      <w:pPr>
        <w:autoSpaceDE w:val="0"/>
        <w:autoSpaceDN w:val="0"/>
        <w:adjustRightInd/>
        <w:ind w:firstLine="480"/>
        <w:rPr>
          <w:color w:val="auto"/>
          <w:szCs w:val="20"/>
          <w:highlight w:val="none"/>
          <w:lang w:eastAsia="zh-CN"/>
        </w:rPr>
      </w:pPr>
      <w:r>
        <w:rPr>
          <w:rFonts w:hint="eastAsia"/>
          <w:color w:val="auto"/>
          <w:szCs w:val="20"/>
          <w:highlight w:val="none"/>
          <w:lang w:eastAsia="zh-CN"/>
        </w:rPr>
        <w:t>（4）定位焊：采用已批准的焊接工艺规程进行组装和定位焊。定位焊应遵守SL432—2008 6.3.8条的规定。</w:t>
      </w:r>
    </w:p>
    <w:p w14:paraId="4FB2B8CC">
      <w:pPr>
        <w:autoSpaceDE w:val="0"/>
        <w:autoSpaceDN w:val="0"/>
        <w:adjustRightInd/>
        <w:ind w:firstLine="480"/>
        <w:rPr>
          <w:color w:val="auto"/>
          <w:szCs w:val="20"/>
          <w:highlight w:val="none"/>
          <w:lang w:eastAsia="zh-CN"/>
        </w:rPr>
      </w:pPr>
      <w:r>
        <w:rPr>
          <w:rFonts w:hint="eastAsia"/>
          <w:color w:val="auto"/>
          <w:szCs w:val="20"/>
          <w:highlight w:val="none"/>
          <w:lang w:eastAsia="zh-CN"/>
        </w:rPr>
        <w:t>（5）装配校正：装配中的错边应采用卡具校正，不得用锤击或其它有损钢板的器具校正。</w:t>
      </w:r>
    </w:p>
    <w:p w14:paraId="505E3BF7">
      <w:pPr>
        <w:autoSpaceDE w:val="0"/>
        <w:autoSpaceDN w:val="0"/>
        <w:adjustRightInd/>
        <w:ind w:firstLine="480"/>
        <w:rPr>
          <w:color w:val="auto"/>
          <w:szCs w:val="20"/>
          <w:highlight w:val="none"/>
          <w:lang w:eastAsia="zh-CN"/>
        </w:rPr>
      </w:pPr>
      <w:r>
        <w:rPr>
          <w:rFonts w:hint="eastAsia"/>
          <w:color w:val="auto"/>
          <w:szCs w:val="20"/>
          <w:highlight w:val="none"/>
          <w:lang w:eastAsia="zh-CN"/>
        </w:rPr>
        <w:t>（6）预热：按工艺要求需要预热的焊件，应按SL432—2008第6.3.10~6.3.15 条的规定进行。监理人有权对某些焊接部位提出特殊的预热要求，承包人应遵照执行。</w:t>
      </w:r>
    </w:p>
    <w:p w14:paraId="14B341FC">
      <w:pPr>
        <w:autoSpaceDE w:val="0"/>
        <w:autoSpaceDN w:val="0"/>
        <w:adjustRightInd/>
        <w:ind w:firstLine="480"/>
        <w:rPr>
          <w:color w:val="auto"/>
          <w:szCs w:val="20"/>
          <w:highlight w:val="none"/>
          <w:lang w:eastAsia="zh-CN"/>
        </w:rPr>
      </w:pPr>
      <w:r>
        <w:rPr>
          <w:rFonts w:hint="eastAsia"/>
          <w:color w:val="auto"/>
          <w:szCs w:val="20"/>
          <w:highlight w:val="none"/>
          <w:lang w:eastAsia="zh-CN"/>
        </w:rPr>
        <w:t>（7）焊接：除应遵守SL432—2008第6.3节和SL36—2006第6章的规定外，钢管的焊接工艺还应满足：</w:t>
      </w:r>
    </w:p>
    <w:p w14:paraId="57CA7C4C">
      <w:pPr>
        <w:autoSpaceDE w:val="0"/>
        <w:autoSpaceDN w:val="0"/>
        <w:adjustRightInd/>
        <w:ind w:firstLine="480"/>
        <w:rPr>
          <w:color w:val="auto"/>
          <w:szCs w:val="20"/>
          <w:highlight w:val="none"/>
          <w:lang w:eastAsia="zh-CN"/>
        </w:rPr>
      </w:pPr>
      <w:r>
        <w:rPr>
          <w:rFonts w:hint="eastAsia"/>
          <w:color w:val="auto"/>
          <w:szCs w:val="20"/>
          <w:highlight w:val="none"/>
          <w:lang w:eastAsia="zh-CN"/>
        </w:rPr>
        <w:t>1）为尽量减少变形和收缩应力，应在施焊前选定定位焊焊点和焊接顺序。从构件受周围约束较大的部位开始焊接，向约束较小的部位推进；</w:t>
      </w:r>
    </w:p>
    <w:p w14:paraId="45FB97EA">
      <w:pPr>
        <w:autoSpaceDE w:val="0"/>
        <w:autoSpaceDN w:val="0"/>
        <w:adjustRightInd/>
        <w:ind w:firstLine="480"/>
        <w:rPr>
          <w:color w:val="auto"/>
          <w:szCs w:val="20"/>
          <w:highlight w:val="none"/>
          <w:lang w:eastAsia="zh-CN"/>
        </w:rPr>
      </w:pPr>
      <w:r>
        <w:rPr>
          <w:rFonts w:hint="eastAsia"/>
          <w:color w:val="auto"/>
          <w:szCs w:val="20"/>
          <w:highlight w:val="none"/>
          <w:lang w:eastAsia="zh-CN"/>
        </w:rPr>
        <w:t>2）双面焊接时（设有垫板者例外），在其单侧焊接后应进行清根并打磨干净，再继续焊另一面。对需预热后焊接的钢板，应在清根前预热。若采用单面焊缝双面成型，应提出相应的焊接措施，并经监理人批准；</w:t>
      </w:r>
    </w:p>
    <w:p w14:paraId="38091685">
      <w:pPr>
        <w:autoSpaceDE w:val="0"/>
        <w:autoSpaceDN w:val="0"/>
        <w:adjustRightInd/>
        <w:ind w:firstLine="480"/>
        <w:rPr>
          <w:color w:val="auto"/>
          <w:szCs w:val="20"/>
          <w:highlight w:val="none"/>
          <w:lang w:eastAsia="zh-CN"/>
        </w:rPr>
      </w:pPr>
      <w:r>
        <w:rPr>
          <w:rFonts w:hint="eastAsia"/>
          <w:color w:val="auto"/>
          <w:szCs w:val="20"/>
          <w:highlight w:val="none"/>
          <w:lang w:eastAsia="zh-CN"/>
        </w:rPr>
        <w:t>3）每条焊缝应一次连续焊完，当因故中断焊接时，应采取防裂措施。</w:t>
      </w:r>
    </w:p>
    <w:p w14:paraId="6C74B5DD">
      <w:pPr>
        <w:autoSpaceDE w:val="0"/>
        <w:autoSpaceDN w:val="0"/>
        <w:adjustRightInd/>
        <w:ind w:firstLine="480"/>
        <w:rPr>
          <w:color w:val="auto"/>
          <w:szCs w:val="20"/>
          <w:highlight w:val="none"/>
          <w:lang w:eastAsia="zh-CN"/>
        </w:rPr>
      </w:pPr>
      <w:r>
        <w:rPr>
          <w:rFonts w:hint="eastAsia"/>
          <w:color w:val="auto"/>
          <w:szCs w:val="20"/>
          <w:highlight w:val="none"/>
          <w:lang w:eastAsia="zh-CN"/>
        </w:rPr>
        <w:t>（8）产品焊接试板：（标准抗拉强度大于540N/mm2）：</w:t>
      </w:r>
    </w:p>
    <w:p w14:paraId="298286FE">
      <w:pPr>
        <w:autoSpaceDE w:val="0"/>
        <w:autoSpaceDN w:val="0"/>
        <w:adjustRightInd/>
        <w:ind w:firstLine="480"/>
        <w:rPr>
          <w:color w:val="auto"/>
          <w:szCs w:val="20"/>
          <w:highlight w:val="none"/>
          <w:lang w:eastAsia="zh-CN"/>
        </w:rPr>
      </w:pPr>
      <w:r>
        <w:rPr>
          <w:rFonts w:hint="eastAsia"/>
          <w:color w:val="auto"/>
          <w:szCs w:val="20"/>
          <w:highlight w:val="none"/>
          <w:lang w:eastAsia="zh-CN"/>
        </w:rPr>
        <w:t>l）管壁纵缝、加强构件（包括支承环及岔管的肋和梁）的对接焊缝应作产品焊接试板</w:t>
      </w:r>
    </w:p>
    <w:p w14:paraId="0E9280BE">
      <w:pPr>
        <w:autoSpaceDE w:val="0"/>
        <w:autoSpaceDN w:val="0"/>
        <w:adjustRightInd/>
        <w:ind w:firstLine="480"/>
        <w:rPr>
          <w:color w:val="auto"/>
          <w:szCs w:val="20"/>
          <w:highlight w:val="none"/>
          <w:lang w:eastAsia="zh-CN"/>
        </w:rPr>
      </w:pPr>
      <w:r>
        <w:rPr>
          <w:rFonts w:hint="eastAsia"/>
          <w:color w:val="auto"/>
          <w:szCs w:val="20"/>
          <w:highlight w:val="none"/>
          <w:lang w:eastAsia="zh-CN"/>
        </w:rPr>
        <w:t>2）相同板厚的纵焊，每100m焊缝长作一块产品焊接试板，且每种板厚不少于两块。试板尺寸及试验项目与焊接工艺评定的规定相同；</w:t>
      </w:r>
    </w:p>
    <w:p w14:paraId="6ACE4015">
      <w:pPr>
        <w:autoSpaceDE w:val="0"/>
        <w:autoSpaceDN w:val="0"/>
        <w:adjustRightInd/>
        <w:ind w:firstLine="480"/>
        <w:rPr>
          <w:color w:val="auto"/>
          <w:szCs w:val="20"/>
          <w:highlight w:val="none"/>
          <w:lang w:eastAsia="zh-CN"/>
        </w:rPr>
      </w:pPr>
      <w:r>
        <w:rPr>
          <w:rFonts w:hint="eastAsia"/>
          <w:color w:val="auto"/>
          <w:szCs w:val="20"/>
          <w:highlight w:val="none"/>
          <w:lang w:eastAsia="zh-CN"/>
        </w:rPr>
        <w:t>3）试板须在纵缝的延长部位与钢管纵缝同时施焊，试板的厚度和焊接工艺须与管壁相同，可以延长试板长度而不设助焊板。</w:t>
      </w:r>
    </w:p>
    <w:p w14:paraId="7190CCA6">
      <w:pPr>
        <w:autoSpaceDE w:val="0"/>
        <w:autoSpaceDN w:val="0"/>
        <w:adjustRightInd/>
        <w:ind w:firstLine="480"/>
        <w:rPr>
          <w:color w:val="auto"/>
          <w:szCs w:val="20"/>
          <w:highlight w:val="none"/>
          <w:lang w:eastAsia="zh-CN"/>
        </w:rPr>
      </w:pPr>
      <w:r>
        <w:rPr>
          <w:rFonts w:hint="eastAsia"/>
          <w:color w:val="auto"/>
          <w:szCs w:val="20"/>
          <w:highlight w:val="none"/>
          <w:lang w:eastAsia="zh-CN"/>
        </w:rPr>
        <w:t>（9）后热：后热要求应通过焊接工艺评定确定，并应遵守SL36—2006第7章的规定。</w:t>
      </w:r>
    </w:p>
    <w:p w14:paraId="3165ED13">
      <w:pPr>
        <w:adjustRightInd/>
        <w:ind w:firstLine="0" w:firstLineChars="0"/>
        <w:rPr>
          <w:color w:val="auto"/>
          <w:szCs w:val="20"/>
          <w:highlight w:val="none"/>
          <w:lang w:eastAsia="zh-CN"/>
        </w:rPr>
      </w:pPr>
      <w:r>
        <w:rPr>
          <w:rFonts w:hint="eastAsia"/>
          <w:color w:val="auto"/>
          <w:szCs w:val="20"/>
          <w:highlight w:val="none"/>
          <w:lang w:eastAsia="zh-CN"/>
        </w:rPr>
        <w:t>19.4.4</w:t>
      </w:r>
      <w:r>
        <w:rPr>
          <w:rFonts w:hint="eastAsia" w:cs="宋体"/>
          <w:bCs/>
          <w:color w:val="auto"/>
          <w:szCs w:val="24"/>
          <w:highlight w:val="none"/>
          <w:lang w:eastAsia="zh-CN"/>
        </w:rPr>
        <w:t>　</w:t>
      </w:r>
      <w:r>
        <w:rPr>
          <w:rFonts w:hint="eastAsia"/>
          <w:color w:val="auto"/>
          <w:szCs w:val="20"/>
          <w:highlight w:val="none"/>
          <w:lang w:eastAsia="zh-CN"/>
        </w:rPr>
        <w:t>焊缝质量检验</w:t>
      </w:r>
    </w:p>
    <w:p w14:paraId="6A4E8A20">
      <w:pPr>
        <w:autoSpaceDE w:val="0"/>
        <w:autoSpaceDN w:val="0"/>
        <w:adjustRightInd/>
        <w:ind w:firstLine="480"/>
        <w:rPr>
          <w:color w:val="auto"/>
          <w:szCs w:val="20"/>
          <w:highlight w:val="none"/>
          <w:lang w:eastAsia="zh-CN"/>
        </w:rPr>
      </w:pPr>
      <w:r>
        <w:rPr>
          <w:rFonts w:hint="eastAsia"/>
          <w:color w:val="auto"/>
          <w:szCs w:val="20"/>
          <w:highlight w:val="none"/>
          <w:lang w:eastAsia="zh-CN"/>
        </w:rPr>
        <w:t>（1）焊缝外观质量检查应遵守SL432—2008表16的规定。</w:t>
      </w:r>
    </w:p>
    <w:p w14:paraId="456C8AB5">
      <w:pPr>
        <w:autoSpaceDE w:val="0"/>
        <w:autoSpaceDN w:val="0"/>
        <w:adjustRightInd/>
        <w:ind w:firstLine="480"/>
        <w:rPr>
          <w:color w:val="auto"/>
          <w:szCs w:val="20"/>
          <w:highlight w:val="none"/>
          <w:lang w:eastAsia="zh-CN"/>
        </w:rPr>
      </w:pPr>
      <w:r>
        <w:rPr>
          <w:rFonts w:hint="eastAsia"/>
          <w:color w:val="auto"/>
          <w:szCs w:val="20"/>
          <w:highlight w:val="none"/>
          <w:lang w:eastAsia="zh-CN"/>
        </w:rPr>
        <w:t>（2）焊缝质量检验所用的无损检测方法，应遵守SL432—2008第6.4.3~6.4.10 条的规定。钢管焊缝质量要求：工厂制作管道及配件所有焊缝均须进行100%超声波检测，并进行5%X射线检测（按长度计，环缝至少分成4处检验），需要提供检测报告，检测费用由承包人承担。</w:t>
      </w:r>
    </w:p>
    <w:p w14:paraId="1371BBB7">
      <w:pPr>
        <w:adjustRightInd/>
        <w:ind w:firstLine="0" w:firstLineChars="0"/>
        <w:rPr>
          <w:color w:val="auto"/>
          <w:szCs w:val="20"/>
          <w:highlight w:val="none"/>
          <w:lang w:eastAsia="zh-CN"/>
        </w:rPr>
      </w:pPr>
      <w:r>
        <w:rPr>
          <w:rFonts w:hint="eastAsia"/>
          <w:color w:val="auto"/>
          <w:szCs w:val="20"/>
          <w:highlight w:val="none"/>
          <w:lang w:eastAsia="zh-CN"/>
        </w:rPr>
        <w:t>19.4.5</w:t>
      </w:r>
      <w:r>
        <w:rPr>
          <w:rFonts w:hint="eastAsia" w:cs="宋体"/>
          <w:bCs/>
          <w:color w:val="auto"/>
          <w:szCs w:val="24"/>
          <w:highlight w:val="none"/>
          <w:lang w:eastAsia="zh-CN"/>
        </w:rPr>
        <w:t>　</w:t>
      </w:r>
      <w:r>
        <w:rPr>
          <w:rFonts w:hint="eastAsia"/>
          <w:color w:val="auto"/>
          <w:szCs w:val="20"/>
          <w:highlight w:val="none"/>
          <w:lang w:eastAsia="zh-CN"/>
        </w:rPr>
        <w:t>焊缝缺陷处理</w:t>
      </w:r>
    </w:p>
    <w:p w14:paraId="4A3B1982">
      <w:pPr>
        <w:autoSpaceDE w:val="0"/>
        <w:autoSpaceDN w:val="0"/>
        <w:adjustRightInd/>
        <w:ind w:firstLine="480"/>
        <w:rPr>
          <w:color w:val="auto"/>
          <w:szCs w:val="20"/>
          <w:highlight w:val="none"/>
          <w:lang w:eastAsia="zh-CN"/>
        </w:rPr>
      </w:pPr>
      <w:r>
        <w:rPr>
          <w:rFonts w:hint="eastAsia"/>
          <w:color w:val="auto"/>
          <w:szCs w:val="20"/>
          <w:highlight w:val="none"/>
          <w:lang w:eastAsia="zh-CN"/>
        </w:rPr>
        <w:t>（1）承包人应根据焊缝质量检验确定的焊缝缺陷，提出缺陷返修的部位和返修措施，经监理人同意后，由承包人进行返修，直至监理人认为合格为止。返修后的焊缝，仍应按本章第19.3.4条规定的焊缝质量进行复验。返修和复验记录应提交监理人。</w:t>
      </w:r>
    </w:p>
    <w:p w14:paraId="77A42694">
      <w:pPr>
        <w:autoSpaceDE w:val="0"/>
        <w:autoSpaceDN w:val="0"/>
        <w:adjustRightInd/>
        <w:ind w:firstLine="480"/>
        <w:rPr>
          <w:color w:val="auto"/>
          <w:szCs w:val="20"/>
          <w:highlight w:val="none"/>
          <w:lang w:eastAsia="zh-CN"/>
        </w:rPr>
      </w:pPr>
      <w:r>
        <w:rPr>
          <w:rFonts w:hint="eastAsia"/>
          <w:color w:val="auto"/>
          <w:szCs w:val="20"/>
          <w:highlight w:val="none"/>
          <w:lang w:eastAsia="zh-CN"/>
        </w:rPr>
        <w:t>（2）同一部位返修次数：碳素钢和低合金钢不宜超过两次、高强钢不宜超过一次，否则应制订可靠的技术措施，提交监理人批准。</w:t>
      </w:r>
    </w:p>
    <w:p w14:paraId="7B27664A">
      <w:pPr>
        <w:adjustRightInd/>
        <w:ind w:firstLine="0" w:firstLineChars="0"/>
        <w:rPr>
          <w:color w:val="auto"/>
          <w:szCs w:val="20"/>
          <w:highlight w:val="none"/>
          <w:lang w:eastAsia="zh-CN"/>
        </w:rPr>
      </w:pPr>
      <w:r>
        <w:rPr>
          <w:rFonts w:hint="eastAsia"/>
          <w:color w:val="auto"/>
          <w:szCs w:val="20"/>
          <w:highlight w:val="none"/>
          <w:lang w:eastAsia="zh-CN"/>
        </w:rPr>
        <w:t>19.4.6</w:t>
      </w:r>
      <w:r>
        <w:rPr>
          <w:rFonts w:hint="eastAsia" w:cs="宋体"/>
          <w:bCs/>
          <w:color w:val="auto"/>
          <w:szCs w:val="24"/>
          <w:highlight w:val="none"/>
          <w:lang w:eastAsia="zh-CN"/>
        </w:rPr>
        <w:t>　</w:t>
      </w:r>
      <w:r>
        <w:rPr>
          <w:rFonts w:hint="eastAsia"/>
          <w:color w:val="auto"/>
          <w:szCs w:val="20"/>
          <w:highlight w:val="none"/>
          <w:lang w:eastAsia="zh-CN"/>
        </w:rPr>
        <w:t>焊后消应处理</w:t>
      </w:r>
    </w:p>
    <w:p w14:paraId="7FE39D7E">
      <w:pPr>
        <w:autoSpaceDE w:val="0"/>
        <w:autoSpaceDN w:val="0"/>
        <w:adjustRightInd/>
        <w:ind w:firstLine="480"/>
        <w:rPr>
          <w:color w:val="auto"/>
          <w:szCs w:val="20"/>
          <w:highlight w:val="none"/>
          <w:lang w:eastAsia="zh-CN"/>
        </w:rPr>
      </w:pPr>
      <w:r>
        <w:rPr>
          <w:rFonts w:hint="eastAsia"/>
          <w:color w:val="auto"/>
          <w:szCs w:val="20"/>
          <w:highlight w:val="none"/>
          <w:lang w:eastAsia="zh-CN"/>
        </w:rPr>
        <w:t>施工图纸要求进行焊后消应处理的钢管，应按SL432—2008第7章的规定进行。消应处理数据应提交监理人。</w:t>
      </w:r>
    </w:p>
    <w:p w14:paraId="270ABDD6">
      <w:pPr>
        <w:adjustRightInd/>
        <w:ind w:firstLine="0" w:firstLineChars="0"/>
        <w:rPr>
          <w:color w:val="auto"/>
          <w:szCs w:val="20"/>
          <w:highlight w:val="none"/>
          <w:lang w:eastAsia="zh-CN"/>
        </w:rPr>
      </w:pPr>
      <w:r>
        <w:rPr>
          <w:rFonts w:hint="eastAsia"/>
          <w:color w:val="auto"/>
          <w:szCs w:val="20"/>
          <w:highlight w:val="none"/>
          <w:lang w:eastAsia="zh-CN"/>
        </w:rPr>
        <w:t>19.4.7</w:t>
      </w:r>
      <w:r>
        <w:rPr>
          <w:rFonts w:hint="eastAsia" w:cs="宋体"/>
          <w:bCs/>
          <w:color w:val="auto"/>
          <w:szCs w:val="24"/>
          <w:highlight w:val="none"/>
          <w:lang w:eastAsia="zh-CN"/>
        </w:rPr>
        <w:t>　</w:t>
      </w:r>
      <w:r>
        <w:rPr>
          <w:rFonts w:hint="eastAsia"/>
          <w:color w:val="auto"/>
          <w:szCs w:val="20"/>
          <w:highlight w:val="none"/>
          <w:lang w:eastAsia="zh-CN"/>
        </w:rPr>
        <w:t>焊接场地清理</w:t>
      </w:r>
    </w:p>
    <w:p w14:paraId="5FDED41B">
      <w:pPr>
        <w:autoSpaceDE w:val="0"/>
        <w:autoSpaceDN w:val="0"/>
        <w:adjustRightInd/>
        <w:ind w:firstLine="480"/>
        <w:rPr>
          <w:color w:val="auto"/>
          <w:szCs w:val="20"/>
          <w:highlight w:val="none"/>
          <w:lang w:eastAsia="zh-CN"/>
        </w:rPr>
      </w:pPr>
      <w:r>
        <w:rPr>
          <w:rFonts w:hint="eastAsia"/>
          <w:color w:val="auto"/>
          <w:szCs w:val="20"/>
          <w:highlight w:val="none"/>
          <w:lang w:eastAsia="zh-CN"/>
        </w:rPr>
        <w:t>管道表面清洁：清除管道表面的油污、铁锈、灰尘等杂质。管道表面应呈现金属光泽，无明显污渍。对于有防腐要求的管道，确保防腐层不受损坏。</w:t>
      </w:r>
    </w:p>
    <w:p w14:paraId="724037E0">
      <w:pPr>
        <w:autoSpaceDE w:val="0"/>
        <w:autoSpaceDN w:val="0"/>
        <w:adjustRightInd/>
        <w:ind w:firstLine="480"/>
        <w:rPr>
          <w:color w:val="auto"/>
          <w:szCs w:val="20"/>
          <w:highlight w:val="none"/>
          <w:lang w:eastAsia="zh-CN"/>
        </w:rPr>
      </w:pPr>
      <w:r>
        <w:rPr>
          <w:rFonts w:hint="eastAsia"/>
          <w:color w:val="auto"/>
          <w:szCs w:val="20"/>
          <w:highlight w:val="none"/>
          <w:lang w:eastAsia="zh-CN"/>
        </w:rPr>
        <w:t>施工场地清理：将管道内及施工场地内的焊接废料、垃圾等清理干净。做到管内及场地整洁，无杂物。恢复场地原有地貌，不得对周围环境造成破坏。</w:t>
      </w:r>
    </w:p>
    <w:p w14:paraId="6203A4B2">
      <w:pPr>
        <w:pStyle w:val="4"/>
        <w:rPr>
          <w:rFonts w:ascii="Arial" w:hAnsi="Arial" w:cs="宋体"/>
          <w:bCs/>
          <w:color w:val="auto"/>
          <w:sz w:val="21"/>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 5</w:t>
      </w:r>
      <w:r>
        <w:rPr>
          <w:rFonts w:hint="eastAsia" w:cs="宋体"/>
          <w:bCs/>
          <w:color w:val="auto"/>
          <w:szCs w:val="24"/>
          <w:highlight w:val="none"/>
        </w:rPr>
        <w:t>　</w:t>
      </w:r>
      <w:r>
        <w:rPr>
          <w:rFonts w:ascii="Arial" w:hAnsi="Arial" w:cs="宋体"/>
          <w:bCs/>
          <w:color w:val="auto"/>
          <w:szCs w:val="24"/>
          <w:highlight w:val="none"/>
        </w:rPr>
        <w:t>水压试验</w:t>
      </w:r>
    </w:p>
    <w:p w14:paraId="0B3B1F8F">
      <w:pPr>
        <w:adjustRightInd/>
        <w:ind w:firstLine="0" w:firstLineChars="0"/>
        <w:rPr>
          <w:color w:val="auto"/>
          <w:szCs w:val="20"/>
          <w:highlight w:val="none"/>
          <w:lang w:eastAsia="zh-CN"/>
        </w:rPr>
      </w:pPr>
      <w:r>
        <w:rPr>
          <w:rFonts w:hint="eastAsia"/>
          <w:color w:val="auto"/>
          <w:szCs w:val="20"/>
          <w:highlight w:val="none"/>
          <w:lang w:eastAsia="zh-CN"/>
        </w:rPr>
        <w:t>19.5.1</w:t>
      </w:r>
      <w:r>
        <w:rPr>
          <w:rFonts w:hint="eastAsia" w:cs="宋体"/>
          <w:bCs/>
          <w:color w:val="auto"/>
          <w:szCs w:val="24"/>
          <w:highlight w:val="none"/>
          <w:lang w:eastAsia="zh-CN"/>
        </w:rPr>
        <w:t>　</w:t>
      </w:r>
      <w:r>
        <w:rPr>
          <w:rFonts w:hint="eastAsia"/>
          <w:color w:val="auto"/>
          <w:szCs w:val="20"/>
          <w:highlight w:val="none"/>
          <w:lang w:eastAsia="zh-CN"/>
        </w:rPr>
        <w:t>水压试验措施计划</w:t>
      </w:r>
    </w:p>
    <w:p w14:paraId="037EC989">
      <w:pPr>
        <w:autoSpaceDE w:val="0"/>
        <w:autoSpaceDN w:val="0"/>
        <w:adjustRightInd/>
        <w:ind w:firstLine="480"/>
        <w:rPr>
          <w:color w:val="auto"/>
          <w:szCs w:val="20"/>
          <w:highlight w:val="none"/>
          <w:lang w:eastAsia="zh-CN"/>
        </w:rPr>
      </w:pPr>
      <w:r>
        <w:rPr>
          <w:rFonts w:hint="eastAsia"/>
          <w:color w:val="auto"/>
          <w:szCs w:val="20"/>
          <w:highlight w:val="none"/>
          <w:lang w:eastAsia="zh-CN"/>
        </w:rPr>
        <w:t>需要进行水压试验的钢管和岔管，承包人应在试验前，编制水压试验措施计划，提交监理人批准。试验内容应包括水压试验工作段范围、试验场地布置、试验设备、检测方法、循环次数、测点布置、试验程序和安全措施等。试验用闷头当口径较大时，应采用椭球形（碟形）闷头。</w:t>
      </w:r>
    </w:p>
    <w:p w14:paraId="3B878F44">
      <w:pPr>
        <w:adjustRightInd/>
        <w:ind w:firstLine="0" w:firstLineChars="0"/>
        <w:rPr>
          <w:color w:val="auto"/>
          <w:szCs w:val="20"/>
          <w:highlight w:val="none"/>
          <w:lang w:eastAsia="zh-CN"/>
        </w:rPr>
      </w:pPr>
      <w:r>
        <w:rPr>
          <w:rFonts w:hint="eastAsia"/>
          <w:color w:val="auto"/>
          <w:szCs w:val="20"/>
          <w:highlight w:val="none"/>
          <w:lang w:eastAsia="zh-CN"/>
        </w:rPr>
        <w:t>19.5.2</w:t>
      </w:r>
      <w:r>
        <w:rPr>
          <w:rFonts w:hint="eastAsia" w:cs="宋体"/>
          <w:bCs/>
          <w:color w:val="auto"/>
          <w:szCs w:val="24"/>
          <w:highlight w:val="none"/>
          <w:lang w:eastAsia="zh-CN"/>
        </w:rPr>
        <w:t>　</w:t>
      </w:r>
      <w:r>
        <w:rPr>
          <w:rFonts w:hint="eastAsia"/>
          <w:color w:val="auto"/>
          <w:szCs w:val="20"/>
          <w:highlight w:val="none"/>
          <w:lang w:eastAsia="zh-CN"/>
        </w:rPr>
        <w:t>水压试验的工作分段</w:t>
      </w:r>
    </w:p>
    <w:p w14:paraId="48E91E55">
      <w:pPr>
        <w:autoSpaceDE w:val="0"/>
        <w:autoSpaceDN w:val="0"/>
        <w:adjustRightInd/>
        <w:ind w:firstLine="480"/>
        <w:rPr>
          <w:color w:val="auto"/>
          <w:szCs w:val="20"/>
          <w:highlight w:val="none"/>
          <w:lang w:eastAsia="zh-CN"/>
        </w:rPr>
      </w:pPr>
      <w:r>
        <w:rPr>
          <w:rFonts w:hint="eastAsia"/>
          <w:color w:val="auto"/>
          <w:szCs w:val="20"/>
          <w:highlight w:val="none"/>
          <w:lang w:eastAsia="zh-CN"/>
        </w:rPr>
        <w:t>（1）明管水压试验的分段长度和试验压力应按施工图纸的规定执行。</w:t>
      </w:r>
    </w:p>
    <w:p w14:paraId="05151371">
      <w:pPr>
        <w:autoSpaceDE w:val="0"/>
        <w:autoSpaceDN w:val="0"/>
        <w:adjustRightInd/>
        <w:ind w:firstLine="480"/>
        <w:rPr>
          <w:color w:val="auto"/>
          <w:szCs w:val="20"/>
          <w:highlight w:val="none"/>
          <w:lang w:eastAsia="zh-CN"/>
        </w:rPr>
      </w:pPr>
      <w:r>
        <w:rPr>
          <w:rFonts w:hint="eastAsia"/>
          <w:color w:val="auto"/>
          <w:szCs w:val="20"/>
          <w:highlight w:val="none"/>
          <w:lang w:eastAsia="zh-CN"/>
        </w:rPr>
        <w:t>（2）岔管应在制造厂作整体水压试验。对大型岔管需要在现场组装时，经监理人批准可在现场进行试验。</w:t>
      </w:r>
    </w:p>
    <w:p w14:paraId="750298C2">
      <w:pPr>
        <w:adjustRightInd/>
        <w:ind w:firstLine="0" w:firstLineChars="0"/>
        <w:rPr>
          <w:color w:val="auto"/>
          <w:szCs w:val="20"/>
          <w:highlight w:val="none"/>
          <w:lang w:eastAsia="zh-CN"/>
        </w:rPr>
      </w:pPr>
      <w:r>
        <w:rPr>
          <w:rFonts w:hint="eastAsia"/>
          <w:color w:val="auto"/>
          <w:szCs w:val="20"/>
          <w:highlight w:val="none"/>
          <w:lang w:eastAsia="zh-CN"/>
        </w:rPr>
        <w:t>19.5.3 试验方法</w:t>
      </w:r>
    </w:p>
    <w:p w14:paraId="777F0E29">
      <w:pPr>
        <w:autoSpaceDE w:val="0"/>
        <w:autoSpaceDN w:val="0"/>
        <w:adjustRightInd/>
        <w:ind w:firstLine="480"/>
        <w:rPr>
          <w:color w:val="auto"/>
          <w:szCs w:val="20"/>
          <w:highlight w:val="none"/>
          <w:lang w:eastAsia="zh-CN"/>
        </w:rPr>
      </w:pPr>
      <w:r>
        <w:rPr>
          <w:rFonts w:hint="eastAsia"/>
          <w:color w:val="auto"/>
          <w:szCs w:val="20"/>
          <w:highlight w:val="none"/>
          <w:lang w:eastAsia="zh-CN"/>
        </w:rPr>
        <w:t>（1）水压试验的压力、试验程序和方法，以及现场试验结束后的处理措施应按《水利水电工程压力钢管设计规范》（SL / T 281—2020)及施工图纸的规定执行。</w:t>
      </w:r>
    </w:p>
    <w:p w14:paraId="622FF2DD">
      <w:pPr>
        <w:autoSpaceDE w:val="0"/>
        <w:autoSpaceDN w:val="0"/>
        <w:adjustRightInd/>
        <w:ind w:firstLine="480"/>
        <w:rPr>
          <w:color w:val="auto"/>
          <w:szCs w:val="20"/>
          <w:highlight w:val="none"/>
          <w:lang w:eastAsia="zh-CN"/>
        </w:rPr>
      </w:pPr>
      <w:r>
        <w:rPr>
          <w:rFonts w:hint="eastAsia"/>
          <w:color w:val="auto"/>
          <w:szCs w:val="20"/>
          <w:highlight w:val="none"/>
          <w:lang w:eastAsia="zh-CN"/>
        </w:rPr>
        <w:t>（2）监理人认为有需要时，承包人应在试验工件上设置应变量测仪器，并及时将记录提交监理人。</w:t>
      </w:r>
    </w:p>
    <w:p w14:paraId="3002F82D">
      <w:pPr>
        <w:adjustRightInd/>
        <w:ind w:firstLine="0" w:firstLineChars="0"/>
        <w:rPr>
          <w:color w:val="auto"/>
          <w:szCs w:val="20"/>
          <w:highlight w:val="none"/>
          <w:lang w:eastAsia="zh-CN"/>
        </w:rPr>
      </w:pPr>
      <w:r>
        <w:rPr>
          <w:rFonts w:hint="eastAsia"/>
          <w:color w:val="auto"/>
          <w:szCs w:val="20"/>
          <w:highlight w:val="none"/>
          <w:lang w:eastAsia="zh-CN"/>
        </w:rPr>
        <w:t>19.5.4 试验成果报告</w:t>
      </w:r>
    </w:p>
    <w:p w14:paraId="7351D2F6">
      <w:pPr>
        <w:autoSpaceDE w:val="0"/>
        <w:autoSpaceDN w:val="0"/>
        <w:adjustRightInd/>
        <w:ind w:firstLine="480"/>
        <w:rPr>
          <w:color w:val="auto"/>
          <w:szCs w:val="20"/>
          <w:highlight w:val="none"/>
          <w:lang w:eastAsia="zh-CN"/>
        </w:rPr>
      </w:pPr>
      <w:r>
        <w:rPr>
          <w:rFonts w:hint="eastAsia"/>
          <w:color w:val="auto"/>
          <w:szCs w:val="20"/>
          <w:highlight w:val="none"/>
          <w:lang w:eastAsia="zh-CN"/>
        </w:rPr>
        <w:t>试验结束后，承包人应向监理人提交水压试验成果报告，包括试验过程、测试成果、发生的异常情况及其处理措施，以及评价意见等。</w:t>
      </w:r>
    </w:p>
    <w:p w14:paraId="766BA6CD">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 6</w:t>
      </w:r>
      <w:r>
        <w:rPr>
          <w:rFonts w:hint="eastAsia" w:cs="宋体"/>
          <w:bCs/>
          <w:color w:val="auto"/>
          <w:szCs w:val="24"/>
          <w:highlight w:val="none"/>
        </w:rPr>
        <w:t>　</w:t>
      </w:r>
      <w:r>
        <w:rPr>
          <w:rFonts w:ascii="Arial" w:hAnsi="Arial" w:cs="宋体"/>
          <w:bCs/>
          <w:color w:val="auto"/>
          <w:szCs w:val="24"/>
          <w:highlight w:val="none"/>
        </w:rPr>
        <w:t>钢管运输</w:t>
      </w:r>
    </w:p>
    <w:p w14:paraId="1314FEB4">
      <w:pPr>
        <w:autoSpaceDE w:val="0"/>
        <w:autoSpaceDN w:val="0"/>
        <w:adjustRightInd/>
        <w:ind w:firstLine="480"/>
        <w:rPr>
          <w:color w:val="auto"/>
          <w:szCs w:val="20"/>
          <w:highlight w:val="none"/>
          <w:lang w:eastAsia="zh-CN"/>
        </w:rPr>
      </w:pPr>
      <w:r>
        <w:rPr>
          <w:rFonts w:hint="eastAsia"/>
          <w:color w:val="auto"/>
          <w:szCs w:val="20"/>
          <w:highlight w:val="none"/>
          <w:lang w:eastAsia="zh-CN"/>
        </w:rPr>
        <w:t>（1）承包人应根据钢管各项运输部件的不同情况，制定详细的运输措施，其内容包括采用的吊装和运输设备、大件运输方法以及防止钢管变形的加固措施等。</w:t>
      </w:r>
    </w:p>
    <w:p w14:paraId="7718A3F0">
      <w:pPr>
        <w:autoSpaceDE w:val="0"/>
        <w:autoSpaceDN w:val="0"/>
        <w:adjustRightInd/>
        <w:ind w:firstLine="480"/>
        <w:rPr>
          <w:color w:val="auto"/>
          <w:szCs w:val="20"/>
          <w:highlight w:val="none"/>
          <w:lang w:eastAsia="zh-CN"/>
        </w:rPr>
      </w:pPr>
      <w:r>
        <w:rPr>
          <w:rFonts w:hint="eastAsia"/>
          <w:color w:val="auto"/>
          <w:szCs w:val="20"/>
          <w:highlight w:val="none"/>
          <w:lang w:eastAsia="zh-CN"/>
        </w:rPr>
        <w:t>（2）运输成型的管节时，可在管节内加设内支撑。管节运输时，应将钢管安放在鞍形支座或加垫木梁上，以保护管节及其坡口免遭破坏。</w:t>
      </w:r>
    </w:p>
    <w:p w14:paraId="249B249A">
      <w:pPr>
        <w:autoSpaceDE w:val="0"/>
        <w:autoSpaceDN w:val="0"/>
        <w:adjustRightInd/>
        <w:ind w:firstLine="480"/>
        <w:rPr>
          <w:color w:val="auto"/>
          <w:szCs w:val="20"/>
          <w:highlight w:val="none"/>
          <w:lang w:eastAsia="zh-CN"/>
        </w:rPr>
      </w:pPr>
      <w:r>
        <w:rPr>
          <w:rFonts w:hint="eastAsia"/>
          <w:color w:val="auto"/>
          <w:szCs w:val="20"/>
          <w:highlight w:val="none"/>
          <w:lang w:eastAsia="zh-CN"/>
        </w:rPr>
        <w:t>（3）钢索捆扎吊运钢管或瓦片时，应将钢索与钢管或瓦片接触部位加设软垫，避免在吊运和运输过程中损坏涂层。</w:t>
      </w:r>
    </w:p>
    <w:p w14:paraId="60053026">
      <w:pPr>
        <w:kinsoku w:val="0"/>
        <w:autoSpaceDE w:val="0"/>
        <w:autoSpaceDN w:val="0"/>
        <w:ind w:firstLine="480"/>
        <w:rPr>
          <w:color w:val="auto"/>
          <w:highlight w:val="none"/>
          <w:lang w:eastAsia="zh-CN"/>
        </w:rPr>
      </w:pPr>
      <w:r>
        <w:rPr>
          <w:color w:val="auto"/>
          <w:highlight w:val="none"/>
          <w:lang w:eastAsia="zh-CN"/>
        </w:rPr>
        <w:t>（</w:t>
      </w:r>
      <w:r>
        <w:rPr>
          <w:rFonts w:hint="eastAsia"/>
          <w:color w:val="auto"/>
          <w:szCs w:val="20"/>
          <w:highlight w:val="none"/>
          <w:lang w:eastAsia="zh-CN"/>
        </w:rPr>
        <w:t>4</w:t>
      </w:r>
      <w:r>
        <w:rPr>
          <w:color w:val="auto"/>
          <w:highlight w:val="none"/>
          <w:lang w:eastAsia="zh-CN"/>
        </w:rPr>
        <w:t>）</w:t>
      </w:r>
      <w:r>
        <w:rPr>
          <w:rFonts w:hint="eastAsia"/>
          <w:color w:val="auto"/>
          <w:szCs w:val="20"/>
          <w:highlight w:val="none"/>
          <w:lang w:eastAsia="zh-CN"/>
        </w:rPr>
        <w:t>为保证成品钢管装卸、运输过程中不产生影响质量的变形，要求钢管管端做保护，管内必须设置防止失圆的一次性十字支撑（采用直径60mm钢管支撑）。</w:t>
      </w:r>
    </w:p>
    <w:p w14:paraId="1883F991">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 7</w:t>
      </w:r>
      <w:r>
        <w:rPr>
          <w:rFonts w:hint="eastAsia" w:ascii="Arial" w:hAnsi="Arial" w:cs="宋体"/>
          <w:bCs/>
          <w:color w:val="auto"/>
          <w:szCs w:val="24"/>
          <w:highlight w:val="none"/>
        </w:rPr>
        <w:t>　</w:t>
      </w:r>
      <w:r>
        <w:rPr>
          <w:rFonts w:ascii="Arial" w:hAnsi="Arial" w:cs="宋体"/>
          <w:bCs/>
          <w:color w:val="auto"/>
          <w:szCs w:val="24"/>
          <w:highlight w:val="none"/>
        </w:rPr>
        <w:t>钢管现场安装</w:t>
      </w:r>
    </w:p>
    <w:p w14:paraId="54C72BAD">
      <w:pPr>
        <w:adjustRightInd/>
        <w:ind w:firstLine="0" w:firstLineChars="0"/>
        <w:rPr>
          <w:color w:val="auto"/>
          <w:szCs w:val="20"/>
          <w:highlight w:val="none"/>
          <w:lang w:eastAsia="zh-CN"/>
        </w:rPr>
      </w:pPr>
      <w:r>
        <w:rPr>
          <w:rFonts w:hint="eastAsia"/>
          <w:color w:val="auto"/>
          <w:szCs w:val="20"/>
          <w:highlight w:val="none"/>
          <w:lang w:eastAsia="zh-CN"/>
        </w:rPr>
        <w:t>19.7.1</w:t>
      </w:r>
      <w:r>
        <w:rPr>
          <w:rFonts w:hint="eastAsia" w:cs="宋体"/>
          <w:bCs/>
          <w:color w:val="auto"/>
          <w:szCs w:val="24"/>
          <w:highlight w:val="none"/>
          <w:lang w:eastAsia="zh-CN"/>
        </w:rPr>
        <w:t>　</w:t>
      </w:r>
      <w:r>
        <w:rPr>
          <w:rFonts w:hint="eastAsia"/>
          <w:color w:val="auto"/>
          <w:szCs w:val="20"/>
          <w:highlight w:val="none"/>
          <w:lang w:eastAsia="zh-CN"/>
        </w:rPr>
        <w:t>一般要求</w:t>
      </w:r>
    </w:p>
    <w:p w14:paraId="270FBE47">
      <w:pPr>
        <w:autoSpaceDE w:val="0"/>
        <w:autoSpaceDN w:val="0"/>
        <w:adjustRightInd/>
        <w:ind w:firstLine="480"/>
        <w:rPr>
          <w:color w:val="auto"/>
          <w:szCs w:val="20"/>
          <w:highlight w:val="none"/>
          <w:lang w:eastAsia="zh-CN"/>
        </w:rPr>
      </w:pPr>
      <w:r>
        <w:rPr>
          <w:rFonts w:hint="eastAsia"/>
          <w:color w:val="auto"/>
          <w:szCs w:val="20"/>
          <w:highlight w:val="none"/>
          <w:lang w:eastAsia="zh-CN"/>
        </w:rPr>
        <w:t>（1）用于测量高程、里程和安装轴线基准点等安装控制点，均应明显、牢固和便于使用。</w:t>
      </w:r>
    </w:p>
    <w:p w14:paraId="58BD4696">
      <w:pPr>
        <w:autoSpaceDE w:val="0"/>
        <w:autoSpaceDN w:val="0"/>
        <w:adjustRightInd/>
        <w:ind w:firstLine="480"/>
        <w:rPr>
          <w:color w:val="auto"/>
          <w:szCs w:val="20"/>
          <w:highlight w:val="none"/>
          <w:lang w:eastAsia="zh-CN"/>
        </w:rPr>
      </w:pPr>
      <w:r>
        <w:rPr>
          <w:rFonts w:hint="eastAsia"/>
          <w:color w:val="auto"/>
          <w:szCs w:val="20"/>
          <w:highlight w:val="none"/>
          <w:lang w:eastAsia="zh-CN"/>
        </w:rPr>
        <w:t>（2）钢管安装及验收所用的测量器具应遵守 SL432—2008 第 3.6 节的规定。</w:t>
      </w:r>
    </w:p>
    <w:p w14:paraId="41E9C2E9">
      <w:pPr>
        <w:adjustRightInd/>
        <w:ind w:firstLine="0" w:firstLineChars="0"/>
        <w:rPr>
          <w:color w:val="auto"/>
          <w:szCs w:val="20"/>
          <w:highlight w:val="none"/>
          <w:lang w:eastAsia="zh-CN"/>
        </w:rPr>
      </w:pPr>
      <w:r>
        <w:rPr>
          <w:rFonts w:hint="eastAsia"/>
          <w:color w:val="auto"/>
          <w:szCs w:val="20"/>
          <w:highlight w:val="none"/>
          <w:lang w:eastAsia="zh-CN"/>
        </w:rPr>
        <w:t>19.7.2</w:t>
      </w:r>
      <w:r>
        <w:rPr>
          <w:rFonts w:hint="eastAsia" w:cs="宋体"/>
          <w:bCs/>
          <w:color w:val="auto"/>
          <w:szCs w:val="24"/>
          <w:highlight w:val="none"/>
          <w:lang w:eastAsia="zh-CN"/>
        </w:rPr>
        <w:t>　</w:t>
      </w:r>
      <w:r>
        <w:rPr>
          <w:rFonts w:hint="eastAsia"/>
          <w:color w:val="auto"/>
          <w:szCs w:val="20"/>
          <w:highlight w:val="none"/>
          <w:lang w:eastAsia="zh-CN"/>
        </w:rPr>
        <w:t>安装偏差</w:t>
      </w:r>
    </w:p>
    <w:p w14:paraId="11294694">
      <w:pPr>
        <w:autoSpaceDE w:val="0"/>
        <w:autoSpaceDN w:val="0"/>
        <w:adjustRightInd/>
        <w:ind w:firstLine="480"/>
        <w:rPr>
          <w:color w:val="auto"/>
          <w:szCs w:val="20"/>
          <w:highlight w:val="none"/>
          <w:lang w:eastAsia="zh-CN"/>
        </w:rPr>
      </w:pPr>
      <w:r>
        <w:rPr>
          <w:rFonts w:hint="eastAsia"/>
          <w:color w:val="auto"/>
          <w:szCs w:val="20"/>
          <w:highlight w:val="none"/>
          <w:lang w:eastAsia="zh-CN"/>
        </w:rPr>
        <w:t>（1）钢管的直管、弯管和岔管，以及伸缩节等附件与施工图纸规定的轴线平行度误差不应大于 0.2％。</w:t>
      </w:r>
    </w:p>
    <w:p w14:paraId="68A092B1">
      <w:pPr>
        <w:autoSpaceDE w:val="0"/>
        <w:autoSpaceDN w:val="0"/>
        <w:adjustRightInd/>
        <w:ind w:firstLine="480"/>
        <w:rPr>
          <w:color w:val="auto"/>
          <w:szCs w:val="20"/>
          <w:highlight w:val="none"/>
          <w:lang w:eastAsia="zh-CN"/>
        </w:rPr>
      </w:pPr>
      <w:r>
        <w:rPr>
          <w:rFonts w:hint="eastAsia"/>
          <w:color w:val="auto"/>
          <w:szCs w:val="20"/>
          <w:highlight w:val="none"/>
          <w:lang w:eastAsia="zh-CN"/>
        </w:rPr>
        <w:t>（2）钢管安装中心和管口圆度偏差应遵守 SL432—2008 第 5.2.1 条和第 5.2.3 条的规定。</w:t>
      </w:r>
    </w:p>
    <w:p w14:paraId="5556046D">
      <w:pPr>
        <w:autoSpaceDE w:val="0"/>
        <w:autoSpaceDN w:val="0"/>
        <w:adjustRightInd/>
        <w:ind w:firstLine="480"/>
        <w:rPr>
          <w:color w:val="auto"/>
          <w:szCs w:val="20"/>
          <w:highlight w:val="none"/>
          <w:lang w:eastAsia="zh-CN"/>
        </w:rPr>
      </w:pPr>
      <w:r>
        <w:rPr>
          <w:rFonts w:hint="eastAsia"/>
          <w:color w:val="auto"/>
          <w:szCs w:val="20"/>
          <w:highlight w:val="none"/>
          <w:lang w:eastAsia="zh-CN"/>
        </w:rPr>
        <w:t>（3）钢管始装节的里程偏差应遵守 SL432—2008 第 5.2.2 条的规定。</w:t>
      </w:r>
    </w:p>
    <w:p w14:paraId="030D670C">
      <w:pPr>
        <w:autoSpaceDE w:val="0"/>
        <w:autoSpaceDN w:val="0"/>
        <w:adjustRightInd/>
        <w:ind w:firstLine="480"/>
        <w:rPr>
          <w:color w:val="auto"/>
          <w:szCs w:val="20"/>
          <w:highlight w:val="none"/>
          <w:lang w:eastAsia="zh-CN"/>
        </w:rPr>
      </w:pPr>
      <w:r>
        <w:rPr>
          <w:rFonts w:hint="eastAsia"/>
          <w:color w:val="auto"/>
          <w:szCs w:val="20"/>
          <w:highlight w:val="none"/>
          <w:lang w:eastAsia="zh-CN"/>
        </w:rPr>
        <w:t>（4）明管支座的安装偏差应遵守 SL432—2008 第 5.3.1~5.3.3 条的规定。</w:t>
      </w:r>
    </w:p>
    <w:p w14:paraId="62259ADE">
      <w:pPr>
        <w:autoSpaceDE w:val="0"/>
        <w:autoSpaceDN w:val="0"/>
        <w:adjustRightInd/>
        <w:ind w:firstLine="480"/>
        <w:rPr>
          <w:color w:val="auto"/>
          <w:szCs w:val="20"/>
          <w:highlight w:val="none"/>
          <w:lang w:eastAsia="zh-CN"/>
        </w:rPr>
      </w:pPr>
      <w:r>
        <w:rPr>
          <w:rFonts w:hint="eastAsia"/>
          <w:color w:val="auto"/>
          <w:szCs w:val="20"/>
          <w:highlight w:val="none"/>
          <w:lang w:eastAsia="zh-CN"/>
        </w:rPr>
        <w:t>（5）波纹管伸缩节的焊接、安装应遵守 SL432—2008 第 5.3.6~5.3.7 条的规定。</w:t>
      </w:r>
    </w:p>
    <w:p w14:paraId="61E6423F">
      <w:pPr>
        <w:autoSpaceDE w:val="0"/>
        <w:autoSpaceDN w:val="0"/>
        <w:adjustRightInd/>
        <w:ind w:firstLine="480"/>
        <w:rPr>
          <w:color w:val="auto"/>
          <w:szCs w:val="20"/>
          <w:highlight w:val="none"/>
          <w:lang w:eastAsia="zh-CN"/>
        </w:rPr>
      </w:pPr>
      <w:r>
        <w:rPr>
          <w:rFonts w:hint="eastAsia"/>
          <w:color w:val="auto"/>
          <w:szCs w:val="20"/>
          <w:highlight w:val="none"/>
          <w:lang w:eastAsia="zh-CN"/>
        </w:rPr>
        <w:t>（6）在焊接两镇墩间的最后一道合拢焊缝时，应解除伸缩节的约束。</w:t>
      </w:r>
    </w:p>
    <w:p w14:paraId="4853BAE9">
      <w:pPr>
        <w:adjustRightInd/>
        <w:ind w:firstLine="0" w:firstLineChars="0"/>
        <w:rPr>
          <w:color w:val="auto"/>
          <w:szCs w:val="20"/>
          <w:highlight w:val="none"/>
          <w:lang w:eastAsia="zh-CN"/>
        </w:rPr>
      </w:pPr>
      <w:r>
        <w:rPr>
          <w:rFonts w:hint="eastAsia"/>
          <w:color w:val="auto"/>
          <w:szCs w:val="20"/>
          <w:highlight w:val="none"/>
          <w:lang w:eastAsia="zh-CN"/>
        </w:rPr>
        <w:t>19.7.3</w:t>
      </w:r>
      <w:r>
        <w:rPr>
          <w:rFonts w:hint="eastAsia" w:cs="宋体"/>
          <w:bCs/>
          <w:color w:val="auto"/>
          <w:szCs w:val="24"/>
          <w:highlight w:val="none"/>
          <w:lang w:eastAsia="zh-CN"/>
        </w:rPr>
        <w:t>　</w:t>
      </w:r>
      <w:r>
        <w:rPr>
          <w:rFonts w:hint="eastAsia"/>
          <w:color w:val="auto"/>
          <w:szCs w:val="20"/>
          <w:highlight w:val="none"/>
          <w:lang w:eastAsia="zh-CN"/>
        </w:rPr>
        <w:t>现场安装、焊接</w:t>
      </w:r>
    </w:p>
    <w:p w14:paraId="3CA47D82">
      <w:pPr>
        <w:autoSpaceDE w:val="0"/>
        <w:autoSpaceDN w:val="0"/>
        <w:adjustRightInd/>
        <w:ind w:firstLine="480"/>
        <w:rPr>
          <w:color w:val="auto"/>
          <w:szCs w:val="20"/>
          <w:highlight w:val="none"/>
          <w:lang w:eastAsia="zh-CN"/>
        </w:rPr>
      </w:pPr>
      <w:r>
        <w:rPr>
          <w:rFonts w:hint="eastAsia"/>
          <w:color w:val="auto"/>
          <w:szCs w:val="20"/>
          <w:highlight w:val="none"/>
          <w:lang w:eastAsia="zh-CN"/>
        </w:rPr>
        <w:t>（1）在现场焊接钢管环缝前，应校测钢管位置和管口圆度，若发现其安装偏差超过规定时，应及时纠正，并经监理人检查认可后，才准施焊。</w:t>
      </w:r>
    </w:p>
    <w:p w14:paraId="399771BF">
      <w:pPr>
        <w:autoSpaceDE w:val="0"/>
        <w:autoSpaceDN w:val="0"/>
        <w:adjustRightInd/>
        <w:ind w:firstLine="480"/>
        <w:rPr>
          <w:color w:val="auto"/>
          <w:szCs w:val="20"/>
          <w:highlight w:val="none"/>
          <w:lang w:eastAsia="zh-CN"/>
        </w:rPr>
      </w:pPr>
      <w:r>
        <w:rPr>
          <w:rFonts w:hint="eastAsia"/>
          <w:color w:val="auto"/>
          <w:szCs w:val="20"/>
          <w:highlight w:val="none"/>
          <w:lang w:eastAsia="zh-CN"/>
        </w:rPr>
        <w:t>（2）定位焊后应尽快焊接安装环缝，每条焊缝应连续完成，不得中断。</w:t>
      </w:r>
    </w:p>
    <w:p w14:paraId="54E38D91">
      <w:pPr>
        <w:autoSpaceDE w:val="0"/>
        <w:autoSpaceDN w:val="0"/>
        <w:adjustRightInd/>
        <w:ind w:firstLine="480"/>
        <w:rPr>
          <w:color w:val="auto"/>
          <w:szCs w:val="20"/>
          <w:highlight w:val="none"/>
          <w:lang w:eastAsia="zh-CN"/>
        </w:rPr>
      </w:pPr>
      <w:r>
        <w:rPr>
          <w:rFonts w:hint="eastAsia"/>
          <w:color w:val="auto"/>
          <w:szCs w:val="20"/>
          <w:highlight w:val="none"/>
          <w:lang w:eastAsia="zh-CN"/>
        </w:rPr>
        <w:t>（3）安装环缝应由两名或两名以上焊工，按同向对称进行焊接。</w:t>
      </w:r>
    </w:p>
    <w:p w14:paraId="37A58660">
      <w:pPr>
        <w:adjustRightInd/>
        <w:ind w:firstLine="0" w:firstLineChars="0"/>
        <w:rPr>
          <w:color w:val="auto"/>
          <w:szCs w:val="20"/>
          <w:highlight w:val="none"/>
          <w:lang w:eastAsia="zh-CN"/>
        </w:rPr>
      </w:pPr>
      <w:r>
        <w:rPr>
          <w:rFonts w:hint="eastAsia"/>
          <w:color w:val="auto"/>
          <w:szCs w:val="20"/>
          <w:highlight w:val="none"/>
          <w:lang w:eastAsia="zh-CN"/>
        </w:rPr>
        <w:t>19.7.4</w:t>
      </w:r>
      <w:r>
        <w:rPr>
          <w:rFonts w:hint="eastAsia" w:cs="宋体"/>
          <w:bCs/>
          <w:color w:val="auto"/>
          <w:szCs w:val="24"/>
          <w:highlight w:val="none"/>
          <w:lang w:eastAsia="zh-CN"/>
        </w:rPr>
        <w:t>　</w:t>
      </w:r>
      <w:r>
        <w:rPr>
          <w:rFonts w:hint="eastAsia"/>
          <w:color w:val="auto"/>
          <w:szCs w:val="20"/>
          <w:highlight w:val="none"/>
          <w:lang w:eastAsia="zh-CN"/>
        </w:rPr>
        <w:t>观测仪器埋设</w:t>
      </w:r>
    </w:p>
    <w:p w14:paraId="6A199DA8">
      <w:pPr>
        <w:autoSpaceDE w:val="0"/>
        <w:autoSpaceDN w:val="0"/>
        <w:adjustRightInd/>
        <w:ind w:firstLine="480"/>
        <w:rPr>
          <w:color w:val="auto"/>
          <w:szCs w:val="20"/>
          <w:highlight w:val="none"/>
          <w:lang w:eastAsia="zh-CN"/>
        </w:rPr>
      </w:pPr>
      <w:r>
        <w:rPr>
          <w:rFonts w:hint="eastAsia"/>
          <w:color w:val="auto"/>
          <w:szCs w:val="20"/>
          <w:highlight w:val="none"/>
          <w:lang w:eastAsia="zh-CN"/>
        </w:rPr>
        <w:t>钢管安装时，应同时埋设观测仪器，观测仪器支座的焊接应遵守 SL432—2008 第6.3.9 条的规定。</w:t>
      </w:r>
    </w:p>
    <w:p w14:paraId="5C635B81">
      <w:pPr>
        <w:adjustRightInd/>
        <w:ind w:firstLine="0" w:firstLineChars="0"/>
        <w:rPr>
          <w:color w:val="auto"/>
          <w:szCs w:val="20"/>
          <w:highlight w:val="none"/>
          <w:lang w:eastAsia="zh-CN"/>
        </w:rPr>
      </w:pPr>
      <w:r>
        <w:rPr>
          <w:rFonts w:hint="eastAsia"/>
          <w:color w:val="auto"/>
          <w:szCs w:val="20"/>
          <w:highlight w:val="none"/>
          <w:lang w:eastAsia="zh-CN"/>
        </w:rPr>
        <w:t>19.7.5</w:t>
      </w:r>
      <w:r>
        <w:rPr>
          <w:rFonts w:hint="eastAsia" w:cs="宋体"/>
          <w:bCs/>
          <w:color w:val="auto"/>
          <w:szCs w:val="24"/>
          <w:highlight w:val="none"/>
          <w:lang w:eastAsia="zh-CN"/>
        </w:rPr>
        <w:t>　</w:t>
      </w:r>
      <w:r>
        <w:rPr>
          <w:rFonts w:hint="eastAsia"/>
          <w:color w:val="auto"/>
          <w:szCs w:val="20"/>
          <w:highlight w:val="none"/>
          <w:lang w:eastAsia="zh-CN"/>
        </w:rPr>
        <w:t>质量检验和缺陷处理</w:t>
      </w:r>
    </w:p>
    <w:p w14:paraId="47115491">
      <w:pPr>
        <w:autoSpaceDE w:val="0"/>
        <w:autoSpaceDN w:val="0"/>
        <w:adjustRightInd/>
        <w:ind w:firstLine="480"/>
        <w:rPr>
          <w:color w:val="auto"/>
          <w:szCs w:val="20"/>
          <w:highlight w:val="none"/>
          <w:lang w:eastAsia="zh-CN"/>
        </w:rPr>
      </w:pPr>
      <w:r>
        <w:rPr>
          <w:rFonts w:hint="eastAsia"/>
          <w:color w:val="auto"/>
          <w:szCs w:val="20"/>
          <w:highlight w:val="none"/>
          <w:lang w:eastAsia="zh-CN"/>
        </w:rPr>
        <w:t>承包人应按本章第 19.3.4 条的规定对全部现场安装焊缝进行检验，并按本章第 19.3.5 条的规定进行缺陷处理。钢管安装的质量检验和缺陷处理记录应提交监理人。</w:t>
      </w:r>
    </w:p>
    <w:p w14:paraId="259F7758">
      <w:pPr>
        <w:pStyle w:val="4"/>
        <w:numPr>
          <w:ilvl w:val="0"/>
          <w:numId w:val="9"/>
        </w:numPr>
        <w:kinsoku w:val="0"/>
        <w:autoSpaceDE w:val="0"/>
        <w:autoSpaceDN w:val="0"/>
        <w:rPr>
          <w:rFonts w:ascii="Arial" w:hAnsi="Arial" w:cs="宋体"/>
          <w:bCs/>
          <w:color w:val="auto"/>
          <w:szCs w:val="24"/>
          <w:highlight w:val="none"/>
        </w:rPr>
      </w:pPr>
      <w:r>
        <w:rPr>
          <w:rFonts w:ascii="Arial" w:hAnsi="Arial" w:cs="宋体"/>
          <w:bCs/>
          <w:color w:val="auto"/>
          <w:szCs w:val="24"/>
          <w:highlight w:val="none"/>
        </w:rPr>
        <w:t>8</w:t>
      </w:r>
      <w:r>
        <w:rPr>
          <w:rFonts w:hint="eastAsia" w:ascii="Arial" w:hAnsi="Arial" w:cs="宋体"/>
          <w:bCs/>
          <w:color w:val="auto"/>
          <w:szCs w:val="24"/>
          <w:highlight w:val="none"/>
        </w:rPr>
        <w:t>　</w:t>
      </w:r>
      <w:r>
        <w:rPr>
          <w:rFonts w:ascii="Arial" w:hAnsi="Arial" w:cs="宋体"/>
          <w:bCs/>
          <w:color w:val="auto"/>
          <w:szCs w:val="24"/>
          <w:highlight w:val="none"/>
        </w:rPr>
        <w:t>涂装</w:t>
      </w:r>
    </w:p>
    <w:p w14:paraId="54DF6EFF">
      <w:pPr>
        <w:pStyle w:val="53"/>
        <w:ind w:firstLine="0" w:firstLineChars="0"/>
        <w:outlineLvl w:val="9"/>
        <w:rPr>
          <w:color w:val="auto"/>
          <w:highlight w:val="none"/>
        </w:rPr>
      </w:pPr>
      <w:r>
        <w:rPr>
          <w:rFonts w:hAnsi="Times New Roman" w:cs="Times New Roman"/>
          <w:b/>
          <w:color w:val="auto"/>
          <w:highlight w:val="none"/>
        </w:rPr>
        <w:t>19.8.1</w:t>
      </w:r>
      <w:r>
        <w:rPr>
          <w:rFonts w:hint="eastAsia" w:hAnsi="Times New Roman" w:cs="Times New Roman"/>
          <w:b/>
          <w:color w:val="auto"/>
          <w:highlight w:val="none"/>
          <w:lang w:eastAsia="zh-CN"/>
        </w:rPr>
        <w:t>　</w:t>
      </w:r>
      <w:r>
        <w:rPr>
          <w:color w:val="auto"/>
          <w:highlight w:val="none"/>
        </w:rPr>
        <w:t>涂装工艺措施报告</w:t>
      </w:r>
    </w:p>
    <w:p w14:paraId="1EF88DD1">
      <w:pPr>
        <w:suppressAutoHyphens/>
        <w:ind w:firstLine="480"/>
        <w:rPr>
          <w:rFonts w:cs="宋体"/>
          <w:color w:val="auto"/>
          <w:szCs w:val="24"/>
          <w:highlight w:val="none"/>
          <w:lang w:eastAsia="zh-CN"/>
        </w:rPr>
      </w:pPr>
      <w:r>
        <w:rPr>
          <w:rFonts w:cs="宋体"/>
          <w:color w:val="auto"/>
          <w:szCs w:val="24"/>
          <w:highlight w:val="none"/>
          <w:lang w:eastAsia="zh-CN"/>
        </w:rPr>
        <w:t>承包人应在涂装作业前，编制钢管涂装工艺措施报告，提交监理人批准。涂装工艺措施应详细说明各种涂装材料的施涂方法、使用设备、质量检验和涂装缺陷修补措施。</w:t>
      </w:r>
    </w:p>
    <w:p w14:paraId="22A928F1">
      <w:pPr>
        <w:pStyle w:val="53"/>
        <w:suppressAutoHyphens/>
        <w:ind w:firstLine="0" w:firstLineChars="0"/>
        <w:outlineLvl w:val="9"/>
        <w:rPr>
          <w:rFonts w:cs="宋体"/>
          <w:color w:val="auto"/>
          <w:szCs w:val="24"/>
          <w:highlight w:val="none"/>
          <w:lang w:eastAsia="zh-CN"/>
        </w:rPr>
      </w:pPr>
      <w:r>
        <w:rPr>
          <w:rFonts w:hAnsi="Times New Roman" w:cs="Times New Roman"/>
          <w:b/>
          <w:color w:val="auto"/>
          <w:highlight w:val="none"/>
          <w:lang w:eastAsia="zh-CN"/>
        </w:rPr>
        <w:t>19.8.</w:t>
      </w:r>
      <w:r>
        <w:rPr>
          <w:rFonts w:hint="eastAsia" w:hAnsi="Times New Roman" w:cs="Times New Roman"/>
          <w:b/>
          <w:color w:val="auto"/>
          <w:highlight w:val="none"/>
          <w:lang w:eastAsia="zh-CN"/>
        </w:rPr>
        <w:t>2　</w:t>
      </w:r>
      <w:r>
        <w:rPr>
          <w:color w:val="auto"/>
          <w:highlight w:val="none"/>
          <w:lang w:eastAsia="zh-CN"/>
        </w:rPr>
        <w:t>涂装</w:t>
      </w:r>
      <w:r>
        <w:rPr>
          <w:rFonts w:hint="eastAsia"/>
          <w:color w:val="auto"/>
          <w:highlight w:val="none"/>
          <w:lang w:eastAsia="zh-CN"/>
        </w:rPr>
        <w:t>材料</w:t>
      </w:r>
    </w:p>
    <w:p w14:paraId="0D0AD646">
      <w:pPr>
        <w:suppressAutoHyphens/>
        <w:ind w:firstLine="480"/>
        <w:rPr>
          <w:rFonts w:cs="宋体"/>
          <w:color w:val="auto"/>
          <w:szCs w:val="24"/>
          <w:highlight w:val="none"/>
          <w:lang w:eastAsia="zh-CN"/>
        </w:rPr>
      </w:pPr>
      <w:r>
        <w:rPr>
          <w:rFonts w:hint="eastAsia" w:cs="宋体"/>
          <w:color w:val="auto"/>
          <w:szCs w:val="24"/>
          <w:highlight w:val="none"/>
          <w:lang w:eastAsia="zh-CN"/>
        </w:rPr>
        <w:t>(1)涂装材料由钢管制造厂商提供，在制造厂提供的使用说明书中应说明涂层材料的特性、化学成份、配比、施涂方法、作业规则、施涂环境要求以及存放和养护措施等。涂装材料应符合现行国家标准。</w:t>
      </w:r>
    </w:p>
    <w:p w14:paraId="5A9B8B93">
      <w:pPr>
        <w:suppressAutoHyphens/>
        <w:ind w:firstLine="480"/>
        <w:rPr>
          <w:rFonts w:cs="宋体"/>
          <w:color w:val="auto"/>
          <w:szCs w:val="24"/>
          <w:highlight w:val="none"/>
          <w:lang w:eastAsia="zh-CN"/>
        </w:rPr>
      </w:pPr>
      <w:r>
        <w:rPr>
          <w:rFonts w:hint="eastAsia" w:cs="宋体"/>
          <w:color w:val="auto"/>
          <w:szCs w:val="24"/>
          <w:highlight w:val="none"/>
          <w:lang w:eastAsia="zh-CN"/>
        </w:rPr>
        <w:t>(2)涂装材料及其辅助材料应贮于5～35℃通风良好的库房内，按原包装密封保管。若制造厂另有规定，则应按制造厂规定执行。</w:t>
      </w:r>
    </w:p>
    <w:p w14:paraId="54A26C4D">
      <w:pPr>
        <w:suppressAutoHyphens/>
        <w:ind w:firstLine="480"/>
        <w:rPr>
          <w:rFonts w:cs="宋体"/>
          <w:color w:val="auto"/>
          <w:szCs w:val="24"/>
          <w:highlight w:val="none"/>
          <w:lang w:eastAsia="zh-CN"/>
        </w:rPr>
      </w:pPr>
      <w:r>
        <w:rPr>
          <w:rFonts w:hint="eastAsia" w:cs="宋体"/>
          <w:color w:val="auto"/>
          <w:szCs w:val="24"/>
          <w:highlight w:val="none"/>
          <w:lang w:eastAsia="zh-CN"/>
        </w:rPr>
        <w:t>(3)涂料种类、涂料颜色、干膜厚度等必须符合下表规定：</w:t>
      </w:r>
    </w:p>
    <w:p w14:paraId="4B1FE110">
      <w:pPr>
        <w:suppressAutoHyphens/>
        <w:ind w:firstLine="480"/>
        <w:rPr>
          <w:rFonts w:cs="宋体"/>
          <w:color w:val="auto"/>
          <w:szCs w:val="24"/>
          <w:highlight w:val="none"/>
          <w:lang w:eastAsia="zh-CN"/>
        </w:rPr>
      </w:pPr>
      <w:r>
        <w:rPr>
          <w:rFonts w:hint="eastAsia" w:cs="宋体"/>
          <w:color w:val="auto"/>
          <w:szCs w:val="24"/>
          <w:highlight w:val="none"/>
          <w:lang w:eastAsia="zh-CN"/>
        </w:rPr>
        <w:t>1）表面预处理</w:t>
      </w:r>
    </w:p>
    <w:p w14:paraId="1437322D">
      <w:pPr>
        <w:suppressAutoHyphens/>
        <w:ind w:firstLine="480"/>
        <w:rPr>
          <w:rFonts w:cs="宋体"/>
          <w:color w:val="auto"/>
          <w:szCs w:val="24"/>
          <w:highlight w:val="none"/>
          <w:lang w:eastAsia="zh-CN"/>
        </w:rPr>
      </w:pPr>
      <w:r>
        <w:rPr>
          <w:rFonts w:hint="eastAsia" w:cs="宋体"/>
          <w:color w:val="auto"/>
          <w:szCs w:val="24"/>
          <w:highlight w:val="none"/>
          <w:lang w:eastAsia="zh-CN"/>
        </w:rPr>
        <w:t>喷(抛)射除锈前，应采用适当的方法将附着在钢管表面的油、油脂及其他杂质清除干净，并应去除表面潮气；喷(抛)射除锈时，钢管表面温度应不低于露点温度以上3℃,并应保持干燥，钢管表面的喷(抛)射除锈等级应达到GB/T8923.1中规定的Sa2½级，表面锚纹深度应为40μm~100μm。</w:t>
      </w:r>
    </w:p>
    <w:p w14:paraId="128BF1BC">
      <w:pPr>
        <w:suppressAutoHyphens/>
        <w:ind w:firstLine="480"/>
        <w:rPr>
          <w:rFonts w:cs="宋体"/>
          <w:color w:val="auto"/>
          <w:szCs w:val="24"/>
          <w:highlight w:val="none"/>
          <w:lang w:eastAsia="zh-CN"/>
        </w:rPr>
      </w:pPr>
      <w:r>
        <w:rPr>
          <w:rFonts w:hint="eastAsia" w:cs="宋体"/>
          <w:color w:val="auto"/>
          <w:szCs w:val="24"/>
          <w:highlight w:val="none"/>
          <w:lang w:eastAsia="zh-CN"/>
        </w:rPr>
        <w:t>2）内、外壁（室内明管、回填管）防腐</w:t>
      </w:r>
    </w:p>
    <w:p w14:paraId="2F2685C5">
      <w:pPr>
        <w:suppressAutoHyphens/>
        <w:ind w:firstLine="480"/>
        <w:rPr>
          <w:rFonts w:cs="宋体"/>
          <w:color w:val="auto"/>
          <w:szCs w:val="24"/>
          <w:highlight w:val="none"/>
          <w:lang w:eastAsia="zh-CN"/>
        </w:rPr>
      </w:pPr>
      <w:r>
        <w:rPr>
          <w:rFonts w:hint="eastAsia" w:cs="宋体"/>
          <w:color w:val="auto"/>
          <w:szCs w:val="24"/>
          <w:highlight w:val="none"/>
          <w:lang w:eastAsia="zh-CN"/>
        </w:rPr>
        <w:t>钢管内壁和外壁防腐采用熔结环氧粉末防腐：内壁采用单层环氧粉末外涂层，涂层厚度内壁不得低于400μm；外壁采用双层环氧粉末外涂层，为加强级复合涂层结构，由防腐型环氧粉末底层和抗机械损伤型环氧粉末面层一次喷涂成膜完成，其中室内明管和回填管外壁涂层总厚度不得低于600μm，其涂层底层最小厚度为250μm，面层最小厚度为350μm，底层、面层使用的粉末应为同一环氧粉末原料供应商提供的配套产品。</w:t>
      </w:r>
    </w:p>
    <w:p w14:paraId="17B27688">
      <w:pPr>
        <w:suppressAutoHyphens/>
        <w:ind w:firstLine="480"/>
        <w:rPr>
          <w:rFonts w:cs="宋体"/>
          <w:color w:val="auto"/>
          <w:szCs w:val="24"/>
          <w:highlight w:val="none"/>
          <w:lang w:eastAsia="zh-CN"/>
        </w:rPr>
      </w:pPr>
      <w:r>
        <w:rPr>
          <w:rFonts w:hint="eastAsia" w:cs="宋体"/>
          <w:color w:val="auto"/>
          <w:szCs w:val="24"/>
          <w:highlight w:val="none"/>
          <w:lang w:eastAsia="zh-CN"/>
        </w:rPr>
        <w:t>管端防腐预留长度为100mm，预留段涂装焊接时不会对焊缝质量产生不良影响的车间底漆，以免坡口生锈；施工现场钢管拼装接口及不能采用熔结工艺涂装的管配件采用现场防腐专用涂料，其成分为以环氧树脂或改性环氧树脂为基料的双组份无溶剂专用速干涂料（修补剂），并与环氧粉末属于同一系列相容性产品，其干膜厚度埋管不得小于环氧粉末厚度，环氧防腐涂层性能应不低于熔结环氧粉末防腐涂层的标准，现场防腐施工前应进行表面预处理，措施同厂内表面预处理措施。</w:t>
      </w:r>
    </w:p>
    <w:p w14:paraId="08AF45BF">
      <w:pPr>
        <w:suppressAutoHyphens/>
        <w:ind w:firstLine="480"/>
        <w:rPr>
          <w:rFonts w:cs="宋体"/>
          <w:color w:val="auto"/>
          <w:szCs w:val="24"/>
          <w:highlight w:val="none"/>
          <w:lang w:eastAsia="zh-CN"/>
        </w:rPr>
      </w:pPr>
      <w:r>
        <w:rPr>
          <w:rFonts w:hint="eastAsia" w:cs="宋体"/>
          <w:color w:val="auto"/>
          <w:szCs w:val="24"/>
          <w:highlight w:val="none"/>
          <w:lang w:eastAsia="zh-CN"/>
        </w:rPr>
        <w:t>环氧粉末质量、性能、施工及验收执行《钢制管道熔结环氧粉末外涂层技术规范》（GB/T39636）、《埋地钢质管道双层熔结环氧粉末外涂层技术规范》（Q/CNPC38）及相关规范要求，其中内壁防腐涂料（环氧粉末和修补剂）应符合《生活饮用水输配水设备及防护材料的安全性评价标准》（GB/T17219）的要求，并具有卫生部门颁发的饮用水卫生许可证。</w:t>
      </w:r>
    </w:p>
    <w:p w14:paraId="6DEEBF5A">
      <w:pPr>
        <w:suppressAutoHyphens/>
        <w:ind w:firstLine="480"/>
        <w:rPr>
          <w:rFonts w:cs="宋体"/>
          <w:color w:val="auto"/>
          <w:szCs w:val="24"/>
          <w:highlight w:val="none"/>
          <w:lang w:eastAsia="zh-CN"/>
        </w:rPr>
      </w:pPr>
      <w:r>
        <w:rPr>
          <w:rFonts w:hint="eastAsia" w:cs="宋体"/>
          <w:color w:val="auto"/>
          <w:szCs w:val="24"/>
          <w:highlight w:val="none"/>
          <w:lang w:eastAsia="zh-CN"/>
        </w:rPr>
        <w:t>3）与混凝土接触外壁（隧洞钢衬、外包混凝土埋管外壁）防腐</w:t>
      </w:r>
    </w:p>
    <w:p w14:paraId="61334D20">
      <w:pPr>
        <w:suppressAutoHyphens/>
        <w:ind w:firstLine="480"/>
        <w:rPr>
          <w:rFonts w:cs="宋体"/>
          <w:color w:val="auto"/>
          <w:szCs w:val="24"/>
          <w:highlight w:val="none"/>
          <w:lang w:eastAsia="zh-CN"/>
        </w:rPr>
      </w:pPr>
      <w:r>
        <w:rPr>
          <w:rFonts w:hint="eastAsia" w:cs="宋体"/>
          <w:color w:val="auto"/>
          <w:szCs w:val="24"/>
          <w:highlight w:val="none"/>
          <w:lang w:eastAsia="zh-CN"/>
        </w:rPr>
        <w:t>钢管与混凝土接触表面除锈等级应达到标准GB/T8923.1中规定的Sa2.5级后，使用结合力强的改性水泥胶浆进行防护，干膜厚度300um～500um。</w:t>
      </w:r>
    </w:p>
    <w:p w14:paraId="0B7A9B30">
      <w:pPr>
        <w:suppressAutoHyphens/>
        <w:ind w:firstLine="480"/>
        <w:rPr>
          <w:rFonts w:cs="宋体"/>
          <w:color w:val="auto"/>
          <w:szCs w:val="24"/>
          <w:highlight w:val="none"/>
          <w:lang w:eastAsia="zh-CN"/>
        </w:rPr>
      </w:pPr>
      <w:r>
        <w:rPr>
          <w:rFonts w:hint="eastAsia" w:cs="宋体"/>
          <w:color w:val="auto"/>
          <w:szCs w:val="24"/>
          <w:highlight w:val="none"/>
          <w:lang w:eastAsia="zh-CN"/>
        </w:rPr>
        <w:t>4）环氧粉末原料供应商应在佐敦、巴斯夫、威士伯、杜邦、3M或同等档次品牌中选取，环氧粉末和双组份无溶剂专用速干涂料（修补剂）须采用同一推荐供应商品牌。</w:t>
      </w:r>
    </w:p>
    <w:p w14:paraId="78EC9A5B">
      <w:pPr>
        <w:pStyle w:val="53"/>
        <w:ind w:firstLine="0" w:firstLineChars="0"/>
        <w:outlineLvl w:val="9"/>
        <w:rPr>
          <w:rFonts w:hAnsi="楷体" w:cs="楷体"/>
          <w:color w:val="auto"/>
          <w:highlight w:val="none"/>
          <w:lang w:eastAsia="zh-CN"/>
        </w:rPr>
      </w:pPr>
      <w:r>
        <w:rPr>
          <w:b/>
          <w:color w:val="auto"/>
          <w:highlight w:val="none"/>
          <w:lang w:eastAsia="zh-CN"/>
        </w:rPr>
        <w:t>19.8.</w:t>
      </w:r>
      <w:r>
        <w:rPr>
          <w:rFonts w:hint="eastAsia"/>
          <w:b/>
          <w:color w:val="auto"/>
          <w:highlight w:val="none"/>
          <w:lang w:eastAsia="zh-CN"/>
        </w:rPr>
        <w:t>3　</w:t>
      </w:r>
      <w:r>
        <w:rPr>
          <w:rFonts w:hAnsi="楷体" w:cs="楷体"/>
          <w:color w:val="auto"/>
          <w:highlight w:val="none"/>
          <w:lang w:eastAsia="zh-CN"/>
        </w:rPr>
        <w:t>涂装施工</w:t>
      </w:r>
    </w:p>
    <w:p w14:paraId="2C7F424C">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1</w:t>
      </w:r>
      <w:r>
        <w:rPr>
          <w:rFonts w:cs="宋体"/>
          <w:color w:val="auto"/>
          <w:szCs w:val="24"/>
          <w:highlight w:val="none"/>
          <w:lang w:eastAsia="zh-CN"/>
        </w:rPr>
        <w:t>）</w:t>
      </w:r>
      <w:r>
        <w:rPr>
          <w:rFonts w:hint="eastAsia" w:cs="宋体"/>
          <w:color w:val="auto"/>
          <w:szCs w:val="24"/>
          <w:highlight w:val="none"/>
          <w:lang w:eastAsia="zh-CN"/>
        </w:rPr>
        <w:t>现场外防腐专用涂料涂覆前，应清除所有油污、铁锈、杂质，剥去疏松涂层，并将该区域打磨成粗糙面，修补层与周围完好涂层结合部位应打磨成羽翼状，再把表面清理干净。</w:t>
      </w:r>
    </w:p>
    <w:p w14:paraId="51E62A8E">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2</w:t>
      </w:r>
      <w:r>
        <w:rPr>
          <w:rFonts w:cs="宋体"/>
          <w:color w:val="auto"/>
          <w:szCs w:val="24"/>
          <w:highlight w:val="none"/>
          <w:lang w:eastAsia="zh-CN"/>
        </w:rPr>
        <w:t>）当钢管内壁及明管外壁采用涂料或金属喷涂时，《水工金属结构防腐蚀规范》（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3.3</w:t>
      </w:r>
      <w:r>
        <w:rPr>
          <w:rFonts w:cs="宋体"/>
          <w:color w:val="auto"/>
          <w:szCs w:val="24"/>
          <w:highlight w:val="none"/>
          <w:lang w:eastAsia="zh-CN"/>
        </w:rPr>
        <w:t>节的规定。</w:t>
      </w:r>
    </w:p>
    <w:p w14:paraId="7C6EE6AF">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3</w:t>
      </w:r>
      <w:r>
        <w:rPr>
          <w:rFonts w:cs="宋体"/>
          <w:color w:val="auto"/>
          <w:szCs w:val="24"/>
          <w:highlight w:val="none"/>
          <w:lang w:eastAsia="zh-CN"/>
        </w:rPr>
        <w:t>）涂装施工前，承包人应根据施工图纸和涂料生产厂的要求进行工艺试验，试验过程应有涂料生产厂的人员负责指导，并与专业人员共同进行检验。检验结果应提交监理人。</w:t>
      </w:r>
    </w:p>
    <w:p w14:paraId="60C5B89D">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4</w:t>
      </w:r>
      <w:r>
        <w:rPr>
          <w:rFonts w:cs="宋体"/>
          <w:color w:val="auto"/>
          <w:szCs w:val="24"/>
          <w:highlight w:val="none"/>
          <w:lang w:eastAsia="zh-CN"/>
        </w:rPr>
        <w:t>）组焊后的管节、岔管及附件（除安装焊缝外），应在车间内完成涂装；现场安装焊缝及表面涂装损坏部位，则在现场进行涂装。</w:t>
      </w:r>
    </w:p>
    <w:p w14:paraId="5C3ECBBB">
      <w:pPr>
        <w:suppressAutoHyphens/>
        <w:ind w:firstLine="480"/>
        <w:rPr>
          <w:rFonts w:cs="宋体"/>
          <w:color w:val="auto"/>
          <w:szCs w:val="24"/>
          <w:highlight w:val="none"/>
          <w:lang w:eastAsia="zh-CN"/>
        </w:rPr>
      </w:pPr>
      <w:bookmarkStart w:id="2225" w:name="bookmark290"/>
      <w:bookmarkEnd w:id="2225"/>
      <w:r>
        <w:rPr>
          <w:rFonts w:cs="宋体"/>
          <w:color w:val="auto"/>
          <w:szCs w:val="24"/>
          <w:highlight w:val="none"/>
          <w:lang w:eastAsia="zh-CN"/>
        </w:rPr>
        <w:t>（</w:t>
      </w:r>
      <w:r>
        <w:rPr>
          <w:rFonts w:hAnsi="Times New Roman" w:cs="Times New Roman"/>
          <w:color w:val="auto"/>
          <w:szCs w:val="24"/>
          <w:highlight w:val="none"/>
          <w:lang w:eastAsia="zh-CN"/>
        </w:rPr>
        <w:t>5</w:t>
      </w:r>
      <w:r>
        <w:rPr>
          <w:rFonts w:cs="宋体"/>
          <w:color w:val="auto"/>
          <w:szCs w:val="24"/>
          <w:highlight w:val="none"/>
          <w:lang w:eastAsia="zh-CN"/>
        </w:rPr>
        <w:t>）涂料涂装。</w:t>
      </w:r>
    </w:p>
    <w:p w14:paraId="2A25ACC4">
      <w:pPr>
        <w:suppressAutoHyphens/>
        <w:ind w:firstLine="480"/>
        <w:rPr>
          <w:rFonts w:cs="宋体"/>
          <w:color w:val="auto"/>
          <w:szCs w:val="24"/>
          <w:highlight w:val="none"/>
          <w:lang w:eastAsia="zh-CN"/>
        </w:rPr>
      </w:pPr>
      <w:r>
        <w:rPr>
          <w:rFonts w:hAnsi="Times New Roman" w:cs="Times New Roman"/>
          <w:color w:val="auto"/>
          <w:szCs w:val="24"/>
          <w:highlight w:val="none"/>
          <w:lang w:eastAsia="zh-CN"/>
        </w:rPr>
        <w:t>1</w:t>
      </w:r>
      <w:r>
        <w:rPr>
          <w:rFonts w:cs="宋体"/>
          <w:color w:val="auto"/>
          <w:szCs w:val="24"/>
          <w:highlight w:val="none"/>
          <w:lang w:eastAsia="zh-CN"/>
        </w:rPr>
        <w:t>）钢管内壁和明管外壁应涂刷自养护的底漆和面漆。</w:t>
      </w:r>
    </w:p>
    <w:p w14:paraId="0CF571E9">
      <w:pPr>
        <w:suppressAutoHyphens/>
        <w:ind w:firstLine="480"/>
        <w:rPr>
          <w:rFonts w:cs="宋体"/>
          <w:color w:val="auto"/>
          <w:highlight w:val="none"/>
          <w:lang w:eastAsia="zh-CN"/>
        </w:rPr>
      </w:pPr>
      <w:r>
        <w:rPr>
          <w:rFonts w:hAnsi="Times New Roman" w:cs="Times New Roman"/>
          <w:color w:val="auto"/>
          <w:szCs w:val="24"/>
          <w:highlight w:val="none"/>
          <w:lang w:eastAsia="zh-CN"/>
        </w:rPr>
        <w:t>2</w:t>
      </w:r>
      <w:r>
        <w:rPr>
          <w:rFonts w:cs="宋体"/>
          <w:color w:val="auto"/>
          <w:szCs w:val="24"/>
          <w:highlight w:val="none"/>
          <w:lang w:eastAsia="zh-CN"/>
        </w:rPr>
        <w:t>）涂料应按施工图纸的要求选择，并应遵守《水工金属结构防腐蚀规范》（</w:t>
      </w:r>
      <w:r>
        <w:rPr>
          <w:rFonts w:hAnsi="Times New Roman" w:cs="Times New Roman"/>
          <w:color w:val="auto"/>
          <w:szCs w:val="24"/>
          <w:highlight w:val="none"/>
          <w:lang w:eastAsia="zh-CN"/>
        </w:rPr>
        <w:t xml:space="preserve">SL </w:t>
      </w:r>
      <w:r>
        <w:rPr>
          <w:color w:val="auto"/>
          <w:highlight w:val="none"/>
          <w:lang w:eastAsia="zh-CN"/>
        </w:rPr>
        <w:t>105</w:t>
      </w:r>
      <w:r>
        <w:rPr>
          <w:rFonts w:cs="宋体"/>
          <w:color w:val="auto"/>
          <w:highlight w:val="none"/>
          <w:lang w:eastAsia="zh-CN"/>
        </w:rPr>
        <w:t>—</w:t>
      </w:r>
      <w:r>
        <w:rPr>
          <w:color w:val="auto"/>
          <w:highlight w:val="none"/>
          <w:lang w:eastAsia="zh-CN"/>
        </w:rPr>
        <w:t>2007</w:t>
      </w:r>
      <w:r>
        <w:rPr>
          <w:rFonts w:cs="宋体"/>
          <w:color w:val="auto"/>
          <w:highlight w:val="none"/>
          <w:lang w:eastAsia="zh-CN"/>
        </w:rPr>
        <w:t>）第</w:t>
      </w:r>
      <w:r>
        <w:rPr>
          <w:color w:val="auto"/>
          <w:highlight w:val="none"/>
          <w:lang w:eastAsia="zh-CN"/>
        </w:rPr>
        <w:t>4.2</w:t>
      </w:r>
      <w:r>
        <w:rPr>
          <w:rFonts w:cs="宋体"/>
          <w:color w:val="auto"/>
          <w:highlight w:val="none"/>
          <w:lang w:eastAsia="zh-CN"/>
        </w:rPr>
        <w:t>节的规定。</w:t>
      </w:r>
    </w:p>
    <w:p w14:paraId="560830F7">
      <w:pPr>
        <w:suppressAutoHyphens/>
        <w:ind w:firstLine="480"/>
        <w:rPr>
          <w:rFonts w:cs="宋体"/>
          <w:color w:val="auto"/>
          <w:szCs w:val="24"/>
          <w:highlight w:val="none"/>
          <w:lang w:eastAsia="zh-CN"/>
        </w:rPr>
      </w:pPr>
      <w:r>
        <w:rPr>
          <w:rFonts w:hAnsi="Times New Roman" w:cs="Times New Roman"/>
          <w:color w:val="auto"/>
          <w:szCs w:val="24"/>
          <w:highlight w:val="none"/>
          <w:lang w:eastAsia="zh-CN"/>
        </w:rPr>
        <w:t>3</w:t>
      </w:r>
      <w:r>
        <w:rPr>
          <w:rFonts w:cs="宋体"/>
          <w:color w:val="auto"/>
          <w:szCs w:val="24"/>
          <w:highlight w:val="none"/>
          <w:lang w:eastAsia="zh-CN"/>
        </w:rPr>
        <w:t>）涂料涂装施工方法和程序以及对环境的要求应遵守《水工金属结构防腐蚀规范》（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4.3</w:t>
      </w:r>
      <w:r>
        <w:rPr>
          <w:rFonts w:cs="宋体"/>
          <w:color w:val="auto"/>
          <w:szCs w:val="24"/>
          <w:highlight w:val="none"/>
          <w:lang w:eastAsia="zh-CN"/>
        </w:rPr>
        <w:t>节的规定。</w:t>
      </w:r>
    </w:p>
    <w:p w14:paraId="6E5EC9BF">
      <w:pPr>
        <w:suppressAutoHyphens/>
        <w:ind w:firstLine="480"/>
        <w:rPr>
          <w:rFonts w:cs="宋体"/>
          <w:color w:val="auto"/>
          <w:szCs w:val="24"/>
          <w:highlight w:val="none"/>
          <w:lang w:eastAsia="zh-CN"/>
        </w:rPr>
      </w:pPr>
      <w:r>
        <w:rPr>
          <w:rFonts w:hAnsi="Times New Roman" w:cs="Times New Roman"/>
          <w:color w:val="auto"/>
          <w:szCs w:val="24"/>
          <w:highlight w:val="none"/>
          <w:lang w:eastAsia="zh-CN"/>
        </w:rPr>
        <w:t>4</w:t>
      </w:r>
      <w:r>
        <w:rPr>
          <w:rFonts w:cs="宋体"/>
          <w:color w:val="auto"/>
          <w:szCs w:val="24"/>
          <w:highlight w:val="none"/>
          <w:lang w:eastAsia="zh-CN"/>
        </w:rPr>
        <w:t>）涂料涂装后，埋管应在外壁均匀涂刷一层水泥浆，涂后注意养护。</w:t>
      </w:r>
    </w:p>
    <w:p w14:paraId="198B975A">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6</w:t>
      </w:r>
      <w:r>
        <w:rPr>
          <w:rFonts w:cs="宋体"/>
          <w:color w:val="auto"/>
          <w:szCs w:val="24"/>
          <w:highlight w:val="none"/>
          <w:lang w:eastAsia="zh-CN"/>
        </w:rPr>
        <w:t>）金属热喷涂。</w:t>
      </w:r>
    </w:p>
    <w:p w14:paraId="51B74886">
      <w:pPr>
        <w:suppressAutoHyphens/>
        <w:ind w:firstLine="480"/>
        <w:rPr>
          <w:rFonts w:cs="宋体"/>
          <w:color w:val="auto"/>
          <w:szCs w:val="24"/>
          <w:highlight w:val="none"/>
          <w:lang w:eastAsia="zh-CN"/>
        </w:rPr>
      </w:pPr>
      <w:r>
        <w:rPr>
          <w:rFonts w:hAnsi="Times New Roman" w:cs="Times New Roman"/>
          <w:color w:val="auto"/>
          <w:szCs w:val="24"/>
          <w:highlight w:val="none"/>
          <w:lang w:eastAsia="zh-CN"/>
        </w:rPr>
        <w:t>1</w:t>
      </w:r>
      <w:r>
        <w:rPr>
          <w:rFonts w:cs="宋体"/>
          <w:color w:val="auto"/>
          <w:szCs w:val="24"/>
          <w:highlight w:val="none"/>
          <w:lang w:eastAsia="zh-CN"/>
        </w:rPr>
        <w:t>）金属热喷涂材料应按施工图纸的要求选择，并应遵守《水工金属结构防腐蚀规范》（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5.2</w:t>
      </w:r>
      <w:r>
        <w:rPr>
          <w:rFonts w:cs="宋体"/>
          <w:color w:val="auto"/>
          <w:szCs w:val="24"/>
          <w:highlight w:val="none"/>
          <w:lang w:eastAsia="zh-CN"/>
        </w:rPr>
        <w:t>节的规定。</w:t>
      </w:r>
    </w:p>
    <w:p w14:paraId="31FA7B2D">
      <w:pPr>
        <w:suppressAutoHyphens/>
        <w:ind w:firstLine="480"/>
        <w:rPr>
          <w:rFonts w:cs="宋体"/>
          <w:color w:val="auto"/>
          <w:szCs w:val="24"/>
          <w:highlight w:val="none"/>
          <w:lang w:eastAsia="zh-CN"/>
        </w:rPr>
      </w:pPr>
      <w:r>
        <w:rPr>
          <w:rFonts w:hAnsi="Times New Roman" w:cs="Times New Roman"/>
          <w:color w:val="auto"/>
          <w:szCs w:val="24"/>
          <w:highlight w:val="none"/>
          <w:lang w:eastAsia="zh-CN"/>
        </w:rPr>
        <w:t>2</w:t>
      </w:r>
      <w:r>
        <w:rPr>
          <w:rFonts w:cs="宋体"/>
          <w:color w:val="auto"/>
          <w:szCs w:val="24"/>
          <w:highlight w:val="none"/>
          <w:lang w:eastAsia="zh-CN"/>
        </w:rPr>
        <w:t>）金属热喷涂涂层厚度及配套涂料的选定应遵守《水工金属结构防腐蚀规范》（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5.3</w:t>
      </w:r>
      <w:r>
        <w:rPr>
          <w:rFonts w:cs="宋体"/>
          <w:color w:val="auto"/>
          <w:szCs w:val="24"/>
          <w:highlight w:val="none"/>
          <w:lang w:eastAsia="zh-CN"/>
        </w:rPr>
        <w:t>节的规定。</w:t>
      </w:r>
    </w:p>
    <w:p w14:paraId="0AFB987A">
      <w:pPr>
        <w:suppressAutoHyphens/>
        <w:ind w:firstLine="480"/>
        <w:rPr>
          <w:rFonts w:cs="宋体"/>
          <w:color w:val="auto"/>
          <w:szCs w:val="24"/>
          <w:highlight w:val="none"/>
          <w:lang w:eastAsia="zh-CN"/>
        </w:rPr>
      </w:pPr>
      <w:r>
        <w:rPr>
          <w:rFonts w:hAnsi="Times New Roman" w:cs="Times New Roman"/>
          <w:color w:val="auto"/>
          <w:szCs w:val="24"/>
          <w:highlight w:val="none"/>
          <w:lang w:eastAsia="zh-CN"/>
        </w:rPr>
        <w:t>3</w:t>
      </w:r>
      <w:r>
        <w:rPr>
          <w:rFonts w:cs="宋体"/>
          <w:color w:val="auto"/>
          <w:szCs w:val="24"/>
          <w:highlight w:val="none"/>
          <w:lang w:eastAsia="zh-CN"/>
        </w:rPr>
        <w:t>）金属热喷涂施工应遵守《水工金属结构防腐蚀规范》（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5.4</w:t>
      </w:r>
      <w:r>
        <w:rPr>
          <w:rFonts w:cs="宋体"/>
          <w:color w:val="auto"/>
          <w:szCs w:val="24"/>
          <w:highlight w:val="none"/>
          <w:lang w:eastAsia="zh-CN"/>
        </w:rPr>
        <w:t>节的有关规定。</w:t>
      </w:r>
    </w:p>
    <w:p w14:paraId="6B7032DA">
      <w:pPr>
        <w:suppressAutoHyphens/>
        <w:ind w:firstLine="480"/>
        <w:rPr>
          <w:rFonts w:cs="宋体"/>
          <w:color w:val="auto"/>
          <w:szCs w:val="24"/>
          <w:highlight w:val="none"/>
          <w:lang w:eastAsia="zh-CN"/>
        </w:rPr>
      </w:pPr>
      <w:r>
        <w:rPr>
          <w:rFonts w:hint="eastAsia" w:cs="宋体"/>
          <w:color w:val="auto"/>
          <w:szCs w:val="24"/>
          <w:highlight w:val="none"/>
          <w:lang w:eastAsia="zh-CN"/>
        </w:rPr>
        <w:t>（6）内外防腐具体做法详见设计说明及相关规范。</w:t>
      </w:r>
    </w:p>
    <w:p w14:paraId="73761539">
      <w:pPr>
        <w:pStyle w:val="53"/>
        <w:ind w:firstLine="0" w:firstLineChars="0"/>
        <w:outlineLvl w:val="9"/>
        <w:rPr>
          <w:rFonts w:hAnsi="楷体" w:cs="楷体"/>
          <w:color w:val="auto"/>
          <w:highlight w:val="none"/>
          <w:lang w:eastAsia="zh-CN"/>
        </w:rPr>
      </w:pPr>
      <w:r>
        <w:rPr>
          <w:b/>
          <w:color w:val="auto"/>
          <w:highlight w:val="none"/>
          <w:lang w:eastAsia="zh-CN"/>
        </w:rPr>
        <w:t>19.8.</w:t>
      </w:r>
      <w:r>
        <w:rPr>
          <w:rFonts w:hint="eastAsia"/>
          <w:b/>
          <w:color w:val="auto"/>
          <w:highlight w:val="none"/>
          <w:lang w:eastAsia="zh-CN"/>
        </w:rPr>
        <w:t>4　</w:t>
      </w:r>
      <w:r>
        <w:rPr>
          <w:rFonts w:hAnsi="楷体" w:cs="楷体"/>
          <w:color w:val="auto"/>
          <w:highlight w:val="none"/>
          <w:lang w:eastAsia="zh-CN"/>
        </w:rPr>
        <w:t>涂装质量检验</w:t>
      </w:r>
    </w:p>
    <w:p w14:paraId="4D627698">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1</w:t>
      </w:r>
      <w:r>
        <w:rPr>
          <w:rFonts w:cs="宋体"/>
          <w:color w:val="auto"/>
          <w:szCs w:val="24"/>
          <w:highlight w:val="none"/>
          <w:lang w:eastAsia="zh-CN"/>
        </w:rPr>
        <w:t>）涂料涂层质量检验应遵守《水工金属结构防腐蚀规范》（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4.4</w:t>
      </w:r>
      <w:r>
        <w:rPr>
          <w:rFonts w:cs="宋体"/>
          <w:color w:val="auto"/>
          <w:szCs w:val="24"/>
          <w:highlight w:val="none"/>
          <w:lang w:eastAsia="zh-CN"/>
        </w:rPr>
        <w:t>节的规定；若监理人检查发现流挂、皱纹、针孔、裂纹、鼓泡等现象时应及时进行处理，直至监理人认为合格为止。</w:t>
      </w:r>
    </w:p>
    <w:p w14:paraId="5DE38D58">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2</w:t>
      </w:r>
      <w:r>
        <w:rPr>
          <w:rFonts w:cs="宋体"/>
          <w:color w:val="auto"/>
          <w:szCs w:val="24"/>
          <w:highlight w:val="none"/>
          <w:lang w:eastAsia="zh-CN"/>
        </w:rPr>
        <w:t>）金属热喷涂质量检验应遵守《水工金属结构防腐蚀规范》（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5.5</w:t>
      </w:r>
      <w:r>
        <w:rPr>
          <w:rFonts w:cs="宋体"/>
          <w:color w:val="auto"/>
          <w:szCs w:val="24"/>
          <w:highlight w:val="none"/>
          <w:lang w:eastAsia="zh-CN"/>
        </w:rPr>
        <w:t>节的规定；金属热喷涂复合保护涂层的质量检验应遵守《水工金属结构防腐蚀规范》（</w:t>
      </w:r>
      <w:r>
        <w:rPr>
          <w:rFonts w:hAnsi="Times New Roman" w:cs="Times New Roman"/>
          <w:color w:val="auto"/>
          <w:szCs w:val="24"/>
          <w:highlight w:val="none"/>
          <w:lang w:eastAsia="zh-CN"/>
        </w:rPr>
        <w:t>SL 105</w:t>
      </w:r>
      <w:r>
        <w:rPr>
          <w:rFonts w:cs="宋体"/>
          <w:color w:val="auto"/>
          <w:szCs w:val="24"/>
          <w:highlight w:val="none"/>
          <w:lang w:eastAsia="zh-CN"/>
        </w:rPr>
        <w:t>—</w:t>
      </w:r>
      <w:r>
        <w:rPr>
          <w:rFonts w:hAnsi="Times New Roman" w:cs="Times New Roman"/>
          <w:color w:val="auto"/>
          <w:szCs w:val="24"/>
          <w:highlight w:val="none"/>
          <w:lang w:eastAsia="zh-CN"/>
        </w:rPr>
        <w:t>2007</w:t>
      </w:r>
      <w:r>
        <w:rPr>
          <w:rFonts w:cs="宋体"/>
          <w:color w:val="auto"/>
          <w:szCs w:val="24"/>
          <w:highlight w:val="none"/>
          <w:lang w:eastAsia="zh-CN"/>
        </w:rPr>
        <w:t>）第</w:t>
      </w:r>
      <w:r>
        <w:rPr>
          <w:rFonts w:hAnsi="Times New Roman" w:cs="Times New Roman"/>
          <w:color w:val="auto"/>
          <w:szCs w:val="24"/>
          <w:highlight w:val="none"/>
          <w:lang w:eastAsia="zh-CN"/>
        </w:rPr>
        <w:t>5.6</w:t>
      </w:r>
      <w:r>
        <w:rPr>
          <w:rFonts w:cs="宋体"/>
          <w:color w:val="auto"/>
          <w:szCs w:val="24"/>
          <w:highlight w:val="none"/>
          <w:lang w:eastAsia="zh-CN"/>
        </w:rPr>
        <w:t>节的规定。</w:t>
      </w:r>
    </w:p>
    <w:p w14:paraId="219B4BCE">
      <w:pPr>
        <w:ind w:firstLine="480"/>
        <w:rPr>
          <w:color w:val="auto"/>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3</w:t>
      </w:r>
      <w:r>
        <w:rPr>
          <w:rFonts w:cs="宋体"/>
          <w:color w:val="auto"/>
          <w:szCs w:val="24"/>
          <w:highlight w:val="none"/>
          <w:lang w:eastAsia="zh-CN"/>
        </w:rPr>
        <w:t>）涂装结束后，应将钢管涂装的质量检验成果提交监理人。</w:t>
      </w:r>
    </w:p>
    <w:p w14:paraId="50886DF6">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.9</w:t>
      </w:r>
      <w:r>
        <w:rPr>
          <w:rFonts w:hint="eastAsia" w:ascii="Arial" w:hAnsi="Arial" w:cs="宋体"/>
          <w:bCs/>
          <w:color w:val="auto"/>
          <w:szCs w:val="24"/>
          <w:highlight w:val="none"/>
        </w:rPr>
        <w:t>　</w:t>
      </w:r>
      <w:r>
        <w:rPr>
          <w:rFonts w:ascii="Arial" w:hAnsi="Arial" w:cs="宋体"/>
          <w:bCs/>
          <w:color w:val="auto"/>
          <w:szCs w:val="24"/>
          <w:highlight w:val="none"/>
        </w:rPr>
        <w:t>地下钢管接触灌浆</w:t>
      </w:r>
    </w:p>
    <w:p w14:paraId="5A8465D6">
      <w:pPr>
        <w:pStyle w:val="53"/>
        <w:ind w:firstLine="0" w:firstLineChars="0"/>
        <w:outlineLvl w:val="9"/>
        <w:rPr>
          <w:rFonts w:hAnsi="楷体" w:cs="楷体"/>
          <w:color w:val="auto"/>
          <w:highlight w:val="none"/>
          <w:lang w:eastAsia="zh-CN"/>
        </w:rPr>
      </w:pPr>
      <w:r>
        <w:rPr>
          <w:b/>
          <w:color w:val="auto"/>
          <w:highlight w:val="none"/>
          <w:lang w:eastAsia="zh-CN"/>
        </w:rPr>
        <w:t>19.9.1</w:t>
      </w:r>
      <w:r>
        <w:rPr>
          <w:rFonts w:hint="eastAsia"/>
          <w:b/>
          <w:color w:val="auto"/>
          <w:highlight w:val="none"/>
          <w:lang w:eastAsia="zh-CN"/>
        </w:rPr>
        <w:t>　</w:t>
      </w:r>
      <w:r>
        <w:rPr>
          <w:rFonts w:hAnsi="楷体" w:cs="楷体"/>
          <w:color w:val="auto"/>
          <w:highlight w:val="none"/>
          <w:lang w:eastAsia="zh-CN"/>
        </w:rPr>
        <w:t>灌浆孔</w:t>
      </w:r>
    </w:p>
    <w:p w14:paraId="0322BAAE">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1</w:t>
      </w:r>
      <w:r>
        <w:rPr>
          <w:rFonts w:cs="宋体"/>
          <w:color w:val="auto"/>
          <w:szCs w:val="24"/>
          <w:highlight w:val="none"/>
          <w:lang w:eastAsia="zh-CN"/>
        </w:rPr>
        <w:t>）制造钢管时，应按施工图纸所示的孔位和结构要求预留灌浆孔。必要时应在钢管外壁加焊补强板。补强板应设有内螺纹，出厂时应在内螺纹上抹油防锈，并加旋孔塞保护螺纹。</w:t>
      </w:r>
    </w:p>
    <w:p w14:paraId="0C48DFE8">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2</w:t>
      </w:r>
      <w:r>
        <w:rPr>
          <w:rFonts w:cs="宋体"/>
          <w:color w:val="auto"/>
          <w:szCs w:val="24"/>
          <w:highlight w:val="none"/>
          <w:lang w:eastAsia="zh-CN"/>
        </w:rPr>
        <w:t>）在现场灌浆过程中，若需要在已埋设的钢管上加钻灌浆孔，应经监理人批准。</w:t>
      </w:r>
    </w:p>
    <w:p w14:paraId="7896E8BF">
      <w:pPr>
        <w:pStyle w:val="53"/>
        <w:ind w:firstLine="0" w:firstLineChars="0"/>
        <w:outlineLvl w:val="9"/>
        <w:rPr>
          <w:rFonts w:hAnsi="楷体" w:cs="楷体"/>
          <w:color w:val="auto"/>
          <w:highlight w:val="none"/>
          <w:lang w:eastAsia="zh-CN"/>
        </w:rPr>
      </w:pPr>
      <w:r>
        <w:rPr>
          <w:b/>
          <w:color w:val="auto"/>
          <w:highlight w:val="none"/>
          <w:lang w:eastAsia="zh-CN"/>
        </w:rPr>
        <w:t>19.9.2</w:t>
      </w:r>
      <w:r>
        <w:rPr>
          <w:rFonts w:hint="eastAsia"/>
          <w:b/>
          <w:color w:val="auto"/>
          <w:highlight w:val="none"/>
          <w:lang w:eastAsia="zh-CN"/>
        </w:rPr>
        <w:t>　</w:t>
      </w:r>
      <w:r>
        <w:rPr>
          <w:rFonts w:hAnsi="楷体" w:cs="楷体"/>
          <w:color w:val="auto"/>
          <w:highlight w:val="none"/>
          <w:lang w:eastAsia="zh-CN"/>
        </w:rPr>
        <w:t>灌浆材料</w:t>
      </w:r>
    </w:p>
    <w:p w14:paraId="41CED5D9">
      <w:pPr>
        <w:suppressAutoHyphens/>
        <w:ind w:firstLine="480"/>
        <w:rPr>
          <w:rFonts w:cs="宋体"/>
          <w:color w:val="auto"/>
          <w:szCs w:val="24"/>
          <w:highlight w:val="none"/>
          <w:lang w:eastAsia="zh-CN"/>
        </w:rPr>
      </w:pPr>
      <w:bookmarkStart w:id="2226" w:name="bookmark291"/>
      <w:bookmarkEnd w:id="2226"/>
      <w:r>
        <w:rPr>
          <w:rFonts w:cs="宋体"/>
          <w:color w:val="auto"/>
          <w:szCs w:val="24"/>
          <w:highlight w:val="none"/>
          <w:lang w:eastAsia="zh-CN"/>
        </w:rPr>
        <w:t>（</w:t>
      </w:r>
      <w:r>
        <w:rPr>
          <w:rFonts w:hAnsi="Times New Roman" w:cs="Times New Roman"/>
          <w:color w:val="auto"/>
          <w:szCs w:val="24"/>
          <w:highlight w:val="none"/>
          <w:lang w:eastAsia="zh-CN"/>
        </w:rPr>
        <w:t>l</w:t>
      </w:r>
      <w:r>
        <w:rPr>
          <w:rFonts w:cs="宋体"/>
          <w:color w:val="auto"/>
          <w:szCs w:val="24"/>
          <w:highlight w:val="none"/>
          <w:lang w:eastAsia="zh-CN"/>
        </w:rPr>
        <w:t>）水泥、水。接触灌浆采用的</w:t>
      </w:r>
      <w:r>
        <w:rPr>
          <w:rFonts w:hint="eastAsia" w:cs="宋体"/>
          <w:color w:val="auto"/>
          <w:szCs w:val="24"/>
          <w:highlight w:val="none"/>
          <w:lang w:eastAsia="zh-CN"/>
        </w:rPr>
        <w:t>P.042.5普通硅酸盐</w:t>
      </w:r>
      <w:r>
        <w:rPr>
          <w:rFonts w:cs="宋体"/>
          <w:color w:val="auto"/>
          <w:szCs w:val="24"/>
          <w:highlight w:val="none"/>
          <w:lang w:eastAsia="zh-CN"/>
        </w:rPr>
        <w:t>水泥、水应遵守本技术条款第</w:t>
      </w:r>
      <w:r>
        <w:rPr>
          <w:rFonts w:hAnsi="Times New Roman" w:cs="Times New Roman"/>
          <w:color w:val="auto"/>
          <w:szCs w:val="24"/>
          <w:highlight w:val="none"/>
          <w:lang w:eastAsia="zh-CN"/>
        </w:rPr>
        <w:t>10.2.2</w:t>
      </w:r>
      <w:r>
        <w:rPr>
          <w:rFonts w:cs="宋体"/>
          <w:color w:val="auto"/>
          <w:szCs w:val="24"/>
          <w:highlight w:val="none"/>
          <w:lang w:eastAsia="zh-CN"/>
        </w:rPr>
        <w:t>项和第</w:t>
      </w:r>
      <w:r>
        <w:rPr>
          <w:rFonts w:hAnsi="Times New Roman" w:cs="Times New Roman"/>
          <w:color w:val="auto"/>
          <w:szCs w:val="24"/>
          <w:highlight w:val="none"/>
          <w:lang w:eastAsia="zh-CN"/>
        </w:rPr>
        <w:t>10.2.3</w:t>
      </w:r>
      <w:r>
        <w:rPr>
          <w:rFonts w:cs="宋体"/>
          <w:color w:val="auto"/>
          <w:szCs w:val="24"/>
          <w:highlight w:val="none"/>
          <w:lang w:eastAsia="zh-CN"/>
        </w:rPr>
        <w:t>项的规定</w:t>
      </w:r>
      <w:r>
        <w:rPr>
          <w:rFonts w:hint="eastAsia" w:cs="宋体"/>
          <w:color w:val="auto"/>
          <w:szCs w:val="24"/>
          <w:highlight w:val="none"/>
          <w:lang w:eastAsia="zh-CN"/>
        </w:rPr>
        <w:t>，灌浆浆液水灰比暂定0.5：1</w:t>
      </w:r>
      <w:r>
        <w:rPr>
          <w:rFonts w:cs="宋体"/>
          <w:color w:val="auto"/>
          <w:szCs w:val="24"/>
          <w:highlight w:val="none"/>
          <w:lang w:eastAsia="zh-CN"/>
        </w:rPr>
        <w:t>。若施工图纸规定需采用细水泥浆液灌浆时，应通过试验选用干磨水泥、湿磨水泥或超细水泥。</w:t>
      </w:r>
    </w:p>
    <w:p w14:paraId="7D64FECD">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2</w:t>
      </w:r>
      <w:r>
        <w:rPr>
          <w:rFonts w:cs="宋体"/>
          <w:color w:val="auto"/>
          <w:szCs w:val="24"/>
          <w:highlight w:val="none"/>
          <w:lang w:eastAsia="zh-CN"/>
        </w:rPr>
        <w:t>）外加剂。根据钢管接触灌浆工艺的需要选用速凝剂、减水剂等外加剂，其掺量应通过试验确定。试验成果应提交监理人。</w:t>
      </w:r>
    </w:p>
    <w:p w14:paraId="231D7F3C">
      <w:pPr>
        <w:pStyle w:val="53"/>
        <w:ind w:firstLine="0" w:firstLineChars="0"/>
        <w:outlineLvl w:val="9"/>
        <w:rPr>
          <w:rFonts w:hAnsi="楷体" w:cs="楷体"/>
          <w:color w:val="auto"/>
          <w:highlight w:val="none"/>
          <w:lang w:eastAsia="zh-CN"/>
        </w:rPr>
      </w:pPr>
      <w:r>
        <w:rPr>
          <w:b/>
          <w:color w:val="auto"/>
          <w:highlight w:val="none"/>
          <w:lang w:eastAsia="zh-CN"/>
        </w:rPr>
        <w:t>19.9.3</w:t>
      </w:r>
      <w:r>
        <w:rPr>
          <w:rFonts w:hint="eastAsia"/>
          <w:b/>
          <w:color w:val="auto"/>
          <w:highlight w:val="none"/>
          <w:lang w:eastAsia="zh-CN"/>
        </w:rPr>
        <w:t>　</w:t>
      </w:r>
      <w:r>
        <w:rPr>
          <w:rFonts w:hAnsi="楷体" w:cs="楷体"/>
          <w:color w:val="auto"/>
          <w:highlight w:val="none"/>
          <w:lang w:eastAsia="zh-CN"/>
        </w:rPr>
        <w:t>接触灌浆施工</w:t>
      </w:r>
    </w:p>
    <w:p w14:paraId="1F42C6DB">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1</w:t>
      </w:r>
      <w:r>
        <w:rPr>
          <w:rFonts w:cs="宋体"/>
          <w:color w:val="auto"/>
          <w:szCs w:val="24"/>
          <w:highlight w:val="none"/>
          <w:lang w:eastAsia="zh-CN"/>
        </w:rPr>
        <w:t>）灌浆设备的选用应遵守本技术条款第</w:t>
      </w:r>
      <w:r>
        <w:rPr>
          <w:rFonts w:hAnsi="Times New Roman" w:cs="Times New Roman"/>
          <w:color w:val="auto"/>
          <w:szCs w:val="24"/>
          <w:highlight w:val="none"/>
          <w:lang w:eastAsia="zh-CN"/>
        </w:rPr>
        <w:t>10.3</w:t>
      </w:r>
      <w:r>
        <w:rPr>
          <w:rFonts w:cs="宋体"/>
          <w:color w:val="auto"/>
          <w:szCs w:val="24"/>
          <w:highlight w:val="none"/>
          <w:lang w:eastAsia="zh-CN"/>
        </w:rPr>
        <w:t>款的规定。</w:t>
      </w:r>
    </w:p>
    <w:p w14:paraId="0C53142D">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2</w:t>
      </w:r>
      <w:r>
        <w:rPr>
          <w:rFonts w:cs="宋体"/>
          <w:color w:val="auto"/>
          <w:szCs w:val="24"/>
          <w:highlight w:val="none"/>
          <w:lang w:eastAsia="zh-CN"/>
        </w:rPr>
        <w:t>）接触灌浆的制浆应遵守本技术条款第</w:t>
      </w:r>
      <w:r>
        <w:rPr>
          <w:rFonts w:hAnsi="Times New Roman" w:cs="Times New Roman"/>
          <w:color w:val="auto"/>
          <w:szCs w:val="24"/>
          <w:highlight w:val="none"/>
          <w:lang w:eastAsia="zh-CN"/>
        </w:rPr>
        <w:t>10.7</w:t>
      </w:r>
      <w:r>
        <w:rPr>
          <w:rFonts w:cs="宋体"/>
          <w:color w:val="auto"/>
          <w:szCs w:val="24"/>
          <w:highlight w:val="none"/>
          <w:lang w:eastAsia="zh-CN"/>
        </w:rPr>
        <w:t>款的规定。</w:t>
      </w:r>
    </w:p>
    <w:p w14:paraId="12FCA3A2">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3</w:t>
      </w:r>
      <w:r>
        <w:rPr>
          <w:rFonts w:cs="宋体"/>
          <w:color w:val="auto"/>
          <w:szCs w:val="24"/>
          <w:highlight w:val="none"/>
          <w:lang w:eastAsia="zh-CN"/>
        </w:rPr>
        <w:t>）钢管平洞的回填灌浆和固结灌浆结束后，应堵塞混凝土中的灌浆孔，不得有渗水进入，然后进行接触灌浆。</w:t>
      </w:r>
    </w:p>
    <w:p w14:paraId="2A4D5690">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4</w:t>
      </w:r>
      <w:r>
        <w:rPr>
          <w:rFonts w:cs="宋体"/>
          <w:color w:val="auto"/>
          <w:szCs w:val="24"/>
          <w:highlight w:val="none"/>
          <w:lang w:eastAsia="zh-CN"/>
        </w:rPr>
        <w:t>）接触灌浆前，采用稍高于灌浆压力的水（其压力不高于钢管抗外压的安全压力），挤开补强板与混凝土间的缝隙。</w:t>
      </w:r>
    </w:p>
    <w:p w14:paraId="20CB9CA5">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5</w:t>
      </w:r>
      <w:r>
        <w:rPr>
          <w:rFonts w:cs="宋体"/>
          <w:color w:val="auto"/>
          <w:szCs w:val="24"/>
          <w:highlight w:val="none"/>
          <w:lang w:eastAsia="zh-CN"/>
        </w:rPr>
        <w:t>）接触灌浆应采用循环灌浆法。浆液水灰比（重量比）根据试验确定，起灌水灰比可采用（</w:t>
      </w:r>
      <w:r>
        <w:rPr>
          <w:rFonts w:hAnsi="Times New Roman" w:cs="Times New Roman"/>
          <w:color w:val="auto"/>
          <w:szCs w:val="24"/>
          <w:highlight w:val="none"/>
          <w:lang w:eastAsia="zh-CN"/>
        </w:rPr>
        <w:t>1</w:t>
      </w:r>
      <w:r>
        <w:rPr>
          <w:rFonts w:cs="宋体"/>
          <w:color w:val="auto"/>
          <w:szCs w:val="24"/>
          <w:highlight w:val="none"/>
          <w:lang w:eastAsia="zh-CN"/>
        </w:rPr>
        <w:t>～</w:t>
      </w:r>
      <w:r>
        <w:rPr>
          <w:rFonts w:hAnsi="Times New Roman" w:cs="Times New Roman"/>
          <w:color w:val="auto"/>
          <w:szCs w:val="24"/>
          <w:highlight w:val="none"/>
          <w:lang w:eastAsia="zh-CN"/>
        </w:rPr>
        <w:t>0.45</w:t>
      </w:r>
      <w:r>
        <w:rPr>
          <w:rFonts w:cs="宋体"/>
          <w:color w:val="auto"/>
          <w:szCs w:val="24"/>
          <w:highlight w:val="none"/>
          <w:lang w:eastAsia="zh-CN"/>
        </w:rPr>
        <w:t>）∶</w:t>
      </w:r>
      <w:r>
        <w:rPr>
          <w:rFonts w:hAnsi="Times New Roman" w:cs="Times New Roman"/>
          <w:color w:val="auto"/>
          <w:szCs w:val="24"/>
          <w:highlight w:val="none"/>
          <w:lang w:eastAsia="zh-CN"/>
        </w:rPr>
        <w:t>1</w:t>
      </w:r>
      <w:r>
        <w:rPr>
          <w:rFonts w:cs="宋体"/>
          <w:color w:val="auto"/>
          <w:szCs w:val="24"/>
          <w:highlight w:val="none"/>
          <w:lang w:eastAsia="zh-CN"/>
        </w:rPr>
        <w:t>。在规定的灌浆压力下，最大浓度浆液停止吸浆</w:t>
      </w:r>
      <w:r>
        <w:rPr>
          <w:rFonts w:hAnsi="Times New Roman" w:cs="Times New Roman"/>
          <w:color w:val="auto"/>
          <w:szCs w:val="24"/>
          <w:highlight w:val="none"/>
          <w:lang w:eastAsia="zh-CN"/>
        </w:rPr>
        <w:t>5min</w:t>
      </w:r>
      <w:r>
        <w:rPr>
          <w:rFonts w:cs="宋体"/>
          <w:color w:val="auto"/>
          <w:szCs w:val="24"/>
          <w:highlight w:val="none"/>
          <w:lang w:eastAsia="zh-CN"/>
        </w:rPr>
        <w:t>后可停灌。</w:t>
      </w:r>
    </w:p>
    <w:p w14:paraId="4806AB7F">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6</w:t>
      </w:r>
      <w:r>
        <w:rPr>
          <w:rFonts w:cs="宋体"/>
          <w:color w:val="auto"/>
          <w:szCs w:val="24"/>
          <w:highlight w:val="none"/>
          <w:lang w:eastAsia="zh-CN"/>
        </w:rPr>
        <w:t>）承包人应在灌浆孔旁设置变位计，观测钢管变位，防止管壁失稳。灌浆过程中，承包人应随班记录孔位、配比、吸浆量和钢管变形等，灌浆记录应及时提交监理人。</w:t>
      </w:r>
    </w:p>
    <w:p w14:paraId="19F2F155">
      <w:pPr>
        <w:suppressAutoHyphens/>
        <w:ind w:firstLine="480"/>
        <w:rPr>
          <w:rFonts w:cs="宋体"/>
          <w:color w:val="auto"/>
          <w:szCs w:val="24"/>
          <w:highlight w:val="none"/>
          <w:lang w:eastAsia="zh-CN"/>
        </w:rPr>
      </w:pPr>
      <w:r>
        <w:rPr>
          <w:rFonts w:cs="宋体"/>
          <w:color w:val="auto"/>
          <w:szCs w:val="24"/>
          <w:highlight w:val="none"/>
          <w:lang w:eastAsia="zh-CN"/>
        </w:rPr>
        <w:t>（</w:t>
      </w:r>
      <w:r>
        <w:rPr>
          <w:rFonts w:hAnsi="Times New Roman" w:cs="Times New Roman"/>
          <w:color w:val="auto"/>
          <w:szCs w:val="24"/>
          <w:highlight w:val="none"/>
          <w:lang w:eastAsia="zh-CN"/>
        </w:rPr>
        <w:t>7</w:t>
      </w:r>
      <w:r>
        <w:rPr>
          <w:rFonts w:cs="宋体"/>
          <w:color w:val="auto"/>
          <w:szCs w:val="24"/>
          <w:highlight w:val="none"/>
          <w:lang w:eastAsia="zh-CN"/>
        </w:rPr>
        <w:t>）接触灌浆后，应清除灌浆孔杂物，封焊灌浆孔，磨平余高及飞溅物残迹，补喷金属涂层或补刷涂料。堵头封堵及焊缝质量检验应遵守《水利工程压力钢管制造安装及验收规范》（</w:t>
      </w:r>
      <w:r>
        <w:rPr>
          <w:rFonts w:hAnsi="Times New Roman" w:cs="Times New Roman"/>
          <w:color w:val="auto"/>
          <w:szCs w:val="24"/>
          <w:highlight w:val="none"/>
          <w:lang w:eastAsia="zh-CN"/>
        </w:rPr>
        <w:t>SL 432—2008</w:t>
      </w:r>
      <w:r>
        <w:rPr>
          <w:rFonts w:cs="宋体"/>
          <w:color w:val="auto"/>
          <w:szCs w:val="24"/>
          <w:highlight w:val="none"/>
          <w:lang w:eastAsia="zh-CN"/>
        </w:rPr>
        <w:t>）第</w:t>
      </w:r>
      <w:r>
        <w:rPr>
          <w:rFonts w:hAnsi="Times New Roman" w:cs="Times New Roman"/>
          <w:color w:val="auto"/>
          <w:szCs w:val="24"/>
          <w:highlight w:val="none"/>
          <w:lang w:eastAsia="zh-CN"/>
        </w:rPr>
        <w:t>6.4.10</w:t>
      </w:r>
      <w:r>
        <w:rPr>
          <w:rFonts w:cs="宋体"/>
          <w:color w:val="auto"/>
          <w:szCs w:val="24"/>
          <w:highlight w:val="none"/>
          <w:lang w:eastAsia="zh-CN"/>
        </w:rPr>
        <w:t>条的规定。</w:t>
      </w:r>
    </w:p>
    <w:p w14:paraId="475F6BA5">
      <w:pPr>
        <w:pStyle w:val="53"/>
        <w:ind w:firstLine="0" w:firstLineChars="0"/>
        <w:outlineLvl w:val="9"/>
        <w:rPr>
          <w:color w:val="auto"/>
          <w:highlight w:val="none"/>
          <w:lang w:eastAsia="zh-CN"/>
        </w:rPr>
      </w:pPr>
      <w:r>
        <w:rPr>
          <w:rFonts w:hAnsi="Times New Roman" w:cs="Times New Roman"/>
          <w:b/>
          <w:color w:val="auto"/>
          <w:highlight w:val="none"/>
          <w:lang w:eastAsia="zh-CN"/>
        </w:rPr>
        <w:t>19.9.4</w:t>
      </w:r>
      <w:r>
        <w:rPr>
          <w:rFonts w:hint="eastAsia" w:hAnsi="Times New Roman" w:cs="Times New Roman"/>
          <w:b/>
          <w:color w:val="auto"/>
          <w:highlight w:val="none"/>
          <w:lang w:eastAsia="zh-CN"/>
        </w:rPr>
        <w:t>　</w:t>
      </w:r>
      <w:r>
        <w:rPr>
          <w:color w:val="auto"/>
          <w:highlight w:val="none"/>
          <w:lang w:eastAsia="zh-CN"/>
        </w:rPr>
        <w:t>接触灌浆质量检查</w:t>
      </w:r>
    </w:p>
    <w:p w14:paraId="6B2ABD97">
      <w:pPr>
        <w:suppressAutoHyphens/>
        <w:ind w:firstLine="480"/>
        <w:rPr>
          <w:rFonts w:cs="宋体"/>
          <w:color w:val="auto"/>
          <w:szCs w:val="24"/>
          <w:highlight w:val="none"/>
          <w:lang w:eastAsia="zh-CN"/>
        </w:rPr>
      </w:pPr>
      <w:r>
        <w:rPr>
          <w:rFonts w:cs="宋体"/>
          <w:color w:val="auto"/>
          <w:szCs w:val="24"/>
          <w:highlight w:val="none"/>
          <w:lang w:eastAsia="zh-CN"/>
        </w:rPr>
        <w:t>接触灌浆结束</w:t>
      </w:r>
      <w:r>
        <w:rPr>
          <w:rFonts w:hAnsi="Times New Roman" w:cs="Times New Roman"/>
          <w:color w:val="auto"/>
          <w:szCs w:val="24"/>
          <w:highlight w:val="none"/>
          <w:lang w:eastAsia="zh-CN"/>
        </w:rPr>
        <w:t>3</w:t>
      </w:r>
      <w:r>
        <w:rPr>
          <w:rFonts w:cs="宋体"/>
          <w:color w:val="auto"/>
          <w:szCs w:val="24"/>
          <w:highlight w:val="none"/>
          <w:lang w:eastAsia="zh-CN"/>
        </w:rPr>
        <w:t>～</w:t>
      </w:r>
      <w:r>
        <w:rPr>
          <w:rFonts w:hAnsi="Times New Roman" w:cs="Times New Roman"/>
          <w:color w:val="auto"/>
          <w:szCs w:val="24"/>
          <w:highlight w:val="none"/>
          <w:lang w:eastAsia="zh-CN"/>
        </w:rPr>
        <w:t>7</w:t>
      </w:r>
      <w:r>
        <w:rPr>
          <w:rFonts w:cs="宋体"/>
          <w:color w:val="auto"/>
          <w:szCs w:val="24"/>
          <w:highlight w:val="none"/>
          <w:lang w:eastAsia="zh-CN"/>
        </w:rPr>
        <w:t>天后，由承包人会同监理人用锤击法进行灌浆质量的检查，其脱空范围和程度应满足施工图纸的要求。不合格的部位应由承包人继续进行补灌处理至监理人认为合格为止。</w:t>
      </w:r>
    </w:p>
    <w:p w14:paraId="0FA290D3">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.10</w:t>
      </w:r>
      <w:r>
        <w:rPr>
          <w:rFonts w:hint="eastAsia" w:cs="宋体"/>
          <w:bCs/>
          <w:color w:val="auto"/>
          <w:szCs w:val="24"/>
          <w:highlight w:val="none"/>
        </w:rPr>
        <w:t>　</w:t>
      </w:r>
      <w:r>
        <w:rPr>
          <w:rFonts w:ascii="Arial" w:hAnsi="Arial" w:cs="宋体"/>
          <w:bCs/>
          <w:color w:val="auto"/>
          <w:szCs w:val="24"/>
          <w:highlight w:val="none"/>
        </w:rPr>
        <w:t>质量检查和验收</w:t>
      </w:r>
    </w:p>
    <w:p w14:paraId="3084359C">
      <w:pPr>
        <w:adjustRightInd/>
        <w:ind w:firstLine="0" w:firstLineChars="0"/>
        <w:rPr>
          <w:color w:val="auto"/>
          <w:szCs w:val="20"/>
          <w:highlight w:val="none"/>
          <w:lang w:eastAsia="zh-CN"/>
        </w:rPr>
      </w:pPr>
      <w:r>
        <w:rPr>
          <w:rFonts w:hint="eastAsia"/>
          <w:color w:val="auto"/>
          <w:szCs w:val="20"/>
          <w:highlight w:val="none"/>
          <w:lang w:eastAsia="zh-CN"/>
        </w:rPr>
        <w:t>19.10.1</w:t>
      </w:r>
      <w:r>
        <w:rPr>
          <w:rFonts w:hint="eastAsia" w:cs="宋体"/>
          <w:bCs/>
          <w:color w:val="auto"/>
          <w:szCs w:val="24"/>
          <w:highlight w:val="none"/>
          <w:lang w:eastAsia="zh-CN"/>
        </w:rPr>
        <w:t>　</w:t>
      </w:r>
      <w:r>
        <w:rPr>
          <w:rFonts w:hint="eastAsia"/>
          <w:color w:val="auto"/>
          <w:szCs w:val="20"/>
          <w:highlight w:val="none"/>
          <w:lang w:eastAsia="zh-CN"/>
        </w:rPr>
        <w:t>钢管材料的检查和验收</w:t>
      </w:r>
    </w:p>
    <w:p w14:paraId="3DAE2BC8">
      <w:pPr>
        <w:autoSpaceDE w:val="0"/>
        <w:autoSpaceDN w:val="0"/>
        <w:adjustRightInd/>
        <w:ind w:firstLine="480"/>
        <w:rPr>
          <w:color w:val="auto"/>
          <w:szCs w:val="20"/>
          <w:highlight w:val="none"/>
          <w:lang w:eastAsia="zh-CN"/>
        </w:rPr>
      </w:pPr>
      <w:r>
        <w:rPr>
          <w:rFonts w:hint="eastAsia"/>
          <w:color w:val="auto"/>
          <w:szCs w:val="20"/>
          <w:highlight w:val="none"/>
          <w:lang w:eastAsia="zh-CN"/>
        </w:rPr>
        <w:t>承包人会同发包人、监理人共同按设计和相关规范要求，对甲供钢管在现场进行质量检查和验收，验收合格后由承包人签署接收记录并负责卸车、工地保管。承包人负责采购本工程钢管安装所需的全部材料（清单所示甲供材料除外），按本章第 13.2 节的规定，进行检验和验收。</w:t>
      </w:r>
    </w:p>
    <w:p w14:paraId="1A6D5763">
      <w:pPr>
        <w:adjustRightInd/>
        <w:ind w:firstLine="0" w:firstLineChars="0"/>
        <w:rPr>
          <w:color w:val="auto"/>
          <w:szCs w:val="20"/>
          <w:highlight w:val="none"/>
          <w:lang w:eastAsia="zh-CN"/>
        </w:rPr>
      </w:pPr>
      <w:r>
        <w:rPr>
          <w:rFonts w:hint="eastAsia"/>
          <w:color w:val="auto"/>
          <w:szCs w:val="20"/>
          <w:highlight w:val="none"/>
          <w:lang w:eastAsia="zh-CN"/>
        </w:rPr>
        <w:t>19.10.2</w:t>
      </w:r>
      <w:r>
        <w:rPr>
          <w:rFonts w:hint="eastAsia" w:cs="宋体"/>
          <w:bCs/>
          <w:color w:val="auto"/>
          <w:szCs w:val="24"/>
          <w:highlight w:val="none"/>
          <w:lang w:eastAsia="zh-CN"/>
        </w:rPr>
        <w:t>　</w:t>
      </w:r>
      <w:r>
        <w:rPr>
          <w:rFonts w:hint="eastAsia"/>
          <w:color w:val="auto"/>
          <w:szCs w:val="20"/>
          <w:highlight w:val="none"/>
          <w:lang w:eastAsia="zh-CN"/>
        </w:rPr>
        <w:t>钢管安装质量检查和验收</w:t>
      </w:r>
    </w:p>
    <w:p w14:paraId="67D4C03E">
      <w:pPr>
        <w:autoSpaceDE w:val="0"/>
        <w:autoSpaceDN w:val="0"/>
        <w:adjustRightInd/>
        <w:ind w:firstLine="480"/>
        <w:rPr>
          <w:color w:val="auto"/>
          <w:szCs w:val="20"/>
          <w:highlight w:val="none"/>
          <w:lang w:eastAsia="zh-CN"/>
        </w:rPr>
      </w:pPr>
      <w:r>
        <w:rPr>
          <w:rFonts w:hint="eastAsia"/>
          <w:color w:val="auto"/>
          <w:szCs w:val="20"/>
          <w:highlight w:val="none"/>
          <w:lang w:eastAsia="zh-CN"/>
        </w:rPr>
        <w:t>（1）承包人应会同监理人对各管段及部件的定位准确性、支撑牢固性等以及每条现场焊缝进行逐条检查、验收。验收记录应提交监理人。</w:t>
      </w:r>
    </w:p>
    <w:p w14:paraId="01890B31">
      <w:pPr>
        <w:autoSpaceDE w:val="0"/>
        <w:autoSpaceDN w:val="0"/>
        <w:adjustRightInd/>
        <w:ind w:firstLine="480"/>
        <w:rPr>
          <w:color w:val="auto"/>
          <w:szCs w:val="20"/>
          <w:highlight w:val="none"/>
          <w:lang w:eastAsia="zh-CN"/>
        </w:rPr>
      </w:pPr>
      <w:r>
        <w:rPr>
          <w:rFonts w:hint="eastAsia"/>
          <w:color w:val="auto"/>
          <w:szCs w:val="20"/>
          <w:highlight w:val="none"/>
          <w:lang w:eastAsia="zh-CN"/>
        </w:rPr>
        <w:t>（2）钢管的现场涂装结束后，承包人应会同监理人对钢管的涂装质量进行检查和验收，不合格的涂装面应进行返修和重新检验，直至监理人认为合格为止。验收记录应提交监理人。</w:t>
      </w:r>
    </w:p>
    <w:p w14:paraId="5EE04352">
      <w:pPr>
        <w:adjustRightInd/>
        <w:ind w:firstLine="0" w:firstLineChars="0"/>
        <w:rPr>
          <w:color w:val="auto"/>
          <w:szCs w:val="20"/>
          <w:highlight w:val="none"/>
          <w:lang w:eastAsia="zh-CN"/>
        </w:rPr>
      </w:pPr>
      <w:r>
        <w:rPr>
          <w:rFonts w:hint="eastAsia"/>
          <w:color w:val="auto"/>
          <w:szCs w:val="20"/>
          <w:highlight w:val="none"/>
          <w:lang w:eastAsia="zh-CN"/>
        </w:rPr>
        <w:t>19.10.3</w:t>
      </w:r>
      <w:r>
        <w:rPr>
          <w:rFonts w:hint="eastAsia" w:cs="宋体"/>
          <w:bCs/>
          <w:color w:val="auto"/>
          <w:szCs w:val="24"/>
          <w:highlight w:val="none"/>
          <w:lang w:eastAsia="zh-CN"/>
        </w:rPr>
        <w:t>　</w:t>
      </w:r>
      <w:r>
        <w:rPr>
          <w:rFonts w:hint="eastAsia"/>
          <w:color w:val="auto"/>
          <w:szCs w:val="20"/>
          <w:highlight w:val="none"/>
          <w:lang w:eastAsia="zh-CN"/>
        </w:rPr>
        <w:t>完工验收</w:t>
      </w:r>
    </w:p>
    <w:p w14:paraId="52ADD136">
      <w:pPr>
        <w:autoSpaceDE w:val="0"/>
        <w:autoSpaceDN w:val="0"/>
        <w:adjustRightInd/>
        <w:ind w:firstLine="480"/>
        <w:rPr>
          <w:color w:val="auto"/>
          <w:szCs w:val="20"/>
          <w:highlight w:val="none"/>
          <w:lang w:eastAsia="zh-CN"/>
        </w:rPr>
      </w:pPr>
      <w:r>
        <w:rPr>
          <w:rFonts w:hint="eastAsia"/>
          <w:color w:val="auto"/>
          <w:szCs w:val="20"/>
          <w:highlight w:val="none"/>
          <w:lang w:eastAsia="zh-CN"/>
        </w:rPr>
        <w:t>钢管工程全部完工后，承包人应向监理人提交工程验收申请报告，并附以下完工资料：</w:t>
      </w:r>
    </w:p>
    <w:p w14:paraId="72026036">
      <w:pPr>
        <w:autoSpaceDE w:val="0"/>
        <w:autoSpaceDN w:val="0"/>
        <w:adjustRightInd/>
        <w:ind w:firstLine="480"/>
        <w:rPr>
          <w:color w:val="auto"/>
          <w:szCs w:val="20"/>
          <w:highlight w:val="none"/>
          <w:lang w:eastAsia="zh-CN"/>
        </w:rPr>
      </w:pPr>
      <w:r>
        <w:rPr>
          <w:rFonts w:hint="eastAsia"/>
          <w:color w:val="auto"/>
          <w:szCs w:val="20"/>
          <w:highlight w:val="none"/>
          <w:lang w:eastAsia="zh-CN"/>
        </w:rPr>
        <w:t>（1）钢管竣工图；</w:t>
      </w:r>
    </w:p>
    <w:p w14:paraId="1CD19663">
      <w:pPr>
        <w:autoSpaceDE w:val="0"/>
        <w:autoSpaceDN w:val="0"/>
        <w:adjustRightInd/>
        <w:ind w:firstLine="480"/>
        <w:rPr>
          <w:color w:val="auto"/>
          <w:szCs w:val="20"/>
          <w:highlight w:val="none"/>
          <w:lang w:eastAsia="zh-CN"/>
        </w:rPr>
      </w:pPr>
      <w:r>
        <w:rPr>
          <w:rFonts w:hint="eastAsia"/>
          <w:color w:val="auto"/>
          <w:szCs w:val="20"/>
          <w:highlight w:val="none"/>
          <w:lang w:eastAsia="zh-CN"/>
        </w:rPr>
        <w:t>（2）各项材料的出厂质量证明和使用说明书；</w:t>
      </w:r>
    </w:p>
    <w:p w14:paraId="44A3AEE7">
      <w:pPr>
        <w:autoSpaceDE w:val="0"/>
        <w:autoSpaceDN w:val="0"/>
        <w:adjustRightInd/>
        <w:ind w:firstLine="480"/>
        <w:rPr>
          <w:color w:val="auto"/>
          <w:szCs w:val="20"/>
          <w:highlight w:val="none"/>
          <w:lang w:eastAsia="zh-CN"/>
        </w:rPr>
      </w:pPr>
      <w:r>
        <w:rPr>
          <w:rFonts w:hint="eastAsia"/>
          <w:color w:val="auto"/>
          <w:szCs w:val="20"/>
          <w:highlight w:val="none"/>
          <w:lang w:eastAsia="zh-CN"/>
        </w:rPr>
        <w:t>（3）钢管安装的质量检查报告；</w:t>
      </w:r>
    </w:p>
    <w:p w14:paraId="30DF7942">
      <w:pPr>
        <w:autoSpaceDE w:val="0"/>
        <w:autoSpaceDN w:val="0"/>
        <w:adjustRightInd/>
        <w:ind w:firstLine="480"/>
        <w:rPr>
          <w:color w:val="auto"/>
          <w:szCs w:val="20"/>
          <w:highlight w:val="none"/>
          <w:lang w:eastAsia="zh-CN"/>
        </w:rPr>
      </w:pPr>
      <w:r>
        <w:rPr>
          <w:rFonts w:hint="eastAsia"/>
          <w:color w:val="auto"/>
          <w:szCs w:val="20"/>
          <w:highlight w:val="none"/>
          <w:lang w:eastAsia="zh-CN"/>
        </w:rPr>
        <w:t>（4）钢管一类、二类焊缝焊接工作档案卡（包括焊工名册和代号）；</w:t>
      </w:r>
    </w:p>
    <w:p w14:paraId="7AB978BE">
      <w:pPr>
        <w:autoSpaceDE w:val="0"/>
        <w:autoSpaceDN w:val="0"/>
        <w:adjustRightInd/>
        <w:ind w:firstLine="480"/>
        <w:rPr>
          <w:color w:val="auto"/>
          <w:szCs w:val="20"/>
          <w:highlight w:val="none"/>
          <w:lang w:eastAsia="zh-CN"/>
        </w:rPr>
      </w:pPr>
      <w:r>
        <w:rPr>
          <w:rFonts w:hint="eastAsia"/>
          <w:color w:val="auto"/>
          <w:szCs w:val="20"/>
          <w:highlight w:val="none"/>
          <w:lang w:eastAsia="zh-CN"/>
        </w:rPr>
        <w:t>（5）水压试验成果；</w:t>
      </w:r>
    </w:p>
    <w:p w14:paraId="50531FFA">
      <w:pPr>
        <w:autoSpaceDE w:val="0"/>
        <w:autoSpaceDN w:val="0"/>
        <w:adjustRightInd/>
        <w:ind w:firstLine="480"/>
        <w:rPr>
          <w:color w:val="auto"/>
          <w:szCs w:val="20"/>
          <w:highlight w:val="none"/>
          <w:lang w:eastAsia="zh-CN"/>
        </w:rPr>
      </w:pPr>
      <w:r>
        <w:rPr>
          <w:rFonts w:hint="eastAsia"/>
          <w:color w:val="auto"/>
          <w:szCs w:val="20"/>
          <w:highlight w:val="none"/>
          <w:lang w:eastAsia="zh-CN"/>
        </w:rPr>
        <w:t>（6）重大缺陷处理报告；</w:t>
      </w:r>
    </w:p>
    <w:p w14:paraId="2DAA7F8B">
      <w:pPr>
        <w:autoSpaceDE w:val="0"/>
        <w:autoSpaceDN w:val="0"/>
        <w:adjustRightInd/>
        <w:ind w:firstLine="480"/>
        <w:rPr>
          <w:color w:val="auto"/>
          <w:szCs w:val="20"/>
          <w:highlight w:val="none"/>
          <w:lang w:eastAsia="zh-CN"/>
        </w:rPr>
      </w:pPr>
      <w:r>
        <w:rPr>
          <w:rFonts w:hint="eastAsia"/>
          <w:color w:val="auto"/>
          <w:szCs w:val="20"/>
          <w:highlight w:val="none"/>
          <w:lang w:eastAsia="zh-CN"/>
        </w:rPr>
        <w:t>（7）监理人要求提供的其它完工资料。</w:t>
      </w:r>
    </w:p>
    <w:p w14:paraId="359B9C43">
      <w:pPr>
        <w:pStyle w:val="4"/>
        <w:kinsoku w:val="0"/>
        <w:autoSpaceDE w:val="0"/>
        <w:autoSpaceDN w:val="0"/>
        <w:rPr>
          <w:rFonts w:ascii="Arial" w:hAnsi="Arial" w:cs="宋体"/>
          <w:bCs/>
          <w:color w:val="auto"/>
          <w:szCs w:val="24"/>
          <w:highlight w:val="none"/>
        </w:rPr>
      </w:pPr>
      <w:r>
        <w:rPr>
          <w:rFonts w:hint="eastAsia" w:ascii="Arial" w:hAnsi="Arial" w:cs="宋体"/>
          <w:bCs/>
          <w:color w:val="auto"/>
          <w:szCs w:val="24"/>
          <w:highlight w:val="none"/>
        </w:rPr>
        <w:t>19</w:t>
      </w:r>
      <w:r>
        <w:rPr>
          <w:rFonts w:ascii="Arial" w:hAnsi="Arial" w:cs="宋体"/>
          <w:bCs/>
          <w:color w:val="auto"/>
          <w:szCs w:val="24"/>
          <w:highlight w:val="none"/>
        </w:rPr>
        <w:t>.11</w:t>
      </w:r>
      <w:r>
        <w:rPr>
          <w:rFonts w:hint="eastAsia" w:cs="宋体"/>
          <w:bCs/>
          <w:color w:val="auto"/>
          <w:szCs w:val="24"/>
          <w:highlight w:val="none"/>
        </w:rPr>
        <w:t>　</w:t>
      </w:r>
      <w:r>
        <w:rPr>
          <w:rFonts w:ascii="Arial" w:hAnsi="Arial" w:cs="宋体"/>
          <w:bCs/>
          <w:color w:val="auto"/>
          <w:szCs w:val="24"/>
          <w:highlight w:val="none"/>
        </w:rPr>
        <w:t>计量和支付</w:t>
      </w:r>
    </w:p>
    <w:p w14:paraId="18DEA4C0">
      <w:pPr>
        <w:pStyle w:val="5"/>
        <w:autoSpaceDE w:val="0"/>
        <w:autoSpaceDN w:val="0"/>
        <w:adjustRightInd/>
        <w:jc w:val="left"/>
        <w:rPr>
          <w:color w:val="auto"/>
          <w:szCs w:val="20"/>
          <w:highlight w:val="none"/>
          <w:lang w:eastAsia="zh-CN"/>
        </w:rPr>
      </w:pPr>
      <w:r>
        <w:rPr>
          <w:rFonts w:hAnsi="Times New Roman" w:cs="Times New Roman"/>
          <w:color w:val="auto"/>
          <w:highlight w:val="none"/>
          <w:lang w:eastAsia="zh-CN"/>
        </w:rPr>
        <w:t>19.11.1</w:t>
      </w:r>
      <w:r>
        <w:rPr>
          <w:rFonts w:hint="eastAsia" w:hAnsi="Times New Roman" w:cs="Times New Roman"/>
          <w:color w:val="auto"/>
          <w:highlight w:val="none"/>
          <w:lang w:eastAsia="zh-CN"/>
        </w:rPr>
        <w:t>　钢管</w:t>
      </w:r>
    </w:p>
    <w:p w14:paraId="42814100">
      <w:pPr>
        <w:autoSpaceDE w:val="0"/>
        <w:autoSpaceDN w:val="0"/>
        <w:adjustRightInd/>
        <w:ind w:firstLine="480"/>
        <w:rPr>
          <w:color w:val="auto"/>
          <w:szCs w:val="20"/>
          <w:highlight w:val="none"/>
          <w:lang w:eastAsia="zh-CN"/>
        </w:rPr>
      </w:pPr>
      <w:r>
        <w:rPr>
          <w:rFonts w:hint="eastAsia"/>
          <w:color w:val="auto"/>
          <w:szCs w:val="20"/>
          <w:highlight w:val="none"/>
          <w:lang w:eastAsia="zh-CN"/>
        </w:rPr>
        <w:t>（1）压力钢管（含加劲环和伸缩节）安装，按施工图纸所示尺寸计算的有效长度以吨为单位计量，由发包人按《工程量清单》相应项目有效工程量的每吨工程单价支付。</w:t>
      </w:r>
    </w:p>
    <w:p w14:paraId="1F69CBF3">
      <w:pPr>
        <w:kinsoku w:val="0"/>
        <w:autoSpaceDE w:val="0"/>
        <w:autoSpaceDN w:val="0"/>
        <w:ind w:firstLine="480"/>
        <w:rPr>
          <w:color w:val="auto"/>
          <w:szCs w:val="20"/>
          <w:highlight w:val="none"/>
          <w:lang w:eastAsia="zh-CN"/>
        </w:rPr>
      </w:pPr>
      <w:r>
        <w:rPr>
          <w:rFonts w:hint="eastAsia"/>
          <w:color w:val="auto"/>
          <w:szCs w:val="20"/>
          <w:highlight w:val="none"/>
          <w:lang w:eastAsia="zh-CN"/>
        </w:rPr>
        <w:t>（2）完成弯管、岔管、渐变管、三通等钢制管件的焊接、涂装、安装</w:t>
      </w:r>
      <w:r>
        <w:rPr>
          <w:color w:val="auto"/>
          <w:highlight w:val="none"/>
          <w:lang w:eastAsia="zh-CN"/>
        </w:rPr>
        <w:t>等</w:t>
      </w:r>
      <w:r>
        <w:rPr>
          <w:rFonts w:hint="eastAsia"/>
          <w:color w:val="auto"/>
          <w:szCs w:val="20"/>
          <w:highlight w:val="none"/>
          <w:lang w:eastAsia="zh-CN"/>
        </w:rPr>
        <w:t>工作</w:t>
      </w:r>
      <w:r>
        <w:rPr>
          <w:color w:val="auto"/>
          <w:highlight w:val="none"/>
          <w:lang w:eastAsia="zh-CN"/>
        </w:rPr>
        <w:t>所需的全部费用，</w:t>
      </w:r>
      <w:r>
        <w:rPr>
          <w:rFonts w:hint="eastAsia"/>
          <w:color w:val="auto"/>
          <w:highlight w:val="none"/>
          <w:lang w:eastAsia="zh-CN"/>
        </w:rPr>
        <w:t>均</w:t>
      </w:r>
      <w:r>
        <w:rPr>
          <w:color w:val="auto"/>
          <w:highlight w:val="none"/>
          <w:lang w:eastAsia="zh-CN"/>
        </w:rPr>
        <w:t>包含在《工程量清单》相应项目有效工程量的每吨工程单价中</w:t>
      </w:r>
      <w:r>
        <w:rPr>
          <w:rFonts w:hint="eastAsia"/>
          <w:color w:val="auto"/>
          <w:highlight w:val="none"/>
          <w:lang w:eastAsia="zh-CN"/>
        </w:rPr>
        <w:t>，</w:t>
      </w:r>
      <w:r>
        <w:rPr>
          <w:rFonts w:hint="eastAsia"/>
          <w:color w:val="auto"/>
          <w:szCs w:val="20"/>
          <w:highlight w:val="none"/>
          <w:lang w:eastAsia="zh-CN"/>
        </w:rPr>
        <w:t>发包人不另行支付。</w:t>
      </w:r>
    </w:p>
    <w:p w14:paraId="2E724F41">
      <w:pPr>
        <w:autoSpaceDE w:val="0"/>
        <w:autoSpaceDN w:val="0"/>
        <w:adjustRightInd/>
        <w:ind w:firstLine="480"/>
        <w:rPr>
          <w:color w:val="auto"/>
          <w:highlight w:val="none"/>
          <w:lang w:eastAsia="zh-CN"/>
        </w:rPr>
      </w:pPr>
      <w:r>
        <w:rPr>
          <w:rFonts w:hint="eastAsia"/>
          <w:color w:val="auto"/>
          <w:szCs w:val="20"/>
          <w:highlight w:val="none"/>
          <w:lang w:eastAsia="zh-CN"/>
        </w:rPr>
        <w:t>（3）完成钢管工地运输、现场运输；管道铺设；钢管焊接；钢管内外防腐；钢管焊缝无损检测；水压试验以及质量检查和验收等工作所需的全部费用，包含在《工程量清单》相应项目有效工程量的每吨工程单价中，发包人不另行支付。</w:t>
      </w:r>
    </w:p>
    <w:p w14:paraId="289A66E4">
      <w:pPr>
        <w:pStyle w:val="3"/>
        <w:spacing w:beforeLines="0" w:afterLines="0" w:line="360" w:lineRule="auto"/>
        <w:jc w:val="both"/>
        <w:outlineLvl w:val="1"/>
        <w:rPr>
          <w:rFonts w:hint="eastAsia" w:cs="宋体"/>
          <w:color w:val="auto"/>
          <w:sz w:val="30"/>
          <w:szCs w:val="30"/>
          <w:highlight w:val="none"/>
        </w:rPr>
      </w:pPr>
      <w:bookmarkStart w:id="2227" w:name="_Toc13379"/>
      <w:bookmarkStart w:id="2228" w:name="_Toc2103"/>
      <w:bookmarkStart w:id="2229" w:name="_Toc31577"/>
      <w:bookmarkStart w:id="2230" w:name="_Toc8199"/>
      <w:bookmarkStart w:id="2231" w:name="_Toc21494"/>
      <w:bookmarkStart w:id="2232" w:name="_Toc30274"/>
      <w:bookmarkStart w:id="2233" w:name="_Toc13442"/>
      <w:bookmarkStart w:id="2234" w:name="_Toc25473"/>
      <w:bookmarkStart w:id="2235" w:name="_Toc7609"/>
      <w:bookmarkStart w:id="2236" w:name="_Toc17626"/>
      <w:bookmarkStart w:id="2237" w:name="_Toc13361"/>
      <w:bookmarkStart w:id="2238" w:name="_Toc16326"/>
      <w:bookmarkStart w:id="2239" w:name="_Toc15067"/>
      <w:bookmarkStart w:id="2240" w:name="_Toc9632"/>
      <w:bookmarkStart w:id="2241" w:name="_Toc19669"/>
      <w:r>
        <w:rPr>
          <w:rFonts w:hint="eastAsia" w:cs="宋体"/>
          <w:color w:val="auto"/>
          <w:sz w:val="30"/>
          <w:szCs w:val="30"/>
          <w:highlight w:val="none"/>
        </w:rPr>
        <w:t>20</w:t>
      </w:r>
      <w:r>
        <w:rPr>
          <w:rFonts w:hint="eastAsia" w:cs="宋体"/>
          <w:color w:val="auto"/>
          <w:sz w:val="30"/>
          <w:szCs w:val="30"/>
          <w:highlight w:val="none"/>
          <w:lang w:eastAsia="zh-CN"/>
        </w:rPr>
        <w:t>　</w:t>
      </w:r>
      <w:r>
        <w:rPr>
          <w:rFonts w:hint="eastAsia" w:cs="宋体"/>
          <w:color w:val="auto"/>
          <w:sz w:val="30"/>
          <w:szCs w:val="30"/>
          <w:highlight w:val="none"/>
        </w:rPr>
        <w:t>钢结构的制作和安装</w:t>
      </w:r>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p>
    <w:p w14:paraId="1FFEA40F">
      <w:pPr>
        <w:ind w:firstLine="420"/>
        <w:jc w:val="left"/>
        <w:rPr>
          <w:rFonts w:cs="宋体"/>
          <w:color w:val="auto"/>
          <w:highlight w:val="none"/>
          <w:lang w:eastAsia="zh-CN"/>
        </w:rPr>
      </w:pPr>
      <w:r>
        <w:rPr>
          <w:rFonts w:hint="eastAsia" w:cs="宋体"/>
          <w:color w:val="auto"/>
          <w:highlight w:val="none"/>
          <w:lang w:eastAsia="zh-CN"/>
        </w:rPr>
        <w:t>本标段不涉及钢结构的制作和安装工程</w:t>
      </w:r>
      <w:r>
        <w:rPr>
          <w:rFonts w:cs="宋体"/>
          <w:color w:val="auto"/>
          <w:highlight w:val="none"/>
          <w:lang w:eastAsia="zh-CN"/>
        </w:rPr>
        <w:t>。</w:t>
      </w:r>
    </w:p>
    <w:p w14:paraId="7DF0652D">
      <w:pPr>
        <w:pStyle w:val="3"/>
        <w:spacing w:beforeLines="0" w:afterLines="0" w:line="360" w:lineRule="auto"/>
        <w:jc w:val="both"/>
        <w:outlineLvl w:val="1"/>
        <w:rPr>
          <w:rFonts w:hint="eastAsia" w:cs="宋体"/>
          <w:color w:val="auto"/>
          <w:sz w:val="30"/>
          <w:szCs w:val="30"/>
          <w:highlight w:val="none"/>
        </w:rPr>
      </w:pPr>
      <w:bookmarkStart w:id="2242" w:name="_Toc15907"/>
      <w:bookmarkStart w:id="2243" w:name="_Toc8774"/>
      <w:bookmarkStart w:id="2244" w:name="_Toc32086"/>
      <w:bookmarkStart w:id="2245" w:name="_Toc4737"/>
      <w:bookmarkStart w:id="2246" w:name="_Toc28715"/>
      <w:bookmarkStart w:id="2247" w:name="_Toc15374"/>
      <w:bookmarkStart w:id="2248" w:name="_Toc36"/>
      <w:bookmarkStart w:id="2249" w:name="_Toc22630"/>
      <w:bookmarkStart w:id="2250" w:name="_Toc30152"/>
      <w:bookmarkStart w:id="2251" w:name="_Toc30608"/>
      <w:bookmarkStart w:id="2252" w:name="_Toc739"/>
      <w:bookmarkStart w:id="2253" w:name="_Toc24547"/>
      <w:bookmarkStart w:id="2254" w:name="_Toc17536"/>
      <w:bookmarkStart w:id="2255" w:name="_Toc22004"/>
      <w:bookmarkStart w:id="2256" w:name="_Toc5572"/>
      <w:r>
        <w:rPr>
          <w:rFonts w:hint="eastAsia" w:cs="宋体"/>
          <w:color w:val="auto"/>
          <w:sz w:val="30"/>
          <w:szCs w:val="30"/>
          <w:highlight w:val="none"/>
        </w:rPr>
        <w:t>21</w:t>
      </w:r>
      <w:r>
        <w:rPr>
          <w:rFonts w:hint="eastAsia" w:cs="宋体"/>
          <w:color w:val="auto"/>
          <w:sz w:val="30"/>
          <w:szCs w:val="30"/>
          <w:highlight w:val="none"/>
          <w:lang w:eastAsia="zh-CN"/>
        </w:rPr>
        <w:t>　</w:t>
      </w:r>
      <w:r>
        <w:rPr>
          <w:rFonts w:hint="eastAsia" w:cs="宋体"/>
          <w:color w:val="auto"/>
          <w:sz w:val="30"/>
          <w:szCs w:val="30"/>
          <w:highlight w:val="none"/>
        </w:rPr>
        <w:t>钢闸门制作</w:t>
      </w:r>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p>
    <w:p w14:paraId="475F8DED">
      <w:pPr>
        <w:ind w:firstLine="420"/>
        <w:jc w:val="left"/>
        <w:rPr>
          <w:rFonts w:cs="宋体"/>
          <w:color w:val="auto"/>
          <w:highlight w:val="none"/>
          <w:lang w:eastAsia="zh-CN"/>
        </w:rPr>
      </w:pPr>
      <w:r>
        <w:rPr>
          <w:rFonts w:hint="eastAsia" w:cs="宋体"/>
          <w:color w:val="auto"/>
          <w:highlight w:val="none"/>
          <w:lang w:eastAsia="zh-CN"/>
        </w:rPr>
        <w:t>本标段不涉及钢闸门制作工程</w:t>
      </w:r>
      <w:r>
        <w:rPr>
          <w:rFonts w:cs="宋体"/>
          <w:color w:val="auto"/>
          <w:highlight w:val="none"/>
          <w:lang w:eastAsia="zh-CN"/>
        </w:rPr>
        <w:t>。</w:t>
      </w:r>
    </w:p>
    <w:p w14:paraId="22312124">
      <w:pPr>
        <w:pStyle w:val="3"/>
        <w:spacing w:beforeLines="0" w:afterLines="0" w:line="360" w:lineRule="auto"/>
        <w:jc w:val="both"/>
        <w:outlineLvl w:val="1"/>
        <w:rPr>
          <w:rFonts w:hint="eastAsia" w:cs="宋体"/>
          <w:color w:val="auto"/>
          <w:sz w:val="30"/>
          <w:szCs w:val="30"/>
          <w:highlight w:val="none"/>
        </w:rPr>
      </w:pPr>
      <w:bookmarkStart w:id="2257" w:name="_Toc12272"/>
      <w:bookmarkStart w:id="2258" w:name="_Toc6285"/>
      <w:bookmarkStart w:id="2259" w:name="_Toc28215"/>
      <w:bookmarkStart w:id="2260" w:name="_Toc9802"/>
      <w:bookmarkStart w:id="2261" w:name="_Toc24449"/>
      <w:bookmarkStart w:id="2262" w:name="_Toc9365"/>
      <w:bookmarkStart w:id="2263" w:name="_Toc18913"/>
      <w:bookmarkStart w:id="2264" w:name="_Toc14162"/>
      <w:bookmarkStart w:id="2265" w:name="_Toc28958"/>
      <w:bookmarkStart w:id="2266" w:name="_Toc24362"/>
      <w:bookmarkStart w:id="2267" w:name="_Toc22326"/>
      <w:bookmarkStart w:id="2268" w:name="_Toc7216"/>
      <w:bookmarkStart w:id="2269" w:name="_Toc16129"/>
      <w:bookmarkStart w:id="2270" w:name="_Toc20721"/>
      <w:bookmarkStart w:id="2271" w:name="_Toc15116"/>
      <w:r>
        <w:rPr>
          <w:rFonts w:hint="eastAsia" w:cs="宋体"/>
          <w:color w:val="auto"/>
          <w:sz w:val="30"/>
          <w:szCs w:val="30"/>
          <w:highlight w:val="none"/>
        </w:rPr>
        <w:t>22</w:t>
      </w:r>
      <w:r>
        <w:rPr>
          <w:rFonts w:hint="eastAsia" w:cs="宋体"/>
          <w:color w:val="auto"/>
          <w:sz w:val="30"/>
          <w:szCs w:val="30"/>
          <w:highlight w:val="none"/>
          <w:lang w:eastAsia="zh-CN"/>
        </w:rPr>
        <w:t>　</w:t>
      </w:r>
      <w:r>
        <w:rPr>
          <w:rFonts w:hint="eastAsia" w:cs="宋体"/>
          <w:color w:val="auto"/>
          <w:sz w:val="30"/>
          <w:szCs w:val="30"/>
          <w:highlight w:val="none"/>
        </w:rPr>
        <w:t>钢闸门及启闭机安装</w:t>
      </w:r>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p>
    <w:p w14:paraId="04234ACE">
      <w:pPr>
        <w:ind w:firstLine="420"/>
        <w:jc w:val="left"/>
        <w:rPr>
          <w:rFonts w:hint="eastAsia" w:cs="宋体"/>
          <w:color w:val="auto"/>
          <w:highlight w:val="none"/>
          <w:lang w:eastAsia="zh-CN"/>
        </w:rPr>
      </w:pPr>
      <w:r>
        <w:rPr>
          <w:rFonts w:hint="eastAsia" w:cs="宋体"/>
          <w:color w:val="auto"/>
          <w:highlight w:val="none"/>
          <w:lang w:eastAsia="zh-CN"/>
        </w:rPr>
        <w:t>本标段不涉及钢闸门及启闭机安装工程。</w:t>
      </w:r>
    </w:p>
    <w:p w14:paraId="63F1D9B5">
      <w:pPr>
        <w:pStyle w:val="3"/>
        <w:spacing w:beforeLines="0" w:afterLines="0" w:line="360" w:lineRule="auto"/>
        <w:jc w:val="both"/>
        <w:outlineLvl w:val="1"/>
        <w:rPr>
          <w:rFonts w:hint="eastAsia" w:cs="宋体"/>
          <w:color w:val="auto"/>
          <w:sz w:val="30"/>
          <w:szCs w:val="30"/>
          <w:highlight w:val="none"/>
        </w:rPr>
      </w:pPr>
      <w:bookmarkStart w:id="2272" w:name="_Toc22671"/>
      <w:bookmarkStart w:id="2273" w:name="_Toc7636"/>
      <w:bookmarkStart w:id="2274" w:name="_Toc26886"/>
      <w:bookmarkStart w:id="2275" w:name="_Toc11575"/>
      <w:bookmarkStart w:id="2276" w:name="_Toc18682"/>
      <w:bookmarkStart w:id="2277" w:name="_Toc32610"/>
      <w:bookmarkStart w:id="2278" w:name="_Toc6946"/>
      <w:bookmarkStart w:id="2279" w:name="_Toc31954"/>
      <w:bookmarkStart w:id="2280" w:name="_Toc1369"/>
      <w:bookmarkStart w:id="2281" w:name="_Toc2003"/>
      <w:bookmarkStart w:id="2282" w:name="_Toc17952"/>
      <w:bookmarkStart w:id="2283" w:name="_Toc22950"/>
      <w:bookmarkStart w:id="2284" w:name="_Toc17647"/>
      <w:bookmarkStart w:id="2285" w:name="_Toc18349"/>
      <w:bookmarkStart w:id="2286" w:name="_Toc1484"/>
      <w:r>
        <w:rPr>
          <w:rFonts w:hint="eastAsia" w:cs="宋体"/>
          <w:color w:val="auto"/>
          <w:sz w:val="30"/>
          <w:szCs w:val="30"/>
          <w:highlight w:val="none"/>
        </w:rPr>
        <w:t>23</w:t>
      </w:r>
      <w:r>
        <w:rPr>
          <w:rFonts w:hint="eastAsia" w:cs="宋体"/>
          <w:color w:val="auto"/>
          <w:sz w:val="30"/>
          <w:szCs w:val="30"/>
          <w:highlight w:val="none"/>
          <w:lang w:eastAsia="zh-CN"/>
        </w:rPr>
        <w:t>　</w:t>
      </w:r>
      <w:r>
        <w:rPr>
          <w:rFonts w:hint="eastAsia" w:cs="宋体"/>
          <w:color w:val="auto"/>
          <w:sz w:val="30"/>
          <w:szCs w:val="30"/>
          <w:highlight w:val="none"/>
        </w:rPr>
        <w:t>预埋件埋设</w:t>
      </w:r>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p>
    <w:p w14:paraId="03A60BA0">
      <w:pPr>
        <w:ind w:firstLine="420"/>
        <w:jc w:val="left"/>
        <w:rPr>
          <w:rFonts w:hint="eastAsia" w:cs="宋体"/>
          <w:color w:val="auto"/>
          <w:highlight w:val="none"/>
          <w:lang w:eastAsia="zh-CN"/>
        </w:rPr>
      </w:pPr>
      <w:r>
        <w:rPr>
          <w:rFonts w:hint="eastAsia" w:cs="宋体"/>
          <w:color w:val="auto"/>
          <w:highlight w:val="none"/>
          <w:lang w:eastAsia="zh-CN"/>
        </w:rPr>
        <w:t>本标段不涉及预埋件埋设工程。</w:t>
      </w:r>
    </w:p>
    <w:p w14:paraId="58561603">
      <w:pPr>
        <w:pStyle w:val="3"/>
        <w:spacing w:beforeLines="0" w:afterLines="0" w:line="360" w:lineRule="auto"/>
        <w:jc w:val="both"/>
        <w:outlineLvl w:val="1"/>
        <w:rPr>
          <w:rFonts w:hint="eastAsia" w:cs="宋体"/>
          <w:color w:val="auto"/>
          <w:sz w:val="30"/>
          <w:szCs w:val="30"/>
          <w:highlight w:val="none"/>
        </w:rPr>
      </w:pPr>
      <w:bookmarkStart w:id="2287" w:name="_Toc20212"/>
      <w:bookmarkStart w:id="2288" w:name="_Toc29567"/>
      <w:bookmarkStart w:id="2289" w:name="_Toc25342"/>
      <w:bookmarkStart w:id="2290" w:name="_Toc26961"/>
      <w:bookmarkStart w:id="2291" w:name="_Toc223"/>
      <w:bookmarkStart w:id="2292" w:name="_Toc3312"/>
      <w:bookmarkStart w:id="2293" w:name="_Toc13560"/>
      <w:bookmarkStart w:id="2294" w:name="_Toc30011"/>
      <w:bookmarkStart w:id="2295" w:name="_Toc23879"/>
      <w:bookmarkStart w:id="2296" w:name="_Toc3713"/>
      <w:bookmarkStart w:id="2297" w:name="_Toc16658"/>
      <w:bookmarkStart w:id="2298" w:name="_Toc23969"/>
      <w:bookmarkStart w:id="2299" w:name="_Toc9713"/>
      <w:bookmarkStart w:id="2300" w:name="_Toc11153"/>
      <w:bookmarkStart w:id="2301" w:name="_Toc10176"/>
      <w:r>
        <w:rPr>
          <w:rFonts w:hint="eastAsia" w:cs="宋体"/>
          <w:color w:val="auto"/>
          <w:sz w:val="30"/>
          <w:szCs w:val="30"/>
          <w:highlight w:val="none"/>
        </w:rPr>
        <w:t>24</w:t>
      </w:r>
      <w:r>
        <w:rPr>
          <w:rFonts w:hint="eastAsia" w:cs="宋体"/>
          <w:color w:val="auto"/>
          <w:sz w:val="30"/>
          <w:szCs w:val="30"/>
          <w:highlight w:val="none"/>
          <w:lang w:eastAsia="zh-CN"/>
        </w:rPr>
        <w:t>　</w:t>
      </w:r>
      <w:r>
        <w:rPr>
          <w:rFonts w:hint="eastAsia" w:cs="宋体"/>
          <w:color w:val="auto"/>
          <w:sz w:val="30"/>
          <w:szCs w:val="30"/>
          <w:highlight w:val="none"/>
        </w:rPr>
        <w:t>机电设备安装</w:t>
      </w:r>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p>
    <w:p w14:paraId="0313176C">
      <w:pPr>
        <w:ind w:firstLine="420"/>
        <w:jc w:val="left"/>
        <w:rPr>
          <w:rFonts w:hint="eastAsia" w:cs="宋体"/>
          <w:color w:val="auto"/>
          <w:highlight w:val="none"/>
          <w:lang w:eastAsia="zh-CN"/>
        </w:rPr>
      </w:pPr>
      <w:r>
        <w:rPr>
          <w:rFonts w:hint="eastAsia" w:cs="宋体"/>
          <w:color w:val="auto"/>
          <w:highlight w:val="none"/>
          <w:lang w:eastAsia="zh-CN"/>
        </w:rPr>
        <w:t>本标段不涉及机电设备安装工程。</w:t>
      </w:r>
    </w:p>
    <w:p w14:paraId="52F96354">
      <w:pPr>
        <w:pStyle w:val="3"/>
        <w:spacing w:beforeLines="0" w:afterLines="0" w:line="360" w:lineRule="auto"/>
        <w:jc w:val="both"/>
        <w:outlineLvl w:val="1"/>
        <w:rPr>
          <w:rFonts w:hint="eastAsia" w:cs="宋体"/>
          <w:color w:val="auto"/>
          <w:sz w:val="30"/>
          <w:szCs w:val="30"/>
          <w:highlight w:val="none"/>
        </w:rPr>
      </w:pPr>
      <w:bookmarkStart w:id="2302" w:name="_Toc32465"/>
      <w:bookmarkStart w:id="2303" w:name="_Toc31094"/>
      <w:bookmarkStart w:id="2304" w:name="_Toc2481"/>
      <w:bookmarkStart w:id="2305" w:name="_Toc27296"/>
      <w:bookmarkStart w:id="2306" w:name="_Toc14289"/>
      <w:bookmarkStart w:id="2307" w:name="_Toc29780"/>
      <w:bookmarkStart w:id="2308" w:name="_Toc4647"/>
      <w:bookmarkStart w:id="2309" w:name="_Toc19865"/>
      <w:bookmarkStart w:id="2310" w:name="_Toc861"/>
      <w:bookmarkStart w:id="2311" w:name="_Toc28901"/>
      <w:bookmarkStart w:id="2312" w:name="_Toc12696"/>
      <w:bookmarkStart w:id="2313" w:name="_Toc21222"/>
      <w:bookmarkStart w:id="2314" w:name="_Toc14612"/>
      <w:bookmarkStart w:id="2315" w:name="_Toc10290"/>
      <w:bookmarkStart w:id="2316" w:name="_Toc31037"/>
      <w:r>
        <w:rPr>
          <w:rFonts w:hint="eastAsia" w:cs="宋体"/>
          <w:color w:val="auto"/>
          <w:sz w:val="30"/>
          <w:szCs w:val="30"/>
          <w:highlight w:val="none"/>
        </w:rPr>
        <w:t>25</w:t>
      </w:r>
      <w:r>
        <w:rPr>
          <w:rFonts w:hint="eastAsia" w:cs="宋体"/>
          <w:color w:val="auto"/>
          <w:sz w:val="30"/>
          <w:szCs w:val="30"/>
          <w:highlight w:val="none"/>
          <w:lang w:eastAsia="zh-CN"/>
        </w:rPr>
        <w:t>　</w:t>
      </w:r>
      <w:r>
        <w:rPr>
          <w:rFonts w:hint="eastAsia" w:cs="宋体"/>
          <w:color w:val="auto"/>
          <w:sz w:val="30"/>
          <w:szCs w:val="30"/>
          <w:highlight w:val="none"/>
        </w:rPr>
        <w:t>工程安全监测</w:t>
      </w:r>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p>
    <w:p w14:paraId="59B62B3B">
      <w:pPr>
        <w:pStyle w:val="4"/>
        <w:spacing w:beforeLines="0" w:afterLines="0"/>
        <w:jc w:val="both"/>
        <w:rPr>
          <w:rFonts w:cs="宋体"/>
          <w:bCs/>
          <w:color w:val="auto"/>
          <w:szCs w:val="24"/>
          <w:highlight w:val="none"/>
          <w:lang w:eastAsia="zh-CN"/>
        </w:rPr>
      </w:pPr>
      <w:bookmarkStart w:id="2317" w:name="_Toc30579"/>
      <w:bookmarkStart w:id="2318" w:name="_Toc18707"/>
      <w:bookmarkStart w:id="2319" w:name="_Toc5256"/>
      <w:r>
        <w:rPr>
          <w:rFonts w:hint="eastAsia" w:cs="宋体"/>
          <w:b/>
          <w:bCs/>
          <w:color w:val="auto"/>
          <w:szCs w:val="24"/>
          <w:highlight w:val="none"/>
          <w:lang w:eastAsia="zh-CN"/>
        </w:rPr>
        <w:t>25.1　一般规定</w:t>
      </w:r>
      <w:bookmarkEnd w:id="2317"/>
      <w:bookmarkEnd w:id="2318"/>
      <w:bookmarkEnd w:id="2319"/>
    </w:p>
    <w:p w14:paraId="0A383413">
      <w:pPr>
        <w:pStyle w:val="5"/>
        <w:jc w:val="left"/>
        <w:rPr>
          <w:rFonts w:hAnsi="Times New Roman" w:cs="楷体"/>
          <w:color w:val="auto"/>
          <w:highlight w:val="none"/>
          <w:lang w:eastAsia="zh-CN"/>
        </w:rPr>
      </w:pPr>
      <w:r>
        <w:rPr>
          <w:rFonts w:hAnsi="Times New Roman" w:cs="Times New Roman"/>
          <w:color w:val="auto"/>
          <w:highlight w:val="none"/>
          <w:lang w:eastAsia="zh-CN"/>
        </w:rPr>
        <w:t>25.1.1</w:t>
      </w:r>
      <w:r>
        <w:rPr>
          <w:rFonts w:hint="eastAsia" w:hAnsi="Times New Roman" w:cs="Times New Roman"/>
          <w:color w:val="auto"/>
          <w:highlight w:val="none"/>
          <w:lang w:eastAsia="zh-CN"/>
        </w:rPr>
        <w:t>　</w:t>
      </w:r>
      <w:r>
        <w:rPr>
          <w:rFonts w:hint="eastAsia" w:hAnsi="Times New Roman" w:cs="宋体"/>
          <w:color w:val="auto"/>
          <w:highlight w:val="none"/>
          <w:lang w:eastAsia="zh-CN"/>
        </w:rPr>
        <w:t>应用范围</w:t>
      </w:r>
    </w:p>
    <w:p w14:paraId="20051C0B">
      <w:pPr>
        <w:ind w:firstLine="420"/>
        <w:jc w:val="left"/>
        <w:rPr>
          <w:rFonts w:hAnsi="Times New Roman" w:cs="宋体"/>
          <w:color w:val="auto"/>
          <w:highlight w:val="none"/>
          <w:lang w:eastAsia="zh-CN"/>
        </w:rPr>
      </w:pPr>
      <w:r>
        <w:rPr>
          <w:rFonts w:hint="eastAsia" w:hAnsi="Times New Roman" w:cs="宋体"/>
          <w:color w:val="auto"/>
          <w:highlight w:val="none"/>
          <w:lang w:eastAsia="zh-CN"/>
        </w:rPr>
        <w:t>本章规定适用于本合同施工图纸所示的主体工程、临时工程的安全监测仪器设备的采购、安装、调试、埋设、验收和施工期及缺陷责任期监测。</w:t>
      </w:r>
    </w:p>
    <w:p w14:paraId="4FF708EA">
      <w:pPr>
        <w:pStyle w:val="5"/>
        <w:jc w:val="left"/>
        <w:rPr>
          <w:rFonts w:hAnsi="Times New Roman" w:cs="楷体"/>
          <w:color w:val="auto"/>
          <w:highlight w:val="none"/>
          <w:lang w:eastAsia="zh-CN"/>
        </w:rPr>
      </w:pPr>
      <w:r>
        <w:rPr>
          <w:rFonts w:hAnsi="Times New Roman" w:cs="Times New Roman"/>
          <w:color w:val="auto"/>
          <w:highlight w:val="none"/>
          <w:lang w:eastAsia="zh-CN"/>
        </w:rPr>
        <w:t>25.1.2</w:t>
      </w:r>
      <w:r>
        <w:rPr>
          <w:rFonts w:hint="eastAsia" w:hAnsi="Times New Roman" w:cs="Times New Roman"/>
          <w:color w:val="auto"/>
          <w:highlight w:val="none"/>
          <w:lang w:eastAsia="zh-CN"/>
        </w:rPr>
        <w:t>　</w:t>
      </w:r>
      <w:r>
        <w:rPr>
          <w:rFonts w:hint="eastAsia" w:hAnsi="Times New Roman" w:cs="宋体"/>
          <w:color w:val="auto"/>
          <w:highlight w:val="none"/>
          <w:lang w:eastAsia="zh-CN"/>
        </w:rPr>
        <w:t>承包人责任</w:t>
      </w:r>
    </w:p>
    <w:p w14:paraId="373FA87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）承包人应负责本工程监测仪器设备的采购、运输和保管；监测仪器设备的检验、安装、调试、埋设和维护；施工期监测及建筑物安全评价等。</w:t>
      </w:r>
    </w:p>
    <w:p w14:paraId="67C129C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）承包人应负责保护监测仪器设备。在工程施工中和在合同约定的保修期内，发生已安装埋设的监测仪器设备遭受损坏，承包人应按监理人指示及时予以修理或置换。</w:t>
      </w:r>
    </w:p>
    <w:p w14:paraId="60BDAA6C">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）本合同所列项目全部完成并经验收合格后，所有监测仪器设备、全部监测原始数据及监测资料（包括电子文档），应完好地移交给发包人。</w:t>
      </w:r>
    </w:p>
    <w:p w14:paraId="0A0D2B7E">
      <w:pPr>
        <w:pStyle w:val="5"/>
        <w:jc w:val="left"/>
        <w:rPr>
          <w:rFonts w:hAnsi="Times New Roman" w:cs="楷体"/>
          <w:color w:val="auto"/>
          <w:highlight w:val="none"/>
          <w:lang w:eastAsia="zh-CN"/>
        </w:rPr>
      </w:pPr>
      <w:r>
        <w:rPr>
          <w:rFonts w:hAnsi="Times New Roman" w:cs="Times New Roman"/>
          <w:color w:val="auto"/>
          <w:highlight w:val="none"/>
          <w:lang w:eastAsia="zh-CN"/>
        </w:rPr>
        <w:t>25.1.3</w:t>
      </w:r>
      <w:r>
        <w:rPr>
          <w:rFonts w:hint="eastAsia" w:hAnsi="Times New Roman" w:cs="Times New Roman"/>
          <w:color w:val="auto"/>
          <w:highlight w:val="none"/>
          <w:lang w:eastAsia="zh-CN"/>
        </w:rPr>
        <w:t>　</w:t>
      </w:r>
      <w:r>
        <w:rPr>
          <w:rFonts w:hint="eastAsia" w:hAnsi="Times New Roman" w:cs="宋体"/>
          <w:color w:val="auto"/>
          <w:highlight w:val="none"/>
          <w:lang w:eastAsia="zh-CN"/>
        </w:rPr>
        <w:t>主要提交件</w:t>
      </w:r>
    </w:p>
    <w:p w14:paraId="33F8B88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l</w:t>
      </w:r>
      <w:r>
        <w:rPr>
          <w:rFonts w:hint="eastAsia" w:hAnsi="Times New Roman" w:cs="宋体"/>
          <w:color w:val="auto"/>
          <w:highlight w:val="none"/>
          <w:lang w:eastAsia="zh-CN"/>
        </w:rPr>
        <w:t>）监测仪器设备采购计划。</w:t>
      </w:r>
    </w:p>
    <w:p w14:paraId="482DEE94">
      <w:pPr>
        <w:ind w:firstLine="420"/>
        <w:jc w:val="left"/>
        <w:rPr>
          <w:rFonts w:hAnsi="Times New Roman" w:cs="宋体"/>
          <w:color w:val="auto"/>
          <w:highlight w:val="none"/>
          <w:lang w:eastAsia="zh-CN"/>
        </w:rPr>
      </w:pPr>
      <w:r>
        <w:rPr>
          <w:rFonts w:hint="eastAsia" w:hAnsi="Times New Roman" w:cs="宋体"/>
          <w:color w:val="auto"/>
          <w:highlight w:val="none"/>
          <w:lang w:eastAsia="zh-CN"/>
        </w:rPr>
        <w:t>合同约定由承包人负责采购的监侧仪器设备，承包人应在监测仪器设备安装前，按工程量清单所列项目和施工图纸的要求，编制监测仪器设备采购计划，提交监理人批准，其内容包括：</w:t>
      </w:r>
    </w:p>
    <w:p w14:paraId="79462823">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）监测仪器设备采购清单。</w:t>
      </w:r>
    </w:p>
    <w:p w14:paraId="2D6C22A6">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）各项仪器设备的计划到货时间。</w:t>
      </w:r>
    </w:p>
    <w:p w14:paraId="1C547E56">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）主要仪器设备的产品样本和询价资料。</w:t>
      </w:r>
    </w:p>
    <w:p w14:paraId="631B292F">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）监理人要求提交的其它资料。</w:t>
      </w:r>
    </w:p>
    <w:p w14:paraId="7BA39F3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）监测仪器设备安装埋设技术措施。</w:t>
      </w:r>
    </w:p>
    <w:p w14:paraId="0C9B7EB8">
      <w:pPr>
        <w:ind w:firstLine="420"/>
        <w:jc w:val="left"/>
        <w:rPr>
          <w:rFonts w:hAnsi="Times New Roman" w:cs="宋体"/>
          <w:color w:val="auto"/>
          <w:highlight w:val="none"/>
          <w:lang w:eastAsia="zh-CN"/>
        </w:rPr>
      </w:pPr>
      <w:r>
        <w:rPr>
          <w:rFonts w:hint="eastAsia" w:hAnsi="Times New Roman" w:cs="宋体"/>
          <w:color w:val="auto"/>
          <w:highlight w:val="none"/>
          <w:lang w:eastAsia="zh-CN"/>
        </w:rPr>
        <w:t>承包人应按监理人指示，编制监测仪器设备安装埋设和维护技术措施，提交监理人批准，其内容包括：</w:t>
      </w:r>
    </w:p>
    <w:p w14:paraId="6D42C39A">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）监测仪器设备编码及其电缆标识规则。</w:t>
      </w:r>
    </w:p>
    <w:p w14:paraId="36E0C9A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）监测仪器设备安装埋设方法和程序。</w:t>
      </w:r>
    </w:p>
    <w:p w14:paraId="1E5BD057">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）监测仪器设备安装埋设详图。</w:t>
      </w:r>
    </w:p>
    <w:p w14:paraId="27A34D04">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）施工期监测仪器设备的维护措施。</w:t>
      </w:r>
    </w:p>
    <w:p w14:paraId="2EB1E39C">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hint="eastAsia" w:hAnsi="Times New Roman" w:cs="宋体"/>
          <w:color w:val="auto"/>
          <w:highlight w:val="none"/>
          <w:lang w:eastAsia="zh-CN"/>
        </w:rPr>
        <w:t>）质量和安全保证措施。</w:t>
      </w:r>
    </w:p>
    <w:p w14:paraId="49CF42B5">
      <w:pPr>
        <w:ind w:firstLine="420"/>
        <w:jc w:val="left"/>
        <w:rPr>
          <w:rFonts w:hAnsi="Times New Roman" w:cs="宋体"/>
          <w:color w:val="auto"/>
          <w:highlight w:val="none"/>
          <w:lang w:eastAsia="zh-CN"/>
        </w:rPr>
      </w:pPr>
      <w:r>
        <w:rPr>
          <w:rFonts w:hAnsi="Times New Roman" w:cs="Times New Roman"/>
          <w:color w:val="auto"/>
          <w:highlight w:val="none"/>
          <w:lang w:eastAsia="zh-CN"/>
        </w:rPr>
        <w:t>6</w:t>
      </w:r>
      <w:r>
        <w:rPr>
          <w:rFonts w:hint="eastAsia" w:hAnsi="Times New Roman" w:cs="宋体"/>
          <w:color w:val="auto"/>
          <w:highlight w:val="none"/>
          <w:lang w:eastAsia="zh-CN"/>
        </w:rPr>
        <w:t>）监测仪器设备安装埋设与工程建筑物施工的协调安排和要求。</w:t>
      </w:r>
    </w:p>
    <w:p w14:paraId="753EF56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）安装埋设记录和质量检查报表。</w:t>
      </w:r>
    </w:p>
    <w:p w14:paraId="66B9AFA2">
      <w:pPr>
        <w:ind w:firstLine="420"/>
        <w:jc w:val="left"/>
        <w:rPr>
          <w:rFonts w:hAnsi="Times New Roman" w:cs="宋体"/>
          <w:color w:val="auto"/>
          <w:highlight w:val="none"/>
          <w:lang w:eastAsia="zh-CN"/>
        </w:rPr>
      </w:pPr>
      <w:r>
        <w:rPr>
          <w:rFonts w:hint="eastAsia" w:hAnsi="Times New Roman" w:cs="宋体"/>
          <w:color w:val="auto"/>
          <w:highlight w:val="none"/>
          <w:lang w:eastAsia="zh-CN"/>
        </w:rPr>
        <w:t>承包人应在施工过程中，及时向监理人提交仪器设备安装埋设的施工记录和质量检查报表，其内容包括：</w:t>
      </w:r>
    </w:p>
    <w:p w14:paraId="5621AA41">
      <w:pPr>
        <w:ind w:firstLine="420"/>
        <w:jc w:val="left"/>
        <w:rPr>
          <w:rFonts w:hAnsi="Times New Roman" w:cs="宋体"/>
          <w:color w:val="auto"/>
          <w:highlight w:val="none"/>
          <w:lang w:eastAsia="zh-CN"/>
        </w:rPr>
      </w:pPr>
      <w:r>
        <w:rPr>
          <w:rFonts w:hAnsi="Times New Roman" w:cs="Times New Roman"/>
          <w:color w:val="auto"/>
          <w:highlight w:val="none"/>
          <w:lang w:eastAsia="zh-CN"/>
        </w:rPr>
        <w:t>l</w:t>
      </w:r>
      <w:r>
        <w:rPr>
          <w:rFonts w:hint="eastAsia" w:hAnsi="Times New Roman" w:cs="宋体"/>
          <w:color w:val="auto"/>
          <w:highlight w:val="none"/>
          <w:lang w:eastAsia="zh-CN"/>
        </w:rPr>
        <w:t>）监测仪器设备安装埋设前、后的测试和调试记录。</w:t>
      </w:r>
    </w:p>
    <w:p w14:paraId="3C2EFFE0">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）仪器设备安装、埋设和调试记录；安装埋设质量检查表和监理人签证表。</w:t>
      </w:r>
    </w:p>
    <w:p w14:paraId="6BDF687C">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）施工期监测记录。</w:t>
      </w:r>
    </w:p>
    <w:p w14:paraId="059F5441">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）质量事故处理记录。</w:t>
      </w:r>
    </w:p>
    <w:p w14:paraId="6798073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）施工期监测规程。</w:t>
      </w:r>
    </w:p>
    <w:p w14:paraId="39E5B42A">
      <w:pPr>
        <w:ind w:firstLine="420"/>
        <w:jc w:val="left"/>
        <w:rPr>
          <w:rFonts w:hAnsi="Times New Roman" w:cs="宋体"/>
          <w:color w:val="auto"/>
          <w:highlight w:val="none"/>
          <w:lang w:eastAsia="zh-CN"/>
        </w:rPr>
      </w:pPr>
      <w:r>
        <w:rPr>
          <w:rFonts w:hint="eastAsia" w:hAnsi="Times New Roman" w:cs="宋体"/>
          <w:color w:val="auto"/>
          <w:highlight w:val="none"/>
          <w:lang w:eastAsia="zh-CN"/>
        </w:rPr>
        <w:t>承包人应在监测工作开始前，编制监测规程提交监理人批准，其内容包括：</w:t>
      </w:r>
    </w:p>
    <w:p w14:paraId="2D663BD6">
      <w:pPr>
        <w:ind w:firstLine="420"/>
        <w:jc w:val="left"/>
        <w:rPr>
          <w:rFonts w:hAnsi="Times New Roman" w:cs="宋体"/>
          <w:color w:val="auto"/>
          <w:highlight w:val="none"/>
          <w:lang w:eastAsia="zh-CN"/>
        </w:rPr>
      </w:pPr>
      <w:r>
        <w:rPr>
          <w:rFonts w:hAnsi="Times New Roman" w:cs="Times New Roman"/>
          <w:color w:val="auto"/>
          <w:highlight w:val="none"/>
          <w:lang w:eastAsia="zh-CN"/>
        </w:rPr>
        <w:t>l</w:t>
      </w:r>
      <w:r>
        <w:rPr>
          <w:rFonts w:hint="eastAsia" w:hAnsi="Times New Roman" w:cs="宋体"/>
          <w:color w:val="auto"/>
          <w:highlight w:val="none"/>
          <w:lang w:eastAsia="zh-CN"/>
        </w:rPr>
        <w:t>）监测点、观测站的位置和埋设时间；监测仪器的监测方法、频次、读数仪表、测读精度控制以及测值换算公式。</w:t>
      </w:r>
    </w:p>
    <w:p w14:paraId="482629D1">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）监测仪器设备的监测方法、监测检查程序；监测仪器设备的维护、保护技术措施。</w:t>
      </w:r>
    </w:p>
    <w:p w14:paraId="5C85D8CD">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）各监测点监测仪器的基本资料的及监测记录整理、整编和分析方法。</w:t>
      </w:r>
    </w:p>
    <w:p w14:paraId="2D0346F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）施工期监测资料整编及成果分析报告承包人应在全部监测设施移交前，按监理人指示提交监测月报、年报，包括原始监测记录在内的监测资料整编及成果分析报告，提交监理人。</w:t>
      </w:r>
    </w:p>
    <w:p w14:paraId="24CF734E">
      <w:pPr>
        <w:pStyle w:val="5"/>
        <w:jc w:val="left"/>
        <w:rPr>
          <w:rFonts w:hAnsi="Times New Roman" w:cs="楷体"/>
          <w:color w:val="auto"/>
          <w:highlight w:val="none"/>
          <w:lang w:eastAsia="zh-CN"/>
        </w:rPr>
      </w:pPr>
      <w:r>
        <w:rPr>
          <w:rFonts w:hAnsi="Times New Roman" w:cs="Times New Roman"/>
          <w:color w:val="auto"/>
          <w:highlight w:val="none"/>
          <w:lang w:eastAsia="zh-CN"/>
        </w:rPr>
        <w:t>25.1.4</w:t>
      </w:r>
      <w:r>
        <w:rPr>
          <w:rFonts w:hint="eastAsia" w:hAnsi="Times New Roman" w:cs="Times New Roman"/>
          <w:color w:val="auto"/>
          <w:highlight w:val="none"/>
          <w:lang w:eastAsia="zh-CN"/>
        </w:rPr>
        <w:t>　</w:t>
      </w:r>
      <w:r>
        <w:rPr>
          <w:rFonts w:hint="eastAsia" w:hAnsi="Times New Roman" w:cs="宋体"/>
          <w:color w:val="auto"/>
          <w:highlight w:val="none"/>
          <w:lang w:eastAsia="zh-CN"/>
        </w:rPr>
        <w:t>引用标准</w:t>
      </w:r>
    </w:p>
    <w:p w14:paraId="41F5214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）《国家一、二等水准测量规范》（</w:t>
      </w:r>
      <w:r>
        <w:rPr>
          <w:rFonts w:hAnsi="Times New Roman" w:cs="Times New Roman"/>
          <w:color w:val="auto"/>
          <w:highlight w:val="none"/>
          <w:lang w:eastAsia="zh-CN"/>
        </w:rPr>
        <w:t>GB/T12897—2006</w:t>
      </w:r>
      <w:r>
        <w:rPr>
          <w:rFonts w:hint="eastAsia" w:hAnsi="Times New Roman" w:cs="宋体"/>
          <w:color w:val="auto"/>
          <w:highlight w:val="none"/>
          <w:lang w:eastAsia="zh-CN"/>
        </w:rPr>
        <w:t>）。</w:t>
      </w:r>
    </w:p>
    <w:p w14:paraId="7B9D3C4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）《国家三角测量规范》（</w:t>
      </w:r>
      <w:r>
        <w:rPr>
          <w:rFonts w:hAnsi="Times New Roman" w:cs="Times New Roman"/>
          <w:color w:val="auto"/>
          <w:highlight w:val="none"/>
          <w:lang w:eastAsia="zh-CN"/>
        </w:rPr>
        <w:t>GB/T17942—2000</w:t>
      </w:r>
      <w:r>
        <w:rPr>
          <w:rFonts w:hint="eastAsia" w:hAnsi="Times New Roman" w:cs="宋体"/>
          <w:color w:val="auto"/>
          <w:highlight w:val="none"/>
          <w:lang w:eastAsia="zh-CN"/>
        </w:rPr>
        <w:t>）。</w:t>
      </w:r>
    </w:p>
    <w:p w14:paraId="7CA17EE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）《水位观测标准》（</w:t>
      </w:r>
      <w:r>
        <w:rPr>
          <w:rFonts w:hAnsi="Times New Roman" w:cs="Times New Roman"/>
          <w:color w:val="auto"/>
          <w:highlight w:val="none"/>
          <w:lang w:eastAsia="zh-CN"/>
        </w:rPr>
        <w:t>GB/T50138—2010</w:t>
      </w:r>
      <w:r>
        <w:rPr>
          <w:rFonts w:hint="eastAsia" w:hAnsi="Times New Roman" w:cs="宋体"/>
          <w:color w:val="auto"/>
          <w:highlight w:val="none"/>
          <w:lang w:eastAsia="zh-CN"/>
        </w:rPr>
        <w:t>）。</w:t>
      </w:r>
    </w:p>
    <w:p w14:paraId="20E147B7">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）《国家三、四等水准测量规范》（</w:t>
      </w:r>
      <w:r>
        <w:rPr>
          <w:rFonts w:hAnsi="Times New Roman" w:cs="Times New Roman"/>
          <w:color w:val="auto"/>
          <w:highlight w:val="none"/>
          <w:lang w:eastAsia="zh-CN"/>
        </w:rPr>
        <w:t>GB/T12898—2009</w:t>
      </w:r>
      <w:r>
        <w:rPr>
          <w:rFonts w:hint="eastAsia" w:hAnsi="Times New Roman" w:cs="宋体"/>
          <w:color w:val="auto"/>
          <w:highlight w:val="none"/>
          <w:lang w:eastAsia="zh-CN"/>
        </w:rPr>
        <w:t>）。</w:t>
      </w:r>
    </w:p>
    <w:p w14:paraId="6FAA98AE">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）《大坝安全自动监测系统设备基本技术条件》（</w:t>
      </w:r>
      <w:r>
        <w:rPr>
          <w:rFonts w:hAnsi="Times New Roman" w:cs="Times New Roman"/>
          <w:color w:val="auto"/>
          <w:highlight w:val="none"/>
          <w:lang w:eastAsia="zh-CN"/>
        </w:rPr>
        <w:t>SL268—2001</w:t>
      </w:r>
      <w:r>
        <w:rPr>
          <w:rFonts w:hint="eastAsia" w:hAnsi="Times New Roman" w:cs="宋体"/>
          <w:color w:val="auto"/>
          <w:highlight w:val="none"/>
          <w:lang w:eastAsia="zh-CN"/>
        </w:rPr>
        <w:t>）。</w:t>
      </w:r>
    </w:p>
    <w:p w14:paraId="4365E57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6</w:t>
      </w:r>
      <w:r>
        <w:rPr>
          <w:rFonts w:hint="eastAsia" w:hAnsi="Times New Roman" w:cs="宋体"/>
          <w:color w:val="auto"/>
          <w:highlight w:val="none"/>
          <w:lang w:eastAsia="zh-CN"/>
        </w:rPr>
        <w:t>）《水利水电工程岩石试验规程》（</w:t>
      </w:r>
      <w:r>
        <w:rPr>
          <w:rFonts w:hAnsi="Times New Roman" w:cs="Times New Roman"/>
          <w:color w:val="auto"/>
          <w:highlight w:val="none"/>
          <w:lang w:eastAsia="zh-CN"/>
        </w:rPr>
        <w:t>SL/T264—2020</w:t>
      </w:r>
      <w:r>
        <w:rPr>
          <w:rFonts w:hint="eastAsia" w:hAnsi="Times New Roman" w:cs="宋体"/>
          <w:color w:val="auto"/>
          <w:highlight w:val="none"/>
          <w:lang w:eastAsia="zh-CN"/>
        </w:rPr>
        <w:t>）。</w:t>
      </w:r>
    </w:p>
    <w:p w14:paraId="27419FC4">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7</w:t>
      </w:r>
      <w:r>
        <w:rPr>
          <w:rFonts w:hint="eastAsia" w:hAnsi="Times New Roman" w:cs="宋体"/>
          <w:color w:val="auto"/>
          <w:highlight w:val="none"/>
          <w:lang w:eastAsia="zh-CN"/>
        </w:rPr>
        <w:t>）《土石坝安全监测资料整编规程》（</w:t>
      </w:r>
      <w:r>
        <w:rPr>
          <w:rFonts w:hAnsi="Times New Roman" w:cs="Times New Roman"/>
          <w:color w:val="auto"/>
          <w:highlight w:val="none"/>
          <w:lang w:eastAsia="zh-CN"/>
        </w:rPr>
        <w:t>DL/T5256—2010</w:t>
      </w:r>
      <w:r>
        <w:rPr>
          <w:rFonts w:hint="eastAsia" w:hAnsi="Times New Roman" w:cs="宋体"/>
          <w:color w:val="auto"/>
          <w:highlight w:val="none"/>
          <w:lang w:eastAsia="zh-CN"/>
        </w:rPr>
        <w:t>）。</w:t>
      </w:r>
    </w:p>
    <w:p w14:paraId="2EE2B7A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8</w:t>
      </w:r>
      <w:r>
        <w:rPr>
          <w:rFonts w:hint="eastAsia" w:hAnsi="Times New Roman" w:cs="宋体"/>
          <w:color w:val="auto"/>
          <w:highlight w:val="none"/>
          <w:lang w:eastAsia="zh-CN"/>
        </w:rPr>
        <w:t>）《土石坝安全监测技术规范》（</w:t>
      </w:r>
      <w:r>
        <w:rPr>
          <w:rFonts w:hAnsi="Times New Roman" w:cs="Times New Roman"/>
          <w:color w:val="auto"/>
          <w:highlight w:val="none"/>
          <w:lang w:eastAsia="zh-CN"/>
        </w:rPr>
        <w:t>SL551—2012</w:t>
      </w:r>
      <w:r>
        <w:rPr>
          <w:rFonts w:hint="eastAsia" w:hAnsi="Times New Roman" w:cs="宋体"/>
          <w:color w:val="auto"/>
          <w:highlight w:val="none"/>
          <w:lang w:eastAsia="zh-CN"/>
        </w:rPr>
        <w:t>）。</w:t>
      </w:r>
    </w:p>
    <w:p w14:paraId="5FA015BC">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9</w:t>
      </w:r>
      <w:r>
        <w:rPr>
          <w:rFonts w:hint="eastAsia" w:hAnsi="Times New Roman" w:cs="宋体"/>
          <w:color w:val="auto"/>
          <w:highlight w:val="none"/>
          <w:lang w:eastAsia="zh-CN"/>
        </w:rPr>
        <w:t>）《水电水利工程岩体观测规程》（</w:t>
      </w:r>
      <w:r>
        <w:rPr>
          <w:rFonts w:hAnsi="Times New Roman" w:cs="Times New Roman"/>
          <w:color w:val="auto"/>
          <w:highlight w:val="none"/>
          <w:lang w:eastAsia="zh-CN"/>
        </w:rPr>
        <w:t>DL/T5006—2007</w:t>
      </w:r>
      <w:r>
        <w:rPr>
          <w:rFonts w:hint="eastAsia" w:hAnsi="Times New Roman" w:cs="宋体"/>
          <w:color w:val="auto"/>
          <w:highlight w:val="none"/>
          <w:lang w:eastAsia="zh-CN"/>
        </w:rPr>
        <w:t>）。</w:t>
      </w:r>
    </w:p>
    <w:p w14:paraId="79A807E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10</w:t>
      </w:r>
      <w:r>
        <w:rPr>
          <w:rFonts w:hint="eastAsia" w:hAnsi="Times New Roman" w:cs="宋体"/>
          <w:color w:val="auto"/>
          <w:highlight w:val="none"/>
          <w:lang w:eastAsia="zh-CN"/>
        </w:rPr>
        <w:t>）《混凝土坝安全监测资料整编规程》（</w:t>
      </w:r>
      <w:r>
        <w:rPr>
          <w:rFonts w:hAnsi="Times New Roman" w:cs="Times New Roman"/>
          <w:color w:val="auto"/>
          <w:highlight w:val="none"/>
          <w:lang w:eastAsia="zh-CN"/>
        </w:rPr>
        <w:t>DL/T5209—2020</w:t>
      </w:r>
      <w:r>
        <w:rPr>
          <w:rFonts w:hint="eastAsia" w:hAnsi="Times New Roman" w:cs="宋体"/>
          <w:color w:val="auto"/>
          <w:highlight w:val="none"/>
          <w:lang w:eastAsia="zh-CN"/>
        </w:rPr>
        <w:t>）。</w:t>
      </w:r>
    </w:p>
    <w:p w14:paraId="6B17CBD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11</w:t>
      </w:r>
      <w:r>
        <w:rPr>
          <w:rFonts w:hint="eastAsia" w:hAnsi="Times New Roman" w:cs="宋体"/>
          <w:color w:val="auto"/>
          <w:highlight w:val="none"/>
          <w:lang w:eastAsia="zh-CN"/>
        </w:rPr>
        <w:t>）《混凝土坝安全监测技术规范》（</w:t>
      </w:r>
      <w:r>
        <w:rPr>
          <w:rFonts w:hAnsi="Times New Roman" w:cs="Times New Roman"/>
          <w:color w:val="auto"/>
          <w:highlight w:val="none"/>
          <w:lang w:eastAsia="zh-CN"/>
        </w:rPr>
        <w:t>DL/T5178—2016</w:t>
      </w:r>
      <w:r>
        <w:rPr>
          <w:rFonts w:hint="eastAsia" w:hAnsi="Times New Roman" w:cs="宋体"/>
          <w:color w:val="auto"/>
          <w:highlight w:val="none"/>
          <w:lang w:eastAsia="zh-CN"/>
        </w:rPr>
        <w:t>）。</w:t>
      </w:r>
    </w:p>
    <w:p w14:paraId="388E2AD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12</w:t>
      </w:r>
      <w:r>
        <w:rPr>
          <w:rFonts w:hint="eastAsia" w:hAnsi="Times New Roman" w:cs="宋体"/>
          <w:color w:val="auto"/>
          <w:highlight w:val="none"/>
          <w:lang w:eastAsia="zh-CN"/>
        </w:rPr>
        <w:t>）《混凝土坝安全监测技术规范》（</w:t>
      </w:r>
      <w:r>
        <w:rPr>
          <w:rFonts w:hAnsi="Times New Roman" w:cs="Times New Roman"/>
          <w:color w:val="auto"/>
          <w:highlight w:val="none"/>
          <w:lang w:eastAsia="zh-CN"/>
        </w:rPr>
        <w:t>SL601—2013</w:t>
      </w:r>
      <w:r>
        <w:rPr>
          <w:rFonts w:hint="eastAsia" w:hAnsi="Times New Roman" w:cs="宋体"/>
          <w:color w:val="auto"/>
          <w:highlight w:val="none"/>
          <w:lang w:eastAsia="zh-CN"/>
        </w:rPr>
        <w:t>）。</w:t>
      </w:r>
    </w:p>
    <w:p w14:paraId="75180E81">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13</w:t>
      </w:r>
      <w:r>
        <w:rPr>
          <w:rFonts w:hint="eastAsia" w:hAnsi="Times New Roman" w:cs="宋体"/>
          <w:color w:val="auto"/>
          <w:highlight w:val="none"/>
          <w:lang w:eastAsia="zh-CN"/>
        </w:rPr>
        <w:t>）《中、短程光电测距规范》（</w:t>
      </w:r>
      <w:r>
        <w:rPr>
          <w:rFonts w:hAnsi="Times New Roman" w:cs="Times New Roman"/>
          <w:color w:val="auto"/>
          <w:highlight w:val="none"/>
          <w:lang w:eastAsia="zh-CN"/>
        </w:rPr>
        <w:t>GB/T16818—2008</w:t>
      </w:r>
      <w:r>
        <w:rPr>
          <w:rFonts w:hint="eastAsia" w:hAnsi="Times New Roman" w:cs="宋体"/>
          <w:color w:val="auto"/>
          <w:highlight w:val="none"/>
          <w:lang w:eastAsia="zh-CN"/>
        </w:rPr>
        <w:t>）。</w:t>
      </w:r>
    </w:p>
    <w:p w14:paraId="31166AC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14</w:t>
      </w:r>
      <w:r>
        <w:rPr>
          <w:rFonts w:hint="eastAsia" w:hAnsi="Times New Roman" w:cs="宋体"/>
          <w:color w:val="auto"/>
          <w:highlight w:val="none"/>
          <w:lang w:eastAsia="zh-CN"/>
        </w:rPr>
        <w:t>）《水利水电工程施工测量规范》（</w:t>
      </w:r>
      <w:r>
        <w:rPr>
          <w:rFonts w:hAnsi="Times New Roman" w:cs="Times New Roman"/>
          <w:color w:val="auto"/>
          <w:highlight w:val="none"/>
          <w:lang w:eastAsia="zh-CN"/>
        </w:rPr>
        <w:t>SL52—2015</w:t>
      </w:r>
      <w:r>
        <w:rPr>
          <w:rFonts w:hint="eastAsia" w:hAnsi="Times New Roman" w:cs="宋体"/>
          <w:color w:val="auto"/>
          <w:highlight w:val="none"/>
          <w:lang w:eastAsia="zh-CN"/>
        </w:rPr>
        <w:t>）。</w:t>
      </w:r>
    </w:p>
    <w:p w14:paraId="5B2F982C">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15</w:t>
      </w:r>
      <w:r>
        <w:rPr>
          <w:rFonts w:hint="eastAsia" w:hAnsi="Times New Roman" w:cs="宋体"/>
          <w:color w:val="auto"/>
          <w:highlight w:val="none"/>
          <w:lang w:eastAsia="zh-CN"/>
        </w:rPr>
        <w:t>）《地震监测管理条例》国务院令第</w:t>
      </w:r>
      <w:r>
        <w:rPr>
          <w:rFonts w:hAnsi="Times New Roman" w:cs="Times New Roman"/>
          <w:color w:val="auto"/>
          <w:highlight w:val="none"/>
          <w:lang w:eastAsia="zh-CN"/>
        </w:rPr>
        <w:t>409</w:t>
      </w:r>
      <w:r>
        <w:rPr>
          <w:rFonts w:hint="eastAsia" w:hAnsi="Times New Roman" w:cs="宋体"/>
          <w:color w:val="auto"/>
          <w:highlight w:val="none"/>
          <w:lang w:eastAsia="zh-CN"/>
        </w:rPr>
        <w:t>号。</w:t>
      </w:r>
    </w:p>
    <w:p w14:paraId="590028BA">
      <w:pPr>
        <w:pStyle w:val="4"/>
        <w:spacing w:beforeLines="0" w:afterLines="0"/>
        <w:jc w:val="both"/>
        <w:rPr>
          <w:rFonts w:hint="eastAsia" w:cs="宋体"/>
          <w:bCs/>
          <w:color w:val="auto"/>
          <w:szCs w:val="24"/>
          <w:highlight w:val="none"/>
          <w:lang w:eastAsia="zh-CN"/>
        </w:rPr>
      </w:pPr>
      <w:bookmarkStart w:id="2320" w:name="_Toc9318"/>
      <w:bookmarkStart w:id="2321" w:name="_Toc972"/>
      <w:bookmarkStart w:id="2322" w:name="_Toc19788"/>
      <w:r>
        <w:rPr>
          <w:rFonts w:hint="eastAsia" w:cs="宋体"/>
          <w:b/>
          <w:bCs/>
          <w:color w:val="auto"/>
          <w:szCs w:val="24"/>
          <w:highlight w:val="none"/>
          <w:lang w:eastAsia="zh-CN"/>
        </w:rPr>
        <w:t>25.2　监测仪器设备的采购、检验和安装埋设</w:t>
      </w:r>
      <w:bookmarkEnd w:id="2320"/>
      <w:bookmarkEnd w:id="2321"/>
      <w:bookmarkEnd w:id="2322"/>
    </w:p>
    <w:p w14:paraId="0787F437">
      <w:pPr>
        <w:pStyle w:val="5"/>
        <w:jc w:val="left"/>
        <w:rPr>
          <w:rFonts w:hAnsi="Times New Roman" w:cs="楷体"/>
          <w:color w:val="auto"/>
          <w:highlight w:val="none"/>
          <w:lang w:eastAsia="zh-CN"/>
        </w:rPr>
      </w:pPr>
      <w:r>
        <w:rPr>
          <w:rFonts w:hAnsi="Times New Roman" w:cs="Times New Roman"/>
          <w:color w:val="auto"/>
          <w:highlight w:val="none"/>
          <w:lang w:eastAsia="zh-CN"/>
        </w:rPr>
        <w:t>25.2.1</w:t>
      </w:r>
      <w:r>
        <w:rPr>
          <w:rFonts w:hint="eastAsia" w:hAnsi="Times New Roman" w:cs="Times New Roman"/>
          <w:color w:val="auto"/>
          <w:highlight w:val="none"/>
          <w:lang w:eastAsia="zh-CN"/>
        </w:rPr>
        <w:t>　</w:t>
      </w:r>
      <w:r>
        <w:rPr>
          <w:rFonts w:hint="eastAsia" w:hAnsi="Times New Roman" w:cs="楷体"/>
          <w:color w:val="auto"/>
          <w:highlight w:val="none"/>
          <w:lang w:eastAsia="zh-CN"/>
        </w:rPr>
        <w:t>监测仪器设备的采购</w:t>
      </w:r>
    </w:p>
    <w:p w14:paraId="750F5C5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l</w:t>
      </w:r>
      <w:r>
        <w:rPr>
          <w:rFonts w:hint="eastAsia" w:hAnsi="Times New Roman" w:cs="宋体"/>
          <w:color w:val="auto"/>
          <w:highlight w:val="none"/>
          <w:lang w:eastAsia="zh-CN"/>
        </w:rPr>
        <w:t>）除合同另有约定外，承包人应在发包人的监督下，按工程量清单所列项目，对所有监测仪器设备进行招标采购。承包人应按本合同技术条款和施工图纸的规定，采购仪器设备及其安装附属材料等。</w:t>
      </w:r>
    </w:p>
    <w:p w14:paraId="0F573F8E">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）招标采购的国产仪器设备生产厂家必须持有《制造计量器具许可证》和《工业产品生产许可证》。进口仪器设备必须经省级以上计量主管部门检定，并持有生产厂家的相关标准校准度和检验合格证书。</w:t>
      </w:r>
    </w:p>
    <w:p w14:paraId="26DB48B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）监测仪器使用的电缆应是能负重、防水、防酸、防碱、耐腐蚀、质地柔软的水工观测专用电缆，其芯线应为镀锡铜丝，适应温度范围在</w:t>
      </w:r>
      <w:r>
        <w:rPr>
          <w:rFonts w:hAnsi="Times New Roman" w:cs="Times New Roman"/>
          <w:color w:val="auto"/>
          <w:highlight w:val="none"/>
          <w:lang w:eastAsia="zh-CN"/>
        </w:rPr>
        <w:t>-20</w:t>
      </w:r>
      <w:r>
        <w:rPr>
          <w:rFonts w:hint="eastAsia" w:hAnsi="Times New Roman" w:cs="宋体"/>
          <w:color w:val="auto"/>
          <w:highlight w:val="none"/>
          <w:lang w:eastAsia="zh-CN"/>
        </w:rPr>
        <w:t>～</w:t>
      </w:r>
      <w:r>
        <w:rPr>
          <w:rFonts w:hAnsi="Times New Roman" w:cs="Times New Roman"/>
          <w:color w:val="auto"/>
          <w:highlight w:val="none"/>
          <w:lang w:eastAsia="zh-CN"/>
        </w:rPr>
        <w:t>60</w:t>
      </w:r>
      <w:r>
        <w:rPr>
          <w:rFonts w:hint="eastAsia" w:hAnsi="Times New Roman" w:cs="宋体"/>
          <w:color w:val="auto"/>
          <w:highlight w:val="none"/>
          <w:lang w:eastAsia="zh-CN"/>
        </w:rPr>
        <w:t>℃之间。电缆芯线应在</w:t>
      </w:r>
      <w:r>
        <w:rPr>
          <w:rFonts w:hAnsi="Times New Roman" w:cs="Times New Roman"/>
          <w:color w:val="auto"/>
          <w:highlight w:val="none"/>
          <w:lang w:eastAsia="zh-CN"/>
        </w:rPr>
        <w:t>100m</w:t>
      </w:r>
      <w:r>
        <w:rPr>
          <w:rFonts w:hint="eastAsia" w:hAnsi="Times New Roman" w:cs="宋体"/>
          <w:color w:val="auto"/>
          <w:highlight w:val="none"/>
          <w:lang w:eastAsia="zh-CN"/>
        </w:rPr>
        <w:t>内无接头。</w:t>
      </w:r>
    </w:p>
    <w:p w14:paraId="2F3F11D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）承包人应在监测仪器设备安装前，将采购的仪器设备的详细资料提交监理人审核，应提交的仪器设备资料包括：</w:t>
      </w:r>
    </w:p>
    <w:p w14:paraId="3DF19826">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）仪器设备采购清单（包括型号、规格和主要技术指标）。</w:t>
      </w:r>
    </w:p>
    <w:p w14:paraId="3FD66422">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）仪器设备制造厂名称、生产许可证和仪器设备使用说明书。</w:t>
      </w:r>
    </w:p>
    <w:p w14:paraId="605DC1D3">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）仪器设备的检验和测试规程。</w:t>
      </w:r>
    </w:p>
    <w:p w14:paraId="09663C25">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）仪器设备安装和埋设方法。</w:t>
      </w:r>
    </w:p>
    <w:p w14:paraId="04CE9EDF">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hint="eastAsia" w:hAnsi="Times New Roman" w:cs="宋体"/>
          <w:color w:val="auto"/>
          <w:highlight w:val="none"/>
          <w:lang w:eastAsia="zh-CN"/>
        </w:rPr>
        <w:t>）监理人要求提交的其它资料、</w:t>
      </w:r>
    </w:p>
    <w:p w14:paraId="52CAB162">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）承包人应按合同约定，配备必要的备品备件，其费用应已包括在上述采购合同内。</w:t>
      </w:r>
    </w:p>
    <w:p w14:paraId="4459FDAB">
      <w:pPr>
        <w:pStyle w:val="5"/>
        <w:jc w:val="left"/>
        <w:rPr>
          <w:rFonts w:hAnsi="Times New Roman" w:cs="楷体"/>
          <w:color w:val="auto"/>
          <w:highlight w:val="none"/>
          <w:lang w:eastAsia="zh-CN"/>
        </w:rPr>
      </w:pPr>
      <w:r>
        <w:rPr>
          <w:rFonts w:hAnsi="Times New Roman" w:cs="Times New Roman"/>
          <w:color w:val="auto"/>
          <w:highlight w:val="none"/>
          <w:lang w:eastAsia="zh-CN"/>
        </w:rPr>
        <w:t>25.2.2</w:t>
      </w:r>
      <w:r>
        <w:rPr>
          <w:rFonts w:hint="eastAsia" w:hAnsi="Times New Roman" w:cs="Times New Roman"/>
          <w:color w:val="auto"/>
          <w:highlight w:val="none"/>
          <w:lang w:eastAsia="zh-CN"/>
        </w:rPr>
        <w:t>　</w:t>
      </w:r>
      <w:r>
        <w:rPr>
          <w:rFonts w:hint="eastAsia" w:hAnsi="Times New Roman" w:cs="楷体"/>
          <w:color w:val="auto"/>
          <w:highlight w:val="none"/>
          <w:lang w:eastAsia="zh-CN"/>
        </w:rPr>
        <w:t>监测仪器设备的检验和验收</w:t>
      </w:r>
    </w:p>
    <w:p w14:paraId="0E532EC6">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）承包人应要求生产厂家在监测仪器设备出厂前，完成全部监测仪器设备的调试、检验和率定等工作，每项设备均应提交检验合格证书。</w:t>
      </w:r>
    </w:p>
    <w:p w14:paraId="0841480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）监测仪器设备运至现场后，承包人应按本技术条款和施工图纸要求，对生产厂家提供的全部监测仪器设备进行检验和验收。</w:t>
      </w:r>
    </w:p>
    <w:p w14:paraId="1E67E21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）所有光学、电子测量仪器必须经批准的国家计量和检验部门进行检验和率定，检验合格后才能进行安装。超过检验有效期的，应重新检验。检验成果应提交监理人。</w:t>
      </w:r>
    </w:p>
    <w:p w14:paraId="503109A4">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）承包人应会同监理人对监测仪器设备进行全面侧试，对电缆还应进行通电测试及防水检验。其测试记录应提交监理人。</w:t>
      </w:r>
    </w:p>
    <w:p w14:paraId="663F79B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）承包人应根据检验结果编写仪器设备检验报告，并应在仪器设备开始安装前，提交监理人审核确认合格后进行安装埋设。</w:t>
      </w:r>
    </w:p>
    <w:p w14:paraId="08524D10">
      <w:pPr>
        <w:pStyle w:val="5"/>
        <w:jc w:val="left"/>
        <w:rPr>
          <w:rFonts w:hAnsi="Times New Roman" w:cs="楷体"/>
          <w:color w:val="auto"/>
          <w:highlight w:val="none"/>
          <w:lang w:eastAsia="zh-CN"/>
        </w:rPr>
      </w:pPr>
      <w:r>
        <w:rPr>
          <w:rFonts w:hAnsi="Times New Roman" w:cs="Times New Roman"/>
          <w:color w:val="auto"/>
          <w:highlight w:val="none"/>
          <w:lang w:eastAsia="zh-CN"/>
        </w:rPr>
        <w:t>25.2.3</w:t>
      </w:r>
      <w:r>
        <w:rPr>
          <w:rFonts w:hint="eastAsia" w:hAnsi="Times New Roman" w:cs="Times New Roman"/>
          <w:color w:val="auto"/>
          <w:highlight w:val="none"/>
          <w:lang w:eastAsia="zh-CN"/>
        </w:rPr>
        <w:t>　</w:t>
      </w:r>
      <w:r>
        <w:rPr>
          <w:rFonts w:hint="eastAsia" w:hAnsi="Times New Roman" w:cs="楷体"/>
          <w:color w:val="auto"/>
          <w:highlight w:val="none"/>
          <w:lang w:eastAsia="zh-CN"/>
        </w:rPr>
        <w:t>监测仪器设备的安装埋设</w:t>
      </w:r>
    </w:p>
    <w:p w14:paraId="7C3BAB4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）承包人应将监测仪器设备的埋设计划列入建筑物的施工进度计划中，以便及时提供安装埋设工作面，协调好与建筑物施工的相互干扰。</w:t>
      </w:r>
    </w:p>
    <w:p w14:paraId="2A28DCB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仪器设备安装和埋设中应使用经批准的编码系统，对各种仪器设备、电缆、监测断面、控制坐标等进行统一编号。每支仪器均须建立档案卡和基本资料表，并将仪器资料按发包人指定的格式录入计算机仪器档案库中。</w:t>
      </w:r>
    </w:p>
    <w:p w14:paraId="0D86AD1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）承包人应严格按批准的监测仪器设备布置与生产厂家的使用说明书进行安装和埋设。若监理人检查发现埋设的仪器设备失效，有权指示承包人应立即置换。</w:t>
      </w:r>
    </w:p>
    <w:p w14:paraId="3E6958F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）仪器电缆的敷设应按施工图纸和生产厂家说明书进行，尽可能减少接头，拼接和连接接头。承包人应在所有仪器的电缆上加设至少</w:t>
      </w:r>
      <w:r>
        <w:rPr>
          <w:rFonts w:hAnsi="Times New Roman" w:cs="Times New Roman"/>
          <w:color w:val="auto"/>
          <w:highlight w:val="none"/>
          <w:lang w:eastAsia="zh-CN"/>
        </w:rPr>
        <w:t>3</w:t>
      </w:r>
      <w:r>
        <w:rPr>
          <w:rFonts w:hint="eastAsia" w:hAnsi="Times New Roman" w:cs="宋体"/>
          <w:color w:val="auto"/>
          <w:highlight w:val="none"/>
          <w:lang w:eastAsia="zh-CN"/>
        </w:rPr>
        <w:t>个耐久、防水、间距为</w:t>
      </w:r>
      <w:r>
        <w:rPr>
          <w:rFonts w:hAnsi="Times New Roman" w:cs="Times New Roman"/>
          <w:color w:val="auto"/>
          <w:highlight w:val="none"/>
          <w:lang w:eastAsia="zh-CN"/>
        </w:rPr>
        <w:t>20m</w:t>
      </w:r>
      <w:r>
        <w:rPr>
          <w:rFonts w:hint="eastAsia" w:hAnsi="Times New Roman" w:cs="宋体"/>
          <w:color w:val="auto"/>
          <w:highlight w:val="none"/>
          <w:lang w:eastAsia="zh-CN"/>
        </w:rPr>
        <w:t>的标签，以保证识别不同仪器所使用的电缆。</w:t>
      </w:r>
    </w:p>
    <w:p w14:paraId="0C1F4DE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）仪器设备及电缆安装埋设后，承包人应会同监理人在规定的时间内进行检查，并提交检查报告。经监理人验收合格后，由承包人测读初始值提交监理人。</w:t>
      </w:r>
    </w:p>
    <w:p w14:paraId="6BB9613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6</w:t>
      </w:r>
      <w:r>
        <w:rPr>
          <w:rFonts w:hint="eastAsia" w:hAnsi="Times New Roman" w:cs="宋体"/>
          <w:color w:val="auto"/>
          <w:highlight w:val="none"/>
          <w:lang w:eastAsia="zh-CN"/>
        </w:rPr>
        <w:t>）每支仪器安装和埋设后，承包人应将仪器的安装埋设考证表提交监理人。</w:t>
      </w:r>
    </w:p>
    <w:p w14:paraId="7729E25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7</w:t>
      </w:r>
      <w:r>
        <w:rPr>
          <w:rFonts w:hint="eastAsia" w:hAnsi="Times New Roman" w:cs="宋体"/>
          <w:color w:val="auto"/>
          <w:highlight w:val="none"/>
          <w:lang w:eastAsia="zh-CN"/>
        </w:rPr>
        <w:t>）在施工过程中，承包人应保护好所有仪器设备（包括电缆）和设施，包括为保护部位提供保护罩、保护标志和路障等。未完成管道和套管的开口端应及时加盖。</w:t>
      </w:r>
    </w:p>
    <w:p w14:paraId="0A8C9E4F">
      <w:pPr>
        <w:pStyle w:val="4"/>
        <w:spacing w:beforeLines="0" w:afterLines="0"/>
        <w:jc w:val="both"/>
        <w:rPr>
          <w:rFonts w:hint="eastAsia" w:cs="宋体"/>
          <w:bCs/>
          <w:color w:val="auto"/>
          <w:szCs w:val="24"/>
          <w:highlight w:val="none"/>
          <w:lang w:eastAsia="zh-CN"/>
        </w:rPr>
      </w:pPr>
      <w:bookmarkStart w:id="2323" w:name="_Toc22943"/>
      <w:bookmarkStart w:id="2324" w:name="_Toc17924"/>
      <w:bookmarkStart w:id="2325" w:name="_Toc15666"/>
      <w:r>
        <w:rPr>
          <w:rFonts w:hint="eastAsia" w:cs="宋体"/>
          <w:b/>
          <w:bCs/>
          <w:color w:val="auto"/>
          <w:szCs w:val="24"/>
          <w:highlight w:val="none"/>
          <w:lang w:eastAsia="zh-CN"/>
        </w:rPr>
        <w:t>25.3　施工期安全监测及其监测资料整编</w:t>
      </w:r>
      <w:bookmarkEnd w:id="2323"/>
      <w:bookmarkEnd w:id="2324"/>
      <w:bookmarkEnd w:id="2325"/>
    </w:p>
    <w:p w14:paraId="6E34BA43">
      <w:pPr>
        <w:pStyle w:val="5"/>
        <w:jc w:val="left"/>
        <w:rPr>
          <w:rFonts w:hAnsi="Times New Roman" w:cs="楷体"/>
          <w:color w:val="auto"/>
          <w:highlight w:val="none"/>
          <w:lang w:eastAsia="zh-CN"/>
        </w:rPr>
      </w:pPr>
      <w:r>
        <w:rPr>
          <w:rFonts w:hAnsi="Times New Roman" w:cs="Times New Roman"/>
          <w:color w:val="auto"/>
          <w:highlight w:val="none"/>
          <w:lang w:eastAsia="zh-CN"/>
        </w:rPr>
        <w:t>25.3.1</w:t>
      </w:r>
      <w:r>
        <w:rPr>
          <w:rFonts w:hint="eastAsia" w:hAnsi="Times New Roman" w:cs="Times New Roman"/>
          <w:color w:val="auto"/>
          <w:highlight w:val="none"/>
          <w:lang w:eastAsia="zh-CN"/>
        </w:rPr>
        <w:t>　</w:t>
      </w:r>
      <w:r>
        <w:rPr>
          <w:rFonts w:hint="eastAsia" w:hAnsi="Times New Roman" w:cs="楷体"/>
          <w:color w:val="auto"/>
          <w:highlight w:val="none"/>
          <w:lang w:eastAsia="zh-CN"/>
        </w:rPr>
        <w:t>施工期安全监测</w:t>
      </w:r>
    </w:p>
    <w:p w14:paraId="4FBCF043">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）监测仪器设备安装埋设完毕后，承包人应及时记录初始读数，并按监理人批准的监测规程负责施工期的全部安全监测工作，直至向发包人移交全部监测设施为止。</w:t>
      </w:r>
    </w:p>
    <w:p w14:paraId="27C6C734">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若按合同约定，由发包人负责施工期安全监测，则承包人应在监测仪器设备安装埋设完毕，建立初始读数和正常运行天后，经监理人检验合格，由承包人将监测仪器设备，连同监测仪器设备的档案卡、安装埋设考证表和验收资料等全部移交给发包人。</w:t>
      </w:r>
    </w:p>
    <w:p w14:paraId="1EB9F795">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）施工期监测数据的采集工作必须按照监测规程规定的监测项目、测次和时间进行。必要时，还应根据实际情况和监理人指示，适当调整监测次数和时间。</w:t>
      </w:r>
    </w:p>
    <w:p w14:paraId="4F3B465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）承包人应对埋有监测仪器设备的工程建筑物进行巡视检查，并应将检查项目和巡检计划，提交监理人。巡检内容包括：</w:t>
      </w:r>
    </w:p>
    <w:p w14:paraId="2B530B9A">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）按指定的格式作好日常巡检记录，并编制报表提交监理人。</w:t>
      </w:r>
    </w:p>
    <w:p w14:paraId="5C194ADF">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）年度巡检应在每年汛期进行，发现安全隐患应立即报告监理人。巡检结束后应按监理人指定的格式提交巡检报告。</w:t>
      </w:r>
    </w:p>
    <w:p w14:paraId="501A1529">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）如发生暴雨、大洪水、有感地震、库水位骤升骤降、持续高水位以及建筑物出现其它异常等情况时，应进行特别巡检，并按监理人指示增加测次。特别巡检结束后，应及时将特别巡检报告提交监理人。</w:t>
      </w:r>
    </w:p>
    <w:p w14:paraId="216AA8F7">
      <w:pPr>
        <w:pStyle w:val="5"/>
        <w:jc w:val="left"/>
        <w:rPr>
          <w:rFonts w:hAnsi="Times New Roman" w:cs="楷体"/>
          <w:color w:val="auto"/>
          <w:highlight w:val="none"/>
          <w:lang w:eastAsia="zh-CN"/>
        </w:rPr>
      </w:pPr>
      <w:r>
        <w:rPr>
          <w:rFonts w:hAnsi="Times New Roman" w:cs="Times New Roman"/>
          <w:color w:val="auto"/>
          <w:highlight w:val="none"/>
          <w:lang w:eastAsia="zh-CN"/>
        </w:rPr>
        <w:t>25.3.2</w:t>
      </w:r>
      <w:r>
        <w:rPr>
          <w:rFonts w:hint="eastAsia" w:hAnsi="Times New Roman" w:cs="Times New Roman"/>
          <w:color w:val="auto"/>
          <w:highlight w:val="none"/>
          <w:lang w:eastAsia="zh-CN"/>
        </w:rPr>
        <w:t>　</w:t>
      </w:r>
      <w:r>
        <w:rPr>
          <w:rFonts w:hint="eastAsia" w:hAnsi="Times New Roman" w:cs="楷体"/>
          <w:color w:val="auto"/>
          <w:highlight w:val="none"/>
          <w:lang w:eastAsia="zh-CN"/>
        </w:rPr>
        <w:t>施工期安全监测资料的整编</w:t>
      </w:r>
    </w:p>
    <w:p w14:paraId="0D519ECC">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）承包人应将监测仪器埋设的竣工图、各种原始数据和有关文字、图表（包括影像、图片）等资料，综合整理成安全监测成果，汇编成册。</w:t>
      </w:r>
    </w:p>
    <w:p w14:paraId="790C7A92">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）承包人应在每次监测后立即进行原始数据记录的检验和分析、监测物理量的换算，以及异常值的判别等工作。如遇天气、施工等原因，造成监测数据突变时，应加以说明。</w:t>
      </w:r>
    </w:p>
    <w:p w14:paraId="07B6748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）经检查检验后，若判定监测数据不在限差以内或含有粗差，应立即重测；若判定监测数据含有较大的系统误差时，应分析原因，并设法减少或消除其影响。</w:t>
      </w:r>
    </w:p>
    <w:p w14:paraId="0A88112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）承包人应按监理人指示进行监测资料的整编工作。整编内容包括：</w:t>
      </w:r>
    </w:p>
    <w:p w14:paraId="71530C8D">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）工程建筑物安全监测工作总报告。</w:t>
      </w:r>
    </w:p>
    <w:p w14:paraId="7D10488E">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）工程建筑物安全监测要求和安全监测措施计划等的有关文件。</w:t>
      </w:r>
    </w:p>
    <w:p w14:paraId="1EBF394B">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）仪器型号、规格、技术参数、工作原理和使用说明的仪器资料以及测点布置和仪器埋设的原始记录，仪器维护记录等。</w:t>
      </w:r>
    </w:p>
    <w:p w14:paraId="2F49C708">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）日常监测和巡检的原始记录、报表和报告，包括特征值汇总表、每个测点监测数据过程线、监测成果分析资料、物理量计算成果及各种图表等。</w:t>
      </w:r>
    </w:p>
    <w:p w14:paraId="514C00CE">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hint="eastAsia" w:hAnsi="Times New Roman" w:cs="宋体"/>
          <w:color w:val="auto"/>
          <w:highlight w:val="none"/>
          <w:lang w:eastAsia="zh-CN"/>
        </w:rPr>
        <w:t>）其它相关资料：包括工程安全检查报告、事故处理报告、仪器设备管理档案，以及工程竣工安全鉴定结论、咨询会议记录以及意见和建议等。</w:t>
      </w:r>
    </w:p>
    <w:p w14:paraId="6E7FF8B8">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）所有监测资料要求按发包人指定的格式或按《土石坝安全监测资料整编规程》（</w:t>
      </w:r>
      <w:r>
        <w:rPr>
          <w:rFonts w:hAnsi="Times New Roman" w:cs="Times New Roman"/>
          <w:color w:val="auto"/>
          <w:highlight w:val="none"/>
          <w:lang w:eastAsia="zh-CN"/>
        </w:rPr>
        <w:t>DL/T5256-2010</w:t>
      </w:r>
      <w:r>
        <w:rPr>
          <w:rFonts w:hint="eastAsia" w:hAnsi="Times New Roman" w:cs="宋体"/>
          <w:color w:val="auto"/>
          <w:highlight w:val="none"/>
          <w:lang w:eastAsia="zh-CN"/>
        </w:rPr>
        <w:t>）、《混凝土坝安全监测资料整编规程》（</w:t>
      </w:r>
      <w:r>
        <w:rPr>
          <w:rFonts w:hAnsi="Times New Roman" w:cs="Times New Roman"/>
          <w:color w:val="auto"/>
          <w:highlight w:val="none"/>
          <w:lang w:eastAsia="zh-CN"/>
        </w:rPr>
        <w:t>DL/T5209—2020</w:t>
      </w:r>
      <w:r>
        <w:rPr>
          <w:rFonts w:hint="eastAsia" w:hAnsi="Times New Roman" w:cs="宋体"/>
          <w:color w:val="auto"/>
          <w:highlight w:val="none"/>
          <w:lang w:eastAsia="zh-CN"/>
        </w:rPr>
        <w:t>）指定的格式建立数据库，输入计算机。用磁盘或光盘备份保存并刊印成册。</w:t>
      </w:r>
    </w:p>
    <w:p w14:paraId="5871E909">
      <w:pPr>
        <w:pStyle w:val="4"/>
        <w:spacing w:beforeLines="0" w:afterLines="0"/>
        <w:jc w:val="both"/>
        <w:rPr>
          <w:rFonts w:hint="eastAsia" w:cs="宋体"/>
          <w:bCs/>
          <w:color w:val="auto"/>
          <w:szCs w:val="24"/>
          <w:highlight w:val="none"/>
          <w:lang w:eastAsia="zh-CN"/>
        </w:rPr>
      </w:pPr>
      <w:bookmarkStart w:id="2326" w:name="_Toc28673"/>
      <w:bookmarkStart w:id="2327" w:name="_Toc16043"/>
      <w:bookmarkStart w:id="2328" w:name="_Toc9217"/>
      <w:r>
        <w:rPr>
          <w:rFonts w:hint="eastAsia" w:cs="宋体"/>
          <w:b/>
          <w:bCs/>
          <w:color w:val="auto"/>
          <w:szCs w:val="24"/>
          <w:highlight w:val="none"/>
          <w:lang w:eastAsia="zh-CN"/>
        </w:rPr>
        <w:t>25.4　缺陷责任期安全监测及其监测资料整编</w:t>
      </w:r>
      <w:bookmarkEnd w:id="2326"/>
      <w:bookmarkEnd w:id="2327"/>
      <w:bookmarkEnd w:id="2328"/>
    </w:p>
    <w:p w14:paraId="6537E81D">
      <w:pPr>
        <w:pStyle w:val="5"/>
        <w:jc w:val="left"/>
        <w:rPr>
          <w:rFonts w:hAnsi="Times New Roman" w:cs="楷体"/>
          <w:color w:val="auto"/>
          <w:highlight w:val="none"/>
          <w:lang w:eastAsia="zh-CN"/>
        </w:rPr>
      </w:pPr>
      <w:r>
        <w:rPr>
          <w:rFonts w:hAnsi="Times New Roman" w:cs="Times New Roman"/>
          <w:color w:val="auto"/>
          <w:highlight w:val="none"/>
          <w:lang w:eastAsia="zh-CN"/>
        </w:rPr>
        <w:t>25.4.1</w:t>
      </w:r>
      <w:r>
        <w:rPr>
          <w:rFonts w:hint="eastAsia" w:hAnsi="Times New Roman" w:cs="Times New Roman"/>
          <w:color w:val="auto"/>
          <w:highlight w:val="none"/>
          <w:lang w:eastAsia="zh-CN"/>
        </w:rPr>
        <w:t>　</w:t>
      </w:r>
      <w:r>
        <w:rPr>
          <w:rFonts w:hint="eastAsia" w:hAnsi="Times New Roman" w:cs="楷体"/>
          <w:color w:val="auto"/>
          <w:highlight w:val="none"/>
          <w:lang w:eastAsia="zh-CN"/>
        </w:rPr>
        <w:t>缺陷责任期安全监测</w:t>
      </w:r>
    </w:p>
    <w:p w14:paraId="3BBBCB5E">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）监测仪器设备安装埋设完毕后，承包人应及时记录初始读数，并按监理人批准的监测规程负责缺陷责任期的全部安全监测工作，直至向发包人移交全部监测设施为止。</w:t>
      </w:r>
    </w:p>
    <w:p w14:paraId="7A3616D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若按合同约定，由发包人负责缺陷责任期安全监测，则承包人应在监测仪器设备安装埋设完毕，建立初始读数和正常运行天后，经监理人检验合格，由承包人将监测仪器设备，连同监测仪器设备的档案卡、安装埋设考证表和验收资料等全部移交给发包人。</w:t>
      </w:r>
    </w:p>
    <w:p w14:paraId="0E1B2E02">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）缺陷责任期监测数据的采集工作必须按照监测规程规定的监测项目、测次和时间进行。必要时，还应根据实际情况和监理人指示，适当调整监测次数和时间。</w:t>
      </w:r>
    </w:p>
    <w:p w14:paraId="59C578A1">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）承包人应对埋有监测仪器设备的工程建筑物进行巡视检查，并应将检查项目和巡检计划，提交监理人。巡检内容包括：</w:t>
      </w:r>
    </w:p>
    <w:p w14:paraId="16E94EB2">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）按指定的格式作好日常巡检记录，并编制报表提交监理人。</w:t>
      </w:r>
    </w:p>
    <w:p w14:paraId="0DF08B14">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）年度巡检应在每年汛期进行，发现安全隐患应立即报告监理人。巡检结束后应按监理人指定的格式提交巡检报告。</w:t>
      </w:r>
    </w:p>
    <w:p w14:paraId="67B385AB">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）如发生暴雨、大洪水、有感地震、库水位骤升骤降、持续高水位以及建筑物出现其它异常等情况时，应进行特别巡检，并按监理人指示增加测次。特别巡检结束后，应及时将特别巡检报告提交监理人。</w:t>
      </w:r>
    </w:p>
    <w:p w14:paraId="2CAB80F6">
      <w:pPr>
        <w:pStyle w:val="5"/>
        <w:jc w:val="left"/>
        <w:rPr>
          <w:rFonts w:hAnsi="Times New Roman" w:cs="楷体"/>
          <w:color w:val="auto"/>
          <w:highlight w:val="none"/>
          <w:lang w:eastAsia="zh-CN"/>
        </w:rPr>
      </w:pPr>
      <w:r>
        <w:rPr>
          <w:rFonts w:hAnsi="Times New Roman" w:cs="Times New Roman"/>
          <w:color w:val="auto"/>
          <w:highlight w:val="none"/>
          <w:lang w:eastAsia="zh-CN"/>
        </w:rPr>
        <w:t>25.4.2</w:t>
      </w:r>
      <w:r>
        <w:rPr>
          <w:rFonts w:hint="eastAsia" w:hAnsi="Times New Roman" w:cs="Times New Roman"/>
          <w:color w:val="auto"/>
          <w:highlight w:val="none"/>
          <w:lang w:eastAsia="zh-CN"/>
        </w:rPr>
        <w:t>　</w:t>
      </w:r>
      <w:r>
        <w:rPr>
          <w:rFonts w:hint="eastAsia" w:hAnsi="Times New Roman" w:cs="楷体"/>
          <w:color w:val="auto"/>
          <w:highlight w:val="none"/>
          <w:lang w:eastAsia="zh-CN"/>
        </w:rPr>
        <w:t>缺陷责任期安全监测资料的整编</w:t>
      </w:r>
    </w:p>
    <w:p w14:paraId="78A0A5BE">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）承包人应将监测仪器埋设的竣工图、各种原始数据和有关文字、图表（包括影像、图片）等资料，综合整理成安全监测成果，汇编成册。</w:t>
      </w:r>
    </w:p>
    <w:p w14:paraId="15130379">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）承包人应在每次监测后立即进行原始数据记录的检验和分析、监测物理量的换算，以及异常值的判别等工作。如遇天气、施工等原因，造成监测数据突变时，应加以说明。</w:t>
      </w:r>
    </w:p>
    <w:p w14:paraId="6A13962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）经检查检验后，若判定监测数据不在限差以内或含有粗差，应立即重测；若判定监测数据含有较大的系统误差时，应分析原因，并设法减少或消除其影响。</w:t>
      </w:r>
    </w:p>
    <w:p w14:paraId="4D5C229A">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）承包人应按监理人指示进行监测资料的整编工作。整编内容包括：</w:t>
      </w:r>
    </w:p>
    <w:p w14:paraId="3CA5D7AC">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）工程建筑物安全监测工作总报告。</w:t>
      </w:r>
    </w:p>
    <w:p w14:paraId="15F6B4D3">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）工程建筑物安全监测要求和安全监测措施计划等的有关文件。</w:t>
      </w:r>
    </w:p>
    <w:p w14:paraId="4545D0F0">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）仪器型号、规格、技术参数、工作原理和使用说明的仪器资料以及测点布置</w:t>
      </w:r>
    </w:p>
    <w:p w14:paraId="368A86CF">
      <w:pPr>
        <w:ind w:firstLine="420"/>
        <w:jc w:val="left"/>
        <w:rPr>
          <w:rFonts w:hAnsi="Times New Roman" w:cs="宋体"/>
          <w:color w:val="auto"/>
          <w:highlight w:val="none"/>
          <w:lang w:eastAsia="zh-CN"/>
        </w:rPr>
      </w:pPr>
      <w:r>
        <w:rPr>
          <w:rFonts w:hint="eastAsia" w:hAnsi="Times New Roman" w:cs="宋体"/>
          <w:color w:val="auto"/>
          <w:highlight w:val="none"/>
          <w:lang w:eastAsia="zh-CN"/>
        </w:rPr>
        <w:t>和仪器埋设的原始记录，仪器维护记录等。</w:t>
      </w:r>
    </w:p>
    <w:p w14:paraId="7D411D43">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）日常监测和巡检的原始记录、报表和报告，包括特征值汇总表、每个测点监测数据过程线、监测成果分析资料、物理量计算成果及各种图表等。</w:t>
      </w:r>
    </w:p>
    <w:p w14:paraId="780AF20E">
      <w:pPr>
        <w:ind w:firstLine="420"/>
        <w:jc w:val="left"/>
        <w:rPr>
          <w:rFonts w:hAnsi="Times New Roman" w:cs="宋体"/>
          <w:color w:val="auto"/>
          <w:highlight w:val="none"/>
          <w:lang w:eastAsia="zh-CN"/>
        </w:rPr>
      </w:pPr>
      <w:r>
        <w:rPr>
          <w:rFonts w:hAnsi="Times New Roman" w:cs="Times New Roman"/>
          <w:color w:val="auto"/>
          <w:highlight w:val="none"/>
          <w:lang w:eastAsia="zh-CN"/>
        </w:rPr>
        <w:t>5</w:t>
      </w:r>
      <w:r>
        <w:rPr>
          <w:rFonts w:hint="eastAsia" w:hAnsi="Times New Roman" w:cs="宋体"/>
          <w:color w:val="auto"/>
          <w:highlight w:val="none"/>
          <w:lang w:eastAsia="zh-CN"/>
        </w:rPr>
        <w:t>）其它相关资料：包括工程安全检查报告、事故处理报告、仪器设备管理档案，以及工程竣工安全鉴定结论、咨询会议记录以及意见和建议等。</w:t>
      </w:r>
    </w:p>
    <w:p w14:paraId="1A4FBD71">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）所有监测资料要求按发包人指定的格式或按《土石坝安全监测资料整编规程》（</w:t>
      </w:r>
      <w:r>
        <w:rPr>
          <w:rFonts w:hAnsi="Times New Roman" w:cs="Times New Roman"/>
          <w:color w:val="auto"/>
          <w:highlight w:val="none"/>
          <w:lang w:eastAsia="zh-CN"/>
        </w:rPr>
        <w:t>DL/T5256-2010</w:t>
      </w:r>
      <w:r>
        <w:rPr>
          <w:rFonts w:hint="eastAsia" w:hAnsi="Times New Roman" w:cs="宋体"/>
          <w:color w:val="auto"/>
          <w:highlight w:val="none"/>
          <w:lang w:eastAsia="zh-CN"/>
        </w:rPr>
        <w:t>）、《混凝土坝安全监测资料整编规程》（</w:t>
      </w:r>
      <w:r>
        <w:rPr>
          <w:rFonts w:hAnsi="Times New Roman" w:cs="Times New Roman"/>
          <w:color w:val="auto"/>
          <w:highlight w:val="none"/>
          <w:lang w:eastAsia="zh-CN"/>
        </w:rPr>
        <w:t>DL/T5209—2020</w:t>
      </w:r>
      <w:r>
        <w:rPr>
          <w:rFonts w:hint="eastAsia" w:hAnsi="Times New Roman" w:cs="宋体"/>
          <w:color w:val="auto"/>
          <w:highlight w:val="none"/>
          <w:lang w:eastAsia="zh-CN"/>
        </w:rPr>
        <w:t>）指定的格式建立数据库，输入计算机。用磁盘或光盘备份保存并刊印成册。</w:t>
      </w:r>
    </w:p>
    <w:p w14:paraId="3D9C932D">
      <w:pPr>
        <w:pStyle w:val="4"/>
        <w:spacing w:beforeLines="0" w:afterLines="0"/>
        <w:jc w:val="both"/>
        <w:rPr>
          <w:rFonts w:hint="eastAsia" w:cs="宋体"/>
          <w:bCs/>
          <w:color w:val="auto"/>
          <w:szCs w:val="24"/>
          <w:highlight w:val="none"/>
          <w:lang w:eastAsia="zh-CN"/>
        </w:rPr>
      </w:pPr>
      <w:bookmarkStart w:id="2329" w:name="_Toc27854"/>
      <w:bookmarkStart w:id="2330" w:name="_Toc1924"/>
      <w:bookmarkStart w:id="2331" w:name="_Toc10192"/>
      <w:r>
        <w:rPr>
          <w:rFonts w:hint="eastAsia" w:cs="宋体"/>
          <w:b/>
          <w:bCs/>
          <w:color w:val="auto"/>
          <w:szCs w:val="24"/>
          <w:highlight w:val="none"/>
          <w:lang w:eastAsia="zh-CN"/>
        </w:rPr>
        <w:t>25.5　质量检查和验收</w:t>
      </w:r>
      <w:bookmarkEnd w:id="2329"/>
      <w:bookmarkEnd w:id="2330"/>
      <w:bookmarkEnd w:id="2331"/>
    </w:p>
    <w:p w14:paraId="5FD055EC">
      <w:pPr>
        <w:pStyle w:val="5"/>
        <w:jc w:val="left"/>
        <w:rPr>
          <w:rFonts w:hAnsi="Times New Roman" w:cs="楷体"/>
          <w:color w:val="auto"/>
          <w:highlight w:val="none"/>
          <w:lang w:eastAsia="zh-CN"/>
        </w:rPr>
      </w:pPr>
      <w:r>
        <w:rPr>
          <w:rFonts w:hAnsi="Times New Roman" w:cs="Times New Roman"/>
          <w:color w:val="auto"/>
          <w:highlight w:val="none"/>
          <w:lang w:eastAsia="zh-CN"/>
        </w:rPr>
        <w:t>25.5.1</w:t>
      </w:r>
      <w:r>
        <w:rPr>
          <w:rFonts w:hint="eastAsia" w:hAnsi="Times New Roman" w:cs="Times New Roman"/>
          <w:color w:val="auto"/>
          <w:highlight w:val="none"/>
          <w:lang w:eastAsia="zh-CN"/>
        </w:rPr>
        <w:t>　</w:t>
      </w:r>
      <w:r>
        <w:rPr>
          <w:rFonts w:hint="eastAsia" w:hAnsi="Times New Roman" w:cs="楷体"/>
          <w:color w:val="auto"/>
          <w:highlight w:val="none"/>
          <w:lang w:eastAsia="zh-CN"/>
        </w:rPr>
        <w:t>监测仪器设备的检查和交货验收</w:t>
      </w:r>
    </w:p>
    <w:p w14:paraId="134D9C31">
      <w:pPr>
        <w:ind w:firstLine="420"/>
        <w:jc w:val="left"/>
        <w:rPr>
          <w:rFonts w:hAnsi="Times New Roman" w:cs="宋体"/>
          <w:color w:val="auto"/>
          <w:highlight w:val="none"/>
          <w:lang w:eastAsia="zh-CN"/>
        </w:rPr>
      </w:pPr>
      <w:r>
        <w:rPr>
          <w:rFonts w:hint="eastAsia" w:hAnsi="Times New Roman" w:cs="宋体"/>
          <w:color w:val="auto"/>
          <w:highlight w:val="none"/>
          <w:lang w:eastAsia="zh-CN"/>
        </w:rPr>
        <w:t>承包人采购的全部监测仪器设备应按采购项目清单进行检查和交货验收，并应同时将监测仪器设备的出厂检验测试报告和产品合格证书提交监理人。</w:t>
      </w:r>
    </w:p>
    <w:p w14:paraId="539DAB2A">
      <w:pPr>
        <w:pStyle w:val="5"/>
        <w:jc w:val="left"/>
        <w:rPr>
          <w:rFonts w:hAnsi="Times New Roman" w:cs="楷体"/>
          <w:color w:val="auto"/>
          <w:highlight w:val="none"/>
          <w:lang w:eastAsia="zh-CN"/>
        </w:rPr>
      </w:pPr>
      <w:r>
        <w:rPr>
          <w:rFonts w:hAnsi="Times New Roman" w:cs="Times New Roman"/>
          <w:color w:val="auto"/>
          <w:highlight w:val="none"/>
          <w:lang w:eastAsia="zh-CN"/>
        </w:rPr>
        <w:t>25.5.2</w:t>
      </w:r>
      <w:r>
        <w:rPr>
          <w:rFonts w:hint="eastAsia" w:hAnsi="Times New Roman" w:cs="Times New Roman"/>
          <w:color w:val="auto"/>
          <w:highlight w:val="none"/>
          <w:lang w:eastAsia="zh-CN"/>
        </w:rPr>
        <w:t>　</w:t>
      </w:r>
      <w:r>
        <w:rPr>
          <w:rFonts w:hint="eastAsia" w:hAnsi="Times New Roman" w:cs="楷体"/>
          <w:color w:val="auto"/>
          <w:highlight w:val="none"/>
          <w:lang w:eastAsia="zh-CN"/>
        </w:rPr>
        <w:t>监测仪器设备安装埋设质量的检查和验收</w:t>
      </w:r>
    </w:p>
    <w:p w14:paraId="6FC1EC5E">
      <w:pPr>
        <w:ind w:firstLine="420"/>
        <w:jc w:val="left"/>
        <w:rPr>
          <w:rFonts w:hAnsi="Times New Roman" w:cs="宋体"/>
          <w:color w:val="auto"/>
          <w:highlight w:val="none"/>
          <w:lang w:eastAsia="zh-CN"/>
        </w:rPr>
      </w:pPr>
      <w:r>
        <w:rPr>
          <w:rFonts w:hint="eastAsia" w:hAnsi="Times New Roman" w:cs="宋体"/>
          <w:color w:val="auto"/>
          <w:highlight w:val="none"/>
          <w:lang w:eastAsia="zh-CN"/>
        </w:rPr>
        <w:t>每项工程建筑物的安全监测仪器设备安装埋设完毕后，承包人应会同监理人立即对仪器设备的安装埋设质量进行检查、检验和验收，经监理人检查确认其质量合格后，才能允许工程建筑物继续施工，并立即进行监测工作。</w:t>
      </w:r>
    </w:p>
    <w:p w14:paraId="098F8FA9">
      <w:pPr>
        <w:pStyle w:val="5"/>
        <w:jc w:val="left"/>
        <w:rPr>
          <w:rFonts w:hAnsi="Times New Roman" w:cs="楷体"/>
          <w:color w:val="auto"/>
          <w:highlight w:val="none"/>
          <w:lang w:eastAsia="zh-CN"/>
        </w:rPr>
      </w:pPr>
      <w:r>
        <w:rPr>
          <w:rFonts w:hAnsi="Times New Roman" w:cs="Times New Roman"/>
          <w:color w:val="auto"/>
          <w:highlight w:val="none"/>
          <w:lang w:eastAsia="zh-CN"/>
        </w:rPr>
        <w:t>25.5.3</w:t>
      </w:r>
      <w:r>
        <w:rPr>
          <w:rFonts w:hint="eastAsia" w:hAnsi="Times New Roman" w:cs="Times New Roman"/>
          <w:color w:val="auto"/>
          <w:highlight w:val="none"/>
          <w:lang w:eastAsia="zh-CN"/>
        </w:rPr>
        <w:t>　</w:t>
      </w:r>
      <w:r>
        <w:rPr>
          <w:rFonts w:hint="eastAsia" w:hAnsi="Times New Roman" w:cs="楷体"/>
          <w:color w:val="auto"/>
          <w:highlight w:val="none"/>
          <w:lang w:eastAsia="zh-CN"/>
        </w:rPr>
        <w:t>完工验收</w:t>
      </w:r>
    </w:p>
    <w:p w14:paraId="6D7E881F">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）全部监测仪器设备安装埋设完毕后，承包人应在进行工程建筑物完工验收的同时，申请对本工程安全监测项目进行完工验收，并向监理人提交以下完工资料：</w:t>
      </w:r>
    </w:p>
    <w:p w14:paraId="36B34679">
      <w:pPr>
        <w:ind w:firstLine="420"/>
        <w:jc w:val="left"/>
        <w:rPr>
          <w:rFonts w:hAnsi="Times New Roman" w:cs="宋体"/>
          <w:color w:val="auto"/>
          <w:highlight w:val="none"/>
          <w:lang w:eastAsia="zh-CN"/>
        </w:rPr>
      </w:pPr>
      <w:r>
        <w:rPr>
          <w:rFonts w:hAnsi="Times New Roman" w:cs="Times New Roman"/>
          <w:color w:val="auto"/>
          <w:highlight w:val="none"/>
          <w:lang w:eastAsia="zh-CN"/>
        </w:rPr>
        <w:t>1</w:t>
      </w:r>
      <w:r>
        <w:rPr>
          <w:rFonts w:hint="eastAsia" w:hAnsi="Times New Roman" w:cs="宋体"/>
          <w:color w:val="auto"/>
          <w:highlight w:val="none"/>
          <w:lang w:eastAsia="zh-CN"/>
        </w:rPr>
        <w:t>）监测仪器设备清单（包括编号、部位、仪器名称、起测日期、目前状态等）。</w:t>
      </w:r>
    </w:p>
    <w:p w14:paraId="4DC7D51D">
      <w:pPr>
        <w:ind w:firstLine="420"/>
        <w:jc w:val="left"/>
        <w:rPr>
          <w:rFonts w:hAnsi="Times New Roman" w:cs="宋体"/>
          <w:color w:val="auto"/>
          <w:highlight w:val="none"/>
          <w:lang w:eastAsia="zh-CN"/>
        </w:rPr>
      </w:pPr>
      <w:r>
        <w:rPr>
          <w:rFonts w:hAnsi="Times New Roman" w:cs="Times New Roman"/>
          <w:color w:val="auto"/>
          <w:highlight w:val="none"/>
          <w:lang w:eastAsia="zh-CN"/>
        </w:rPr>
        <w:t>2</w:t>
      </w:r>
      <w:r>
        <w:rPr>
          <w:rFonts w:hint="eastAsia" w:hAnsi="Times New Roman" w:cs="宋体"/>
          <w:color w:val="auto"/>
          <w:highlight w:val="none"/>
          <w:lang w:eastAsia="zh-CN"/>
        </w:rPr>
        <w:t>）监测仪器设备的检验和安装埋设记录。</w:t>
      </w:r>
    </w:p>
    <w:p w14:paraId="49C71A40">
      <w:pPr>
        <w:ind w:firstLine="420"/>
        <w:jc w:val="left"/>
        <w:rPr>
          <w:rFonts w:hAnsi="Times New Roman" w:cs="宋体"/>
          <w:color w:val="auto"/>
          <w:highlight w:val="none"/>
          <w:lang w:eastAsia="zh-CN"/>
        </w:rPr>
      </w:pPr>
      <w:r>
        <w:rPr>
          <w:rFonts w:hAnsi="Times New Roman" w:cs="Times New Roman"/>
          <w:color w:val="auto"/>
          <w:highlight w:val="none"/>
          <w:lang w:eastAsia="zh-CN"/>
        </w:rPr>
        <w:t>3</w:t>
      </w:r>
      <w:r>
        <w:rPr>
          <w:rFonts w:hint="eastAsia" w:hAnsi="Times New Roman" w:cs="宋体"/>
          <w:color w:val="auto"/>
          <w:highlight w:val="none"/>
          <w:lang w:eastAsia="zh-CN"/>
        </w:rPr>
        <w:t>）监测仪器设备安装埋设竣工图。</w:t>
      </w:r>
    </w:p>
    <w:p w14:paraId="049AD7CC">
      <w:pPr>
        <w:ind w:firstLine="420"/>
        <w:jc w:val="left"/>
        <w:rPr>
          <w:rFonts w:hAnsi="Times New Roman" w:cs="宋体"/>
          <w:color w:val="auto"/>
          <w:highlight w:val="none"/>
          <w:lang w:eastAsia="zh-CN"/>
        </w:rPr>
      </w:pPr>
      <w:r>
        <w:rPr>
          <w:rFonts w:hAnsi="Times New Roman" w:cs="Times New Roman"/>
          <w:color w:val="auto"/>
          <w:highlight w:val="none"/>
          <w:lang w:eastAsia="zh-CN"/>
        </w:rPr>
        <w:t>4</w:t>
      </w:r>
      <w:r>
        <w:rPr>
          <w:rFonts w:hint="eastAsia" w:hAnsi="Times New Roman" w:cs="宋体"/>
          <w:color w:val="auto"/>
          <w:highlight w:val="none"/>
          <w:lang w:eastAsia="zh-CN"/>
        </w:rPr>
        <w:t>）监测资料整编分析报告（包括监测仪器特征值汇总表、各测点的数据过程线）。</w:t>
      </w:r>
    </w:p>
    <w:p w14:paraId="51012D37">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）本合同工程建筑物全部完成，并经验收合格，全部监测仪器设备及其监测原始数据及资料（包括电子文档）应完好地移交发包人。</w:t>
      </w:r>
    </w:p>
    <w:p w14:paraId="3DF3465B">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全部监测仪器设备的保修期与工程保修期相同。保修期内承包人应按工程建筑物安全监测设计要求，负责维护全部仪器设备的应用性能，一旦由于仪器自身或埋设原因发生仪器设备失效，应由承包人负责更换。对无法更换的埋置设备，应及时报告监理人，并按监理人指示，采取补救措施，设法满足安全监测数据的采集要求。</w:t>
      </w:r>
    </w:p>
    <w:p w14:paraId="02E9F523">
      <w:pPr>
        <w:pStyle w:val="4"/>
        <w:spacing w:beforeLines="0" w:afterLines="0"/>
        <w:jc w:val="both"/>
        <w:rPr>
          <w:rFonts w:hint="eastAsia" w:cs="宋体"/>
          <w:bCs/>
          <w:color w:val="auto"/>
          <w:szCs w:val="24"/>
          <w:highlight w:val="none"/>
          <w:lang w:eastAsia="zh-CN"/>
        </w:rPr>
      </w:pPr>
      <w:bookmarkStart w:id="2332" w:name="_Toc25173"/>
      <w:bookmarkStart w:id="2333" w:name="_Toc8330"/>
      <w:bookmarkStart w:id="2334" w:name="_Toc28720"/>
      <w:r>
        <w:rPr>
          <w:rFonts w:hint="eastAsia" w:cs="宋体"/>
          <w:b/>
          <w:bCs/>
          <w:color w:val="auto"/>
          <w:szCs w:val="24"/>
          <w:highlight w:val="none"/>
          <w:lang w:eastAsia="zh-CN"/>
        </w:rPr>
        <w:t>25.6　计量和支付</w:t>
      </w:r>
      <w:bookmarkEnd w:id="2332"/>
      <w:bookmarkEnd w:id="2333"/>
      <w:bookmarkEnd w:id="2334"/>
    </w:p>
    <w:p w14:paraId="7A36421D">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1</w:t>
      </w:r>
      <w:r>
        <w:rPr>
          <w:rFonts w:hint="eastAsia" w:hAnsi="Times New Roman" w:cs="宋体"/>
          <w:color w:val="auto"/>
          <w:highlight w:val="none"/>
          <w:lang w:eastAsia="zh-CN"/>
        </w:rPr>
        <w:t>）监测仪器设备的采购及安装，按施工图纸所示仪器设备的数量以相应的单位计量，由发包人按《工程量清单》相应项目有效工程量的工程单价支付。</w:t>
      </w:r>
    </w:p>
    <w:p w14:paraId="2E5A895C">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2</w:t>
      </w:r>
      <w:r>
        <w:rPr>
          <w:rFonts w:hint="eastAsia" w:hAnsi="Times New Roman" w:cs="宋体"/>
          <w:color w:val="auto"/>
          <w:highlight w:val="none"/>
          <w:lang w:eastAsia="zh-CN"/>
        </w:rPr>
        <w:t>）监测仪器的电缆的采购及敷设，按施工图纸所示的有效敷设长度以米为单位计量，由发包人按《工程量清单》相应项目有效工程量的每米工程单价支付。</w:t>
      </w:r>
    </w:p>
    <w:p w14:paraId="327E8E87">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3</w:t>
      </w:r>
      <w:r>
        <w:rPr>
          <w:rFonts w:hint="eastAsia" w:hAnsi="Times New Roman" w:cs="宋体"/>
          <w:color w:val="auto"/>
          <w:highlight w:val="none"/>
          <w:lang w:eastAsia="zh-CN"/>
        </w:rPr>
        <w:t>）承包人按合同要求完成施工期安全监测（包括巡视检查和现场监测）、设备维护、资料记录和整理、资料分析、建模建库、安全评价等工作所需的费用，由发包人按《工程量清单》相应施工期安全监测项目单价或总价支付。</w:t>
      </w:r>
    </w:p>
    <w:p w14:paraId="49C64C93">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4</w:t>
      </w:r>
      <w:r>
        <w:rPr>
          <w:rFonts w:hint="eastAsia" w:hAnsi="Times New Roman" w:cs="宋体"/>
          <w:color w:val="auto"/>
          <w:highlight w:val="none"/>
          <w:lang w:eastAsia="zh-CN"/>
        </w:rPr>
        <w:t>）承包人按合同要求若需完成缺陷责任期安全监测（包括巡视检查和现场监测）、设备维护、资料记录和整理、资料分析、建模建库、安全评价等工作所需的费用，由发包人按《工程量清单》相应缺陷责任期安全监测项目总价支付。</w:t>
      </w:r>
    </w:p>
    <w:p w14:paraId="7FDCEDD3">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5</w:t>
      </w:r>
      <w:r>
        <w:rPr>
          <w:rFonts w:hint="eastAsia" w:hAnsi="Times New Roman" w:cs="宋体"/>
          <w:color w:val="auto"/>
          <w:highlight w:val="none"/>
          <w:lang w:eastAsia="zh-CN"/>
        </w:rPr>
        <w:t>）观测墩、水准点及其它测量标志观测墩，按施工图纸所示尺寸计算有效墩体体积以立方米为单位计量（或以施工图纸所示墩体数量以个为单位计量），由发包人按《工程量清单》相应项目有效工程量的每立方米（或个）的工程单价支付。</w:t>
      </w:r>
    </w:p>
    <w:p w14:paraId="060A5CB0">
      <w:pPr>
        <w:ind w:firstLine="420"/>
        <w:jc w:val="left"/>
        <w:rPr>
          <w:rFonts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6</w:t>
      </w:r>
      <w:r>
        <w:rPr>
          <w:rFonts w:hint="eastAsia" w:hAnsi="Times New Roman" w:cs="宋体"/>
          <w:color w:val="auto"/>
          <w:highlight w:val="none"/>
          <w:lang w:eastAsia="zh-CN"/>
        </w:rPr>
        <w:t>）水位观测孔、扬压力测孔、坝基温度测孔等钻孔，按施工图纸所示尺寸计算有效钻孔深度以米为单位计量，由发包人按《工程量清单》相应项目有效工程量的每米工程单价支付。</w:t>
      </w:r>
    </w:p>
    <w:p w14:paraId="6F92989C">
      <w:pPr>
        <w:ind w:firstLine="420"/>
        <w:jc w:val="left"/>
        <w:rPr>
          <w:rFonts w:hint="eastAsia" w:hAnsi="Times New Roman" w:cs="宋体"/>
          <w:color w:val="auto"/>
          <w:highlight w:val="none"/>
          <w:lang w:eastAsia="zh-CN"/>
        </w:rPr>
      </w:pPr>
      <w:r>
        <w:rPr>
          <w:rFonts w:hint="eastAsia" w:hAnsi="Times New Roman" w:cs="宋体"/>
          <w:color w:val="auto"/>
          <w:highlight w:val="none"/>
          <w:lang w:eastAsia="zh-CN"/>
        </w:rPr>
        <w:t>（</w:t>
      </w:r>
      <w:r>
        <w:rPr>
          <w:rFonts w:hAnsi="Times New Roman" w:cs="Times New Roman"/>
          <w:color w:val="auto"/>
          <w:highlight w:val="none"/>
          <w:lang w:eastAsia="zh-CN"/>
        </w:rPr>
        <w:t>7</w:t>
      </w:r>
      <w:r>
        <w:rPr>
          <w:rFonts w:hint="eastAsia" w:hAnsi="Times New Roman" w:cs="宋体"/>
          <w:color w:val="auto"/>
          <w:highlight w:val="none"/>
          <w:lang w:eastAsia="zh-CN"/>
        </w:rPr>
        <w:t>）多点位移计钻孔、滑动测微计钻孔、固定测斜仪钻孔、倒垂孔、双金属标孔等取芯钻孔，按施工图纸所示尺寸计算有效钻孔深度以米为单位计量，由发包人按《工程量清单》相应项目的每米工程单价支付。由于承包人失误未按本技术条款相关规定取得有效芯样的钻孔，发包人不予支付。</w:t>
      </w:r>
    </w:p>
    <w:p w14:paraId="0262A10A">
      <w:pPr>
        <w:keepNext/>
        <w:keepLines/>
        <w:widowControl w:val="0"/>
        <w:tabs>
          <w:tab w:val="left" w:pos="3229"/>
        </w:tabs>
        <w:kinsoku/>
        <w:wordWrap w:val="0"/>
        <w:adjustRightInd/>
        <w:snapToGrid/>
        <w:spacing w:beforeLines="0" w:afterLines="0" w:line="360" w:lineRule="auto"/>
        <w:ind w:firstLine="0" w:firstLineChars="0"/>
        <w:jc w:val="both"/>
        <w:textAlignment w:val="auto"/>
        <w:outlineLvl w:val="1"/>
        <w:rPr>
          <w:rFonts w:hint="default" w:ascii="宋体" w:hAnsi="宋体" w:eastAsia="宋体" w:cs="宋体"/>
          <w:b/>
          <w:bCs/>
          <w:snapToGrid/>
          <w:color w:val="auto"/>
          <w:sz w:val="30"/>
          <w:szCs w:val="30"/>
          <w:highlight w:val="none"/>
          <w:lang w:val="en-US" w:eastAsia="zh-CN" w:bidi="en-US"/>
        </w:rPr>
      </w:pPr>
      <w:bookmarkStart w:id="2335" w:name="_Toc1162"/>
      <w:bookmarkStart w:id="2336" w:name="_Toc18110"/>
      <w:bookmarkStart w:id="2337" w:name="_Toc16556"/>
      <w:bookmarkStart w:id="2338" w:name="_Toc6130"/>
      <w:bookmarkStart w:id="2339" w:name="_Toc12498"/>
      <w:bookmarkStart w:id="2340" w:name="_Toc28216"/>
      <w:r>
        <w:rPr>
          <w:rFonts w:hint="eastAsia" w:ascii="宋体" w:hAnsi="宋体" w:eastAsia="宋体" w:cs="宋体"/>
          <w:b/>
          <w:bCs/>
          <w:snapToGrid/>
          <w:color w:val="auto"/>
          <w:sz w:val="30"/>
          <w:szCs w:val="30"/>
          <w:highlight w:val="none"/>
          <w:lang w:val="en-US" w:eastAsia="zh-CN" w:bidi="en-US"/>
        </w:rPr>
        <w:t>26　</w:t>
      </w:r>
      <w:bookmarkEnd w:id="2335"/>
      <w:bookmarkEnd w:id="2336"/>
      <w:r>
        <w:rPr>
          <w:rFonts w:hint="eastAsia" w:cs="宋体"/>
          <w:b/>
          <w:bCs/>
          <w:snapToGrid/>
          <w:color w:val="auto"/>
          <w:sz w:val="30"/>
          <w:szCs w:val="30"/>
          <w:highlight w:val="none"/>
          <w:lang w:val="en-US" w:eastAsia="zh-CN" w:bidi="en-US"/>
        </w:rPr>
        <w:t>数字工地建设</w:t>
      </w:r>
      <w:bookmarkEnd w:id="2337"/>
      <w:bookmarkEnd w:id="2338"/>
      <w:bookmarkEnd w:id="2339"/>
      <w:bookmarkEnd w:id="2340"/>
    </w:p>
    <w:p w14:paraId="2894ADB8">
      <w:pPr>
        <w:widowControl w:val="0"/>
        <w:tabs>
          <w:tab w:val="left" w:pos="420"/>
        </w:tabs>
        <w:autoSpaceDE w:val="0"/>
        <w:autoSpaceDN w:val="0"/>
        <w:snapToGrid/>
        <w:spacing w:line="240" w:lineRule="auto"/>
        <w:ind w:firstLine="0" w:firstLineChars="0"/>
        <w:jc w:val="left"/>
        <w:textAlignment w:val="baseline"/>
        <w:outlineLvl w:val="2"/>
        <w:rPr>
          <w:rFonts w:ascii="Times New Roman" w:hAnsi="Times New Roman" w:eastAsia="宋体" w:cs="Times New Roman"/>
          <w:b/>
          <w:snapToGrid w:val="0"/>
          <w:color w:val="auto"/>
          <w:sz w:val="32"/>
          <w:szCs w:val="20"/>
          <w:highlight w:val="none"/>
          <w:lang w:val="en-US" w:eastAsia="zh-CN" w:bidi="ar-SA"/>
        </w:rPr>
      </w:pPr>
      <w:r>
        <w:rPr>
          <w:rFonts w:hint="eastAsia" w:ascii="Times New Roman" w:hAnsi="Times New Roman" w:eastAsia="黑体" w:cs="Times New Roman"/>
          <w:b/>
          <w:snapToGrid w:val="0"/>
          <w:color w:val="auto"/>
          <w:sz w:val="28"/>
          <w:szCs w:val="24"/>
          <w:highlight w:val="none"/>
          <w:lang w:val="en-US" w:eastAsia="zh-CN" w:bidi="ar-SA"/>
        </w:rPr>
        <w:t>26.1 数字工地建设内容</w:t>
      </w:r>
    </w:p>
    <w:p w14:paraId="48EBACF6">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w:t>
      </w:r>
      <w:r>
        <w:rPr>
          <w:rFonts w:ascii="Times New Roman" w:hAnsi="Times New Roman" w:eastAsia="黑体" w:cs="Times New Roman"/>
          <w:b/>
          <w:snapToGrid w:val="0"/>
          <w:color w:val="auto"/>
          <w:sz w:val="28"/>
          <w:szCs w:val="20"/>
          <w:highlight w:val="none"/>
          <w:lang w:val="en-US" w:eastAsia="zh-CN" w:bidi="ar-SA"/>
        </w:rPr>
        <w:t>.1 视频监控</w:t>
      </w:r>
    </w:p>
    <w:p w14:paraId="21B07F8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1）系统组成</w:t>
      </w:r>
    </w:p>
    <w:p w14:paraId="46C0020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视频监控系统从组成的设备及技术上可分成前端设备、控制中心设备、传输设备三个部分。</w:t>
      </w:r>
    </w:p>
    <w:p w14:paraId="5E29139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（1）前端监控设备</w:t>
      </w:r>
    </w:p>
    <w:p w14:paraId="3D4971A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前端设备是整个视频监控系统的信息采集部分，主要设备为视频监控。本项目前端设备要求产品成熟、性能可靠外，还应具备较强的环境适应能力，如防雷、防浪涌、防突破功能，具备IP65以上防护等级，以保证能在-30°C～60°C环境温度下工作。</w:t>
      </w:r>
    </w:p>
    <w:p w14:paraId="538FA05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本项目前端摄像设备普遍采用室外型高清网络摄像机(原则上不低于400w像素，23倍变焦，红外可视50米，可后台做行为识别分析)。</w:t>
      </w:r>
    </w:p>
    <w:p w14:paraId="7F5F34A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工地出入口位置采用带行为识别的摄像头，能识别未佩戴安全帽的违章行为。</w:t>
      </w:r>
    </w:p>
    <w:p w14:paraId="5412E2C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隧洞内摄像头应配备带防爆特性的摄像头，红外可视距离不低于100米。</w:t>
      </w:r>
    </w:p>
    <w:p w14:paraId="6C10038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（2）监控中心设备</w:t>
      </w:r>
    </w:p>
    <w:p w14:paraId="49DBF9A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视频监控系统的监控中心设备由控制计算机、网络视频录像机NVR、算法分析设备、监控大屏（可选）等组成。监控中心完成对图像信号的接收、切换、记录和显示及对摄像机的控制等功能。监控中心采用计算机和显示大屏管理和监控所有监视现场并应能通过网络进行共享。</w:t>
      </w:r>
    </w:p>
    <w:p w14:paraId="1794183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（3）传输与存储设备</w:t>
      </w:r>
    </w:p>
    <w:p w14:paraId="019912D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传输设备包括传输视频信号的网线、光缆、无线网桥、光纤收发器、电源电缆及网路交换机等。</w:t>
      </w:r>
    </w:p>
    <w:p w14:paraId="193F4B3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本项目镜岭水库建设指挥中心建设了综合管理平台，各个施工标段各自建设分支网络及现场关键区域监控设备，各标段监控首先通过各自现场施工营地进行NVR录像存储，再通过NVR进行统一端口接入视频综合管理平台。</w:t>
      </w:r>
    </w:p>
    <w:p w14:paraId="5359E6B0">
      <w:pPr>
        <w:kinsoku/>
        <w:autoSpaceDE w:val="0"/>
        <w:autoSpaceDN w:val="0"/>
        <w:adjustRightInd/>
        <w:spacing w:line="360" w:lineRule="auto"/>
        <w:ind w:firstLine="0" w:firstLineChars="0"/>
        <w:jc w:val="center"/>
        <w:rPr>
          <w:rFonts w:ascii="Times New Roman" w:hAnsi="Times New Roman" w:eastAsia="宋体" w:cs="Times New Roman"/>
          <w:color w:val="auto"/>
          <w:kern w:val="2"/>
          <w:szCs w:val="24"/>
          <w:highlight w:val="none"/>
          <w:lang w:eastAsia="zh-CN" w:bidi="ar"/>
        </w:rPr>
      </w:pPr>
      <w:r>
        <w:rPr>
          <w:rFonts w:ascii="Times New Roman" w:hAnsi="Times New Roman" w:eastAsia="宋体" w:cs="Times New Roman"/>
          <w:color w:val="auto"/>
          <w:szCs w:val="24"/>
          <w:highlight w:val="none"/>
          <w:lang w:eastAsia="zh-CN"/>
        </w:rPr>
        <w:drawing>
          <wp:inline distT="0" distB="0" distL="0" distR="0">
            <wp:extent cx="5581015" cy="3688715"/>
            <wp:effectExtent l="0" t="0" r="12065" b="146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3"/>
                    <a:stretch>
                      <a:fillRect/>
                    </a:stretch>
                  </pic:blipFill>
                  <pic:spPr>
                    <a:xfrm>
                      <a:off x="0" y="0"/>
                      <a:ext cx="5581015" cy="3688715"/>
                    </a:xfrm>
                    <a:prstGeom prst="rect">
                      <a:avLst/>
                    </a:prstGeom>
                  </pic:spPr>
                </pic:pic>
              </a:graphicData>
            </a:graphic>
          </wp:inline>
        </w:drawing>
      </w:r>
    </w:p>
    <w:p w14:paraId="51E63054">
      <w:pPr>
        <w:kinsoku/>
        <w:autoSpaceDE w:val="0"/>
        <w:autoSpaceDN w:val="0"/>
        <w:adjustRightInd/>
        <w:spacing w:line="440" w:lineRule="exact"/>
        <w:ind w:firstLine="410" w:firstLineChars="170"/>
        <w:jc w:val="center"/>
        <w:rPr>
          <w:rFonts w:ascii="Times New Roman" w:hAnsi="Times New Roman" w:eastAsia="宋体" w:cs="Times New Roman"/>
          <w:b/>
          <w:color w:val="auto"/>
          <w:szCs w:val="24"/>
          <w:highlight w:val="none"/>
          <w:lang w:eastAsia="zh-CN"/>
        </w:rPr>
      </w:pPr>
      <w:r>
        <w:rPr>
          <w:rFonts w:hint="eastAsia" w:ascii="Times New Roman" w:hAnsi="Times New Roman" w:eastAsia="宋体" w:cs="Times New Roman"/>
          <w:b/>
          <w:color w:val="auto"/>
          <w:szCs w:val="24"/>
          <w:highlight w:val="none"/>
          <w:lang w:eastAsia="zh-CN"/>
        </w:rPr>
        <w:t>图</w:t>
      </w:r>
      <w:r>
        <w:rPr>
          <w:rFonts w:ascii="Times New Roman" w:hAnsi="Times New Roman" w:eastAsia="宋体" w:cs="Times New Roman"/>
          <w:b/>
          <w:color w:val="auto"/>
          <w:szCs w:val="24"/>
          <w:highlight w:val="none"/>
          <w:lang w:eastAsia="zh-CN"/>
        </w:rPr>
        <w:t>1</w:t>
      </w:r>
      <w:r>
        <w:rPr>
          <w:rFonts w:hint="eastAsia" w:ascii="Times New Roman" w:hAnsi="Times New Roman" w:eastAsia="宋体" w:cs="Times New Roman"/>
          <w:b/>
          <w:color w:val="auto"/>
          <w:szCs w:val="24"/>
          <w:highlight w:val="none"/>
          <w:lang w:eastAsia="zh-CN"/>
        </w:rPr>
        <w:t>.1-</w:t>
      </w:r>
      <w:r>
        <w:rPr>
          <w:rFonts w:ascii="Times New Roman" w:hAnsi="Times New Roman" w:eastAsia="宋体" w:cs="Times New Roman"/>
          <w:b/>
          <w:color w:val="auto"/>
          <w:szCs w:val="24"/>
          <w:highlight w:val="none"/>
          <w:lang w:eastAsia="zh-CN"/>
        </w:rPr>
        <w:t>1</w:t>
      </w:r>
      <w:r>
        <w:rPr>
          <w:rFonts w:hint="eastAsia" w:ascii="Times New Roman" w:hAnsi="Times New Roman" w:eastAsia="宋体" w:cs="Times New Roman"/>
          <w:b/>
          <w:color w:val="auto"/>
          <w:szCs w:val="24"/>
          <w:highlight w:val="none"/>
          <w:lang w:eastAsia="zh-CN"/>
        </w:rPr>
        <w:t xml:space="preserve"> 视频监控架构图</w:t>
      </w:r>
    </w:p>
    <w:p w14:paraId="089FABC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2）安全设计</w:t>
      </w:r>
    </w:p>
    <w:p w14:paraId="115FF39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直接雷防护：</w:t>
      </w:r>
    </w:p>
    <w:p w14:paraId="18154E6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网络摄像机在室外安装时，在网络摄像机的安装支撑杆顶安装避雷针,并做出相应地网接地(要求接地电阻小于10欧)，使雷电及过电能快速对地泄放。</w:t>
      </w:r>
    </w:p>
    <w:p w14:paraId="03ADE861">
      <w:pPr>
        <w:kinsoku/>
        <w:autoSpaceDE w:val="0"/>
        <w:autoSpaceDN w:val="0"/>
        <w:adjustRightInd/>
        <w:spacing w:line="360" w:lineRule="auto"/>
        <w:ind w:firstLine="0" w:firstLineChars="0"/>
        <w:jc w:val="center"/>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object>
          <v:shape id="_x0000_i1027" o:spt="75" type="#_x0000_t75" style="height:213.1pt;width:319.5pt;" o:ole="t" filled="f" o:preferrelative="t" stroked="f" coordsize="21600,21600">
            <v:path/>
            <v:fill on="f" focussize="0,0"/>
            <v:stroke on="f" joinstyle="miter"/>
            <v:imagedata r:id="rId25" o:title=""/>
            <o:lock v:ext="edit" aspectratio="t"/>
            <w10:wrap type="none"/>
            <w10:anchorlock/>
          </v:shape>
          <o:OLEObject Type="Embed" ProgID="Visio.Drawing.11" ShapeID="_x0000_i1027" DrawAspect="Content" ObjectID="_1468075725" r:id="rId24">
            <o:LockedField>false</o:LockedField>
          </o:OLEObject>
        </w:object>
      </w:r>
    </w:p>
    <w:p w14:paraId="1049D0B7">
      <w:pPr>
        <w:kinsoku/>
        <w:autoSpaceDE w:val="0"/>
        <w:autoSpaceDN w:val="0"/>
        <w:adjustRightInd/>
        <w:spacing w:line="440" w:lineRule="exact"/>
        <w:ind w:firstLine="410" w:firstLineChars="170"/>
        <w:jc w:val="center"/>
        <w:rPr>
          <w:rFonts w:ascii="Times New Roman" w:hAnsi="Times New Roman" w:eastAsia="宋体" w:cs="Times New Roman"/>
          <w:b/>
          <w:color w:val="auto"/>
          <w:szCs w:val="24"/>
          <w:highlight w:val="none"/>
          <w:lang w:eastAsia="zh-CN"/>
        </w:rPr>
      </w:pPr>
      <w:r>
        <w:rPr>
          <w:rFonts w:hint="eastAsia" w:ascii="Times New Roman" w:hAnsi="Times New Roman" w:eastAsia="宋体" w:cs="Times New Roman"/>
          <w:b/>
          <w:color w:val="auto"/>
          <w:szCs w:val="24"/>
          <w:highlight w:val="none"/>
          <w:lang w:eastAsia="zh-CN"/>
        </w:rPr>
        <w:t>图</w:t>
      </w:r>
      <w:r>
        <w:rPr>
          <w:rFonts w:ascii="Times New Roman" w:hAnsi="Times New Roman" w:eastAsia="宋体" w:cs="Times New Roman"/>
          <w:b/>
          <w:color w:val="auto"/>
          <w:szCs w:val="24"/>
          <w:highlight w:val="none"/>
          <w:lang w:eastAsia="zh-CN"/>
        </w:rPr>
        <w:t>1</w:t>
      </w:r>
      <w:r>
        <w:rPr>
          <w:rFonts w:hint="eastAsia" w:ascii="Times New Roman" w:hAnsi="Times New Roman" w:eastAsia="宋体" w:cs="Times New Roman"/>
          <w:b/>
          <w:color w:val="auto"/>
          <w:szCs w:val="24"/>
          <w:highlight w:val="none"/>
          <w:lang w:eastAsia="zh-CN"/>
        </w:rPr>
        <w:t>.1-</w:t>
      </w:r>
      <w:r>
        <w:rPr>
          <w:rFonts w:ascii="Times New Roman" w:hAnsi="Times New Roman" w:eastAsia="宋体" w:cs="Times New Roman"/>
          <w:b/>
          <w:color w:val="auto"/>
          <w:szCs w:val="24"/>
          <w:highlight w:val="none"/>
          <w:lang w:eastAsia="zh-CN"/>
        </w:rPr>
        <w:t>2</w:t>
      </w:r>
      <w:r>
        <w:rPr>
          <w:rFonts w:hint="eastAsia" w:ascii="Times New Roman" w:hAnsi="Times New Roman" w:eastAsia="宋体" w:cs="Times New Roman"/>
          <w:b/>
          <w:color w:val="auto"/>
          <w:szCs w:val="24"/>
          <w:highlight w:val="none"/>
          <w:lang w:eastAsia="zh-CN"/>
        </w:rPr>
        <w:t xml:space="preserve"> 摄像机安装示意图</w:t>
      </w:r>
    </w:p>
    <w:p w14:paraId="6E6933E1">
      <w:pPr>
        <w:kinsoku/>
        <w:autoSpaceDE w:val="0"/>
        <w:autoSpaceDN w:val="0"/>
        <w:adjustRightInd/>
        <w:spacing w:line="440" w:lineRule="exact"/>
        <w:ind w:firstLine="410" w:firstLineChars="170"/>
        <w:jc w:val="center"/>
        <w:rPr>
          <w:rFonts w:ascii="Times New Roman" w:hAnsi="Times New Roman" w:eastAsia="宋体" w:cs="Times New Roman"/>
          <w:b/>
          <w:color w:val="auto"/>
          <w:szCs w:val="24"/>
          <w:highlight w:val="none"/>
          <w:lang w:eastAsia="zh-CN"/>
        </w:rPr>
      </w:pPr>
    </w:p>
    <w:p w14:paraId="55DAB42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感应雷防护：</w:t>
      </w:r>
    </w:p>
    <w:p w14:paraId="7754DC4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（1）电源防雷</w:t>
      </w:r>
    </w:p>
    <w:p w14:paraId="22260DD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据统计，约有80％的雷击损坏电子设备的事故是由电源引入的，因此应特别加强设备电源的防雷措施，有必要在每个电源接入处安装电源防雷器。</w:t>
      </w:r>
    </w:p>
    <w:p w14:paraId="4149CF0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（2）网络防雷</w:t>
      </w:r>
    </w:p>
    <w:p w14:paraId="043C201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网络防雷器是浪涌保护器的一种，主要是用来针对网络硬件系统（如交换机、路由器、无线AP等）所采取的内部防雷措施，保护各种网络设备、计算机设备不受损坏，防止重要数据的丢失。</w:t>
      </w:r>
    </w:p>
    <w:p w14:paraId="0B0CE77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3）功能介绍</w:t>
      </w:r>
    </w:p>
    <w:p w14:paraId="4259730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视频监控通常分为前端采集、后端存储与集中分发访问实时在线画面与视频回放画面展示，根据硬件存储空间决定视频回放时间。视频访问方式一般分为两种，PC客户端访问和手机移动端APP访问。</w:t>
      </w:r>
    </w:p>
    <w:p w14:paraId="3D7DD08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（1）PC端访问</w:t>
      </w:r>
    </w:p>
    <w:p w14:paraId="0EDD9A0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PC端通过视频综合管理平台，可对监控点位进行设备添加和综合管理，可统一对用户访问权限管理、录像计划管理、系统日志管理、云台巡航管理、录像回放管理、区域布防管理等功能。</w:t>
      </w:r>
    </w:p>
    <w:p w14:paraId="7EAB378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（2）手机APP端访问</w:t>
      </w:r>
    </w:p>
    <w:p w14:paraId="3D8F240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从施工管理角度，为满足随时随地了解施工现场情况，可通过手机端安装APP，可实现对现场施工情况进行实施监控查看（球形摄像机云台控制）、回放历史监控等功能。</w:t>
      </w:r>
    </w:p>
    <w:p w14:paraId="09D0E0D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4）主要技术要求</w:t>
      </w:r>
    </w:p>
    <w:p w14:paraId="0C2A6E3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所有摄像机（鹰眼、室外枪型摄像机、球型摄像机、作业面防爆摄像机）均应满足与视频综合管理平台对接相关参数要求；</w:t>
      </w:r>
    </w:p>
    <w:p w14:paraId="402724E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各工区分别部署NVR数据存储，本地存储时间不小于90天，NVR选型需依据视频综合管理平台要求进行厂家选型。</w:t>
      </w:r>
    </w:p>
    <w:p w14:paraId="1D0146F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视频监控采用不低于400万像素智能球机。全景球机采用不低于3200万360度全景球机。</w:t>
      </w:r>
    </w:p>
    <w:p w14:paraId="7EACC0B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5）数据接入要求</w:t>
      </w:r>
    </w:p>
    <w:p w14:paraId="5F831E8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4A1C432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4F76FF5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378DB9F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（4）数据须包括但不限于必要的设备信息、视频图像数据、时间数据、视频控制接口数据等信息。</w:t>
      </w:r>
    </w:p>
    <w:p w14:paraId="4B716464">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w:t>
      </w:r>
      <w:r>
        <w:rPr>
          <w:rFonts w:ascii="Times New Roman" w:hAnsi="Times New Roman" w:eastAsia="黑体" w:cs="Times New Roman"/>
          <w:b/>
          <w:snapToGrid w:val="0"/>
          <w:color w:val="auto"/>
          <w:sz w:val="28"/>
          <w:szCs w:val="20"/>
          <w:highlight w:val="none"/>
          <w:lang w:val="en-US" w:eastAsia="zh-CN" w:bidi="ar-SA"/>
        </w:rPr>
        <w:t>1.2 人员定位</w:t>
      </w:r>
    </w:p>
    <w:p w14:paraId="07A1EEC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1）系统概述</w:t>
      </w:r>
    </w:p>
    <w:p w14:paraId="076B226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在施工区域采用人员定位系统实现现场施工人员定位提升人员安全管理功能。根据项目工程实际情况，本次设计采用GPS+UWB结合的模式进行人员定位管控。</w:t>
      </w:r>
    </w:p>
    <w:p w14:paraId="23CCD27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本次施工区内包含室外点状工程和隧洞工程，因此室外点状工程采用GPS方式进行定位，隧洞工程统一采用UWB模式进行定位</w:t>
      </w:r>
    </w:p>
    <w:p w14:paraId="438D9A3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人员定位系统主要包括定位安全帽（GPS）、定位芯片（UWB）、定位基站及定位软件等组成。</w:t>
      </w:r>
    </w:p>
    <w:p w14:paraId="1D56AEB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2）系统功能介绍</w:t>
      </w:r>
    </w:p>
    <w:p w14:paraId="5FC46609">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（1）实时定位功能</w:t>
      </w:r>
    </w:p>
    <w:p w14:paraId="480DAC6C">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bidi="ar"/>
        </w:rPr>
      </w:pPr>
      <w:r>
        <w:rPr>
          <w:rFonts w:hint="eastAsia" w:ascii="Times New Roman" w:hAnsi="Times New Roman" w:eastAsia="宋体" w:cs="Times New Roman"/>
          <w:color w:val="auto"/>
          <w:kern w:val="2"/>
          <w:szCs w:val="24"/>
          <w:highlight w:val="none"/>
          <w:lang w:eastAsia="zh-CN" w:bidi="ar"/>
        </w:rPr>
        <w:t>以直观图示的方式展现现场施工人员，当携带标签的工作人员在定位基站覆盖范围内行走时，监控室屏幕上就会有一个对应的跳动的点代表该人，并随其走动而实时动态显示到相应的图示位置。</w:t>
      </w:r>
    </w:p>
    <w:p w14:paraId="612B5455">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（2）紧急求助</w:t>
      </w:r>
    </w:p>
    <w:p w14:paraId="75C24537">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每个定位标签上有紧急求助按钮，当需要时，佩戴者可长按其标签上紧急求助按钮3秒钟，监控室就会在第一时间就能获悉谁在哪里发出报警信息。</w:t>
      </w:r>
    </w:p>
    <w:p w14:paraId="1A7079CD">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（3）数据存储</w:t>
      </w:r>
    </w:p>
    <w:p w14:paraId="061515D3">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在服务器存储硬件空间条件允许的情况下，系统可实现对现场实施监控数据进行永久存储和备份，可随时对历史数据进行调用。</w:t>
      </w:r>
    </w:p>
    <w:p w14:paraId="3E752813">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（4）历史轨迹回放</w:t>
      </w:r>
    </w:p>
    <w:p w14:paraId="550B9020">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对于任何一个标签，都可以追溯其历史行走轨迹，只要选定一个起始和结束时间段，系统会自动检索该时间段内其经过的地方，并形成一个回放动画。</w:t>
      </w:r>
    </w:p>
    <w:p w14:paraId="40440DBE">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另外系统也支持设定某一个时间点如2021-1-5 17:00:00，此刻所有工作标签的位置图，以便了解整个隧洞施工内工作人员的分布情况。</w:t>
      </w:r>
    </w:p>
    <w:p w14:paraId="3D920CB5">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（5）地图配置</w:t>
      </w:r>
    </w:p>
    <w:p w14:paraId="08ADE007">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可根据现场隧洞设计计划制定专用地图，实现矢量图导入/导出、设备定位设置等功能。</w:t>
      </w:r>
    </w:p>
    <w:p w14:paraId="7BA3399B">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（6）报警管理</w:t>
      </w:r>
    </w:p>
    <w:p w14:paraId="6AC40361">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每个定位标签上集成有传感器，能感知标签是静止还是运动，并可以设定静止超时提醒与报警，以防止意外。</w:t>
      </w:r>
    </w:p>
    <w:p w14:paraId="6F5C5126">
      <w:pPr>
        <w:kinsoku/>
        <w:autoSpaceDE w:val="0"/>
        <w:autoSpaceDN w:val="0"/>
        <w:adjustRightInd/>
        <w:spacing w:line="440" w:lineRule="exact"/>
        <w:ind w:firstLine="408" w:firstLineChars="170"/>
        <w:textAlignment w:val="auto"/>
        <w:rPr>
          <w:rFonts w:ascii="Times New Roman" w:hAnsi="Times New Roman" w:eastAsia="宋体" w:cs="Times New Roman"/>
          <w:bCs/>
          <w:color w:val="auto"/>
          <w:kern w:val="2"/>
          <w:szCs w:val="24"/>
          <w:highlight w:val="none"/>
          <w:lang w:eastAsia="zh-CN"/>
        </w:rPr>
      </w:pPr>
      <w:r>
        <w:rPr>
          <w:rFonts w:hint="eastAsia" w:ascii="Times New Roman" w:hAnsi="Times New Roman" w:eastAsia="宋体" w:cs="Times New Roman"/>
          <w:bCs/>
          <w:color w:val="auto"/>
          <w:kern w:val="2"/>
          <w:szCs w:val="24"/>
          <w:highlight w:val="none"/>
          <w:lang w:eastAsia="zh-CN"/>
        </w:rPr>
        <w:t>（7）与摄像头关联</w:t>
      </w:r>
    </w:p>
    <w:p w14:paraId="56FE9280">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结合软件功能，通过先进的网络技术对设备进行匹配，能够实现定位与摄像机关联，当紧急呼救或指挥人员操作时，可快速打开相关人员所在区域的摄像机图像。</w:t>
      </w:r>
    </w:p>
    <w:p w14:paraId="5C124C7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3）技术参数</w:t>
      </w:r>
    </w:p>
    <w:p w14:paraId="1CC2174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定位设备（智能定位手环/定位标签）均满足IPV6防护等级，设备均采用低功耗、定位精度高的成熟稳定产品，单次充电持续续航需满足一周及以上。</w:t>
      </w:r>
    </w:p>
    <w:p w14:paraId="2D9D27B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人员定位系统定位精度≤5米。</w:t>
      </w:r>
    </w:p>
    <w:p w14:paraId="15F89BC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4）数据集成要求</w:t>
      </w:r>
    </w:p>
    <w:p w14:paraId="7682805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厂家提供的软硬件应具备以下能力：</w:t>
      </w:r>
    </w:p>
    <w:p w14:paraId="191385E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（1）可将人员定位数据(人员工号、GPS坐标、定位时间等)实时推送到物联感知汇聚平台的能力，数据推送标准应符合平台统一接入要求。</w:t>
      </w:r>
    </w:p>
    <w:p w14:paraId="1540D29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（2）可将不同工作面的基站和定位数据进行汇集，然后集中展示。</w:t>
      </w:r>
    </w:p>
    <w:p w14:paraId="7DFC9A1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（3）具备界面集成能力，能将人员定位管理界面集成到工程项目管理平台，并按照工程项目管理平台的界面UI进行适配。</w:t>
      </w:r>
    </w:p>
    <w:p w14:paraId="360CF93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5）布置方案</w:t>
      </w:r>
    </w:p>
    <w:p w14:paraId="717E7F0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根据现场施工人员进行分配，隧洞施工人员分配UWB芯片，点状工程施工人员分配GPS定位安全帽。</w:t>
      </w:r>
    </w:p>
    <w:p w14:paraId="32575A2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UWB定位基站有效覆盖距离为200米，本项目隧洞区域UWB定位基站按照间隔200米沿隧洞进行布设。</w:t>
      </w:r>
    </w:p>
    <w:p w14:paraId="4B011C0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6）数据接入要求</w:t>
      </w:r>
    </w:p>
    <w:p w14:paraId="0454E6E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48F8DBA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7086A7A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62494F3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（4）数据须包括但不限于必要的设备信息、时间数据、人员位置、人员姓名、工号、工种等信息。</w:t>
      </w:r>
    </w:p>
    <w:p w14:paraId="7A613E39">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 xml:space="preserve">26.1.3 </w:t>
      </w:r>
      <w:r>
        <w:rPr>
          <w:rFonts w:ascii="Times New Roman" w:hAnsi="Times New Roman" w:eastAsia="黑体" w:cs="Times New Roman"/>
          <w:b/>
          <w:snapToGrid w:val="0"/>
          <w:color w:val="auto"/>
          <w:sz w:val="28"/>
          <w:szCs w:val="20"/>
          <w:highlight w:val="none"/>
          <w:lang w:val="en-US" w:eastAsia="zh-CN" w:bidi="ar-SA"/>
        </w:rPr>
        <w:t>人脸识别系统</w:t>
      </w:r>
    </w:p>
    <w:p w14:paraId="7138723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1）系统组成</w:t>
      </w:r>
    </w:p>
    <w:p w14:paraId="015E1FD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系统由数据库服务器、人员通行道闸、人脸识别一体机、人脸识别管控系统软件（web端、APP端）组成。本项目在各个工区主要出入口、隧洞入口分别配置1套人脸识别系统。</w:t>
      </w:r>
    </w:p>
    <w:p w14:paraId="0506A30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2）功能介绍</w:t>
      </w:r>
    </w:p>
    <w:p w14:paraId="7F342AB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人脸识别管控系统需满足人员信息管理（身份证信息、人脸信息）、考勤管理（需支持APP端考勤管理）、人员进场及出场管理、黑白名单管理等功能。</w:t>
      </w:r>
    </w:p>
    <w:p w14:paraId="0D32539A">
      <w:pPr>
        <w:kinsoku/>
        <w:autoSpaceDE w:val="0"/>
        <w:autoSpaceDN w:val="0"/>
        <w:adjustRightInd/>
        <w:spacing w:line="360" w:lineRule="auto"/>
        <w:ind w:firstLine="0" w:firstLineChars="0"/>
        <w:jc w:val="center"/>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drawing>
          <wp:inline distT="0" distB="0" distL="0" distR="0">
            <wp:extent cx="4580255" cy="4617720"/>
            <wp:effectExtent l="0" t="0" r="698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6"/>
                    <a:stretch>
                      <a:fillRect/>
                    </a:stretch>
                  </pic:blipFill>
                  <pic:spPr>
                    <a:xfrm>
                      <a:off x="0" y="0"/>
                      <a:ext cx="4597860" cy="4635526"/>
                    </a:xfrm>
                    <a:prstGeom prst="rect">
                      <a:avLst/>
                    </a:prstGeom>
                  </pic:spPr>
                </pic:pic>
              </a:graphicData>
            </a:graphic>
          </wp:inline>
        </w:drawing>
      </w:r>
    </w:p>
    <w:p w14:paraId="1AC6845D">
      <w:pPr>
        <w:jc w:val="center"/>
        <w:rPr>
          <w:rFonts w:ascii="Times New Roman" w:hAnsi="Times New Roman" w:eastAsia="黑体" w:cs="Times New Roman"/>
          <w:b/>
          <w:color w:val="auto"/>
          <w:sz w:val="24"/>
          <w:highlight w:val="none"/>
          <w:lang w:val="en-US" w:eastAsia="zh-CN" w:bidi="ar-SA"/>
        </w:rPr>
      </w:pPr>
      <w:r>
        <w:rPr>
          <w:rFonts w:hint="eastAsia" w:ascii="Times New Roman" w:hAnsi="Times New Roman" w:eastAsia="宋体" w:cs="Times New Roman"/>
          <w:b/>
          <w:snapToGrid w:val="0"/>
          <w:color w:val="auto"/>
          <w:sz w:val="24"/>
          <w:szCs w:val="24"/>
          <w:highlight w:val="none"/>
          <w:lang w:val="en-US" w:eastAsia="zh-CN" w:bidi="ar-SA"/>
        </w:rPr>
        <w:t>图</w:t>
      </w:r>
      <w:r>
        <w:rPr>
          <w:rFonts w:ascii="Times New Roman" w:hAnsi="Times New Roman" w:eastAsia="宋体" w:cs="Times New Roman"/>
          <w:b/>
          <w:snapToGrid w:val="0"/>
          <w:color w:val="auto"/>
          <w:sz w:val="24"/>
          <w:szCs w:val="24"/>
          <w:highlight w:val="none"/>
          <w:lang w:val="en-US" w:eastAsia="zh-CN" w:bidi="ar-SA"/>
        </w:rPr>
        <w:t>1.3</w:t>
      </w:r>
      <w:r>
        <w:rPr>
          <w:rFonts w:hint="eastAsia" w:ascii="Times New Roman" w:hAnsi="Times New Roman" w:eastAsia="宋体" w:cs="Times New Roman"/>
          <w:b/>
          <w:snapToGrid w:val="0"/>
          <w:color w:val="auto"/>
          <w:sz w:val="24"/>
          <w:szCs w:val="24"/>
          <w:highlight w:val="none"/>
          <w:lang w:val="en-US" w:eastAsia="zh-CN" w:bidi="ar-SA"/>
        </w:rPr>
        <w:t>-1  人脸识别系统架构图</w:t>
      </w:r>
    </w:p>
    <w:p w14:paraId="6D85AFE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3）技术参数</w:t>
      </w:r>
    </w:p>
    <w:p w14:paraId="6D274BA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人脸识别考勤设备的人脸特征数据存储数据量不低于2000条，人员身份识别率不低于99%，识别速度不超过2秒/次。本地存储的考勤记录数据不低于18个月。人行通道闸需满足如下技术参数：</w:t>
      </w:r>
    </w:p>
    <w:p w14:paraId="624034E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采用翼闸，中分对开式开门方式；</w:t>
      </w:r>
    </w:p>
    <w:p w14:paraId="064BC3E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通道宽度不小于550mm</w:t>
      </w:r>
    </w:p>
    <w:p w14:paraId="69DF2E1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管控方向：单向，双向</w:t>
      </w:r>
    </w:p>
    <w:p w14:paraId="4030C78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支持人脸识别通行</w:t>
      </w:r>
    </w:p>
    <w:p w14:paraId="292CC9E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4）数据集成要求</w:t>
      </w:r>
    </w:p>
    <w:p w14:paraId="28A310A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人脸识别管控系统应具备将人员实名制登记信息（头像、姓名、年龄、名族、省份、身份证号、标段、单位工程、联系方式、部门、职务）、人员考勤信息（头像、姓名、性别、标段、单位工程、工区、部门/班组、职务/工种、打卡类型、打卡时间、工作时间）等实时推送到物联感知汇聚平台的能力，数据推送标准应符合平台统一接入要求（支持HTTP/S、WebService、数据库、RTSP、Mqtt、Modbus、IEC101、IEC102、IEC104、常用水文通讯等各种通讯协议：可连接DCS、PLC等控制系统）。</w:t>
      </w:r>
    </w:p>
    <w:p w14:paraId="6E84922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5）数据接入要求</w:t>
      </w:r>
    </w:p>
    <w:p w14:paraId="19124B5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5306A36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49E51DC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4DB43AE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（4）数据须包括但不限于必要的设备信息、时间数据、人员信息、入场时间、出场时间、工号、工种等信息。</w:t>
      </w:r>
    </w:p>
    <w:p w14:paraId="661FE7E3">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26.1.4 车辆管控系统</w:t>
      </w:r>
    </w:p>
    <w:p w14:paraId="4045E66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1）系统总体设计</w:t>
      </w:r>
    </w:p>
    <w:p w14:paraId="53B7ACE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车辆管理系统通过对重点施工红线区域进行管控，在关键路口、隧洞出入口安装车辆道闸，通过系统白名单车辆准入准出原则，对红线内车辆通过车牌识别和抓拍的方式进行车辆准入准出管控。</w:t>
      </w:r>
    </w:p>
    <w:p w14:paraId="7996C1C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各标段大型施工车辆或特殊作业车辆，可能会存在无车牌或超出车牌识别区域现象，无法通过常规车辆进行车牌识别控制，通过目前技术手段可采用蓝牙识别手段实现整体管控。</w:t>
      </w:r>
    </w:p>
    <w:p w14:paraId="47A0481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实现方法：现场布置的车辆道闸，涵盖封闭施工场区出入口、隧洞口，在其出入口、隧洞口各布设1套一进一出车辆道闸系统。无牌车辆采用蓝牙自动识别方式，无牌车/特种作业车辆采用蓝牙卡作为唯一标识，通过道闸时采用蓝牙识别设备读取蓝牙卡，通过蓝牙识别卡信息驱动闸机抬杆通行。</w:t>
      </w:r>
    </w:p>
    <w:p w14:paraId="70113F9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2）系统功能介绍</w:t>
      </w:r>
    </w:p>
    <w:p w14:paraId="7022FA1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（1）出入口监控</w:t>
      </w:r>
    </w:p>
    <w:p w14:paraId="25EAF70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系统支持在本地值班室对工地出入口监控场景实时查看，也可以通过远程平台或监控中心上墙即时预览和回放。</w:t>
      </w:r>
    </w:p>
    <w:p w14:paraId="7411665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可提供车辆经过全过程录像和抓拍车头图像。星光级抓拍一体机具备大车车灯强光抑制智能成像和控制补光功能，能够在各种复杂环境（如雨雾、强逆光、弱光照、强光照等）下和夜间拍摄出清晰的图片；同时结合视频监控系统，选用高清网络球机实现全景监控时，系统可看清车辆上路时车身是否清洗，顶盖是否闭合等行为。</w:t>
      </w:r>
    </w:p>
    <w:p w14:paraId="29555E4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（2）车辆捕获</w:t>
      </w:r>
    </w:p>
    <w:p w14:paraId="259C4AE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车辆补光抓拍单元对所有过车进行视频监测并自动抓拍。</w:t>
      </w:r>
    </w:p>
    <w:p w14:paraId="1EB8F65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系统能捕获记录的车辆信息包括车辆的通行信息和图像数据两大类。车辆通行信息有抓拍时间、地点、方向、车牌、防伪码等；图像数据包含高清抓拍的车辆前端、车牌的图片数据。</w:t>
      </w:r>
    </w:p>
    <w:p w14:paraId="48A6D4A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（3）车辆识别</w:t>
      </w:r>
    </w:p>
    <w:p w14:paraId="1A50586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系统可自动对车辆信息识别，包括车牌号码、车牌颜色、车型车标特征识别。</w:t>
      </w:r>
    </w:p>
    <w:p w14:paraId="6BCA97D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（4）外设控制</w:t>
      </w:r>
    </w:p>
    <w:p w14:paraId="3F5386D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抓拍单元和控制终端均支持控制道闸开关，黑白名单布控可联动道闸开关闸，支持外接报警设备、LED显示屏和音频输入输出等联动报警，系统支持脱机运行。</w:t>
      </w:r>
    </w:p>
    <w:p w14:paraId="7F9DE1C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（5）本地存储与上传管理</w:t>
      </w:r>
    </w:p>
    <w:p w14:paraId="5CBD218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采用出入口控制终端可将全天视频图像和所有车辆卡口图片进行本地存储；也可在补光抓拍单元插入TF卡实现备用存储，用于存储抓拍图片、违章录像和日志。当超出最大存储容量时，自动对视频数据和图片信息进行循环覆盖。违法数据由中心管理服务器备份存储。</w:t>
      </w:r>
    </w:p>
    <w:p w14:paraId="14BE010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实际需要设置对重要图片信息主动上传监控中心集中备份存储。支持手动配置上传过车数据类型，中心收图可选FTP上传和布防上传。系统支持断点续传功能，可选历史数据和最新数据优先上传策略将本地SD卡或控制终端缓存数据自动补录到中心。</w:t>
      </w:r>
    </w:p>
    <w:p w14:paraId="2881A74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（6）数据查询与统计</w:t>
      </w:r>
    </w:p>
    <w:p w14:paraId="22B1BE3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根据不同检索条件查询通行信息、报警信息、场内车辆、操作日志、设备状态等信息。支持列表显示车流量的统计分析结果；支持设备和事件报警日志记录。</w:t>
      </w:r>
    </w:p>
    <w:p w14:paraId="06C612A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（7）报警功能</w:t>
      </w:r>
    </w:p>
    <w:p w14:paraId="43650AD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当系统识别出来的车辆车牌不符合条件时，或者车牌在黑名单库时，系统自动报警，提示工作人员进行检查，用户可根据实际需求选择不同的报警联动方式，如预览通道切换、报警输出、软件提示、LED显示等。</w:t>
      </w:r>
    </w:p>
    <w:p w14:paraId="4D73FFB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（8）配置管理</w:t>
      </w:r>
    </w:p>
    <w:p w14:paraId="5D5CD64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设备参数配置可以实现本地配置，也可以进行远程配置。支持远程下载更新或者外部导入内部车辆库和布控车辆库；支持远程进行权限设置或维护管理。</w:t>
      </w:r>
    </w:p>
    <w:p w14:paraId="6D3EEB1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3）技术参数</w:t>
      </w:r>
    </w:p>
    <w:p w14:paraId="335C26A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系统硬件设备应确保与车辆管控系统设备统一品牌，同时车牌识别摄像头需具备主动注册功能，便于远程服务注册、数据下发和后续数据对接。</w:t>
      </w:r>
    </w:p>
    <w:p w14:paraId="20B5D48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中远距离识度：9OOMHz、2.4GHz</w:t>
      </w:r>
    </w:p>
    <w:p w14:paraId="01DAD41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卡片存储容量：20万张</w:t>
      </w:r>
    </w:p>
    <w:p w14:paraId="0234AFF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记录存储容量：5万条</w:t>
      </w:r>
    </w:p>
    <w:p w14:paraId="156EE24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黑名单：20万条</w:t>
      </w:r>
    </w:p>
    <w:p w14:paraId="77F3E36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标准识读介质：车牌识别/蓝牙识别</w:t>
      </w:r>
    </w:p>
    <w:p w14:paraId="1867542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通讯方式：TCP/IP</w:t>
      </w:r>
    </w:p>
    <w:p w14:paraId="6E4E23E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显示屏：工业级LCD显示屏,情景化图形的交互，支持用户自定义</w:t>
      </w:r>
    </w:p>
    <w:p w14:paraId="710537C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效果灯光：可动态显示七彩交互灯,动态面板交互灯,更具科技动感</w:t>
      </w:r>
    </w:p>
    <w:p w14:paraId="7A9295B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智能抓拍：内置摄像头,可脱机抓拍</w:t>
      </w:r>
    </w:p>
    <w:p w14:paraId="69CA6A8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车牌识别：支持双路高清协同识别、单路高清车牌识别</w:t>
      </w:r>
    </w:p>
    <w:p w14:paraId="76D0882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4）数据集成要求</w:t>
      </w:r>
    </w:p>
    <w:p w14:paraId="5452A7E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厂家提供的软硬件应具备以下能力：</w:t>
      </w:r>
    </w:p>
    <w:p w14:paraId="23B0AF0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可将车辆进出数据(设备标识、开关闸时间、车牌号等)实时推送到物联感知汇聚平台的能力，数据推送标准应符合平台统一接入要求。</w:t>
      </w:r>
    </w:p>
    <w:p w14:paraId="123B46A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5）数据接入要求</w:t>
      </w:r>
    </w:p>
    <w:p w14:paraId="1105E0E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024E064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6C7FF70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2DEFBBD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（4）数据须包括但不限于必要的设备信息、时间数据、车牌、车辆入场时间、车辆出场时间等信息。</w:t>
      </w:r>
    </w:p>
    <w:p w14:paraId="05A61241">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26.1.5 现场工作记录仪</w:t>
      </w:r>
    </w:p>
    <w:p w14:paraId="0D06D01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工作记录仪管理系统采用先进的计算机技术和大数据处理技术，依托现有的内部网络与外部网络的结合，建设具有音频录制、视频拍摄、照片拍摄、云存储、视频点播传输、分级应用管理、人员管理、GPS定位、轨迹查询于一体的影音取证系统，实现大容量的视频数据的集中存储和统一管理、访问的目标，满足可靠性、保密性和可用性要求以及数据合规性要求。利用专用的工作记录仪数据采集站提供灵活、高效、安全的数据导入机制，满足管理人员对视频数据的高速流畅的检索和浏览。根据各施工现场实际工作需求，每个工区配置2台现场工作记录仪。数据接入要求如下：</w:t>
      </w:r>
    </w:p>
    <w:p w14:paraId="46ACFDD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1）技术参数</w:t>
      </w:r>
    </w:p>
    <w:p w14:paraId="5D051AB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像素≥4200万，待机时间≥10小时，支持录像录音功能、支持高清夜视、支持北斗/GPS定位，指示4G/WIFI互联。内存不小于128G</w:t>
      </w:r>
    </w:p>
    <w:p w14:paraId="6E5F727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2）数据接入要求</w:t>
      </w:r>
    </w:p>
    <w:p w14:paraId="2CFA4AD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3218F02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333D373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51B0760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（4）数据须包括但不限于必要的设备信息、视频图像数据、时间数据、运行轨迹等信息。</w:t>
      </w:r>
    </w:p>
    <w:p w14:paraId="15B8EC14">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26.1.6 环境监测系统</w:t>
      </w:r>
    </w:p>
    <w:p w14:paraId="27A6733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1）系统设计</w:t>
      </w:r>
    </w:p>
    <w:p w14:paraId="1526EC9A">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结合镜岭水库工程各施工标段施工环境实际情况，为确保工程不对周边环境造成污染，符合十四五规划提出的建设绿色工程理念，以及保障隧洞人员安全。在每个施工隧洞设置有毒有害气体监测及每个工区设置扬尘和噪音设备，实现对现场数据进行实时检测，当PM2.5和噪音超标时或隧洞有毒有害气体超标时，工地现场自动报警，并上传平台报警，并及时采取相关管理措施，实现降尘、降噪、通风，营造绿色文明施工。</w:t>
      </w:r>
    </w:p>
    <w:p w14:paraId="0CD67E7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2）点位设计要求</w:t>
      </w:r>
    </w:p>
    <w:p w14:paraId="65CE60F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噪音扬尘按每个工区布置1套噪声、扬尘监测设备，监测点设置在施工场界。</w:t>
      </w:r>
    </w:p>
    <w:p w14:paraId="6976273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在每个隧洞设置一有毒有害气体监测设备。监测点设置在隧洞施工区域。</w:t>
      </w:r>
    </w:p>
    <w:p w14:paraId="46A0796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3）功能介绍</w:t>
      </w:r>
    </w:p>
    <w:p w14:paraId="0870FEAC">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扬尘噪声监测设备，集监测、传输、显示于一体，能实时监测区域环境的PM2.5、PM10、噪声等情况，并将监测数据通过4G/5G信号网络传输至物联网平台监控中心。</w:t>
      </w:r>
    </w:p>
    <w:p w14:paraId="04F717CE">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有毒有害气体监测设备，通过实时采集现场数据，通过隧洞视频监控专网将数据传输至项目部，并通过视频专网将数据传输至平台。</w:t>
      </w:r>
    </w:p>
    <w:p w14:paraId="5725775D">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各工区环境监测设备的数据上传至物联网平台，平台端可查看各点的实时数据、过往数据、预警记录等，并支持在监测预警时通过微信推送与电话告知工区责任人采取相应措施。</w:t>
      </w:r>
    </w:p>
    <w:p w14:paraId="6803ADA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4）关键技术参数</w:t>
      </w:r>
    </w:p>
    <w:p w14:paraId="7F09D8C2">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选取市场主流产品、成熟产品，具备高稳定性</w:t>
      </w:r>
    </w:p>
    <w:p w14:paraId="4FEC2260">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系统基于B/S架构，适应于多种操作系统下的使用。</w:t>
      </w:r>
    </w:p>
    <w:p w14:paraId="0C08494D">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采用</w:t>
      </w:r>
      <w:r>
        <w:rPr>
          <w:rFonts w:ascii="Times New Roman" w:hAnsi="Times New Roman" w:eastAsia="宋体" w:cs="Times New Roman"/>
          <w:color w:val="auto"/>
          <w:kern w:val="2"/>
          <w:szCs w:val="24"/>
          <w:highlight w:val="none"/>
          <w:lang w:eastAsia="zh-CN"/>
        </w:rPr>
        <w:t>TC</w:t>
      </w:r>
      <w:r>
        <w:rPr>
          <w:rFonts w:hint="eastAsia" w:ascii="Times New Roman" w:hAnsi="Times New Roman" w:eastAsia="宋体" w:cs="Times New Roman"/>
          <w:color w:val="auto"/>
          <w:kern w:val="2"/>
          <w:szCs w:val="24"/>
          <w:highlight w:val="none"/>
          <w:lang w:eastAsia="zh-CN"/>
        </w:rPr>
        <w:t>P/IP协议，具有完美兼容性能。</w:t>
      </w:r>
    </w:p>
    <w:p w14:paraId="258AAEEF">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测量参数可选：PM2.5/PM10/TSP。</w:t>
      </w:r>
    </w:p>
    <w:p w14:paraId="0AF864EA">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支持第</w:t>
      </w:r>
      <w:r>
        <w:rPr>
          <w:rFonts w:ascii="Times New Roman" w:hAnsi="Times New Roman" w:eastAsia="宋体" w:cs="Times New Roman"/>
          <w:color w:val="auto"/>
          <w:kern w:val="2"/>
          <w:szCs w:val="24"/>
          <w:highlight w:val="none"/>
          <w:lang w:eastAsia="zh-CN"/>
        </w:rPr>
        <w:t>三方平台提取数据</w:t>
      </w:r>
      <w:r>
        <w:rPr>
          <w:rFonts w:hint="eastAsia" w:ascii="Times New Roman" w:hAnsi="Times New Roman" w:eastAsia="宋体" w:cs="Times New Roman"/>
          <w:color w:val="auto"/>
          <w:kern w:val="2"/>
          <w:szCs w:val="24"/>
          <w:highlight w:val="none"/>
          <w:lang w:eastAsia="zh-CN"/>
        </w:rPr>
        <w:t>。</w:t>
      </w:r>
    </w:p>
    <w:p w14:paraId="74AC48B4">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支持气象参数（温度、湿度、风速、风向、大气压）扩展接入。</w:t>
      </w:r>
    </w:p>
    <w:p w14:paraId="38B9090A">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支持氧气、一氧化碳、可燃气体、硫化氢、二氧化硫、二氧化氮，实现环境全面监控。</w:t>
      </w:r>
    </w:p>
    <w:p w14:paraId="3DCB02E7">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支持治理设备接入(喷淋、雾炮)</w:t>
      </w:r>
      <w:r>
        <w:rPr>
          <w:rFonts w:ascii="Times New Roman" w:hAnsi="Times New Roman" w:eastAsia="宋体" w:cs="Times New Roman"/>
          <w:color w:val="auto"/>
          <w:kern w:val="2"/>
          <w:szCs w:val="24"/>
          <w:highlight w:val="none"/>
          <w:lang w:eastAsia="zh-CN"/>
        </w:rPr>
        <w:t xml:space="preserve"> </w:t>
      </w:r>
      <w:r>
        <w:rPr>
          <w:rFonts w:hint="eastAsia" w:ascii="Times New Roman" w:hAnsi="Times New Roman" w:eastAsia="宋体" w:cs="Times New Roman"/>
          <w:color w:val="auto"/>
          <w:kern w:val="2"/>
          <w:szCs w:val="24"/>
          <w:highlight w:val="none"/>
          <w:lang w:eastAsia="zh-CN"/>
        </w:rPr>
        <w:t>。</w:t>
      </w:r>
    </w:p>
    <w:p w14:paraId="68609DA3">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一体</w:t>
      </w:r>
      <w:r>
        <w:rPr>
          <w:rFonts w:ascii="Times New Roman" w:hAnsi="Times New Roman" w:eastAsia="宋体" w:cs="Times New Roman"/>
          <w:color w:val="auto"/>
          <w:kern w:val="2"/>
          <w:szCs w:val="24"/>
          <w:highlight w:val="none"/>
          <w:lang w:eastAsia="zh-CN"/>
        </w:rPr>
        <w:t>集成，</w:t>
      </w:r>
      <w:r>
        <w:rPr>
          <w:rFonts w:hint="eastAsia" w:ascii="Times New Roman" w:hAnsi="Times New Roman" w:eastAsia="宋体" w:cs="Times New Roman"/>
          <w:color w:val="auto"/>
          <w:kern w:val="2"/>
          <w:szCs w:val="24"/>
          <w:highlight w:val="none"/>
          <w:lang w:eastAsia="zh-CN"/>
        </w:rPr>
        <w:t>安装</w:t>
      </w:r>
      <w:r>
        <w:rPr>
          <w:rFonts w:ascii="Times New Roman" w:hAnsi="Times New Roman" w:eastAsia="宋体" w:cs="Times New Roman"/>
          <w:color w:val="auto"/>
          <w:kern w:val="2"/>
          <w:szCs w:val="24"/>
          <w:highlight w:val="none"/>
          <w:lang w:eastAsia="zh-CN"/>
        </w:rPr>
        <w:t>维护方便。</w:t>
      </w:r>
    </w:p>
    <w:p w14:paraId="3F6EAE6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5）数据接入要求</w:t>
      </w:r>
    </w:p>
    <w:p w14:paraId="247B3BD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6B0770D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2A708AE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0408660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w:t>
      </w:r>
      <w:r>
        <w:rPr>
          <w:rFonts w:hint="eastAsia" w:ascii="Times New Roman" w:hAnsi="Times New Roman" w:eastAsia="宋体" w:cs="Times New Roman"/>
          <w:color w:val="auto"/>
          <w:kern w:val="2"/>
          <w:szCs w:val="24"/>
          <w:highlight w:val="none"/>
          <w:lang w:eastAsia="zh-CN"/>
        </w:rPr>
        <w:t>监测值、监测时间、状态、</w:t>
      </w:r>
      <w:r>
        <w:rPr>
          <w:rFonts w:hint="eastAsia" w:ascii="Times New Roman" w:hAnsi="Times New Roman" w:eastAsia="宋体" w:cs="Times New Roman"/>
          <w:color w:val="auto"/>
          <w:szCs w:val="24"/>
          <w:highlight w:val="none"/>
          <w:lang w:eastAsia="zh-CN"/>
        </w:rPr>
        <w:t>环境监测数据容等信息。</w:t>
      </w:r>
    </w:p>
    <w:p w14:paraId="72F1715D">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26.1.7 预警广播系统</w:t>
      </w:r>
    </w:p>
    <w:p w14:paraId="2FEE70C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1）系统设计</w:t>
      </w:r>
    </w:p>
    <w:p w14:paraId="0442C0C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建立工地公共广播系统，根据现场合理布局语音广播位置，实现主要施工区域的语音广播全覆盖，主要硬件设备包括预警广播、网络寻呼话筒和网络广播服务器。</w:t>
      </w:r>
    </w:p>
    <w:p w14:paraId="5DEAA685">
      <w:pPr>
        <w:kinsoku/>
        <w:autoSpaceDE w:val="0"/>
        <w:autoSpaceDN w:val="0"/>
        <w:adjustRightInd/>
        <w:spacing w:line="440" w:lineRule="exact"/>
        <w:ind w:firstLine="408" w:firstLineChars="170"/>
        <w:rPr>
          <w:rFonts w:ascii="宋体" w:hAnsi="宋体"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2</w:t>
      </w:r>
      <w:r>
        <w:rPr>
          <w:rFonts w:hint="eastAsia" w:ascii="宋体" w:hAnsi="宋体" w:eastAsia="宋体" w:cs="宋体"/>
          <w:snapToGrid/>
          <w:color w:val="auto"/>
          <w:szCs w:val="24"/>
          <w:highlight w:val="none"/>
          <w:lang w:eastAsia="zh-CN"/>
        </w:rPr>
        <w:t>）点位设计要求</w:t>
      </w:r>
    </w:p>
    <w:p w14:paraId="6BCDC94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宋体" w:hAnsi="宋体" w:eastAsia="宋体" w:cs="宋体"/>
          <w:snapToGrid/>
          <w:color w:val="auto"/>
          <w:szCs w:val="24"/>
          <w:highlight w:val="none"/>
          <w:lang w:eastAsia="zh-CN"/>
        </w:rPr>
        <w:t>建立工地公共广播系统，根据现场合理布局语音广播位置，实现主要施工区域的语音广播全覆盖。</w:t>
      </w:r>
      <w:r>
        <w:rPr>
          <w:rFonts w:hint="eastAsia" w:ascii="Times New Roman" w:hAnsi="Times New Roman" w:eastAsia="宋体" w:cs="Times New Roman"/>
          <w:color w:val="auto"/>
          <w:szCs w:val="24"/>
          <w:highlight w:val="none"/>
          <w:lang w:eastAsia="zh-CN"/>
        </w:rPr>
        <w:t>预警广播可结合部分视频监控统一布设，声音传播区域需涵盖作业区域以及工程沿线重要的街道路口。网络寻呼话筒及网络广播服务器布置在项目部机房，每个工区各1套。</w:t>
      </w:r>
    </w:p>
    <w:p w14:paraId="4C1B3276">
      <w:pPr>
        <w:kinsoku/>
        <w:autoSpaceDE w:val="0"/>
        <w:autoSpaceDN w:val="0"/>
        <w:adjustRightInd/>
        <w:spacing w:line="440" w:lineRule="exact"/>
        <w:ind w:firstLine="408" w:firstLineChars="170"/>
        <w:rPr>
          <w:rFonts w:ascii="宋体" w:hAnsi="宋体"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3</w:t>
      </w:r>
      <w:r>
        <w:rPr>
          <w:rFonts w:hint="eastAsia" w:ascii="宋体" w:hAnsi="宋体" w:eastAsia="宋体" w:cs="宋体"/>
          <w:snapToGrid/>
          <w:color w:val="auto"/>
          <w:szCs w:val="24"/>
          <w:highlight w:val="none"/>
          <w:lang w:eastAsia="zh-CN"/>
        </w:rPr>
        <w:t>）功能介绍</w:t>
      </w:r>
    </w:p>
    <w:p w14:paraId="2180FDC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支持业务讲话广播、背景音乐、定时打铃和电台转播等；</w:t>
      </w:r>
    </w:p>
    <w:p w14:paraId="1FE89DB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支持分区寻呼，可以对单个或全部的分区进行任意广播呼叫；</w:t>
      </w:r>
    </w:p>
    <w:p w14:paraId="63ECD0B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支持分区广播，可以对任意指定的组进行广播讲话；</w:t>
      </w:r>
    </w:p>
    <w:p w14:paraId="1C93CBD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支持定时播放，按照任务计划实现定时、定点的全自动播出；</w:t>
      </w:r>
    </w:p>
    <w:p w14:paraId="27D81E0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支持音频采集，外置音源接入音频采集终端，实时采集并压缩成高品质的数据流，用于插播外接节目广播及广播通知等；</w:t>
      </w:r>
    </w:p>
    <w:p w14:paraId="0390390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音频服务器，是数字IP网络广播系统的核心，负责音频流点播服务、计划任务处理、终端管理和权限管理等功能。管理节目库资源，为所有数字广播终端提供定时播放和实时点播服务，响应各播控器的播放请求。为工作站提供数据接口服务。</w:t>
      </w:r>
    </w:p>
    <w:p w14:paraId="4B57313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（1）统一管理系统内所有IP内通设备，包括寻呼话筒，对讲终端，广播终端和接口设备。</w:t>
      </w:r>
    </w:p>
    <w:p w14:paraId="330B3EE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（2）即时显示各类终端运行状态，如登录IP地址、音量、任务状态，可远程调节所有终端音量。</w:t>
      </w:r>
    </w:p>
    <w:p w14:paraId="690525B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（3）采用15英寸工业级加固触摸屏，简单易用的触摸屏操控；</w:t>
      </w:r>
    </w:p>
    <w:p w14:paraId="745A9BA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（4）具有实时采播和定时采播功能，可通过声卡向指定终端广播音乐或通知。</w:t>
      </w:r>
    </w:p>
    <w:p w14:paraId="5DD2C8B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（5）文件广播，将服务器中音频文件，向指定终端播放（支持任意多路文件同时广播）。</w:t>
      </w:r>
    </w:p>
    <w:p w14:paraId="0283C07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（6）定时任务，在设定的时间，向预设的终端播放文件列表内容。</w:t>
      </w:r>
    </w:p>
    <w:p w14:paraId="1D50631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（7）消防广播，当服务器收到终端的触发信号，向指定区域的终端播放紧急疏散语音。</w:t>
      </w:r>
    </w:p>
    <w:p w14:paraId="327DE171">
      <w:pPr>
        <w:kinsoku/>
        <w:autoSpaceDE w:val="0"/>
        <w:autoSpaceDN w:val="0"/>
        <w:adjustRightInd/>
        <w:spacing w:line="440" w:lineRule="exact"/>
        <w:ind w:firstLine="408" w:firstLineChars="170"/>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szCs w:val="24"/>
          <w:highlight w:val="none"/>
          <w:lang w:eastAsia="zh-CN"/>
        </w:rPr>
        <w:t>（8）节目管理，维护系统所需的广播音频文</w:t>
      </w:r>
      <w:r>
        <w:rPr>
          <w:rFonts w:hint="eastAsia" w:ascii="Times New Roman" w:hAnsi="Times New Roman" w:eastAsia="宋体" w:cs="Times New Roman"/>
          <w:color w:val="auto"/>
          <w:kern w:val="2"/>
          <w:szCs w:val="24"/>
          <w:highlight w:val="none"/>
          <w:lang w:eastAsia="zh-CN"/>
        </w:rPr>
        <w:t>件，便于工作站或终端调用。</w:t>
      </w:r>
    </w:p>
    <w:p w14:paraId="24F5687A">
      <w:pPr>
        <w:kinsoku/>
        <w:autoSpaceDE w:val="0"/>
        <w:autoSpaceDN w:val="0"/>
        <w:adjustRightInd/>
        <w:spacing w:line="440" w:lineRule="exact"/>
        <w:ind w:firstLine="408" w:firstLineChars="170"/>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kern w:val="2"/>
          <w:szCs w:val="24"/>
          <w:highlight w:val="none"/>
          <w:lang w:eastAsia="zh-CN"/>
        </w:rPr>
        <w:t>9）为工作站软件提供数据接口，根据账户授予相应操作权限。</w:t>
      </w:r>
    </w:p>
    <w:p w14:paraId="7F25C42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（10）日志功能，每次呼叫、通话和广播操作均有记录供查询。</w:t>
      </w:r>
    </w:p>
    <w:p w14:paraId="50709B5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（11）单台服务器容量1000台终端，支持64台。</w:t>
      </w:r>
    </w:p>
    <w:p w14:paraId="6CFCA51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（12）服务器互联。</w:t>
      </w:r>
    </w:p>
    <w:p w14:paraId="78D147B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（13）支持主服务器和备用服务器热切换，提升系统可靠性。</w:t>
      </w:r>
    </w:p>
    <w:p w14:paraId="2438C9B7">
      <w:pPr>
        <w:widowControl w:val="0"/>
        <w:autoSpaceDE w:val="0"/>
        <w:autoSpaceDN w:val="0"/>
        <w:snapToGrid w:val="0"/>
        <w:spacing w:line="440" w:lineRule="exact"/>
        <w:ind w:firstLine="408" w:firstLineChars="170"/>
        <w:jc w:val="both"/>
        <w:textAlignment w:val="auto"/>
        <w:rPr>
          <w:rFonts w:ascii="宋体" w:hAnsi="宋体" w:eastAsia="宋体" w:cs="宋体"/>
          <w:snapToGrid/>
          <w:color w:val="auto"/>
          <w:sz w:val="24"/>
          <w:szCs w:val="24"/>
          <w:highlight w:val="none"/>
          <w:lang w:val="en-US" w:eastAsia="zh-CN" w:bidi="ar-SA"/>
        </w:rPr>
      </w:pPr>
      <w:r>
        <w:rPr>
          <w:rFonts w:hint="eastAsia" w:ascii="Times New Roman" w:hAnsi="Times New Roman" w:eastAsia="宋体" w:cs="Times New Roman"/>
          <w:snapToGrid w:val="0"/>
          <w:color w:val="auto"/>
          <w:sz w:val="24"/>
          <w:szCs w:val="24"/>
          <w:highlight w:val="none"/>
          <w:lang w:val="en-US" w:eastAsia="zh-CN" w:bidi="ar-SA"/>
        </w:rPr>
        <w:t>（</w:t>
      </w:r>
      <w:r>
        <w:rPr>
          <w:rFonts w:hint="eastAsia" w:ascii="宋体" w:hAnsi="宋体" w:eastAsia="宋体" w:cs="宋体"/>
          <w:snapToGrid/>
          <w:color w:val="auto"/>
          <w:sz w:val="24"/>
          <w:szCs w:val="24"/>
          <w:highlight w:val="none"/>
          <w:lang w:val="en-US" w:eastAsia="zh-CN" w:bidi="ar-SA"/>
        </w:rPr>
        <w:t>14）支持文字转语音功能（可外接设备）。</w:t>
      </w:r>
    </w:p>
    <w:p w14:paraId="468B565B">
      <w:pPr>
        <w:widowControl w:val="0"/>
        <w:autoSpaceDE w:val="0"/>
        <w:autoSpaceDN w:val="0"/>
        <w:snapToGrid w:val="0"/>
        <w:spacing w:line="440" w:lineRule="exact"/>
        <w:ind w:firstLine="408" w:firstLineChars="170"/>
        <w:jc w:val="both"/>
        <w:textAlignment w:val="auto"/>
        <w:rPr>
          <w:rFonts w:ascii="宋体" w:hAnsi="宋体" w:eastAsia="宋体" w:cs="宋体"/>
          <w:snapToGrid/>
          <w:color w:val="auto"/>
          <w:sz w:val="24"/>
          <w:szCs w:val="24"/>
          <w:highlight w:val="none"/>
          <w:lang w:val="en-US" w:eastAsia="zh-CN" w:bidi="ar-SA"/>
        </w:rPr>
      </w:pPr>
      <w:r>
        <w:rPr>
          <w:rFonts w:hint="eastAsia" w:ascii="Times New Roman" w:hAnsi="Times New Roman" w:eastAsia="宋体" w:cs="Times New Roman"/>
          <w:snapToGrid w:val="0"/>
          <w:color w:val="auto"/>
          <w:sz w:val="24"/>
          <w:szCs w:val="24"/>
          <w:highlight w:val="none"/>
          <w:lang w:val="en-US" w:eastAsia="zh-CN" w:bidi="ar-SA"/>
        </w:rPr>
        <w:t>（</w:t>
      </w:r>
      <w:r>
        <w:rPr>
          <w:rFonts w:hint="eastAsia" w:ascii="宋体" w:hAnsi="宋体" w:eastAsia="宋体" w:cs="宋体"/>
          <w:snapToGrid/>
          <w:color w:val="auto"/>
          <w:sz w:val="24"/>
          <w:szCs w:val="24"/>
          <w:highlight w:val="none"/>
          <w:lang w:val="en-US" w:eastAsia="zh-CN" w:bidi="ar-SA"/>
        </w:rPr>
        <w:t>15）支持放炮预警功能，并将每次数据上报第三方平台（可外接设备）。</w:t>
      </w:r>
    </w:p>
    <w:p w14:paraId="7A16F74E">
      <w:pPr>
        <w:widowControl w:val="0"/>
        <w:autoSpaceDE w:val="0"/>
        <w:autoSpaceDN w:val="0"/>
        <w:snapToGrid w:val="0"/>
        <w:spacing w:line="440" w:lineRule="exact"/>
        <w:ind w:firstLine="408" w:firstLineChars="170"/>
        <w:jc w:val="both"/>
        <w:textAlignment w:val="auto"/>
        <w:rPr>
          <w:rFonts w:ascii="宋体" w:hAnsi="宋体" w:eastAsia="宋体" w:cs="宋体"/>
          <w:snapToGrid/>
          <w:color w:val="auto"/>
          <w:sz w:val="24"/>
          <w:szCs w:val="24"/>
          <w:highlight w:val="none"/>
          <w:lang w:val="en-US" w:eastAsia="zh-CN" w:bidi="ar-SA"/>
        </w:rPr>
      </w:pPr>
      <w:r>
        <w:rPr>
          <w:rFonts w:hint="eastAsia" w:ascii="Times New Roman" w:hAnsi="Times New Roman" w:eastAsia="宋体" w:cs="宋体"/>
          <w:snapToGrid/>
          <w:color w:val="auto"/>
          <w:sz w:val="24"/>
          <w:szCs w:val="24"/>
          <w:highlight w:val="none"/>
          <w:lang w:val="en-US" w:eastAsia="zh-CN" w:bidi="ar-SA"/>
        </w:rPr>
        <w:t>4</w:t>
      </w:r>
      <w:r>
        <w:rPr>
          <w:rFonts w:hint="eastAsia" w:ascii="宋体" w:hAnsi="宋体" w:eastAsia="宋体" w:cs="宋体"/>
          <w:snapToGrid/>
          <w:color w:val="auto"/>
          <w:sz w:val="24"/>
          <w:szCs w:val="24"/>
          <w:highlight w:val="none"/>
          <w:lang w:val="en-US" w:eastAsia="zh-CN" w:bidi="ar-SA"/>
        </w:rPr>
        <w:t>）</w:t>
      </w:r>
      <w:r>
        <w:rPr>
          <w:rFonts w:hint="eastAsia" w:ascii="Times New Roman" w:hAnsi="Times New Roman" w:eastAsia="宋体" w:cs="宋体"/>
          <w:snapToGrid/>
          <w:color w:val="auto"/>
          <w:sz w:val="24"/>
          <w:szCs w:val="24"/>
          <w:highlight w:val="none"/>
          <w:lang w:val="en-US" w:eastAsia="zh-CN" w:bidi="ar-SA"/>
        </w:rPr>
        <w:t>关键</w:t>
      </w:r>
      <w:r>
        <w:rPr>
          <w:rFonts w:hint="eastAsia" w:ascii="宋体" w:hAnsi="宋体" w:eastAsia="宋体" w:cs="宋体"/>
          <w:snapToGrid/>
          <w:color w:val="auto"/>
          <w:sz w:val="24"/>
          <w:szCs w:val="24"/>
          <w:highlight w:val="none"/>
          <w:lang w:val="en-US" w:eastAsia="zh-CN" w:bidi="ar-SA"/>
        </w:rPr>
        <w:t>技术参数</w:t>
      </w:r>
    </w:p>
    <w:p w14:paraId="2A6FEEB0">
      <w:pPr>
        <w:widowControl w:val="0"/>
        <w:tabs>
          <w:tab w:val="left" w:pos="720"/>
        </w:tabs>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Times New Roman" w:hAnsi="Times New Roman" w:eastAsia="宋体" w:cs="Times New Roman"/>
          <w:snapToGrid w:val="0"/>
          <w:color w:val="auto"/>
          <w:sz w:val="24"/>
          <w:szCs w:val="24"/>
          <w:highlight w:val="none"/>
          <w:lang w:val="en-US" w:eastAsia="zh-CN" w:bidi="ar-SA"/>
        </w:rPr>
        <w:t>（</w:t>
      </w:r>
      <w:r>
        <w:rPr>
          <w:rFonts w:hint="eastAsia" w:ascii="宋体" w:hAnsi="宋体" w:eastAsia="宋体" w:cs="宋体"/>
          <w:snapToGrid w:val="0"/>
          <w:color w:val="auto"/>
          <w:sz w:val="24"/>
          <w:szCs w:val="24"/>
          <w:highlight w:val="none"/>
          <w:lang w:val="en-US" w:eastAsia="zh-CN" w:bidi="ar-SA"/>
        </w:rPr>
        <w:t>1）工作站软件</w:t>
      </w:r>
    </w:p>
    <w:p w14:paraId="33910F4C">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工作站软件利用IP网络（局域网、广域网）远程登录到服务器，实现远程管理。主要完成音频实时采播、节目资源制作和定时编排播放功能，可应用于以下场合</w:t>
      </w:r>
      <w:r>
        <w:rPr>
          <w:rFonts w:hint="eastAsia" w:ascii="Times New Roman" w:hAnsi="Times New Roman" w:eastAsia="宋体" w:cs="宋体"/>
          <w:snapToGrid w:val="0"/>
          <w:color w:val="auto"/>
          <w:sz w:val="24"/>
          <w:szCs w:val="24"/>
          <w:highlight w:val="none"/>
          <w:lang w:val="en-US" w:eastAsia="zh-CN" w:bidi="ar-SA"/>
        </w:rPr>
        <w:t>：</w:t>
      </w:r>
    </w:p>
    <w:p w14:paraId="323BCB32">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领导在单位通过局域网或在外地通过Internet，对广播区直播讲话。将话筒等模拟音频信号接入工作站声卡，实时采集压缩后直播到各数字广播终端，操作简便，不需广播主控室人工干预。</w:t>
      </w:r>
    </w:p>
    <w:p w14:paraId="636081FF">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定时编排播放</w:t>
      </w:r>
      <w:r>
        <w:rPr>
          <w:rFonts w:hint="eastAsia" w:ascii="Times New Roman" w:hAnsi="Times New Roman" w:eastAsia="宋体" w:cs="宋体"/>
          <w:snapToGrid w:val="0"/>
          <w:color w:val="auto"/>
          <w:sz w:val="24"/>
          <w:szCs w:val="24"/>
          <w:highlight w:val="none"/>
          <w:lang w:val="en-US" w:eastAsia="zh-CN" w:bidi="ar-SA"/>
        </w:rPr>
        <w:t>：</w:t>
      </w:r>
      <w:r>
        <w:rPr>
          <w:rFonts w:hint="eastAsia" w:ascii="宋体" w:hAnsi="宋体" w:eastAsia="宋体" w:cs="宋体"/>
          <w:snapToGrid w:val="0"/>
          <w:color w:val="auto"/>
          <w:sz w:val="24"/>
          <w:szCs w:val="24"/>
          <w:highlight w:val="none"/>
          <w:lang w:val="en-US" w:eastAsia="zh-CN" w:bidi="ar-SA"/>
        </w:rPr>
        <w:t>操作人员可以预先设定每台网络广播终端的定时播放内容，每台终端都可以有自己个性化的定时播放内容</w:t>
      </w:r>
      <w:r>
        <w:rPr>
          <w:rFonts w:hint="eastAsia" w:ascii="Times New Roman" w:hAnsi="Times New Roman" w:eastAsia="宋体" w:cs="宋体"/>
          <w:snapToGrid w:val="0"/>
          <w:color w:val="auto"/>
          <w:sz w:val="24"/>
          <w:szCs w:val="24"/>
          <w:highlight w:val="none"/>
          <w:lang w:val="en-US" w:eastAsia="zh-CN" w:bidi="ar-SA"/>
        </w:rPr>
        <w:t>；</w:t>
      </w:r>
    </w:p>
    <w:p w14:paraId="7C22B571">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工作站软件还附带了功能齐全的节目制作工具，操作人员可利用从CD抓轨，声卡线录等方式制作课件，支持文件转换、合并和分割等操作。</w:t>
      </w:r>
    </w:p>
    <w:p w14:paraId="53D6B3D7">
      <w:pPr>
        <w:widowControl w:val="0"/>
        <w:tabs>
          <w:tab w:val="left" w:pos="720"/>
        </w:tabs>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Times New Roman" w:hAnsi="Times New Roman" w:eastAsia="宋体" w:cs="Times New Roman"/>
          <w:snapToGrid w:val="0"/>
          <w:color w:val="auto"/>
          <w:sz w:val="24"/>
          <w:szCs w:val="24"/>
          <w:highlight w:val="none"/>
          <w:lang w:val="en-US" w:eastAsia="zh-CN" w:bidi="ar-SA"/>
        </w:rPr>
        <w:t>（</w:t>
      </w:r>
      <w:r>
        <w:rPr>
          <w:rFonts w:hint="eastAsia" w:ascii="宋体" w:hAnsi="宋体" w:eastAsia="宋体" w:cs="宋体"/>
          <w:snapToGrid w:val="0"/>
          <w:color w:val="auto"/>
          <w:sz w:val="24"/>
          <w:szCs w:val="24"/>
          <w:highlight w:val="none"/>
          <w:lang w:val="en-US" w:eastAsia="zh-CN" w:bidi="ar-SA"/>
        </w:rPr>
        <w:t>2）网络寻呼话简</w:t>
      </w:r>
    </w:p>
    <w:p w14:paraId="418A737F">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①专业控制台设计，坚固耐用，高档铝合金面板，全金属机身。</w:t>
      </w:r>
    </w:p>
    <w:p w14:paraId="2BA3457D">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②具有7寸数字真彩显示屏，电容式触摸屏，分辨率800*480。</w:t>
      </w:r>
    </w:p>
    <w:p w14:paraId="22F39AF4">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③内置3W扬声器和话筒咪头，用于免提通话、接收广播和监听(数字降噪)。</w:t>
      </w:r>
    </w:p>
    <w:p w14:paraId="5A523639">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④可对全区、分区、个别终端进行广播喊话。</w:t>
      </w:r>
    </w:p>
    <w:p w14:paraId="2BC40EF1">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⑤具有红色紧急按键，支持一键广播到预设分区。</w:t>
      </w:r>
    </w:p>
    <w:p w14:paraId="397770F2">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⑥支持来/去/未接电显示功能，具有常用通信电话薄查询功能。</w:t>
      </w:r>
    </w:p>
    <w:p w14:paraId="77884E65">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⑦支持U盘或读卡器接入，点播音频文件并通过网络广播到前端设备。</w:t>
      </w:r>
    </w:p>
    <w:p w14:paraId="767FA792">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fldChar w:fldCharType="begin"/>
      </w:r>
      <w:r>
        <w:rPr>
          <w:rFonts w:hint="eastAsia" w:ascii="宋体" w:hAnsi="宋体" w:eastAsia="宋体" w:cs="宋体"/>
          <w:snapToGrid w:val="0"/>
          <w:color w:val="auto"/>
          <w:sz w:val="24"/>
          <w:szCs w:val="24"/>
          <w:highlight w:val="none"/>
          <w:lang w:val="en-US" w:eastAsia="zh-CN" w:bidi="ar-SA"/>
        </w:rPr>
        <w:instrText xml:space="preserve"> = 8 \* GB3 \* MERGEFORMAT </w:instrText>
      </w:r>
      <w:r>
        <w:rPr>
          <w:rFonts w:hint="eastAsia" w:ascii="宋体" w:hAnsi="宋体" w:eastAsia="宋体" w:cs="宋体"/>
          <w:snapToGrid w:val="0"/>
          <w:color w:val="auto"/>
          <w:sz w:val="24"/>
          <w:szCs w:val="24"/>
          <w:highlight w:val="none"/>
          <w:lang w:val="en-US" w:eastAsia="zh-CN" w:bidi="ar-SA"/>
        </w:rPr>
        <w:fldChar w:fldCharType="separate"/>
      </w:r>
      <w:r>
        <w:rPr>
          <w:rFonts w:ascii="Times New Roman" w:hAnsi="Times New Roman" w:eastAsia="宋体" w:cs="Times New Roman"/>
          <w:snapToGrid w:val="0"/>
          <w:color w:val="auto"/>
          <w:sz w:val="24"/>
          <w:szCs w:val="24"/>
          <w:highlight w:val="none"/>
          <w:lang w:val="en-US" w:eastAsia="zh-CN" w:bidi="ar-SA"/>
        </w:rPr>
        <w:t>⑧</w:t>
      </w:r>
      <w:r>
        <w:rPr>
          <w:rFonts w:hint="eastAsia" w:ascii="宋体" w:hAnsi="宋体" w:eastAsia="宋体" w:cs="宋体"/>
          <w:snapToGrid w:val="0"/>
          <w:color w:val="auto"/>
          <w:sz w:val="24"/>
          <w:szCs w:val="24"/>
          <w:highlight w:val="none"/>
          <w:lang w:val="en-US" w:eastAsia="zh-CN" w:bidi="ar-SA"/>
        </w:rPr>
        <w:fldChar w:fldCharType="end"/>
      </w:r>
      <w:r>
        <w:rPr>
          <w:rFonts w:hint="eastAsia" w:ascii="宋体" w:hAnsi="宋体" w:eastAsia="宋体" w:cs="宋体"/>
          <w:snapToGrid w:val="0"/>
          <w:color w:val="auto"/>
          <w:sz w:val="24"/>
          <w:szCs w:val="24"/>
          <w:highlight w:val="none"/>
          <w:lang w:val="en-US" w:eastAsia="zh-CN" w:bidi="ar-SA"/>
        </w:rPr>
        <w:t>支持Mini SD卡接入，可以升级终端固件程序。</w:t>
      </w:r>
    </w:p>
    <w:p w14:paraId="351126A6">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fldChar w:fldCharType="begin"/>
      </w:r>
      <w:r>
        <w:rPr>
          <w:rFonts w:hint="eastAsia" w:ascii="宋体" w:hAnsi="宋体" w:eastAsia="宋体" w:cs="宋体"/>
          <w:snapToGrid w:val="0"/>
          <w:color w:val="auto"/>
          <w:sz w:val="24"/>
          <w:szCs w:val="24"/>
          <w:highlight w:val="none"/>
          <w:lang w:val="en-US" w:eastAsia="zh-CN" w:bidi="ar-SA"/>
        </w:rPr>
        <w:instrText xml:space="preserve"> = 9 \* GB3 \* MERGEFORMAT </w:instrText>
      </w:r>
      <w:r>
        <w:rPr>
          <w:rFonts w:hint="eastAsia" w:ascii="宋体" w:hAnsi="宋体" w:eastAsia="宋体" w:cs="宋体"/>
          <w:snapToGrid w:val="0"/>
          <w:color w:val="auto"/>
          <w:sz w:val="24"/>
          <w:szCs w:val="24"/>
          <w:highlight w:val="none"/>
          <w:lang w:val="en-US" w:eastAsia="zh-CN" w:bidi="ar-SA"/>
        </w:rPr>
        <w:fldChar w:fldCharType="separate"/>
      </w:r>
      <w:r>
        <w:rPr>
          <w:rFonts w:ascii="Times New Roman" w:hAnsi="Times New Roman" w:eastAsia="宋体" w:cs="Times New Roman"/>
          <w:snapToGrid w:val="0"/>
          <w:color w:val="auto"/>
          <w:sz w:val="24"/>
          <w:szCs w:val="24"/>
          <w:highlight w:val="none"/>
          <w:lang w:val="en-US" w:eastAsia="zh-CN" w:bidi="ar-SA"/>
        </w:rPr>
        <w:t>⑨</w:t>
      </w:r>
      <w:r>
        <w:rPr>
          <w:rFonts w:hint="eastAsia" w:ascii="宋体" w:hAnsi="宋体" w:eastAsia="宋体" w:cs="宋体"/>
          <w:snapToGrid w:val="0"/>
          <w:color w:val="auto"/>
          <w:sz w:val="24"/>
          <w:szCs w:val="24"/>
          <w:highlight w:val="none"/>
          <w:lang w:val="en-US" w:eastAsia="zh-CN" w:bidi="ar-SA"/>
        </w:rPr>
        <w:fldChar w:fldCharType="end"/>
      </w:r>
      <w:r>
        <w:rPr>
          <w:rFonts w:hint="eastAsia" w:ascii="宋体" w:hAnsi="宋体" w:eastAsia="宋体" w:cs="宋体"/>
          <w:snapToGrid w:val="0"/>
          <w:color w:val="auto"/>
          <w:sz w:val="24"/>
          <w:szCs w:val="24"/>
          <w:highlight w:val="none"/>
          <w:lang w:val="en-US" w:eastAsia="zh-CN" w:bidi="ar-SA"/>
        </w:rPr>
        <w:t>支持触摸屏背景界面自由更换。</w:t>
      </w:r>
    </w:p>
    <w:p w14:paraId="41966587">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fldChar w:fldCharType="begin"/>
      </w:r>
      <w:r>
        <w:rPr>
          <w:rFonts w:hint="eastAsia" w:ascii="宋体" w:hAnsi="宋体" w:eastAsia="宋体" w:cs="宋体"/>
          <w:snapToGrid w:val="0"/>
          <w:color w:val="auto"/>
          <w:sz w:val="24"/>
          <w:szCs w:val="24"/>
          <w:highlight w:val="none"/>
          <w:lang w:val="en-US" w:eastAsia="zh-CN" w:bidi="ar-SA"/>
        </w:rPr>
        <w:instrText xml:space="preserve"> = 10 \* GB3 \* MERGEFORMAT </w:instrText>
      </w:r>
      <w:r>
        <w:rPr>
          <w:rFonts w:hint="eastAsia" w:ascii="宋体" w:hAnsi="宋体" w:eastAsia="宋体" w:cs="宋体"/>
          <w:snapToGrid w:val="0"/>
          <w:color w:val="auto"/>
          <w:sz w:val="24"/>
          <w:szCs w:val="24"/>
          <w:highlight w:val="none"/>
          <w:lang w:val="en-US" w:eastAsia="zh-CN" w:bidi="ar-SA"/>
        </w:rPr>
        <w:fldChar w:fldCharType="separate"/>
      </w:r>
      <w:r>
        <w:rPr>
          <w:rFonts w:ascii="Times New Roman" w:hAnsi="Times New Roman" w:eastAsia="宋体" w:cs="Times New Roman"/>
          <w:snapToGrid w:val="0"/>
          <w:color w:val="auto"/>
          <w:sz w:val="24"/>
          <w:szCs w:val="24"/>
          <w:highlight w:val="none"/>
          <w:lang w:val="en-US" w:eastAsia="zh-CN" w:bidi="ar-SA"/>
        </w:rPr>
        <w:t>⑩</w:t>
      </w:r>
      <w:r>
        <w:rPr>
          <w:rFonts w:hint="eastAsia" w:ascii="宋体" w:hAnsi="宋体" w:eastAsia="宋体" w:cs="宋体"/>
          <w:snapToGrid w:val="0"/>
          <w:color w:val="auto"/>
          <w:sz w:val="24"/>
          <w:szCs w:val="24"/>
          <w:highlight w:val="none"/>
          <w:lang w:val="en-US" w:eastAsia="zh-CN" w:bidi="ar-SA"/>
        </w:rPr>
        <w:fldChar w:fldCharType="end"/>
      </w:r>
      <w:r>
        <w:rPr>
          <w:rFonts w:hint="eastAsia" w:ascii="宋体" w:hAnsi="宋体" w:eastAsia="宋体" w:cs="宋体"/>
          <w:snapToGrid w:val="0"/>
          <w:color w:val="auto"/>
          <w:sz w:val="24"/>
          <w:szCs w:val="24"/>
          <w:highlight w:val="none"/>
          <w:lang w:val="en-US" w:eastAsia="zh-CN" w:bidi="ar-SA"/>
        </w:rPr>
        <w:t>内置Flash存储，可以存储音频、配置信息及备份，支持远程修改和升级。</w:t>
      </w:r>
    </w:p>
    <w:p w14:paraId="0D77E0CA">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fldChar w:fldCharType="begin"/>
      </w:r>
      <w:r>
        <w:rPr>
          <w:rFonts w:hint="eastAsia" w:ascii="宋体" w:hAnsi="宋体" w:eastAsia="宋体" w:cs="宋体"/>
          <w:snapToGrid w:val="0"/>
          <w:color w:val="auto"/>
          <w:sz w:val="24"/>
          <w:szCs w:val="24"/>
          <w:highlight w:val="none"/>
          <w:lang w:val="en-US" w:eastAsia="zh-CN" w:bidi="ar-SA"/>
        </w:rPr>
        <w:instrText xml:space="preserve"> EQ \o\ac(○,</w:instrText>
      </w:r>
      <w:r>
        <w:rPr>
          <w:rFonts w:hint="eastAsia" w:ascii="宋体" w:hAnsi="宋体" w:eastAsia="宋体" w:cs="宋体"/>
          <w:snapToGrid w:val="0"/>
          <w:color w:val="auto"/>
          <w:position w:val="3"/>
          <w:sz w:val="16"/>
          <w:szCs w:val="24"/>
          <w:highlight w:val="none"/>
          <w:lang w:val="en-US" w:eastAsia="zh-CN" w:bidi="ar-SA"/>
        </w:rPr>
        <w:instrText xml:space="preserve">11</w:instrText>
      </w:r>
      <w:r>
        <w:rPr>
          <w:rFonts w:hint="eastAsia" w:ascii="宋体" w:hAnsi="宋体" w:eastAsia="宋体" w:cs="宋体"/>
          <w:snapToGrid w:val="0"/>
          <w:color w:val="auto"/>
          <w:sz w:val="24"/>
          <w:szCs w:val="24"/>
          <w:highlight w:val="none"/>
          <w:lang w:val="en-US" w:eastAsia="zh-CN" w:bidi="ar-SA"/>
        </w:rPr>
        <w:instrText xml:space="preserve">)</w:instrText>
      </w:r>
      <w:r>
        <w:rPr>
          <w:rFonts w:hint="eastAsia" w:ascii="宋体" w:hAnsi="宋体" w:eastAsia="宋体" w:cs="宋体"/>
          <w:snapToGrid w:val="0"/>
          <w:color w:val="auto"/>
          <w:sz w:val="24"/>
          <w:szCs w:val="24"/>
          <w:highlight w:val="none"/>
          <w:lang w:val="en-US" w:eastAsia="zh-CN" w:bidi="ar-SA"/>
        </w:rPr>
        <w:fldChar w:fldCharType="end"/>
      </w:r>
      <w:r>
        <w:rPr>
          <w:rFonts w:hint="eastAsia" w:ascii="宋体" w:hAnsi="宋体" w:eastAsia="宋体" w:cs="宋体"/>
          <w:snapToGrid w:val="0"/>
          <w:color w:val="auto"/>
          <w:sz w:val="24"/>
          <w:szCs w:val="24"/>
          <w:highlight w:val="none"/>
          <w:lang w:val="en-US" w:eastAsia="zh-CN" w:bidi="ar-SA"/>
        </w:rPr>
        <w:t>标准RJ45接口，有以太网口的地方即可接入，支持跨网段和跨路由。</w:t>
      </w:r>
    </w:p>
    <w:p w14:paraId="0373B9E5">
      <w:pPr>
        <w:kinsoku/>
        <w:autoSpaceDE w:val="0"/>
        <w:autoSpaceDN w:val="0"/>
        <w:adjustRightInd/>
        <w:spacing w:line="440" w:lineRule="exact"/>
        <w:ind w:firstLine="408" w:firstLineChars="170"/>
        <w:textAlignment w:val="auto"/>
        <w:rPr>
          <w:rFonts w:ascii="宋体" w:hAnsi="宋体" w:eastAsia="宋体" w:cs="宋体"/>
          <w:color w:val="auto"/>
          <w:szCs w:val="24"/>
          <w:highlight w:val="none"/>
          <w:lang w:eastAsia="zh-CN"/>
        </w:rPr>
      </w:pPr>
      <w:r>
        <w:rPr>
          <w:rFonts w:hint="eastAsia" w:ascii="Times New Roman" w:hAnsi="Times New Roman" w:eastAsia="宋体" w:cs="Times New Roman"/>
          <w:color w:val="auto"/>
          <w:szCs w:val="24"/>
          <w:highlight w:val="none"/>
          <w:lang w:eastAsia="zh-CN"/>
        </w:rPr>
        <w:t>（</w:t>
      </w:r>
      <w:r>
        <w:rPr>
          <w:rFonts w:hint="eastAsia" w:ascii="宋体" w:hAnsi="宋体" w:eastAsia="宋体" w:cs="宋体"/>
          <w:color w:val="auto"/>
          <w:szCs w:val="24"/>
          <w:highlight w:val="none"/>
          <w:lang w:eastAsia="zh-CN"/>
        </w:rPr>
        <w:t>3）预警广播</w:t>
      </w:r>
    </w:p>
    <w:p w14:paraId="3A851B40">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①一体化设计，整合网络音频解码,数字功放及喇叭</w:t>
      </w:r>
      <w:r>
        <w:rPr>
          <w:rFonts w:hint="eastAsia" w:ascii="Times New Roman" w:hAnsi="Times New Roman" w:eastAsia="宋体" w:cs="宋体"/>
          <w:snapToGrid w:val="0"/>
          <w:color w:val="auto"/>
          <w:sz w:val="24"/>
          <w:szCs w:val="24"/>
          <w:highlight w:val="none"/>
          <w:lang w:val="en-US" w:eastAsia="zh-CN" w:bidi="ar-SA"/>
        </w:rPr>
        <w:t>；功率不低于60瓦。</w:t>
      </w:r>
    </w:p>
    <w:p w14:paraId="0A1BA5AD">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②内置大容量flash，具有时钟芯片，可根据事先导入的内容进行离线广播</w:t>
      </w:r>
      <w:r>
        <w:rPr>
          <w:rFonts w:hint="eastAsia" w:ascii="Times New Roman" w:hAnsi="Times New Roman" w:eastAsia="宋体" w:cs="宋体"/>
          <w:snapToGrid w:val="0"/>
          <w:color w:val="auto"/>
          <w:sz w:val="24"/>
          <w:szCs w:val="24"/>
          <w:highlight w:val="none"/>
          <w:lang w:val="en-US" w:eastAsia="zh-CN" w:bidi="ar-SA"/>
        </w:rPr>
        <w:t>；</w:t>
      </w:r>
    </w:p>
    <w:p w14:paraId="74D1B0E6">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③具有1路短路输入、1路短路输出用于联动外部设备</w:t>
      </w:r>
      <w:r>
        <w:rPr>
          <w:rFonts w:hint="eastAsia" w:ascii="Times New Roman" w:hAnsi="Times New Roman" w:eastAsia="宋体" w:cs="宋体"/>
          <w:snapToGrid w:val="0"/>
          <w:color w:val="auto"/>
          <w:sz w:val="24"/>
          <w:szCs w:val="24"/>
          <w:highlight w:val="none"/>
          <w:lang w:val="en-US" w:eastAsia="zh-CN" w:bidi="ar-SA"/>
        </w:rPr>
        <w:t>；</w:t>
      </w:r>
    </w:p>
    <w:p w14:paraId="0B6A3609">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④内置回路检测功能，可远程监听扬声器工作状态，轻松维护</w:t>
      </w:r>
      <w:r>
        <w:rPr>
          <w:rFonts w:hint="eastAsia" w:ascii="Times New Roman" w:hAnsi="Times New Roman" w:eastAsia="宋体" w:cs="宋体"/>
          <w:snapToGrid w:val="0"/>
          <w:color w:val="auto"/>
          <w:sz w:val="24"/>
          <w:szCs w:val="24"/>
          <w:highlight w:val="none"/>
          <w:lang w:val="en-US" w:eastAsia="zh-CN" w:bidi="ar-SA"/>
        </w:rPr>
        <w:t>；</w:t>
      </w:r>
    </w:p>
    <w:p w14:paraId="470EAC87">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⑤终端支持服务软件远程控制方式调节音量</w:t>
      </w:r>
      <w:r>
        <w:rPr>
          <w:rFonts w:hint="eastAsia" w:ascii="Times New Roman" w:hAnsi="Times New Roman" w:eastAsia="宋体" w:cs="宋体"/>
          <w:snapToGrid w:val="0"/>
          <w:color w:val="auto"/>
          <w:sz w:val="24"/>
          <w:szCs w:val="24"/>
          <w:highlight w:val="none"/>
          <w:lang w:val="en-US" w:eastAsia="zh-CN" w:bidi="ar-SA"/>
        </w:rPr>
        <w:t>；</w:t>
      </w:r>
    </w:p>
    <w:p w14:paraId="294BACEE">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⑥标准 RJ45网络接口，有以太网口的地方即可接入，支持跨网段和跨路由</w:t>
      </w:r>
      <w:r>
        <w:rPr>
          <w:rFonts w:hint="eastAsia" w:ascii="Times New Roman" w:hAnsi="Times New Roman" w:eastAsia="宋体" w:cs="宋体"/>
          <w:snapToGrid w:val="0"/>
          <w:color w:val="auto"/>
          <w:sz w:val="24"/>
          <w:szCs w:val="24"/>
          <w:highlight w:val="none"/>
          <w:lang w:val="en-US" w:eastAsia="zh-CN" w:bidi="ar-SA"/>
        </w:rPr>
        <w:t>；</w:t>
      </w:r>
    </w:p>
    <w:p w14:paraId="5B14FC72">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⑦底部具有防水指示灯，可显示终端在线状态</w:t>
      </w:r>
      <w:r>
        <w:rPr>
          <w:rFonts w:hint="eastAsia" w:ascii="Times New Roman" w:hAnsi="Times New Roman" w:eastAsia="宋体" w:cs="宋体"/>
          <w:snapToGrid w:val="0"/>
          <w:color w:val="auto"/>
          <w:sz w:val="24"/>
          <w:szCs w:val="24"/>
          <w:highlight w:val="none"/>
          <w:lang w:val="en-US" w:eastAsia="zh-CN" w:bidi="ar-SA"/>
        </w:rPr>
        <w:t>；</w:t>
      </w:r>
      <w:r>
        <w:rPr>
          <w:rFonts w:hint="eastAsia" w:ascii="宋体" w:hAnsi="宋体" w:eastAsia="宋体" w:cs="宋体"/>
          <w:snapToGrid w:val="0"/>
          <w:color w:val="auto"/>
          <w:sz w:val="24"/>
          <w:szCs w:val="24"/>
          <w:highlight w:val="none"/>
          <w:lang w:val="en-US" w:eastAsia="zh-CN" w:bidi="ar-SA"/>
        </w:rPr>
        <w:t>支持web 网页配置，在线升级等</w:t>
      </w:r>
      <w:r>
        <w:rPr>
          <w:rFonts w:hint="eastAsia" w:ascii="Times New Roman" w:hAnsi="Times New Roman" w:eastAsia="宋体" w:cs="宋体"/>
          <w:snapToGrid w:val="0"/>
          <w:color w:val="auto"/>
          <w:sz w:val="24"/>
          <w:szCs w:val="24"/>
          <w:highlight w:val="none"/>
          <w:lang w:val="en-US" w:eastAsia="zh-CN" w:bidi="ar-SA"/>
        </w:rPr>
        <w:t>；</w:t>
      </w:r>
    </w:p>
    <w:p w14:paraId="26A9D249">
      <w:pPr>
        <w:widowControl w:val="0"/>
        <w:autoSpaceDE w:val="0"/>
        <w:autoSpaceDN w:val="0"/>
        <w:snapToGrid w:val="0"/>
        <w:spacing w:line="440" w:lineRule="exact"/>
        <w:ind w:firstLine="408" w:firstLineChars="170"/>
        <w:jc w:val="both"/>
        <w:textAlignment w:val="auto"/>
        <w:rPr>
          <w:rFonts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fldChar w:fldCharType="begin"/>
      </w:r>
      <w:r>
        <w:rPr>
          <w:rFonts w:hint="eastAsia" w:ascii="宋体" w:hAnsi="宋体" w:eastAsia="宋体" w:cs="宋体"/>
          <w:snapToGrid w:val="0"/>
          <w:color w:val="auto"/>
          <w:sz w:val="24"/>
          <w:szCs w:val="24"/>
          <w:highlight w:val="none"/>
          <w:lang w:val="en-US" w:eastAsia="zh-CN" w:bidi="ar-SA"/>
        </w:rPr>
        <w:instrText xml:space="preserve"> = 8 \* GB3 \* MERGEFORMAT </w:instrText>
      </w:r>
      <w:r>
        <w:rPr>
          <w:rFonts w:hint="eastAsia" w:ascii="宋体" w:hAnsi="宋体" w:eastAsia="宋体" w:cs="宋体"/>
          <w:snapToGrid w:val="0"/>
          <w:color w:val="auto"/>
          <w:sz w:val="24"/>
          <w:szCs w:val="24"/>
          <w:highlight w:val="none"/>
          <w:lang w:val="en-US" w:eastAsia="zh-CN" w:bidi="ar-SA"/>
        </w:rPr>
        <w:fldChar w:fldCharType="separate"/>
      </w:r>
      <w:r>
        <w:rPr>
          <w:rFonts w:ascii="Times New Roman" w:hAnsi="Times New Roman" w:eastAsia="宋体" w:cs="Times New Roman"/>
          <w:snapToGrid w:val="0"/>
          <w:color w:val="auto"/>
          <w:sz w:val="24"/>
          <w:szCs w:val="24"/>
          <w:highlight w:val="none"/>
          <w:lang w:val="en-US" w:eastAsia="zh-CN" w:bidi="ar-SA"/>
        </w:rPr>
        <w:t>⑧</w:t>
      </w:r>
      <w:r>
        <w:rPr>
          <w:rFonts w:hint="eastAsia" w:ascii="宋体" w:hAnsi="宋体" w:eastAsia="宋体" w:cs="宋体"/>
          <w:snapToGrid w:val="0"/>
          <w:color w:val="auto"/>
          <w:sz w:val="24"/>
          <w:szCs w:val="24"/>
          <w:highlight w:val="none"/>
          <w:lang w:val="en-US" w:eastAsia="zh-CN" w:bidi="ar-SA"/>
        </w:rPr>
        <w:fldChar w:fldCharType="end"/>
      </w:r>
      <w:r>
        <w:rPr>
          <w:rFonts w:hint="eastAsia" w:ascii="宋体" w:hAnsi="宋体" w:eastAsia="宋体" w:cs="宋体"/>
          <w:snapToGrid w:val="0"/>
          <w:color w:val="auto"/>
          <w:sz w:val="24"/>
          <w:szCs w:val="24"/>
          <w:highlight w:val="none"/>
          <w:lang w:val="en-US" w:eastAsia="zh-CN" w:bidi="ar-SA"/>
        </w:rPr>
        <w:t>全天候设计，防水等级可达IP55</w:t>
      </w:r>
      <w:r>
        <w:rPr>
          <w:rFonts w:hint="eastAsia" w:ascii="Times New Roman" w:hAnsi="Times New Roman" w:eastAsia="宋体" w:cs="宋体"/>
          <w:snapToGrid w:val="0"/>
          <w:color w:val="auto"/>
          <w:sz w:val="24"/>
          <w:szCs w:val="24"/>
          <w:highlight w:val="none"/>
          <w:lang w:val="en-US" w:eastAsia="zh-CN" w:bidi="ar-SA"/>
        </w:rPr>
        <w:t>；</w:t>
      </w:r>
    </w:p>
    <w:p w14:paraId="686D885D">
      <w:pPr>
        <w:kinsoku/>
        <w:autoSpaceDE w:val="0"/>
        <w:autoSpaceDN w:val="0"/>
        <w:adjustRightInd/>
        <w:spacing w:line="440" w:lineRule="exact"/>
        <w:ind w:firstLine="408" w:firstLineChars="170"/>
        <w:textAlignment w:val="auto"/>
        <w:rPr>
          <w:rFonts w:ascii="宋体" w:hAnsi="宋体" w:eastAsia="宋体" w:cs="宋体"/>
          <w:color w:val="auto"/>
          <w:szCs w:val="24"/>
          <w:highlight w:val="none"/>
          <w:lang w:eastAsia="zh-CN"/>
        </w:rPr>
      </w:pPr>
      <w:r>
        <w:rPr>
          <w:rFonts w:hint="eastAsia" w:ascii="Times New Roman" w:hAnsi="Times New Roman" w:eastAsia="宋体" w:cs="宋体"/>
          <w:color w:val="auto"/>
          <w:szCs w:val="24"/>
          <w:highlight w:val="none"/>
          <w:lang w:eastAsia="zh-CN"/>
        </w:rPr>
        <w:t>5</w:t>
      </w:r>
      <w:r>
        <w:rPr>
          <w:rFonts w:hint="eastAsia" w:ascii="宋体" w:hAnsi="宋体" w:eastAsia="宋体" w:cs="宋体"/>
          <w:color w:val="auto"/>
          <w:szCs w:val="24"/>
          <w:highlight w:val="none"/>
          <w:lang w:eastAsia="zh-CN"/>
        </w:rPr>
        <w:t>）数据采集要求</w:t>
      </w:r>
    </w:p>
    <w:p w14:paraId="768F79C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宋体" w:hAnsi="宋体" w:eastAsia="宋体" w:cs="宋体"/>
          <w:color w:val="auto"/>
          <w:szCs w:val="24"/>
          <w:highlight w:val="none"/>
          <w:lang w:eastAsia="zh-CN"/>
        </w:rPr>
        <w:t>音频采集，外置音源接入音频采集终端，实时采集并压缩成高品质的数据流，用于插播外接节目广播及广播通知等</w:t>
      </w:r>
      <w:r>
        <w:rPr>
          <w:rFonts w:hint="eastAsia" w:ascii="Times New Roman" w:hAnsi="Times New Roman" w:eastAsia="宋体" w:cs="Times New Roman"/>
          <w:color w:val="auto"/>
          <w:szCs w:val="24"/>
          <w:highlight w:val="none"/>
          <w:lang w:eastAsia="zh-CN"/>
        </w:rPr>
        <w:t>。</w:t>
      </w:r>
    </w:p>
    <w:p w14:paraId="2B4963E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6）数据接入要求</w:t>
      </w:r>
    </w:p>
    <w:p w14:paraId="578BC12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34BEF59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3EFA674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2274D5A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（4）数据须包括但不限于必要的设备信息、时间数据、播报内容等信息。</w:t>
      </w:r>
    </w:p>
    <w:p w14:paraId="5FEBDDC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（5）预警广播支持第三方语音数据实时播报功能。</w:t>
      </w:r>
    </w:p>
    <w:p w14:paraId="3A4A80C0">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26.1.8 考勤系统</w:t>
      </w:r>
    </w:p>
    <w:p w14:paraId="7694534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1）系统架构设计</w:t>
      </w:r>
    </w:p>
    <w:p w14:paraId="5D66E4C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由人脸识别考勤机与考勤系统软件组成。考勤系统支持人脸验证方式实现人员管控；提供标准接口，支持将数据推送给第三方平台；应能实时记录和更新，时间、工种、人员信息，本项目在各个施工工区配置1套考勤系统，满足人员管理需求。</w:t>
      </w:r>
    </w:p>
    <w:p w14:paraId="7FFBAF68">
      <w:pPr>
        <w:kinsoku/>
        <w:autoSpaceDE w:val="0"/>
        <w:autoSpaceDN w:val="0"/>
        <w:adjustRightInd/>
        <w:spacing w:line="440" w:lineRule="exact"/>
        <w:ind w:firstLine="408" w:firstLineChars="170"/>
        <w:rPr>
          <w:rFonts w:ascii="Times New Roman" w:hAnsi="Times New Roman" w:eastAsia="宋体" w:cs="Times New Roman"/>
          <w:color w:val="auto"/>
          <w:kern w:val="2"/>
          <w:szCs w:val="24"/>
          <w:highlight w:val="none"/>
          <w:lang w:eastAsia="zh-CN" w:bidi="ar"/>
        </w:rPr>
      </w:pPr>
      <w:r>
        <w:rPr>
          <w:rFonts w:hint="eastAsia" w:ascii="Times New Roman" w:hAnsi="Times New Roman" w:eastAsia="宋体" w:cs="Times New Roman"/>
          <w:color w:val="auto"/>
          <w:szCs w:val="24"/>
          <w:highlight w:val="none"/>
          <w:lang w:eastAsia="zh-CN"/>
        </w:rPr>
        <w:t>考勤可通过三种模式进行考勤打卡：营地办公人员通过移动式人脸考勤机进行办公区域打考勤、施工隧洞区域采用洞口人行通道闸打考勤、外勤或隧洞办公营地区域外人员采用APP打考勤。</w:t>
      </w:r>
    </w:p>
    <w:p w14:paraId="4A5ECB5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（1）硬件设备：系统需要配备人脸识别设备、指纹识别设备、定位设备等，用于采集工人的考勤信息。</w:t>
      </w:r>
    </w:p>
    <w:p w14:paraId="1B8FD2F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（2）系统平台：采用云计算平台，实现数据的存储和处理，同时提供移动端和管理端的应用。</w:t>
      </w:r>
    </w:p>
    <w:p w14:paraId="6B48BD1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（3）前端界面：采用Web界面和移动应用界面，用户可以通过浏览器或移动设备访问系统。</w:t>
      </w:r>
    </w:p>
    <w:p w14:paraId="6BEE5BA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（4）数据库：采用关系型数据库，存储工人信息、考勤记录等数据。</w:t>
      </w:r>
    </w:p>
    <w:p w14:paraId="7174C51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2）功能模块设计</w:t>
      </w:r>
    </w:p>
    <w:p w14:paraId="15088A9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（1）工人管理模块：</w:t>
      </w:r>
    </w:p>
    <w:p w14:paraId="7478D4A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工人信息录入：录入和管理工人的基本信息，包括姓名、工种、从业经历等。</w:t>
      </w:r>
    </w:p>
    <w:p w14:paraId="0C360A6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工人权限管理：设置工人的权限和角色，按需控制工人的操作权限。</w:t>
      </w:r>
    </w:p>
    <w:p w14:paraId="1332400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（2）考勤管理模块：</w:t>
      </w:r>
    </w:p>
    <w:p w14:paraId="7B277CC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考勤记录：实时采集和记录工人的考勤时间和位置。</w:t>
      </w:r>
    </w:p>
    <w:p w14:paraId="4F276C5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考勤统计：根据考勤记录生成考勤报表和工资计算表。</w:t>
      </w:r>
    </w:p>
    <w:p w14:paraId="0A89A32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（3）异常处理模块：</w:t>
      </w:r>
    </w:p>
    <w:p w14:paraId="6038D07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考勤异常预警：根据考勤记录自动生成异常预警信息，方便工地管理人员及时处理。</w:t>
      </w:r>
    </w:p>
    <w:p w14:paraId="728C448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考勤异常处理：处理考勤异常，如迟到、早退、缺勤等，生成处理记录。</w:t>
      </w:r>
    </w:p>
    <w:p w14:paraId="678EFA0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（4）移动端模块：</w:t>
      </w:r>
    </w:p>
    <w:p w14:paraId="1E2CB15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移动考勤：工人在移动端进行考勤，定位信息和考勤时间自动上传至系统。</w:t>
      </w:r>
    </w:p>
    <w:p w14:paraId="6DC2C4F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管理端应用：提供管理端移动应用，方便工地管理人员实时查看考勤情况和处理异常。</w:t>
      </w:r>
    </w:p>
    <w:p w14:paraId="7225943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3）技术实现</w:t>
      </w:r>
    </w:p>
    <w:p w14:paraId="47B01F2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（1）人脸识别技术：使用人脸识别设备对工人进行身份验证和考勤，确保考勤数据的准确性。</w:t>
      </w:r>
    </w:p>
    <w:p w14:paraId="44378B5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（2）指纹识别技术：结合指纹识别设备，提供多种考勤方式，满足不同工人的需求。</w:t>
      </w:r>
    </w:p>
    <w:p w14:paraId="4AAC2A3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（3）GPS定位技术：结合定位设备，实时获取工人的位置信息，方便管理人员进行考勤管理。</w:t>
      </w:r>
    </w:p>
    <w:p w14:paraId="1A0B45B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（4）云计算技术：采用云计算平台，实现数据的存储和处理，提高系统的可扩展性和稳定性。</w:t>
      </w:r>
    </w:p>
    <w:p w14:paraId="06E663F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（5）前端开发技术：采用HTML、CSS和JavaScript等前端开发技术，实现系统的用户界面和交互功能。</w:t>
      </w:r>
    </w:p>
    <w:p w14:paraId="7EF410F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（6）数据库技术：采用关系型数据库，存储工人信息、考勤记录等数据，并提供数据查询和统计功能。</w:t>
      </w:r>
    </w:p>
    <w:p w14:paraId="1CE2577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（7）移动开发技术：使用移动开发框架（如React Native、Flutter等），开发移动端应用，支持iOS和Android平台。</w:t>
      </w:r>
    </w:p>
    <w:p w14:paraId="3DA09E0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4）技术参数</w:t>
      </w:r>
    </w:p>
    <w:p w14:paraId="1A69ABC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考勤机采用人脸、指纹识别一体考勤机。</w:t>
      </w:r>
    </w:p>
    <w:p w14:paraId="4E3125A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采用LCD触摸显示屏；200万像素双目宽动态摄像头</w:t>
      </w:r>
    </w:p>
    <w:p w14:paraId="5A1D389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认证方式：支持人脸识别、指纹。</w:t>
      </w:r>
    </w:p>
    <w:p w14:paraId="5154FA0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5）数据接入要求</w:t>
      </w:r>
    </w:p>
    <w:p w14:paraId="62E79E6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1286368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197E454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299CE9C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（4）数据须包括但不限于必要的设备信息、时间数据、考勤人员信息、考勤时间、人员部门等信息。</w:t>
      </w:r>
    </w:p>
    <w:p w14:paraId="7B8D3EB2">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26.1.9 通风监测系统</w:t>
      </w:r>
    </w:p>
    <w:p w14:paraId="169D190F">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bidi="ar"/>
        </w:rPr>
      </w:pPr>
      <w:r>
        <w:rPr>
          <w:rFonts w:hint="eastAsia" w:ascii="Times New Roman" w:hAnsi="Times New Roman" w:eastAsia="宋体" w:cs="Times New Roman"/>
          <w:color w:val="auto"/>
          <w:kern w:val="2"/>
          <w:szCs w:val="24"/>
          <w:highlight w:val="none"/>
          <w:lang w:eastAsia="zh-CN" w:bidi="ar"/>
        </w:rPr>
        <w:t>1）系统设计</w:t>
      </w:r>
    </w:p>
    <w:p w14:paraId="7393BD4B">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bidi="ar"/>
        </w:rPr>
      </w:pPr>
      <w:r>
        <w:rPr>
          <w:rFonts w:hint="eastAsia" w:ascii="Times New Roman" w:hAnsi="Times New Roman" w:eastAsia="宋体" w:cs="Times New Roman"/>
          <w:color w:val="auto"/>
          <w:kern w:val="2"/>
          <w:szCs w:val="24"/>
          <w:highlight w:val="none"/>
          <w:lang w:eastAsia="zh-CN" w:bidi="ar"/>
        </w:rPr>
        <w:t>根据对项目各施工标段的现场勘察，隧洞整体环境相对较恶虐，开挖、爆破，衬砌的过程中易产生有毒、有害气体及各种粉尘。为保障工程作业人员有良好的工作环境及呼吸新鲜空气。隧洞的通风排风系统至关重要。当隧洞有毒有害气体监测到异常数据时，通风排风系统的开启是至关重要。本次就对通风排风系统做监测。</w:t>
      </w:r>
    </w:p>
    <w:p w14:paraId="24468052">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bidi="ar"/>
        </w:rPr>
        <w:t>对通风排风系统的监测主要在通风管道处加装一套管道</w:t>
      </w:r>
      <w:r>
        <w:rPr>
          <w:rFonts w:hint="eastAsia" w:ascii="Times New Roman" w:hAnsi="Times New Roman" w:eastAsia="宋体" w:cs="Times New Roman"/>
          <w:color w:val="auto"/>
          <w:kern w:val="2"/>
          <w:szCs w:val="24"/>
          <w:highlight w:val="none"/>
          <w:lang w:eastAsia="zh-CN"/>
        </w:rPr>
        <w:t>式风速变送器，主要功能可以快速准确的测量风速。</w:t>
      </w:r>
    </w:p>
    <w:p w14:paraId="1471977E">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bidi="ar"/>
        </w:rPr>
        <w:t>管道</w:t>
      </w:r>
      <w:r>
        <w:rPr>
          <w:rFonts w:hint="eastAsia" w:ascii="Times New Roman" w:hAnsi="Times New Roman" w:eastAsia="宋体" w:cs="Times New Roman"/>
          <w:color w:val="auto"/>
          <w:kern w:val="2"/>
          <w:szCs w:val="24"/>
          <w:highlight w:val="none"/>
          <w:lang w:eastAsia="zh-CN"/>
        </w:rPr>
        <w:t>式风速变送器可直接显示风速，通过485信号转网络信号将风速信息传输至项目管理中心。</w:t>
      </w:r>
    </w:p>
    <w:p w14:paraId="2852DDE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kern w:val="2"/>
          <w:szCs w:val="24"/>
          <w:highlight w:val="none"/>
          <w:lang w:eastAsia="zh-CN"/>
        </w:rPr>
        <w:t>2）</w:t>
      </w:r>
      <w:r>
        <w:rPr>
          <w:rFonts w:hint="eastAsia" w:ascii="Times New Roman" w:hAnsi="Times New Roman" w:eastAsia="宋体" w:cs="Times New Roman"/>
          <w:color w:val="auto"/>
          <w:szCs w:val="24"/>
          <w:highlight w:val="none"/>
          <w:lang w:eastAsia="zh-CN"/>
        </w:rPr>
        <w:t>点位设计要求</w:t>
      </w:r>
    </w:p>
    <w:p w14:paraId="60A796A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按每个隧洞口布置1套通风监测设备。</w:t>
      </w:r>
    </w:p>
    <w:p w14:paraId="3F67000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3）功能介绍</w:t>
      </w:r>
    </w:p>
    <w:p w14:paraId="011922A3">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隧洞内实时监测的风速、风向等数据，优化通风系统的工作状态，为隧洞内车辆和人员提供安全的施工作业环境。记录隧洞内通风系统的运行数据，包括风机工况、风速检测数据等，为爆破作业管理提供安全数据依据。</w:t>
      </w:r>
    </w:p>
    <w:p w14:paraId="7126CF3D">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4）主要技术参数</w:t>
      </w:r>
    </w:p>
    <w:p w14:paraId="420101B8">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供电（默认）：10-30VDC</w:t>
      </w:r>
    </w:p>
    <w:p w14:paraId="400856F4">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测量介质：空气、氮气、油烟废气</w:t>
      </w:r>
    </w:p>
    <w:p w14:paraId="3BFCC732">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精度：±（0.2+2%FS）m/s</w:t>
      </w:r>
    </w:p>
    <w:p w14:paraId="25305C35">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通信协议：Modbus-RTU通信协议</w:t>
      </w:r>
    </w:p>
    <w:p w14:paraId="5CE17A7A">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风速显示分辨率：0.1m/s</w:t>
      </w:r>
    </w:p>
    <w:p w14:paraId="7F5E00B4">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测量风速范围：0-30  m/s</w:t>
      </w:r>
    </w:p>
    <w:p w14:paraId="56A13E9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5）数据接入要求</w:t>
      </w:r>
    </w:p>
    <w:p w14:paraId="161AB9A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12E2A6B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03A311D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614C7DE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（4）数据须包括但不限于必要的设备信息、时间数据、通风监测数据容等信息。</w:t>
      </w:r>
    </w:p>
    <w:p w14:paraId="52E7A9D4">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26.1.10 光照监测系统</w:t>
      </w:r>
    </w:p>
    <w:p w14:paraId="518CD501">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bidi="ar"/>
        </w:rPr>
      </w:pPr>
      <w:r>
        <w:rPr>
          <w:rFonts w:hint="eastAsia" w:ascii="Times New Roman" w:hAnsi="Times New Roman" w:eastAsia="宋体" w:cs="Times New Roman"/>
          <w:color w:val="auto"/>
          <w:kern w:val="2"/>
          <w:szCs w:val="24"/>
          <w:highlight w:val="none"/>
          <w:lang w:eastAsia="zh-CN" w:bidi="ar"/>
        </w:rPr>
        <w:t>根据对项目各施工标段的现场勘察，隧洞整体环境相对较恶虐，在复杂的施工现场车辆及作业人员进进出出，为保障工程及作业人员的安全，隧洞的照明条件尤为重要。良好的隧洞照明环境可以减少很多未知的安全隐患。</w:t>
      </w:r>
    </w:p>
    <w:p w14:paraId="292A5D89">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bidi="ar"/>
        </w:rPr>
      </w:pPr>
      <w:r>
        <w:rPr>
          <w:rFonts w:hint="eastAsia" w:ascii="Times New Roman" w:hAnsi="Times New Roman" w:eastAsia="宋体" w:cs="Times New Roman"/>
          <w:color w:val="auto"/>
          <w:kern w:val="2"/>
          <w:szCs w:val="24"/>
          <w:highlight w:val="none"/>
          <w:lang w:eastAsia="zh-CN" w:bidi="ar"/>
        </w:rPr>
        <w:t>为了防止断电或灯具损坏及其他原因造成隧洞照明不佳或照明瘫痪。本次对隧洞照明做监测。照明不够的时候可以及时通知相关人员进行检查维修从而保障隧洞照明，保障作业人员人身安全，保障工作顺利开展。</w:t>
      </w:r>
    </w:p>
    <w:p w14:paraId="6BCA2338">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bidi="ar"/>
        </w:rPr>
        <w:t>本次照度设计采用光照度监测仪器对隧洞的光照度进行有效的监测。并</w:t>
      </w:r>
      <w:r>
        <w:rPr>
          <w:rFonts w:hint="eastAsia" w:ascii="Times New Roman" w:hAnsi="Times New Roman" w:eastAsia="宋体" w:cs="Times New Roman"/>
          <w:color w:val="auto"/>
          <w:kern w:val="2"/>
          <w:szCs w:val="24"/>
          <w:highlight w:val="none"/>
          <w:lang w:eastAsia="zh-CN"/>
        </w:rPr>
        <w:t>按照相关的技术规范对隧洞光照度低于1.0Lux进行预警。</w:t>
      </w:r>
    </w:p>
    <w:p w14:paraId="307E88B1">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光照度监测仪器数据通过485信号转网络信号将照度信息传输至项目管理中心。</w:t>
      </w:r>
    </w:p>
    <w:p w14:paraId="5D1F9BE1">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kern w:val="2"/>
          <w:szCs w:val="24"/>
          <w:highlight w:val="none"/>
          <w:lang w:eastAsia="zh-CN"/>
        </w:rPr>
        <w:t>主要技术指标</w:t>
      </w:r>
    </w:p>
    <w:p w14:paraId="04869EDA">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光照强度：±7%(25℃)</w:t>
      </w:r>
    </w:p>
    <w:p w14:paraId="75CECD75">
      <w:pPr>
        <w:kinsoku/>
        <w:autoSpaceDE w:val="0"/>
        <w:autoSpaceDN w:val="0"/>
        <w:adjustRightInd/>
        <w:spacing w:line="440" w:lineRule="exact"/>
        <w:ind w:firstLine="408" w:firstLineChars="170"/>
        <w:textAlignment w:val="auto"/>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光照强度量程：0~20万Lux范围内可选（默认0~65535lux）</w:t>
      </w:r>
    </w:p>
    <w:p w14:paraId="77913044">
      <w:pPr>
        <w:kinsoku/>
        <w:autoSpaceDE w:val="0"/>
        <w:autoSpaceDN w:val="0"/>
        <w:adjustRightInd/>
        <w:spacing w:line="440" w:lineRule="exact"/>
        <w:ind w:firstLine="408" w:firstLineChars="170"/>
        <w:textAlignment w:val="auto"/>
        <w:rPr>
          <w:rFonts w:ascii="Times New Roman" w:hAnsi="Times New Roman" w:eastAsia="宋体" w:cs="Times New Roman"/>
          <w:color w:val="auto"/>
          <w:kern w:val="2"/>
          <w:szCs w:val="24"/>
          <w:highlight w:val="none"/>
          <w:lang w:eastAsia="zh-CN"/>
        </w:rPr>
      </w:pPr>
      <w:r>
        <w:rPr>
          <w:rFonts w:hint="eastAsia" w:ascii="Times New Roman" w:hAnsi="Times New Roman" w:eastAsia="宋体" w:cs="Times New Roman"/>
          <w:color w:val="auto"/>
          <w:szCs w:val="24"/>
          <w:highlight w:val="none"/>
          <w:lang w:eastAsia="zh-CN"/>
        </w:rPr>
        <w:t>响应时间：0.1s</w:t>
      </w:r>
    </w:p>
    <w:p w14:paraId="22151A5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1）数据接入要求</w:t>
      </w:r>
    </w:p>
    <w:p w14:paraId="28DA210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1D430A3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432031B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189BDDC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（4）数据须包括但不限于必要的设备信息、时间数据、光照度监测数据容等信息。</w:t>
      </w:r>
    </w:p>
    <w:p w14:paraId="26A61F84">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26.1.11 大屏显示系统</w:t>
      </w:r>
    </w:p>
    <w:p w14:paraId="13689DE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1）功能介绍</w:t>
      </w:r>
    </w:p>
    <w:p w14:paraId="1B5C4A9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本工程考虑为每个隧洞施工区布设户外显示大屏系统，用于</w:t>
      </w:r>
      <w:r>
        <w:rPr>
          <w:rFonts w:hint="eastAsia" w:ascii="宋体" w:hAnsi="宋体" w:eastAsia="宋体" w:cs="宋体"/>
          <w:snapToGrid/>
          <w:color w:val="auto"/>
          <w:szCs w:val="24"/>
          <w:highlight w:val="none"/>
          <w:lang w:eastAsia="zh-CN"/>
        </w:rPr>
        <w:t>隧洞气体监测值展示，进场人员、车辆数据展示</w:t>
      </w:r>
      <w:r>
        <w:rPr>
          <w:rFonts w:hint="eastAsia" w:ascii="Times New Roman" w:hAnsi="Times New Roman" w:eastAsia="宋体" w:cs="Times New Roman"/>
          <w:color w:val="auto"/>
          <w:szCs w:val="24"/>
          <w:highlight w:val="none"/>
          <w:lang w:eastAsia="zh-CN"/>
        </w:rPr>
        <w:t>，支持文字显示、信息发布等功能。</w:t>
      </w:r>
    </w:p>
    <w:p w14:paraId="57016D53">
      <w:pPr>
        <w:kinsoku/>
        <w:autoSpaceDE w:val="0"/>
        <w:autoSpaceDN w:val="0"/>
        <w:adjustRightInd/>
        <w:spacing w:line="440" w:lineRule="exact"/>
        <w:ind w:firstLine="408" w:firstLineChars="170"/>
        <w:rPr>
          <w:rFonts w:ascii="Times New Roman" w:hAnsi="Times New Roman"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2）点位设计要求</w:t>
      </w:r>
    </w:p>
    <w:p w14:paraId="5BAE148E">
      <w:pPr>
        <w:kinsoku/>
        <w:autoSpaceDE w:val="0"/>
        <w:autoSpaceDN w:val="0"/>
        <w:adjustRightInd/>
        <w:spacing w:line="440" w:lineRule="exact"/>
        <w:ind w:firstLine="408" w:firstLineChars="170"/>
        <w:rPr>
          <w:rFonts w:ascii="Times New Roman" w:hAnsi="Times New Roman"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每个施工工区隧洞口设置一套LED大屏显示系统。</w:t>
      </w:r>
    </w:p>
    <w:p w14:paraId="0A4D9537">
      <w:pPr>
        <w:kinsoku/>
        <w:autoSpaceDE w:val="0"/>
        <w:autoSpaceDN w:val="0"/>
        <w:adjustRightInd/>
        <w:spacing w:line="440" w:lineRule="exact"/>
        <w:ind w:firstLine="408" w:firstLineChars="170"/>
        <w:rPr>
          <w:rFonts w:ascii="Times New Roman" w:hAnsi="Times New Roman"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室外大屏的供电、信号等需要在室外进行汇集，需用专用的防水箱进行端接。端接箱内部安装架的设计充分考虑设备的安装位置，同时具有防雨、防尘、防高温、防盗等功能。根据条件可设置在大屏支架内部，如支架内部无法安装则在地面设置设备机柜，其设计按照相关的规范标准执行，同时应具有防尘、防雨、防破坏等功能。</w:t>
      </w:r>
    </w:p>
    <w:p w14:paraId="785BA3D2">
      <w:pPr>
        <w:kinsoku/>
        <w:autoSpaceDE w:val="0"/>
        <w:autoSpaceDN w:val="0"/>
        <w:adjustRightInd/>
        <w:spacing w:line="440" w:lineRule="exact"/>
        <w:ind w:firstLine="408" w:firstLineChars="170"/>
        <w:rPr>
          <w:rFonts w:ascii="Times New Roman" w:hAnsi="Times New Roman"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对前端供电和控制部分，需要采取有效的避雷接地措施，充分保障前端的稳定性和可靠性。</w:t>
      </w:r>
    </w:p>
    <w:p w14:paraId="219F3605">
      <w:pPr>
        <w:kinsoku/>
        <w:autoSpaceDE w:val="0"/>
        <w:autoSpaceDN w:val="0"/>
        <w:adjustRightInd/>
        <w:spacing w:line="440" w:lineRule="exact"/>
        <w:ind w:firstLine="408" w:firstLineChars="170"/>
        <w:rPr>
          <w:rFonts w:ascii="宋体" w:hAnsi="宋体" w:eastAsia="宋体" w:cs="宋体"/>
          <w:snapToGrid/>
          <w:color w:val="auto"/>
          <w:szCs w:val="24"/>
          <w:highlight w:val="none"/>
          <w:lang w:eastAsia="zh-CN"/>
        </w:rPr>
      </w:pPr>
      <w:r>
        <w:rPr>
          <w:rFonts w:hint="eastAsia" w:ascii="宋体" w:hAnsi="宋体" w:eastAsia="宋体" w:cs="宋体"/>
          <w:snapToGrid/>
          <w:color w:val="auto"/>
          <w:szCs w:val="24"/>
          <w:highlight w:val="none"/>
          <w:lang w:eastAsia="zh-CN"/>
        </w:rPr>
        <w:t>隧洞口主要考虑单色LED显示屏、建议面积不小于：1㎡，支持隧洞气体监测值展示，进场人员、车辆数据展示等。现场初步设计效果图如下：</w:t>
      </w:r>
    </w:p>
    <w:p w14:paraId="62234564">
      <w:pPr>
        <w:kinsoku/>
        <w:autoSpaceDE w:val="0"/>
        <w:autoSpaceDN w:val="0"/>
        <w:adjustRightInd/>
        <w:spacing w:line="440" w:lineRule="exact"/>
        <w:ind w:firstLine="408" w:firstLineChars="170"/>
        <w:rPr>
          <w:rFonts w:ascii="宋体" w:hAnsi="宋体" w:eastAsia="宋体" w:cs="宋体"/>
          <w:snapToGrid/>
          <w:color w:val="auto"/>
          <w:szCs w:val="24"/>
          <w:highlight w:val="none"/>
          <w:lang w:eastAsia="zh-CN"/>
        </w:rPr>
      </w:pPr>
      <w:r>
        <w:rPr>
          <w:rFonts w:hint="eastAsia" w:ascii="Times New Roman" w:hAnsi="Times New Roman" w:eastAsia="宋体" w:cs="宋体"/>
          <w:snapToGrid/>
          <w:color w:val="auto"/>
          <w:szCs w:val="24"/>
          <w:highlight w:val="none"/>
          <w:lang w:eastAsia="zh-CN"/>
        </w:rPr>
        <w:t>3</w:t>
      </w:r>
      <w:r>
        <w:rPr>
          <w:rFonts w:hint="eastAsia" w:ascii="宋体" w:hAnsi="宋体" w:eastAsia="宋体" w:cs="宋体"/>
          <w:snapToGrid/>
          <w:color w:val="auto"/>
          <w:szCs w:val="24"/>
          <w:highlight w:val="none"/>
          <w:lang w:eastAsia="zh-CN"/>
        </w:rPr>
        <w:t>）关键技术参数</w:t>
      </w:r>
    </w:p>
    <w:p w14:paraId="0EA565B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单色/全彩显示屏</w:t>
      </w:r>
    </w:p>
    <w:p w14:paraId="6249B2C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类型：室外</w:t>
      </w:r>
    </w:p>
    <w:p w14:paraId="153C092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像素间距：≤8mm</w:t>
      </w:r>
    </w:p>
    <w:p w14:paraId="7A66167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像素密度：17200点/㎡</w:t>
      </w:r>
    </w:p>
    <w:p w14:paraId="3703624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亮度：≥500cd/㎡</w:t>
      </w:r>
    </w:p>
    <w:p w14:paraId="7E2B151A">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w:t>
      </w:r>
      <w:r>
        <w:rPr>
          <w:rFonts w:ascii="Times New Roman" w:hAnsi="Times New Roman" w:eastAsia="黑体" w:cs="Times New Roman"/>
          <w:b/>
          <w:snapToGrid w:val="0"/>
          <w:color w:val="auto"/>
          <w:sz w:val="28"/>
          <w:szCs w:val="20"/>
          <w:highlight w:val="none"/>
          <w:lang w:val="en-US" w:eastAsia="zh-CN" w:bidi="ar-SA"/>
        </w:rPr>
        <w:t>1.1</w:t>
      </w:r>
      <w:r>
        <w:rPr>
          <w:rFonts w:hint="eastAsia" w:ascii="Times New Roman" w:hAnsi="Times New Roman" w:eastAsia="黑体" w:cs="Times New Roman"/>
          <w:b/>
          <w:snapToGrid w:val="0"/>
          <w:color w:val="auto"/>
          <w:sz w:val="28"/>
          <w:szCs w:val="20"/>
          <w:highlight w:val="none"/>
          <w:lang w:val="en-US" w:eastAsia="zh-CN" w:bidi="ar-SA"/>
        </w:rPr>
        <w:t>2</w:t>
      </w:r>
      <w:r>
        <w:rPr>
          <w:rFonts w:ascii="Times New Roman" w:hAnsi="Times New Roman" w:eastAsia="黑体" w:cs="Times New Roman"/>
          <w:b/>
          <w:snapToGrid w:val="0"/>
          <w:color w:val="auto"/>
          <w:sz w:val="28"/>
          <w:szCs w:val="20"/>
          <w:highlight w:val="none"/>
          <w:lang w:val="en-US" w:eastAsia="zh-CN" w:bidi="ar-SA"/>
        </w:rPr>
        <w:t>地磅称重系统</w:t>
      </w:r>
    </w:p>
    <w:p w14:paraId="6E87E14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1）系统设计</w:t>
      </w:r>
    </w:p>
    <w:p w14:paraId="34AC1A2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传统物料验收：料车进场后，司磅员根据称重信息手动填写厂家信息、重量信息、车辆信息、材料信息等，手动记录物料进场台账，物料进场完成后，司磅员手动改写LED显示材料信息与状态。整个过程程序复杂、时间长且容易记录错误，部分地磅还存在许多人为因素等。</w:t>
      </w:r>
    </w:p>
    <w:p w14:paraId="0C7EAEC5">
      <w:pPr>
        <w:kinsoku/>
        <w:autoSpaceDE w:val="0"/>
        <w:autoSpaceDN w:val="0"/>
        <w:adjustRightInd/>
        <w:spacing w:line="360" w:lineRule="auto"/>
        <w:ind w:firstLine="0" w:firstLineChars="0"/>
        <w:jc w:val="center"/>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drawing>
          <wp:inline distT="0" distB="0" distL="0" distR="0">
            <wp:extent cx="5231765" cy="1415415"/>
            <wp:effectExtent l="0" t="0" r="10795" b="1905"/>
            <wp:docPr id="7" name="图片 2" descr="盐通铁路拌和站综合管理系统结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盐通铁路拌和站综合管理系统结构图"/>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31765" cy="1415415"/>
                    </a:xfrm>
                    <a:prstGeom prst="rect">
                      <a:avLst/>
                    </a:prstGeom>
                    <a:noFill/>
                    <a:ln>
                      <a:noFill/>
                    </a:ln>
                    <a:effectLst/>
                  </pic:spPr>
                </pic:pic>
              </a:graphicData>
            </a:graphic>
          </wp:inline>
        </w:drawing>
      </w:r>
    </w:p>
    <w:p w14:paraId="51CE6AB0">
      <w:pPr>
        <w:kinsoku/>
        <w:autoSpaceDE w:val="0"/>
        <w:autoSpaceDN w:val="0"/>
        <w:adjustRightInd/>
        <w:spacing w:line="440" w:lineRule="exact"/>
        <w:ind w:firstLine="0" w:firstLineChars="0"/>
        <w:jc w:val="center"/>
        <w:rPr>
          <w:rFonts w:ascii="Times New Roman" w:hAnsi="Times New Roman" w:eastAsia="宋体" w:cs="Times New Roman"/>
          <w:b/>
          <w:color w:val="auto"/>
          <w:szCs w:val="24"/>
          <w:highlight w:val="none"/>
          <w:lang w:eastAsia="zh-CN"/>
        </w:rPr>
      </w:pPr>
      <w:r>
        <w:rPr>
          <w:rFonts w:hint="eastAsia" w:ascii="Times New Roman" w:hAnsi="Times New Roman" w:eastAsia="宋体" w:cs="Times New Roman"/>
          <w:b/>
          <w:color w:val="auto"/>
          <w:szCs w:val="24"/>
          <w:highlight w:val="none"/>
          <w:lang w:eastAsia="zh-CN"/>
        </w:rPr>
        <w:t>图4.1-</w:t>
      </w:r>
      <w:r>
        <w:rPr>
          <w:rFonts w:ascii="Times New Roman" w:hAnsi="Times New Roman" w:eastAsia="宋体" w:cs="Times New Roman"/>
          <w:b/>
          <w:color w:val="auto"/>
          <w:szCs w:val="24"/>
          <w:highlight w:val="none"/>
          <w:lang w:eastAsia="zh-CN"/>
        </w:rPr>
        <w:t>30</w:t>
      </w:r>
      <w:r>
        <w:rPr>
          <w:rFonts w:hint="eastAsia" w:ascii="Times New Roman" w:hAnsi="Times New Roman" w:eastAsia="宋体" w:cs="Times New Roman"/>
          <w:b/>
          <w:color w:val="auto"/>
          <w:szCs w:val="24"/>
          <w:highlight w:val="none"/>
          <w:lang w:eastAsia="zh-CN"/>
        </w:rPr>
        <w:t xml:space="preserve"> 地磅系统流程架构图</w:t>
      </w:r>
    </w:p>
    <w:p w14:paraId="03B933A5">
      <w:pPr>
        <w:kinsoku/>
        <w:autoSpaceDE w:val="0"/>
        <w:autoSpaceDN w:val="0"/>
        <w:adjustRightInd/>
        <w:spacing w:line="440" w:lineRule="exact"/>
        <w:ind w:firstLine="0" w:firstLineChars="0"/>
        <w:jc w:val="center"/>
        <w:rPr>
          <w:rFonts w:ascii="Times New Roman" w:hAnsi="Times New Roman" w:eastAsia="宋体" w:cs="Times New Roman"/>
          <w:b/>
          <w:bCs/>
          <w:color w:val="auto"/>
          <w:szCs w:val="24"/>
          <w:highlight w:val="none"/>
          <w:lang w:eastAsia="zh-CN"/>
        </w:rPr>
      </w:pPr>
    </w:p>
    <w:p w14:paraId="2615DAD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地磅称重系统：通过前后车牌、车顶、操作室人员、送货单据等自动拍摄，完成整个物料到货验收流程。</w:t>
      </w:r>
    </w:p>
    <w:p w14:paraId="24E2D92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宋体"/>
          <w:snapToGrid/>
          <w:color w:val="auto"/>
          <w:szCs w:val="24"/>
          <w:highlight w:val="none"/>
          <w:lang w:eastAsia="zh-CN"/>
        </w:rPr>
        <w:t>2</w:t>
      </w:r>
      <w:r>
        <w:rPr>
          <w:rFonts w:hint="eastAsia" w:ascii="宋体" w:hAnsi="宋体" w:eastAsia="宋体" w:cs="宋体"/>
          <w:snapToGrid/>
          <w:color w:val="auto"/>
          <w:szCs w:val="24"/>
          <w:highlight w:val="none"/>
          <w:lang w:eastAsia="zh-CN"/>
        </w:rPr>
        <w:t>）点位设计要求</w:t>
      </w:r>
    </w:p>
    <w:p w14:paraId="4487B48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每个工区的进场道路口设置一套地磅称重设备和系统。</w:t>
      </w:r>
    </w:p>
    <w:p w14:paraId="7C6A528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3）功能介绍</w:t>
      </w:r>
    </w:p>
    <w:p w14:paraId="388C7D1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在系统中提前完成材料字典、车辆基本信息、供应商信息等初始化工作后，在地磅终端软件与车牌自动识别摄像头的辅助下，司磅员只需在PC端指定物料存放位置、通过红外高拍仪自动拍照送货单、摄像头自动抓拍车辆前后车牌、控制室操作员照片自动上传系统，系统打印收料单反馈给送货员，即可完成过磅流程，全过程确保数据的真实性和及时性，通过系统实现称重、去皮、收料、出料、月度扎帐、形成台账等功能。系统自动生成物料进场台账等统计信息，自动更新LED显示上的材料信息，无需人为操作，整个操作过程简单，上手快，数据准确可靠。</w:t>
      </w:r>
    </w:p>
    <w:p w14:paraId="04660F4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4）关键技术参数</w:t>
      </w:r>
    </w:p>
    <w:p w14:paraId="03E366E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（1）安装要求</w:t>
      </w:r>
    </w:p>
    <w:p w14:paraId="1A19CB5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对物料进出口加装地磅监测设备和系统称重系统。在地磅头尾两端安装两个带车牌识别的摄像头和两个红外对射仪。立一根3.5m的立杆，顶部安装高速摄像机，用于抓拍车厢货物。在磅房操作室加装全景摄像头，用于监控室内情况。</w:t>
      </w:r>
    </w:p>
    <w:p w14:paraId="0D5DE0D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（2）设备选型</w:t>
      </w:r>
    </w:p>
    <w:p w14:paraId="49179AC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地磅系统配套硬件需支持通用网络协议（RJ45\485\232等协议），便于数据传输和系统数据对接。</w:t>
      </w:r>
    </w:p>
    <w:p w14:paraId="27FBC91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物料系统地磅端摄像头应具备车牌自动识别、材料字典统一、人员组织机构等功能，实现现场操作人员点选式操作，快速完成过磅流程、快速记录的要求。物料系统所有信息会自动采集到生产管控子系统上进行分类管理，使得原材料质量追溯有据可查。</w:t>
      </w:r>
    </w:p>
    <w:p w14:paraId="7EFD74D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物料系统应具备根据地磅进料与拌和站消耗关联统计的功能，可追溯拌和站料仓（罐）中原材料的“进消存”数据。</w:t>
      </w:r>
    </w:p>
    <w:p w14:paraId="59203FE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物料系统应具备相应统计功能，现场人员可根据材料名称、规格、供应厂商、进场日期等字段进行统计分析，并可以导出报表直接进行物资盘点。</w:t>
      </w:r>
    </w:p>
    <w:p w14:paraId="3EC0E54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5）数据集成要求</w:t>
      </w:r>
    </w:p>
    <w:p w14:paraId="5B42B61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厂家提供的软硬件应具备以下能力：</w:t>
      </w:r>
    </w:p>
    <w:p w14:paraId="14120AF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可将地磅数据(时间、物料名称、单位、净重等)实时推送到物联网平台的能力，数据推送标准应符合平台统一接入要求。</w:t>
      </w:r>
    </w:p>
    <w:p w14:paraId="318F59B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6）数据接入要求</w:t>
      </w:r>
    </w:p>
    <w:p w14:paraId="40CC669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0B52F3E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0C36226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303859F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（4）数据须包括但不限于必要的设备信息、时间数据、称重信息、车牌等信息。</w:t>
      </w:r>
    </w:p>
    <w:p w14:paraId="3194E257">
      <w:pPr>
        <w:kinsoku/>
        <w:autoSpaceDE w:val="0"/>
        <w:autoSpaceDN w:val="0"/>
        <w:adjustRightInd/>
        <w:spacing w:line="440" w:lineRule="exact"/>
        <w:ind w:firstLine="0" w:firstLineChars="0"/>
        <w:rPr>
          <w:rFonts w:ascii="Times New Roman" w:hAnsi="Times New Roman" w:eastAsia="宋体" w:cs="Times New Roman"/>
          <w:color w:val="auto"/>
          <w:szCs w:val="24"/>
          <w:highlight w:val="none"/>
          <w:lang w:eastAsia="zh-CN"/>
        </w:rPr>
      </w:pPr>
    </w:p>
    <w:p w14:paraId="066529DB">
      <w:pPr>
        <w:widowControl w:val="0"/>
        <w:tabs>
          <w:tab w:val="left" w:pos="420"/>
          <w:tab w:val="left" w:pos="903"/>
        </w:tabs>
        <w:autoSpaceDE w:val="0"/>
        <w:autoSpaceDN w:val="0"/>
        <w:adjustRightInd w:val="0"/>
        <w:snapToGrid/>
        <w:spacing w:before="70" w:line="240" w:lineRule="auto"/>
        <w:ind w:firstLine="0" w:firstLineChars="0"/>
        <w:jc w:val="left"/>
        <w:textAlignment w:val="baseline"/>
        <w:outlineLvl w:val="3"/>
        <w:rPr>
          <w:rFonts w:hint="eastAsia" w:ascii="Times New Roman" w:hAnsi="Times New Roman" w:eastAsia="黑体" w:cs="Times New Roman"/>
          <w:b/>
          <w:snapToGrid w:val="0"/>
          <w:color w:val="auto"/>
          <w:sz w:val="28"/>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w:t>
      </w:r>
      <w:r>
        <w:rPr>
          <w:rFonts w:ascii="Times New Roman" w:hAnsi="Times New Roman" w:eastAsia="黑体" w:cs="Times New Roman"/>
          <w:b/>
          <w:snapToGrid w:val="0"/>
          <w:color w:val="auto"/>
          <w:sz w:val="28"/>
          <w:szCs w:val="20"/>
          <w:highlight w:val="none"/>
          <w:lang w:val="en-US" w:eastAsia="zh-CN" w:bidi="ar-SA"/>
        </w:rPr>
        <w:t>1.1</w:t>
      </w:r>
      <w:r>
        <w:rPr>
          <w:rFonts w:hint="eastAsia" w:ascii="Times New Roman" w:hAnsi="Times New Roman" w:eastAsia="黑体" w:cs="Times New Roman"/>
          <w:b/>
          <w:snapToGrid w:val="0"/>
          <w:color w:val="auto"/>
          <w:sz w:val="28"/>
          <w:szCs w:val="20"/>
          <w:highlight w:val="none"/>
          <w:lang w:val="en-US" w:eastAsia="zh-CN" w:bidi="ar-SA"/>
        </w:rPr>
        <w:t>3</w:t>
      </w:r>
      <w:r>
        <w:rPr>
          <w:rFonts w:ascii="Times New Roman" w:hAnsi="Times New Roman" w:eastAsia="黑体" w:cs="Times New Roman"/>
          <w:b/>
          <w:snapToGrid w:val="0"/>
          <w:color w:val="auto"/>
          <w:sz w:val="28"/>
          <w:szCs w:val="20"/>
          <w:highlight w:val="none"/>
          <w:lang w:val="en-US" w:eastAsia="zh-CN" w:bidi="ar-SA"/>
        </w:rPr>
        <w:t xml:space="preserve"> 智能</w:t>
      </w:r>
      <w:r>
        <w:rPr>
          <w:rFonts w:hint="eastAsia" w:ascii="Times New Roman" w:hAnsi="Times New Roman" w:eastAsia="黑体" w:cs="Times New Roman"/>
          <w:b/>
          <w:snapToGrid w:val="0"/>
          <w:color w:val="auto"/>
          <w:sz w:val="28"/>
          <w:szCs w:val="20"/>
          <w:highlight w:val="none"/>
          <w:lang w:val="en-US" w:eastAsia="zh-CN" w:bidi="ar-SA"/>
        </w:rPr>
        <w:t>拌合系统</w:t>
      </w:r>
    </w:p>
    <w:p w14:paraId="4D2D879E">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1）系统整体设计</w:t>
      </w:r>
    </w:p>
    <w:p w14:paraId="1E80695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混凝土生产过程实时监控是镜岭水库工程质量的重要保障，系统通过传感技术、移动通讯技术、互联网应用和计算机软硬件开发技术（含嵌入式软件开发技术）等，监控各拌合站生产的混凝土配比(如每一盘生产数据进行采集、无线传输、存储）、混凝土运输过程等提供了详实有效的数据基础，并利用信息手段进行统计分析，从微观到宏观，用一系列列图表，提供及时准确的质量数据进行跟踪和分析，为决策者提供数据依据。</w:t>
      </w:r>
    </w:p>
    <w:p w14:paraId="688CD3D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系统主要包括拌合数据实时采集预警、混凝土运输实时监控、数据统计分析等三个模块，系统总体架构设计如下所示：</w:t>
      </w:r>
    </w:p>
    <w:p w14:paraId="5599A998">
      <w:pPr>
        <w:kinsoku/>
        <w:autoSpaceDE w:val="0"/>
        <w:autoSpaceDN w:val="0"/>
        <w:adjustRightInd/>
        <w:spacing w:line="360" w:lineRule="auto"/>
        <w:ind w:firstLine="0" w:firstLineChars="0"/>
        <w:jc w:val="center"/>
        <w:rPr>
          <w:rFonts w:ascii="Times New Roman" w:hAnsi="Times New Roman" w:eastAsia="宋体" w:cs="Times New Roman"/>
          <w:color w:val="auto"/>
          <w:szCs w:val="24"/>
          <w:highlight w:val="none"/>
          <w:lang w:eastAsia="zh-CN"/>
        </w:rPr>
      </w:pPr>
      <w:r>
        <w:rPr>
          <w:rFonts w:ascii="Times New Roman" w:hAnsi="Times New Roman" w:eastAsia="宋体" w:cs="Times New Roman"/>
          <w:b/>
          <w:bCs/>
          <w:color w:val="auto"/>
          <w:szCs w:val="21"/>
          <w:highlight w:val="none"/>
          <w:lang w:eastAsia="zh-CN"/>
        </w:rPr>
        <w:drawing>
          <wp:inline distT="0" distB="0" distL="0" distR="0">
            <wp:extent cx="5189220" cy="3116580"/>
            <wp:effectExtent l="0" t="0" r="762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189220" cy="3116580"/>
                    </a:xfrm>
                    <a:prstGeom prst="rect">
                      <a:avLst/>
                    </a:prstGeom>
                    <a:noFill/>
                    <a:ln>
                      <a:noFill/>
                    </a:ln>
                  </pic:spPr>
                </pic:pic>
              </a:graphicData>
            </a:graphic>
          </wp:inline>
        </w:drawing>
      </w:r>
    </w:p>
    <w:p w14:paraId="3F295F9E">
      <w:pPr>
        <w:kinsoku/>
        <w:autoSpaceDE w:val="0"/>
        <w:autoSpaceDN w:val="0"/>
        <w:adjustRightInd/>
        <w:spacing w:line="440" w:lineRule="exact"/>
        <w:ind w:firstLine="410" w:firstLineChars="170"/>
        <w:jc w:val="center"/>
        <w:rPr>
          <w:rFonts w:ascii="Times New Roman" w:hAnsi="Times New Roman" w:eastAsia="宋体" w:cs="Times New Roman"/>
          <w:b/>
          <w:color w:val="auto"/>
          <w:szCs w:val="24"/>
          <w:highlight w:val="none"/>
          <w:lang w:eastAsia="zh-CN"/>
        </w:rPr>
      </w:pPr>
      <w:r>
        <w:rPr>
          <w:rFonts w:hint="eastAsia" w:ascii="Times New Roman" w:hAnsi="Times New Roman" w:eastAsia="宋体" w:cs="Times New Roman"/>
          <w:b/>
          <w:color w:val="auto"/>
          <w:szCs w:val="24"/>
          <w:highlight w:val="none"/>
          <w:lang w:eastAsia="zh-CN"/>
        </w:rPr>
        <w:t>图4.1-</w:t>
      </w:r>
      <w:r>
        <w:rPr>
          <w:rFonts w:ascii="Times New Roman" w:hAnsi="Times New Roman" w:eastAsia="宋体" w:cs="Times New Roman"/>
          <w:b/>
          <w:color w:val="auto"/>
          <w:szCs w:val="24"/>
          <w:highlight w:val="none"/>
          <w:lang w:eastAsia="zh-CN"/>
        </w:rPr>
        <w:t>37</w:t>
      </w:r>
      <w:r>
        <w:rPr>
          <w:rFonts w:hint="eastAsia" w:ascii="Times New Roman" w:hAnsi="Times New Roman" w:eastAsia="宋体" w:cs="Times New Roman"/>
          <w:b/>
          <w:color w:val="auto"/>
          <w:szCs w:val="24"/>
          <w:highlight w:val="none"/>
          <w:lang w:eastAsia="zh-CN"/>
        </w:rPr>
        <w:t xml:space="preserve"> 拌和站系统网络架构图</w:t>
      </w:r>
    </w:p>
    <w:p w14:paraId="7082E320">
      <w:pPr>
        <w:kinsoku/>
        <w:autoSpaceDE w:val="0"/>
        <w:autoSpaceDN w:val="0"/>
        <w:adjustRightInd/>
        <w:spacing w:line="440" w:lineRule="exact"/>
        <w:ind w:firstLine="410" w:firstLineChars="170"/>
        <w:jc w:val="center"/>
        <w:rPr>
          <w:rFonts w:ascii="Times New Roman" w:hAnsi="Times New Roman" w:eastAsia="宋体" w:cs="Times New Roman"/>
          <w:b/>
          <w:color w:val="auto"/>
          <w:szCs w:val="24"/>
          <w:highlight w:val="none"/>
          <w:lang w:eastAsia="zh-CN"/>
        </w:rPr>
      </w:pPr>
    </w:p>
    <w:p w14:paraId="7DEC289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2）系统功能介绍</w:t>
      </w:r>
    </w:p>
    <w:p w14:paraId="09D775A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（1）产能分析</w:t>
      </w:r>
    </w:p>
    <w:p w14:paraId="5356E74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按季度（月，周）以及选择的各种条件统计产量和拌和盘数，并可将查询结果导出为excel文件。</w:t>
      </w:r>
    </w:p>
    <w:p w14:paraId="6EE3FE0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（2）拌和时间历史查询</w:t>
      </w:r>
    </w:p>
    <w:p w14:paraId="3FF58888">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通过设备名称、出来时间等信息可以对搅拌时间进行快速查询。</w:t>
      </w:r>
    </w:p>
    <w:p w14:paraId="7B1C0AC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（3）材料用量历史查询</w:t>
      </w:r>
    </w:p>
    <w:p w14:paraId="083DE06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通过选择拌和机，可以查询每盘生产数据的详细。并且可支持Excel表格导出。</w:t>
      </w:r>
    </w:p>
    <w:p w14:paraId="662B539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（4）材料误差分析</w:t>
      </w:r>
    </w:p>
    <w:p w14:paraId="26DF56F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根据选择的各种条件查询各种材料用量的误差情况，显示材料用量走势图及误差走势图，便于查看各种材料的计量误差。点击导出可将当前查询结果导出为excel文件。</w:t>
      </w:r>
    </w:p>
    <w:p w14:paraId="4592FFE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（5）材料用量分析</w:t>
      </w:r>
    </w:p>
    <w:p w14:paraId="2FF60AC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根据选择的各种条件统计各种材料用量的理论用量、实际用量以及误差情况，以图形方式显示，便于查看各种材料的累计用量。点击导出可将当前查询结果导出为excel文件。</w:t>
      </w:r>
    </w:p>
    <w:p w14:paraId="73DC87A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（6）超标统计分析</w:t>
      </w:r>
    </w:p>
    <w:p w14:paraId="3C04E53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根据选择拌和机和时间段，可以对超标数据和超标处置率进行统计分析。</w:t>
      </w:r>
    </w:p>
    <w:p w14:paraId="2A1A7DC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（7）时间变更提醒：</w:t>
      </w:r>
    </w:p>
    <w:p w14:paraId="62A9830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 xml:space="preserve">当某拌合站拌合时间出现强烈波动时，立刻以手机短信的方式通知管理者。例如：时间范围：100s~180s。当前时间：120:120:90:120。90即为警戒时间。 </w:t>
      </w:r>
    </w:p>
    <w:p w14:paraId="654D8AF1">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（8）材料配比误差提醒：</w:t>
      </w:r>
    </w:p>
    <w:p w14:paraId="6A2255F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当一个生产周期完成后，各材料用量与实际配合比偏差超出一定范围时，立刻以手机短信的方式通知管理者。</w:t>
      </w:r>
    </w:p>
    <w:p w14:paraId="4E1F0B0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3）关键技术参数</w:t>
      </w:r>
    </w:p>
    <w:p w14:paraId="03BFBE2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拌合楼数据采集主要由数据采集硬件和数据采集软件组成。</w:t>
      </w:r>
    </w:p>
    <w:p w14:paraId="407705C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（1）数据采集硬件</w:t>
      </w:r>
    </w:p>
    <w:p w14:paraId="389458C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在拌合楼工控机安装数据采集硬件，拌合楼数据采集系统硬件由①电源线、②无线传输模块(含SIM卡)、③usb网卡、④数据传输线（网线)、⑤天线等组成。</w:t>
      </w:r>
    </w:p>
    <w:p w14:paraId="0674892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（2）数据采集软件</w:t>
      </w:r>
    </w:p>
    <w:p w14:paraId="4629A8B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拌合站数据采集系统软件由数据自动采集、数据自动发送两个软件部分组成。数据采集和发送可实现24小时实时采集发送数据，支持网络不稳定时的数据断点续传功能。</w:t>
      </w:r>
    </w:p>
    <w:p w14:paraId="17BB5323">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（3）数据超标预警</w:t>
      </w:r>
    </w:p>
    <w:p w14:paraId="34128A2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首先进行配置各拌和站短信报警项目，各材料用量上下限标准，报警手机号码等信息。</w:t>
      </w:r>
    </w:p>
    <w:p w14:paraId="3AF3AF50">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对各材料名称选择是否报警，每种材料都分3级标准，可分别设置3种级别的上下限标准和报警手机号码，从初级到高级顺序填写，标准以百分比计，即理论值基础上允许上下浮动的百分比值。其中拌和时间由于没有统一标准，需要单独设置设计值，并分为普通混凝土和喷浆混凝土两种标准，凡是浇注部位中有喷浆两个字的均应用喷浆的拌和时间标准进行判断。</w:t>
      </w:r>
    </w:p>
    <w:p w14:paraId="74D990CD">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4）数据接入要求</w:t>
      </w:r>
    </w:p>
    <w:p w14:paraId="6ACAC49B">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（1）数据应保证可以推送至第三方平台。且数据应保证长期稳定运行。</w:t>
      </w:r>
    </w:p>
    <w:p w14:paraId="7BBB64C5">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（2）提供设备主流数据接口机传输协议。如有特殊或私有协议应提供相应的适配方案或接口。</w:t>
      </w:r>
    </w:p>
    <w:p w14:paraId="31105D06">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（3）数据在传输过程中应采用加密技术，以防止被非法截获或篡改。</w:t>
      </w:r>
    </w:p>
    <w:p w14:paraId="36E7953C">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4）将拌合机生产数据(工程名称、拌合机名称、浇筑部位、强度等级、生产方量、拌合时间、原材料施工配比和实际称量记录、报警信息等)实时推送到物联感知汇聚平台的能力，数据推送标准应符合平台统一接入要求。</w:t>
      </w:r>
    </w:p>
    <w:p w14:paraId="1480D30B">
      <w:pPr>
        <w:kinsoku/>
        <w:autoSpaceDE w:val="0"/>
        <w:autoSpaceDN w:val="0"/>
        <w:adjustRightInd/>
        <w:spacing w:line="440" w:lineRule="exact"/>
        <w:ind w:firstLine="408" w:firstLineChars="17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（5）数据分析功能页面能集成到项目管理平台，针对项目管理平台的UI风格能进行适配。</w:t>
      </w:r>
    </w:p>
    <w:p w14:paraId="3F68F682">
      <w:pPr>
        <w:widowControl/>
        <w:autoSpaceDE w:val="0"/>
        <w:autoSpaceDN w:val="0"/>
        <w:adjustRightInd/>
        <w:snapToGrid/>
        <w:spacing w:line="440" w:lineRule="exact"/>
        <w:ind w:firstLine="0" w:firstLineChars="0"/>
        <w:jc w:val="left"/>
        <w:textAlignment w:val="auto"/>
        <w:outlineLvl w:val="2"/>
        <w:rPr>
          <w:rFonts w:ascii="Times New Roman" w:hAnsi="Times New Roman" w:eastAsia="宋体" w:cs="Times New Roman"/>
          <w:b/>
          <w:snapToGrid w:val="0"/>
          <w:color w:val="auto"/>
          <w:sz w:val="32"/>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w:t>
      </w:r>
      <w:r>
        <w:rPr>
          <w:rFonts w:hint="eastAsia" w:ascii="Times New Roman" w:hAnsi="Times New Roman" w:eastAsia="黑体" w:cs="Times New Roman"/>
          <w:b/>
          <w:snapToGrid w:val="0"/>
          <w:color w:val="auto"/>
          <w:sz w:val="28"/>
          <w:szCs w:val="24"/>
          <w:highlight w:val="none"/>
          <w:lang w:val="en-US" w:eastAsia="zh-CN" w:bidi="ar-SA"/>
        </w:rPr>
        <w:t>2 数字工地设备建设清单及参数</w:t>
      </w:r>
    </w:p>
    <w:tbl>
      <w:tblPr>
        <w:tblStyle w:val="18"/>
        <w:tblW w:w="8784" w:type="dxa"/>
        <w:tblInd w:w="0" w:type="dxa"/>
        <w:tblLayout w:type="fixed"/>
        <w:tblCellMar>
          <w:top w:w="0" w:type="dxa"/>
          <w:left w:w="0" w:type="dxa"/>
          <w:bottom w:w="0" w:type="dxa"/>
          <w:right w:w="0" w:type="dxa"/>
        </w:tblCellMar>
      </w:tblPr>
      <w:tblGrid>
        <w:gridCol w:w="575"/>
        <w:gridCol w:w="1168"/>
        <w:gridCol w:w="4064"/>
        <w:gridCol w:w="992"/>
        <w:gridCol w:w="993"/>
        <w:gridCol w:w="992"/>
      </w:tblGrid>
      <w:tr w14:paraId="59859D6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6E14E2E">
            <w:pPr>
              <w:widowControl/>
              <w:kinsoku/>
              <w:autoSpaceDE w:val="0"/>
              <w:autoSpaceDN w:val="0"/>
              <w:adjustRightInd/>
              <w:spacing w:line="240" w:lineRule="atLeast"/>
              <w:ind w:firstLine="0" w:firstLineChars="0"/>
              <w:jc w:val="center"/>
              <w:textAlignment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bidi="ar"/>
              </w:rPr>
              <w:t>序号</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9233EDB">
            <w:pPr>
              <w:widowControl/>
              <w:kinsoku/>
              <w:autoSpaceDE w:val="0"/>
              <w:autoSpaceDN w:val="0"/>
              <w:adjustRightInd/>
              <w:spacing w:line="240" w:lineRule="atLeast"/>
              <w:ind w:firstLine="0" w:firstLineChars="0"/>
              <w:jc w:val="center"/>
              <w:textAlignment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bidi="ar"/>
              </w:rPr>
              <w:t>项目</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2D6F0A3">
            <w:pPr>
              <w:widowControl/>
              <w:kinsoku/>
              <w:autoSpaceDE w:val="0"/>
              <w:autoSpaceDN w:val="0"/>
              <w:adjustRightInd/>
              <w:spacing w:line="240" w:lineRule="atLeast"/>
              <w:ind w:firstLine="0" w:firstLineChars="0"/>
              <w:jc w:val="center"/>
              <w:textAlignment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bidi="ar"/>
              </w:rPr>
              <w:t>技术指标</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856FB33">
            <w:pPr>
              <w:widowControl/>
              <w:kinsoku/>
              <w:autoSpaceDE w:val="0"/>
              <w:autoSpaceDN w:val="0"/>
              <w:adjustRightInd/>
              <w:spacing w:line="240" w:lineRule="atLeast"/>
              <w:ind w:firstLine="0" w:firstLineChars="0"/>
              <w:jc w:val="center"/>
              <w:textAlignment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bidi="ar"/>
              </w:rPr>
              <w:t>单位</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39E2BF7">
            <w:pPr>
              <w:widowControl/>
              <w:kinsoku/>
              <w:autoSpaceDE w:val="0"/>
              <w:autoSpaceDN w:val="0"/>
              <w:adjustRightInd/>
              <w:spacing w:line="240" w:lineRule="atLeast"/>
              <w:ind w:firstLine="0" w:firstLineChars="0"/>
              <w:jc w:val="center"/>
              <w:textAlignment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bidi="ar"/>
              </w:rPr>
              <w:t>数量</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8618">
            <w:pPr>
              <w:widowControl/>
              <w:kinsoku/>
              <w:autoSpaceDE w:val="0"/>
              <w:autoSpaceDN w:val="0"/>
              <w:adjustRightInd/>
              <w:spacing w:line="240" w:lineRule="atLeast"/>
              <w:ind w:firstLine="0" w:firstLineChars="0"/>
              <w:jc w:val="center"/>
              <w:textAlignment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bidi="ar"/>
              </w:rPr>
              <w:t>备注</w:t>
            </w:r>
          </w:p>
        </w:tc>
      </w:tr>
      <w:tr w14:paraId="51686533">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959632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一</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E3E834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传输网络</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7B05B71">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CA2F046">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2459406">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FFE43BF">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3A45B7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1BAD8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429BE5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传输网络</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BFE3F7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100M固定IP</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053E43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条/4年</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58B690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E0E6142">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6BB7B76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286A31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50E111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光纤收发器</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BBDFFD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 个 10/100BaseT（X）自适应 RJ45 接口；</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1 个 100BaseFX 以太网光纤接口，FC 和</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SC 可选；</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单模单纤，传输距离可达 20、40、80 公里；</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2777D7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对</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CF72FC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25CCE23">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F44BE47">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25EA8A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E38749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24芯光纤含管</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00B19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24芯室外单模光纤含配套管路</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860F99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km</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6106EA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72B3AA9">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0943CE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9E4E04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BF1D2F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电源线</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2B23B6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RVV3*2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4F931E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km</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FF5E21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C36E114">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62613E3A">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EA58DB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AB97EC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六类网线含管</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DE818C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六类网线含管</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90D449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箱</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28D34A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3A316A3">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6B0D9511">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F17024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6</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75CC88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24口千兆交换机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C2C04C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24口10/100/1000M自适应千兆管理型交换机</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52A878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50452E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1AF05F9">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3A82EF0">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81EE0C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7</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692CF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无线网桥</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1CB17E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不低于如下参数：室外3KM单频5G无线网桥，最大桥接速率433Mbps，内置9dBi定向天线。24VPOE供电（标配POE供电适配器）</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F8260F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8711AF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FAE64B1">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3C9DA782">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5A0BC4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8</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7F2BC3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网络中转箱</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EBB1F9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不锈钢网络控制箱400*300*180</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8E7BC7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FA7D8D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3C07838">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2DE8BCF7">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D5B444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二</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1D722A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视频监控</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1BF7128">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BA0BF60">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7574499">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9A599BA">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62C0BFE6">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5A654D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0067E6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室外全彩球机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0CCF17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不低于如下参数：400万智能球机，视频输出支持2560×1440，红外距离不小于150米23倍光学变焦</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支持智能红外、透雾、强光抑制、电子防抖、数字降噪、防红外过曝功能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球机应具备本机存储功能，支持SD卡热插拔</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支持深度学习算法，支持区域入侵、越界入侵、徘徊、物品移除、物品遗留、人员聚集、停车，并联动报警</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具备较好的防护性能环境适应性，支持IP67，8kV防浪涌</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13257D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B33E6A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1772ACF">
            <w:pPr>
              <w:widowControl/>
              <w:kinsoku/>
              <w:autoSpaceDE w:val="0"/>
              <w:autoSpaceDN w:val="0"/>
              <w:adjustRightInd/>
              <w:spacing w:line="240" w:lineRule="atLeast"/>
              <w:ind w:firstLine="0" w:firstLineChars="0"/>
              <w:jc w:val="left"/>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支持ai识别人流统计</w:t>
            </w:r>
          </w:p>
        </w:tc>
      </w:tr>
      <w:tr w14:paraId="18ABFB8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8A0B5D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6A50B6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室外全彩枪机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3BB9E2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不低于如下参数：400万智能枪机，视频输出分辨率不低于2560×1440。支持深度学习。</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内置混合补光灯，可对红外灯及白光灯功率进行调节。</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内置两个图像传感器，分别输出黑白及彩色图像，可对视频图像进行融合输出。</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不低于IP66防尘防水等级。</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2642F9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CE5BCC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7</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6E3FF80">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C088589">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139863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F59622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立杆</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E26158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高度： 4 米， 材质热镀锌喷塑， 管径165MM*114MM， 厚度</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4MM， 配件包含镀锌角铁、 避雷针。含立杆基础、 土方开挖及回填</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D72FAC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AFFDD6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9</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91D0A4A">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066F371">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D36647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3602AE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黑光球机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6E177E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400万像素25倍黑光系列网络高清高速智能球机</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内置GPU</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支持三种智能资源切换：Smart事件、道路监控、人脸抓拍</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Smart事件：越界侦测，区域入侵侦测，进入/离开区域侦测等智能侦测功能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道路监控：支持车辆检测（支持车牌识别，车型/车身颜色/车牌颜色识别）和混行检测，车牌捕获及检索、多场景巡航检测、云存储服务功能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人脸抓拍：支持同时抓拍30张人脸，支持对运动人脸进行检测、跟踪、抓拍、评分、筛选，输出最优的人脸抓图</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采用双sensor架构，支持超宽光谱感光成像</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采用无光污染的混合补光技术，可有效提升整体监控效果</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支持GB35114安全加密</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传感器类型: 1/1.8＂progressive scan CMOS</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 xml:space="preserve">最低照度: 彩色：0.0004 Lux @（F1.6，AGC ON），黑白：0.0001 Lux @（F1.6，AGC ON），0 Lux with IR </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宽动态: 120 dB超宽动态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焦距: 6 mm~150 mm，25×光学</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红外照射距离: 200 m</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防补光过曝: 支持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水平范围: 360°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881A11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87FA2B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B7B0275">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1D591508">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7756A5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A70281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移动式布控球机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E68E6C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布控球套装</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包含：①主设备（布控球主机）；②布控球配件（备用电池、电池充电底座、220V电源适配器、转接线、车充电源线）；③金属手提箱；</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分辨率高，1080P，图像清晰、细腻</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低照度，彩色0.05lux@F1.6</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支持自动彩转黑功能，实现昼夜监控</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支持背光补偿功能；支持数字宽动态；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支持双TF卡存储，单个最大256G</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标配支持单4G模块，可额外扩展2个4G模块</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支持MIC、扬声器</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光学变倍：30倍；</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数字变倍：16倍</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日夜切换模式：ICR红外滤片式</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录像格式：MP4；视频压缩标准：H.264;H.265;MJPEG</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图片格式：JPEG</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蓝牙：4.0</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定位：GPS;北斗;混合定位</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供电方式：电池供电;外接电源</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状态显示屏： 支持当前电池电量、GPS状态、3G/4G状态、录像状态、剩余存储时间、蓝牙状态、平台连接状态、WiFi状态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红外补光距离：100m看清人体轮廓</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外部接口：RJ45;RS-232；充电接口：6芯航空头；SIM卡槽：标配1个，可扩展为3个</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关机充电时间：＜4小时；电池类型：锂离子电池；电池容量：13400mAh</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录像续航时间：室温20℃，仅录像的续航时间为9小时</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支持安全帽检测，离岗检测，区域入侵，前端人脸比对，人脸签到，车牌识别</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83C698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77E232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209A4DA">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08D069AC">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0F9CB7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6</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DC4E29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声光报警摄像机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CC2A8A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含400万智能枪机，视频输出分辨率不低于2560×1440。支持深度学习。含声光报警器、内置麦克风和扬声器。</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616CCA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D93668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6257DEA">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3BE8E7DB">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C41621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7</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9FD238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硬盘录像机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E210D6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 xml:space="preserve">4盘位，满配6TB硬盘 </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2个千兆网口</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2个USB2.0接口、1个USB3.0接口</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选配：1个eSATA接口</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软件性能：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输入带宽：160M</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16路H.264、H.265接入</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最大支持8×1080P解码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支持H.264、H.265解码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Smart 2.0/整机热备/ANR/智能检索/智能回放/车牌检索/人脸检索/热度图/客流量统计/分时段回放/超高倍速回放/双系统备份</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0B9D20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481EC6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06CB7C9">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B6C7186">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BDFE1D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8</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B138D7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流媒体服务器</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02CB59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CPU：1颗intel至强系列处理器，核数≥10核，主频≥2.4GHz</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内存：16G*2 DDR4，16根内存插槽，最大支持扩展至2TB内存</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硬盘：2块1.2T 10K 2.5寸 SAS硬盘</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阵列卡：SAS_HBA卡, 支持RAID 0/1/10</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网口：2个千兆电口</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245C4C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14EA30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AE427F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大工区共用</w:t>
            </w:r>
          </w:p>
        </w:tc>
      </w:tr>
      <w:tr w14:paraId="1881B0B8">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4EFF76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9</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FA05E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平台软件</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95F30D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综合管理平台，含基础模块、200路视频监控、视频联网网关</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54A4E9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1DCD8D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9FDD6D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大工区共用</w:t>
            </w:r>
          </w:p>
        </w:tc>
      </w:tr>
      <w:tr w14:paraId="1A770F36">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EC9FAD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1D9BEA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机柜</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A7BCE8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42U标准机柜</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BD1B47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2BF164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5D1C9BD">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D6EF74A">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DBDF33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17CE79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现地箱</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F5D475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不锈钢设备箱300mm*180mm*400mm含防雷保护器、防潮控制器、电源插板、8口交换机等</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F0C242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C6B398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C956607">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076CB7E">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A56FE6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3F1A0F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附件辅材</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3F6EB7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完成安防系统各系统设备安装、调试、测试以及系统正常运行所需的一切必要设施设备及安装。</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5B397F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F57F02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178E637">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6448D4A">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2EE367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三</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F81108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安全帽定位</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6AEA246">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D45A3CD">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6F44EEA">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791C205">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3FC74254">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499BCD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AF51FA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定位芯片</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1C96D1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UWB定位芯片，定位精度≤5米</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8459D0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CE98DD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658C386">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EB3EF9A">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9F941B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8A1EF5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定位基站</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22F465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UWB定位基站及定位软件</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AB32FF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DE495A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1AEDA79">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13303AFE">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F98610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四</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B1642C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人脸识别系统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E899D3A">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F70F23B">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CDAC2CC">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AE4C8B1">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2D9FF35C">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C275B7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E2257D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快速通道</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16A7B3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不低于如下参数：通道宽度：不小于550mm/适用环境：室内外/防涝水高度690mm/集成门禁主控板，支持辊杆转动指示灯，支持断电落杆</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BC94EC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EE192A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F7539BB">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640FD13">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BF38C8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ACC6A6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人脸识别组件</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740E63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不低于如下参数：设备不小于7英寸显示屏，屏幕分辨率不小于1024*600，屏幕防冲击防护等级IK04，除后壳盖板外的外壳防冲击防护等级IK07，支持IP65防水等级。</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设备采用高清双目相机宽动态相机（1路可见光摄像头，1路红外摄像头），可适应强光、逆光、暗光等条件的人脸识别，分辨率可达1920×1080</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设备本地人脸库存储容量50000张，本地卡存储容量50000张，本地出入记录存储容量100000条。</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设备支持通过Web进行设备信息查询、用户信息管理、设备时间管理、系统维护、安全操作管理、技术参数配置、图像参数配置。</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设备的人脸识别距离：0.2~3m；人脸识别误识率≤0.01%，准确率≥99.8%，人脸识别速度≤0.2s；支持在0.001lux低照度无补光环境下正常实现人脸识别。</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设备支持人脸识别、刷卡等认证方式</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设备具有数据加密功能，包括支持本地非明文存储比对结果、身份信息及抓拍人脸照片；支持实时非明文上传比对结果、身份信息及抓拍人脸照片等至管理中心；支持断网续传离线记录非明文数据功能；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适用温度范围：-10℃至70℃。</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7A3649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B72AE8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D21A926">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205E377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62B95A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5CAE94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身份证阅读器</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DE3F26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不低于如下参数：可读取二/三代居民身份证、港澳台居民居住证；</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通信接口：USB2.0接口；</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DE350E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56BB58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A15AA57">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960A33C">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CD63B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276C9A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人脸采集摄像头</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F5ACB6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不低于如下参数：200万</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图像清晰、细腻，最高分辨率为1920 × 1080</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采用低畸变镜头，适用于广角场景</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支持自动电子增益功能，亮度自适应</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支持Type-A接口，标准USB2.0协议，免驱设计，即插即用</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B36AF2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208D45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A376CD4">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39E203C">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FE688D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7A98AA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控制主机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BE76D6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CPU型号：酷睿i7；</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CPU主频：不低于3.0GHz；</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内存大小：16GB；</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显卡内存：不小于4GB并满足大屏点对点显示的需求</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硬盘容量：不低于512 SSD；</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显示器：27英寸全高清显示屏，含USB键盘鼠标；</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含Win10专业版 64位简体中文操作系统</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2C4BB8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44BAE0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7EF1D9B">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15A4158A">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2B928B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6</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B5F750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软件</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BB99AC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支持管控人脸识别道闸并</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支持将数据推送给第三方软件并支持将第三方平台人员导入到本系统，人员以第三方平台为准</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5B6B2C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D42DAA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FA94D6D">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6C30CBC">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DC3DCF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五</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634FD2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车辆管控系统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A4D4822">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4FEE871">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75F6032">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36DAAA7">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24A14A75">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3CAE45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BD0C50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一体化道闸</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7576CF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不低于如下参数：道闸类型：直杆；</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起落速度：1.6~2秒；</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道闸杆长：3-4米可调；</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输入电源：220V50Hz；</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具有遇阻返回功能：当闸杆下落时，遇到物体阻挡，将立即开闸</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应有自锁手动解除装置，停电时能解脱自锁，实现手动控制功能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应有自动限位功能，档杆开关到位后，将自动停机限位</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应装有热过载保护装置。</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CF53A0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3BEAFD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A579D89">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3AA0E9D">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FA7DFD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A17E80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触发雷达</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77CE1C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不低于如下参数：道闸类型：直杆；</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起落速度：1.6~2秒；</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道闸杆长：3-4米可调；</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输入电源：220V50Hz；</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具有遇阻返回功能：当闸杆下落时，遇到物体阻挡，将立即开闸</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应有自锁手动解除装置，停电时能解脱自锁，实现手动控制功能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应有自动限位功能，档杆开关到位后，将自动停机限位</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应装有热过载保护装置。</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27F794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AB4A04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8</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10B8343">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9500B1A">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F8C089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D664BD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出入口控制终端</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358A0C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不低于如下参数：坚固紧凑无风扇设计，体积小巧，适合在路边机柜及抱杆机柜使用</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标配2TB硬盘，最大支持6TB硬盘存储，图片与录像可设置配额</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单面接口设计，更便于施工操作</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工作温度和湿度：工作温度-30℃～70℃、工作湿度10%～90%</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电源供应：DC12/5A</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报警输出：1个开关量报警输出接口</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报警输入：1个开关量报警输入接口</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网络视频输入：12路</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含控制软件</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CA57F2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97F124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2140478">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0DF5F42E">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6F18DD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8C14EC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蓝牙模块</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4430AB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蓝牙识别模块 识别距离≥10米。</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0F3300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B55134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56739AE">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r>
      <w:tr w14:paraId="177CDEB3">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4763A6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DC34B0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蓝牙卡</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47D6AD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识别距离≥10米。</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1BEBAC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张</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3F7CDE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D061453">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r>
      <w:tr w14:paraId="05BBD787">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1B781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六</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BE0C0F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现场工作记录仪</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03A0A8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像素≥4200万，待机时间≥10小时，支持录像录音功能、支持高清夜视、支持北斗/GPS定位，指示4G/WIFI互联。内存不小于128G</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A2FBE0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210F3D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B95C154">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616957BE">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D6AEC9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七</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CCAEA2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环境监测系统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BA3B8BF">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CD87A21">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40888EF">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640F30C">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1DE7F8F0">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517D6F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1CA258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有毒有害气体监测</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248DE4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监测指标包括氧气、一氧化碳、可燃气体、硫化氢、二氧化硫、二氧化氮</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1F8BDE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4E4DD61">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58E8D724">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010F18D5">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0F1B91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74127A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手持有毒有害气体监测</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1AA8D2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监测指标包括氧气、瓦斯、硫化氢、一氧化碳等</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456124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D0E6A3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5187B4F">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07B9C498">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F2AA98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3B6339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扬尘噪音监测系统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DC6921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扬尘（PM2.5、 PM10）、噪声、大气温湿度、风速风向实时监测， GPRS 传输，（含安装支架）</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3BFA51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7B23587">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44A54D5">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6419A3C">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E0F03E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八</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AF8339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预警广播系统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F6A727A">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DC9DE5B">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C4C445D">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69512F7">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78F26E36">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79A343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827DDD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预警广播</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8DEB78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≥60W IP网络喇叭，自带功放</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BACDBB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01F314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50A3B32">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35FE3C83">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1BB674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1212AC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网络广播服务器</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2389455">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CPU i5处理器；</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≥23英寸液晶显示器，分辨率≥1920×1080；</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标准RJ45网络接口，支持跨网段、跨路由器；</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提供一路双声道音频输入，两路Mic输入；</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提供一路立体声线路输出，作为外部扩音使用；</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可以使用ip地址、编号、地址薄搜索等功能；</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可作网络广播终端、可作本地广播主机。</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3BC1E4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04EBAF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3A902BF0">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6E16BDF">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6BA5BF2">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CBAFC6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网络寻呼话筒</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9D046B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带7寸操作屏，可对不同区域进行广播</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F76EC7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4431F2B">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10D43EF">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0FF67EB3">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E1A575C">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九</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D90C7E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考勤系统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24CC22A">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244BFC8">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7AFF445">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492B5E6">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532D12BD">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365617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152706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人脸识别考勤机</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EA288B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人脸、指纹识别一体考勤机，支持数据推送至第三方平台。</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71A170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台</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0F9E22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BDD65F8">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48E16080">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AE8F248">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十</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00CCDDE">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通风照明监测系统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2E3187F">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E6170F3">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7A691CDA">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AF7FCFA">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29DEDB9E">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0CC05FB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84AF9B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光照度监测</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7F85B7A">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光照强度测量量程(0-65535LUX)</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通信方式：RS485/NB-IOT/LORA/4G/GPRS/以太网/等通信方式</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0A1C15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1EE891FD">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A9A8BA9">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63C28126">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8C6ABF1">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2158DC7">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风速监测</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6749709">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高精度风速测量单元，启动风速小，反应灵敏，可适用于通风管道、油烟管</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道等环境恶劣的场合；开孔式法兰盘安装，量程 0~30m/s；采用专用的 EMC 抗干扰器件，可经受住现场变频器等各种强电磁干扰；</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61FAAAA3">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4BDD4B9F">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14:paraId="2A4F005F">
            <w:pPr>
              <w:widowControl/>
              <w:kinsoku/>
              <w:autoSpaceDE w:val="0"/>
              <w:autoSpaceDN w:val="0"/>
              <w:adjustRightInd/>
              <w:spacing w:line="240" w:lineRule="atLeast"/>
              <w:ind w:firstLine="0" w:firstLineChars="0"/>
              <w:jc w:val="left"/>
              <w:rPr>
                <w:rFonts w:ascii="宋体" w:hAnsi="宋体" w:eastAsia="宋体" w:cs="宋体"/>
                <w:color w:val="auto"/>
                <w:sz w:val="18"/>
                <w:szCs w:val="18"/>
                <w:highlight w:val="none"/>
                <w:lang w:eastAsia="zh-CN"/>
              </w:rPr>
            </w:pPr>
          </w:p>
        </w:tc>
      </w:tr>
      <w:tr w14:paraId="1083350B">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6ED937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十一</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5B18D04">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LED显示系统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A3920C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不低于如下参数：单色/全彩显示屏</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1) 类型：室外</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1) 像素间距：≤8mm</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2) 像素密度：17200点/㎡</w:t>
            </w:r>
            <w:r>
              <w:rPr>
                <w:rFonts w:hint="eastAsia" w:ascii="宋体" w:hAnsi="宋体" w:eastAsia="宋体" w:cs="宋体"/>
                <w:color w:val="auto"/>
                <w:sz w:val="18"/>
                <w:szCs w:val="18"/>
                <w:highlight w:val="none"/>
                <w:lang w:eastAsia="zh-CN" w:bidi="ar"/>
              </w:rPr>
              <w:br w:type="textWrapping"/>
            </w:r>
            <w:r>
              <w:rPr>
                <w:rFonts w:hint="eastAsia" w:ascii="宋体" w:hAnsi="宋体" w:eastAsia="宋体" w:cs="宋体"/>
                <w:color w:val="auto"/>
                <w:sz w:val="18"/>
                <w:szCs w:val="18"/>
                <w:highlight w:val="none"/>
                <w:lang w:eastAsia="zh-CN" w:bidi="ar"/>
              </w:rPr>
              <w:t>3）亮度：≥500cd/㎡</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58AD016">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平方米</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7BA6A40">
            <w:pPr>
              <w:widowControl/>
              <w:kinsoku/>
              <w:autoSpaceDE w:val="0"/>
              <w:autoSpaceDN w:val="0"/>
              <w:adjustRightInd/>
              <w:spacing w:line="240" w:lineRule="atLeast"/>
              <w:ind w:firstLine="0" w:firstLineChars="0"/>
              <w:jc w:val="center"/>
              <w:textAlignment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C8F46BD">
            <w:pPr>
              <w:widowControl/>
              <w:kinsoku/>
              <w:autoSpaceDE w:val="0"/>
              <w:autoSpaceDN w:val="0"/>
              <w:adjustRightInd/>
              <w:spacing w:line="240" w:lineRule="atLeast"/>
              <w:ind w:firstLine="0" w:firstLineChars="0"/>
              <w:jc w:val="center"/>
              <w:rPr>
                <w:rFonts w:ascii="宋体" w:hAnsi="宋体" w:eastAsia="宋体" w:cs="宋体"/>
                <w:color w:val="auto"/>
                <w:sz w:val="18"/>
                <w:szCs w:val="18"/>
                <w:highlight w:val="none"/>
                <w:lang w:eastAsia="zh-CN"/>
              </w:rPr>
            </w:pPr>
          </w:p>
        </w:tc>
      </w:tr>
      <w:tr w14:paraId="2E54E8B4">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67118F9">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F661814">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2397522">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40C7CFA">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55A9BE7">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6AD948F">
            <w:pPr>
              <w:kinsoku/>
              <w:autoSpaceDE w:val="0"/>
              <w:autoSpaceDN w:val="0"/>
              <w:adjustRightInd/>
              <w:spacing w:line="440" w:lineRule="exact"/>
              <w:ind w:firstLine="408" w:firstLineChars="170"/>
              <w:rPr>
                <w:rFonts w:ascii="Times New Roman" w:hAnsi="Times New Roman" w:eastAsia="宋体" w:cs="Times New Roman"/>
                <w:color w:val="auto"/>
                <w:szCs w:val="24"/>
                <w:highlight w:val="none"/>
                <w:lang w:eastAsia="zh-CN"/>
              </w:rPr>
            </w:pPr>
          </w:p>
        </w:tc>
      </w:tr>
      <w:tr w14:paraId="68F5F867">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1926458">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十三</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5EF4FA1">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地磅称重系统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2C91F2A">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物料系统应具备相应统计功能，现场人员可根据材料名称、规格、供应厂商、进场日期等字段进行统计分析，并可以导出报表直接进行物资盘点。</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0F1D376">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D75AEA1">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707DA9E">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p>
        </w:tc>
      </w:tr>
      <w:tr w14:paraId="51C504DB">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E3CB1E6">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十四</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C43AB15">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智能拌合系统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0F143F3">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系统通过传感技术、移动通讯技术、互联网应用和计算机软硬件开发技术（含嵌入式软件开发技术）等，监控各拌合站生产的混凝土配比(如每一盘生产数据进行采集、无线传输、存储）、混凝土运输过程等提供了详实有效的数据基础，并利用信息手段进行统计分析，从微观到宏观，用一系列列图表，提供及时准确的质量数据进行跟踪和分析，为决策者提供数据依据。</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6F2C5B1">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56E118F">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B43D355">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p>
        </w:tc>
      </w:tr>
      <w:tr w14:paraId="40EFF3A0">
        <w:tblPrEx>
          <w:tblCellMar>
            <w:top w:w="0" w:type="dxa"/>
            <w:left w:w="0" w:type="dxa"/>
            <w:bottom w:w="0" w:type="dxa"/>
            <w:right w:w="0" w:type="dxa"/>
          </w:tblCellMar>
        </w:tblPrEx>
        <w:trPr>
          <w:trHeight w:val="23" w:hRule="atLeast"/>
        </w:trPr>
        <w:tc>
          <w:tcPr>
            <w:tcW w:w="5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7BF5739">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十五</w:t>
            </w:r>
          </w:p>
        </w:tc>
        <w:tc>
          <w:tcPr>
            <w:tcW w:w="116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2173559">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混凝土温控系统</w:t>
            </w:r>
          </w:p>
        </w:tc>
        <w:tc>
          <w:tcPr>
            <w:tcW w:w="4064"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43E04ED">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通过预埋温度传感器，测量埋设点的温度变化情况，及时准确掌握大体积混凝土重力坝温度变化情况，支持连续测温、内外温差自动报警，支持温度测量曲线生成；配置智能通水监控装置，可实现自动的混凝土温度控制养护，实现工程建设混凝土养护数据实时监测控制，确保镜岭水库大坝浇筑质量。</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5D5438F">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套</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F73AA56">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67223C">
            <w:pPr>
              <w:widowControl/>
              <w:kinsoku/>
              <w:autoSpaceDE w:val="0"/>
              <w:autoSpaceDN w:val="0"/>
              <w:adjustRightInd/>
              <w:spacing w:line="240" w:lineRule="atLeast"/>
              <w:ind w:firstLine="0" w:firstLineChars="0"/>
              <w:jc w:val="center"/>
              <w:textAlignment w:val="center"/>
              <w:rPr>
                <w:rFonts w:hint="eastAsia" w:ascii="宋体" w:hAnsi="宋体" w:eastAsia="宋体" w:cs="宋体"/>
                <w:color w:val="auto"/>
                <w:sz w:val="18"/>
                <w:szCs w:val="18"/>
                <w:highlight w:val="none"/>
                <w:lang w:eastAsia="zh-CN" w:bidi="ar"/>
              </w:rPr>
            </w:pPr>
          </w:p>
        </w:tc>
      </w:tr>
    </w:tbl>
    <w:p w14:paraId="27142EE8">
      <w:pPr>
        <w:spacing w:line="360" w:lineRule="auto"/>
        <w:ind w:firstLine="0" w:firstLineChars="0"/>
        <w:rPr>
          <w:color w:val="auto"/>
          <w:highlight w:val="none"/>
        </w:rPr>
        <w:sectPr>
          <w:headerReference r:id="rId8" w:type="default"/>
          <w:footerReference r:id="rId9" w:type="default"/>
          <w:pgSz w:w="11906" w:h="16838"/>
          <w:pgMar w:top="1701" w:right="1418" w:bottom="1418" w:left="1701" w:header="1304" w:footer="1134" w:gutter="0"/>
          <w:pgNumType w:fmt="decimal"/>
          <w:cols w:space="425" w:num="1"/>
          <w:docGrid w:type="lines" w:linePitch="326" w:charSpace="0"/>
        </w:sectPr>
      </w:pPr>
    </w:p>
    <w:p w14:paraId="426F1D2B">
      <w:pPr>
        <w:widowControl w:val="0"/>
        <w:tabs>
          <w:tab w:val="left" w:pos="420"/>
        </w:tabs>
        <w:autoSpaceDE w:val="0"/>
        <w:autoSpaceDN w:val="0"/>
        <w:snapToGrid/>
        <w:spacing w:line="240" w:lineRule="auto"/>
        <w:ind w:firstLine="0" w:firstLineChars="0"/>
        <w:jc w:val="left"/>
        <w:textAlignment w:val="baseline"/>
        <w:outlineLvl w:val="2"/>
        <w:rPr>
          <w:rFonts w:ascii="Times New Roman" w:hAnsi="Times New Roman" w:eastAsia="宋体" w:cs="Times New Roman"/>
          <w:b/>
          <w:snapToGrid w:val="0"/>
          <w:color w:val="auto"/>
          <w:sz w:val="32"/>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26.3</w:t>
      </w:r>
      <w:r>
        <w:rPr>
          <w:rFonts w:hint="eastAsia" w:ascii="Times New Roman" w:hAnsi="Times New Roman" w:eastAsia="黑体" w:cs="Times New Roman"/>
          <w:b/>
          <w:snapToGrid w:val="0"/>
          <w:color w:val="auto"/>
          <w:sz w:val="28"/>
          <w:szCs w:val="24"/>
          <w:highlight w:val="none"/>
          <w:lang w:val="en-US" w:eastAsia="zh-CN" w:bidi="ar-SA"/>
        </w:rPr>
        <w:t xml:space="preserve"> 关于文明标化工地的要求</w:t>
      </w:r>
    </w:p>
    <w:p w14:paraId="15E85C18">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本合同文明工地的约定：按照省级水利文明标化工地要求，做好现场安全文明施工。承包人对安全文明施工费应专款专用，承包人应在财务账目中单独列项备查，不得挪作他用，否则发包人有权责令其限期改正；逾期未改正的，可以责令其暂停施工，由此增加的费用和（或）延误的工期由承包人承担 。</w:t>
      </w:r>
    </w:p>
    <w:p w14:paraId="3BBC9E75">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关于文明标化工地的其它要求：</w:t>
      </w:r>
    </w:p>
    <w:p w14:paraId="770C5DE0">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（1）承包人</w:t>
      </w:r>
      <w:r>
        <w:rPr>
          <w:rFonts w:hint="eastAsia" w:ascii="Times New Roman" w:hAnsi="Times New Roman" w:eastAsia="宋体" w:cs="Times New Roman"/>
          <w:color w:val="auto"/>
          <w:szCs w:val="24"/>
          <w:highlight w:val="none"/>
          <w:lang w:val="en-US" w:eastAsia="zh-CN"/>
        </w:rPr>
        <w:t>须</w:t>
      </w:r>
      <w:r>
        <w:rPr>
          <w:rFonts w:ascii="Times New Roman" w:hAnsi="Times New Roman" w:eastAsia="宋体" w:cs="Times New Roman"/>
          <w:color w:val="auto"/>
          <w:szCs w:val="24"/>
          <w:highlight w:val="none"/>
          <w:lang w:eastAsia="zh-CN"/>
        </w:rPr>
        <w:t>在</w:t>
      </w:r>
      <w:r>
        <w:rPr>
          <w:rFonts w:hint="eastAsia" w:ascii="Times New Roman" w:hAnsi="Times New Roman" w:eastAsia="宋体" w:cs="Times New Roman"/>
          <w:color w:val="auto"/>
          <w:szCs w:val="24"/>
          <w:highlight w:val="none"/>
          <w:lang w:val="en-US" w:eastAsia="zh-CN"/>
        </w:rPr>
        <w:t>隧</w:t>
      </w:r>
      <w:r>
        <w:rPr>
          <w:rFonts w:ascii="Times New Roman" w:hAnsi="Times New Roman" w:eastAsia="宋体" w:cs="Times New Roman"/>
          <w:color w:val="auto"/>
          <w:szCs w:val="24"/>
          <w:highlight w:val="none"/>
          <w:lang w:eastAsia="zh-CN"/>
        </w:rPr>
        <w:t>洞口设置</w:t>
      </w:r>
      <w:r>
        <w:rPr>
          <w:rFonts w:hint="eastAsia" w:ascii="Times New Roman" w:hAnsi="Times New Roman" w:eastAsia="宋体" w:cs="Times New Roman"/>
          <w:color w:val="auto"/>
          <w:szCs w:val="24"/>
          <w:highlight w:val="none"/>
          <w:lang w:val="en-US" w:eastAsia="zh-CN"/>
        </w:rPr>
        <w:t>车闸（车辆管控系统）、人闸（人脸识别系统）</w:t>
      </w:r>
      <w:r>
        <w:rPr>
          <w:rFonts w:hint="eastAsia" w:ascii="Times New Roman" w:hAnsi="Times New Roman" w:eastAsia="宋体" w:cs="Times New Roman"/>
          <w:color w:val="auto"/>
          <w:szCs w:val="24"/>
          <w:highlight w:val="none"/>
          <w:lang w:eastAsia="zh-CN"/>
        </w:rPr>
        <w:t>、</w:t>
      </w:r>
      <w:r>
        <w:rPr>
          <w:rFonts w:ascii="Times New Roman" w:hAnsi="Times New Roman" w:eastAsia="宋体" w:cs="Times New Roman"/>
          <w:color w:val="auto"/>
          <w:szCs w:val="24"/>
          <w:highlight w:val="none"/>
          <w:lang w:eastAsia="zh-CN"/>
        </w:rPr>
        <w:t>人脸识别 AI 抓拍型网络摄像机准确统计进洞人数、出洞人数、洞内人数，</w:t>
      </w:r>
      <w:r>
        <w:rPr>
          <w:rFonts w:hint="eastAsia" w:ascii="Times New Roman" w:hAnsi="Times New Roman" w:eastAsia="宋体" w:cs="Times New Roman"/>
          <w:color w:val="auto"/>
          <w:szCs w:val="24"/>
          <w:highlight w:val="none"/>
          <w:lang w:val="en-US" w:eastAsia="zh-CN"/>
        </w:rPr>
        <w:t>能</w:t>
      </w:r>
      <w:r>
        <w:rPr>
          <w:rFonts w:ascii="Times New Roman" w:hAnsi="Times New Roman" w:eastAsia="宋体" w:cs="Times New Roman"/>
          <w:color w:val="auto"/>
          <w:szCs w:val="24"/>
          <w:highlight w:val="none"/>
          <w:lang w:eastAsia="zh-CN"/>
        </w:rPr>
        <w:t>准确掌握爆破前人员清场情况；参考设备品牌：海康威视、大华、宇视及同档次品牌，能统计路过的人数，能有效解决施工工人徘徊等行为导致的重复计数。</w:t>
      </w:r>
      <w:r>
        <w:rPr>
          <w:rFonts w:hint="eastAsia" w:ascii="Times New Roman" w:hAnsi="Times New Roman" w:eastAsia="宋体" w:cs="Times New Roman"/>
          <w:color w:val="auto"/>
          <w:szCs w:val="24"/>
          <w:highlight w:val="none"/>
          <w:lang w:eastAsia="zh-CN"/>
        </w:rPr>
        <w:t>（利用AI识别）</w:t>
      </w:r>
    </w:p>
    <w:p w14:paraId="47EAD22D">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（2）承包人</w:t>
      </w:r>
      <w:r>
        <w:rPr>
          <w:rFonts w:hint="eastAsia" w:ascii="Times New Roman" w:hAnsi="Times New Roman" w:eastAsia="宋体" w:cs="Times New Roman"/>
          <w:color w:val="auto"/>
          <w:szCs w:val="24"/>
          <w:highlight w:val="none"/>
          <w:lang w:val="en-US" w:eastAsia="zh-CN"/>
        </w:rPr>
        <w:t>须</w:t>
      </w:r>
      <w:r>
        <w:rPr>
          <w:rFonts w:ascii="Times New Roman" w:hAnsi="Times New Roman" w:eastAsia="宋体" w:cs="Times New Roman"/>
          <w:color w:val="auto"/>
          <w:szCs w:val="24"/>
          <w:highlight w:val="none"/>
          <w:lang w:eastAsia="zh-CN"/>
        </w:rPr>
        <w:t>设置声光报警摄像机对爆炸物存储区区域设置安全距离范围，当人员靠近该区域时，进行语音报警，并通知调度中心；参考设备品牌：海康威视、大华、宇视及同档次品牌， 越界侦测，区域入侵侦测，进入/离开区域侦测，内置麦克风和扬声器。</w:t>
      </w:r>
    </w:p>
    <w:p w14:paraId="5CB05AE4">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（3）承包人</w:t>
      </w:r>
      <w:r>
        <w:rPr>
          <w:rFonts w:hint="eastAsia" w:ascii="Times New Roman" w:hAnsi="Times New Roman" w:eastAsia="宋体" w:cs="Times New Roman"/>
          <w:color w:val="auto"/>
          <w:szCs w:val="24"/>
          <w:highlight w:val="none"/>
          <w:lang w:val="en-US" w:eastAsia="zh-CN"/>
        </w:rPr>
        <w:t>须</w:t>
      </w:r>
      <w:r>
        <w:rPr>
          <w:rFonts w:ascii="Times New Roman" w:hAnsi="Times New Roman" w:eastAsia="宋体" w:cs="Times New Roman"/>
          <w:color w:val="auto"/>
          <w:szCs w:val="24"/>
          <w:highlight w:val="none"/>
          <w:lang w:eastAsia="zh-CN"/>
        </w:rPr>
        <w:t>在主要作业面和危险发生的掌子面设置防爆网络摄像机实时监测工人作业规范，配备</w:t>
      </w:r>
      <w:r>
        <w:rPr>
          <w:rFonts w:hint="eastAsia" w:ascii="Times New Roman" w:hAnsi="Times New Roman" w:eastAsia="宋体" w:cs="Times New Roman"/>
          <w:color w:val="auto"/>
          <w:szCs w:val="24"/>
          <w:highlight w:val="none"/>
          <w:lang w:val="en-US" w:eastAsia="zh-CN"/>
        </w:rPr>
        <w:t>不少于20</w:t>
      </w:r>
      <w:r>
        <w:rPr>
          <w:rFonts w:ascii="Times New Roman" w:hAnsi="Times New Roman" w:eastAsia="宋体" w:cs="Times New Roman"/>
          <w:color w:val="auto"/>
          <w:szCs w:val="24"/>
          <w:highlight w:val="none"/>
          <w:lang w:eastAsia="zh-CN"/>
        </w:rPr>
        <w:t>个智能安全帽</w:t>
      </w:r>
      <w:r>
        <w:rPr>
          <w:rFonts w:hint="eastAsia"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须</w:t>
      </w:r>
      <w:r>
        <w:rPr>
          <w:rFonts w:ascii="Times New Roman" w:hAnsi="Times New Roman" w:eastAsia="宋体" w:cs="Times New Roman"/>
          <w:color w:val="auto"/>
          <w:szCs w:val="24"/>
          <w:highlight w:val="none"/>
          <w:lang w:eastAsia="zh-CN"/>
        </w:rPr>
        <w:t>在隧洞施工面建设</w:t>
      </w:r>
      <w:r>
        <w:rPr>
          <w:rFonts w:hint="eastAsia" w:ascii="Times New Roman" w:hAnsi="Times New Roman" w:eastAsia="宋体" w:cs="Times New Roman"/>
          <w:color w:val="auto"/>
          <w:szCs w:val="24"/>
          <w:highlight w:val="none"/>
          <w:lang w:val="en-US" w:eastAsia="zh-CN"/>
        </w:rPr>
        <w:t>通信系统，包括但不限于</w:t>
      </w:r>
      <w:r>
        <w:rPr>
          <w:rFonts w:ascii="Times New Roman" w:hAnsi="Times New Roman" w:eastAsia="宋体" w:cs="Times New Roman"/>
          <w:color w:val="auto"/>
          <w:szCs w:val="24"/>
          <w:highlight w:val="none"/>
          <w:lang w:eastAsia="zh-CN"/>
        </w:rPr>
        <w:t>通讯基站</w:t>
      </w:r>
      <w:r>
        <w:rPr>
          <w:rFonts w:hint="eastAsia"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无线网桥等方式</w:t>
      </w:r>
      <w:r>
        <w:rPr>
          <w:rFonts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保证</w:t>
      </w:r>
      <w:r>
        <w:rPr>
          <w:rFonts w:ascii="Times New Roman" w:hAnsi="Times New Roman" w:eastAsia="宋体" w:cs="Times New Roman"/>
          <w:color w:val="auto"/>
          <w:szCs w:val="24"/>
          <w:highlight w:val="none"/>
          <w:lang w:eastAsia="zh-CN"/>
        </w:rPr>
        <w:t>隧洞内的人员定位、手机通讯</w:t>
      </w:r>
      <w:r>
        <w:rPr>
          <w:rFonts w:hint="eastAsia"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视频监控、环境监测等数据的实时传输</w:t>
      </w:r>
      <w:r>
        <w:rPr>
          <w:rFonts w:ascii="Times New Roman" w:hAnsi="Times New Roman" w:eastAsia="宋体" w:cs="Times New Roman"/>
          <w:color w:val="auto"/>
          <w:szCs w:val="24"/>
          <w:highlight w:val="none"/>
          <w:lang w:eastAsia="zh-CN"/>
        </w:rPr>
        <w:t>，使得调度中心能时刻掌握掌子面工作实况，对工人是否违章施工做出及时响应；参考设备品牌：海康威视、大华、宇视及同档次品牌，支持环境噪声过滤，支持电动镜头调节角度，可用于具有可燃性气体、蒸气与空气形成的爆炸性混合物场所，及可燃性粉尘与空气混合形成的爆炸危险场所等。</w:t>
      </w:r>
    </w:p>
    <w:p w14:paraId="76C01DAF">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（4）承包人</w:t>
      </w:r>
      <w:r>
        <w:rPr>
          <w:rFonts w:hint="eastAsia" w:ascii="Times New Roman" w:hAnsi="Times New Roman" w:eastAsia="宋体" w:cs="Times New Roman"/>
          <w:color w:val="auto"/>
          <w:szCs w:val="24"/>
          <w:highlight w:val="none"/>
          <w:lang w:val="en-US" w:eastAsia="zh-CN"/>
        </w:rPr>
        <w:t>须</w:t>
      </w:r>
      <w:r>
        <w:rPr>
          <w:rFonts w:ascii="Times New Roman" w:hAnsi="Times New Roman" w:eastAsia="宋体" w:cs="Times New Roman"/>
          <w:color w:val="auto"/>
          <w:szCs w:val="24"/>
          <w:highlight w:val="none"/>
          <w:lang w:eastAsia="zh-CN"/>
        </w:rPr>
        <w:t>配备</w:t>
      </w:r>
      <w:r>
        <w:rPr>
          <w:rFonts w:hint="eastAsia" w:ascii="Times New Roman" w:hAnsi="Times New Roman" w:eastAsia="宋体" w:cs="Times New Roman"/>
          <w:color w:val="auto"/>
          <w:szCs w:val="24"/>
          <w:highlight w:val="none"/>
          <w:lang w:val="en-US" w:eastAsia="zh-CN"/>
        </w:rPr>
        <w:t>不少于5台现场工程记录仪</w:t>
      </w:r>
      <w:r>
        <w:rPr>
          <w:rFonts w:ascii="Times New Roman" w:hAnsi="Times New Roman" w:eastAsia="宋体" w:cs="Times New Roman"/>
          <w:color w:val="auto"/>
          <w:szCs w:val="24"/>
          <w:highlight w:val="none"/>
          <w:lang w:eastAsia="zh-CN"/>
        </w:rPr>
        <w:t>，设备要求具有</w:t>
      </w:r>
      <w:r>
        <w:rPr>
          <w:rFonts w:hint="eastAsia" w:ascii="Times New Roman" w:hAnsi="Times New Roman" w:eastAsia="宋体" w:cs="Times New Roman"/>
          <w:color w:val="auto"/>
          <w:szCs w:val="24"/>
          <w:highlight w:val="none"/>
          <w:lang w:val="en-US" w:eastAsia="zh-CN"/>
        </w:rPr>
        <w:t>视频网络</w:t>
      </w:r>
      <w:r>
        <w:rPr>
          <w:rFonts w:ascii="Times New Roman" w:hAnsi="Times New Roman" w:eastAsia="宋体" w:cs="Times New Roman"/>
          <w:color w:val="auto"/>
          <w:szCs w:val="24"/>
          <w:highlight w:val="none"/>
          <w:lang w:eastAsia="zh-CN"/>
        </w:rPr>
        <w:t>图传、</w:t>
      </w:r>
      <w:r>
        <w:rPr>
          <w:rFonts w:hint="eastAsia" w:ascii="Times New Roman" w:hAnsi="Times New Roman" w:eastAsia="宋体" w:cs="Times New Roman"/>
          <w:color w:val="auto"/>
          <w:szCs w:val="24"/>
          <w:highlight w:val="none"/>
          <w:lang w:val="en-US" w:eastAsia="zh-CN"/>
        </w:rPr>
        <w:t>录音</w:t>
      </w:r>
      <w:r>
        <w:rPr>
          <w:rFonts w:ascii="Times New Roman" w:hAnsi="Times New Roman" w:eastAsia="宋体" w:cs="Times New Roman"/>
          <w:color w:val="auto"/>
          <w:szCs w:val="24"/>
          <w:highlight w:val="none"/>
          <w:lang w:eastAsia="zh-CN"/>
        </w:rPr>
        <w:t>录像存储、拍照上传、 GPS/ 北斗定位、蓝牙语音对讲、连续工作录像 4 小时（电池可拆卸）。</w:t>
      </w:r>
      <w:r>
        <w:rPr>
          <w:rFonts w:hint="eastAsia" w:ascii="Times New Roman" w:hAnsi="Times New Roman" w:eastAsia="宋体" w:cs="Times New Roman"/>
          <w:color w:val="auto"/>
          <w:szCs w:val="24"/>
          <w:highlight w:val="none"/>
          <w:lang w:eastAsia="zh-CN"/>
        </w:rPr>
        <w:t>（采用现场工作记录仪）（标黄的难以实现，隧洞没有4G/5G信号，如需4G/5G信号需布设运营商基站，一套预估五六十万。覆盖半径5KM）</w:t>
      </w:r>
    </w:p>
    <w:p w14:paraId="6735F99D">
      <w:pPr>
        <w:kinsoku/>
        <w:autoSpaceDE w:val="0"/>
        <w:autoSpaceDN w:val="0"/>
        <w:adjustRightInd/>
        <w:spacing w:line="360" w:lineRule="auto"/>
        <w:ind w:firstLine="480" w:firstLineChars="200"/>
        <w:rPr>
          <w:rFonts w:hint="default" w:ascii="Times New Roman" w:hAnsi="Times New Roman" w:eastAsia="宋体" w:cs="Times New Roman"/>
          <w:color w:val="auto"/>
          <w:sz w:val="24"/>
          <w:szCs w:val="24"/>
          <w:highlight w:val="none"/>
          <w:lang w:eastAsia="zh-CN" w:bidi="ar"/>
        </w:rPr>
      </w:pPr>
      <w:r>
        <w:rPr>
          <w:rFonts w:ascii="Times New Roman" w:hAnsi="Times New Roman" w:eastAsia="宋体" w:cs="Times New Roman"/>
          <w:color w:val="auto"/>
          <w:szCs w:val="24"/>
          <w:highlight w:val="none"/>
          <w:lang w:eastAsia="zh-CN"/>
        </w:rPr>
        <w:t>（5）防汛防台响应：承包人</w:t>
      </w:r>
      <w:r>
        <w:rPr>
          <w:rFonts w:hint="eastAsia" w:ascii="Times New Roman" w:hAnsi="Times New Roman" w:eastAsia="宋体" w:cs="Times New Roman"/>
          <w:color w:val="auto"/>
          <w:szCs w:val="24"/>
          <w:highlight w:val="none"/>
          <w:lang w:val="en-US" w:eastAsia="zh-CN"/>
        </w:rPr>
        <w:t>须在工区配置移动式布控球机</w:t>
      </w:r>
      <w:r>
        <w:rPr>
          <w:rFonts w:hint="eastAsia" w:ascii="Times New Roman" w:hAnsi="Times New Roman" w:eastAsia="宋体" w:cs="Times New Roman"/>
          <w:color w:val="auto"/>
          <w:szCs w:val="24"/>
          <w:highlight w:val="none"/>
          <w:lang w:eastAsia="zh-CN"/>
        </w:rPr>
        <w:t>，</w:t>
      </w:r>
      <w:r>
        <w:rPr>
          <w:rFonts w:ascii="Times New Roman" w:hAnsi="Times New Roman" w:eastAsia="宋体" w:cs="Times New Roman"/>
          <w:color w:val="auto"/>
          <w:szCs w:val="24"/>
          <w:highlight w:val="none"/>
          <w:lang w:eastAsia="zh-CN"/>
        </w:rPr>
        <w:t>用于拉闸断电后可继续监控，有利于人员疏散时的清场工作和损失情况掌握。基本参数：支持断网续传功能保证录像不丢失，支持蓄电池供电（满负荷运行 2-3 天），支持太阳能供电，支持 4G/5G （移动、联通、电信）网络传输，兼容 3G/2G （移动、联通、电信）。</w:t>
      </w:r>
      <w:r>
        <w:rPr>
          <w:rFonts w:hint="eastAsia" w:ascii="Times New Roman" w:hAnsi="Times New Roman" w:eastAsia="宋体" w:cs="Times New Roman"/>
          <w:color w:val="auto"/>
          <w:szCs w:val="24"/>
          <w:highlight w:val="none"/>
          <w:lang w:eastAsia="zh-CN"/>
        </w:rPr>
        <w:t>（采用移动式布控球机）</w:t>
      </w:r>
    </w:p>
    <w:p w14:paraId="3F3D39FE">
      <w:pPr>
        <w:kinsoku/>
        <w:autoSpaceDE w:val="0"/>
        <w:autoSpaceDN w:val="0"/>
        <w:adjustRightInd/>
        <w:spacing w:line="360" w:lineRule="auto"/>
        <w:ind w:firstLine="480" w:firstLineChars="200"/>
        <w:rPr>
          <w:rFonts w:hint="default" w:ascii="Times New Roman" w:hAnsi="Times New Roman" w:eastAsia="宋体" w:cs="Times New Roman"/>
          <w:color w:val="auto"/>
          <w:szCs w:val="24"/>
          <w:highlight w:val="none"/>
          <w:lang w:val="en-US" w:eastAsia="zh-CN" w:bidi="ar"/>
        </w:rPr>
      </w:pPr>
      <w:r>
        <w:rPr>
          <w:rFonts w:hint="eastAsia" w:ascii="Times New Roman" w:hAnsi="Times New Roman" w:eastAsia="宋体" w:cs="Times New Roman"/>
          <w:color w:val="auto"/>
          <w:szCs w:val="24"/>
          <w:highlight w:val="none"/>
          <w:lang w:val="en-US" w:eastAsia="zh-CN" w:bidi="ar"/>
        </w:rPr>
        <w:t>（</w:t>
      </w:r>
      <w:r>
        <w:rPr>
          <w:rFonts w:hint="default" w:ascii="Times New Roman" w:hAnsi="Times New Roman" w:eastAsia="宋体" w:cs="Times New Roman"/>
          <w:color w:val="auto"/>
          <w:szCs w:val="24"/>
          <w:highlight w:val="none"/>
          <w:lang w:eastAsia="zh-CN" w:bidi="ar"/>
        </w:rPr>
        <w:t>6</w:t>
      </w:r>
      <w:r>
        <w:rPr>
          <w:rFonts w:hint="eastAsia" w:ascii="Times New Roman" w:hAnsi="Times New Roman" w:eastAsia="宋体" w:cs="Times New Roman"/>
          <w:color w:val="auto"/>
          <w:szCs w:val="24"/>
          <w:highlight w:val="none"/>
          <w:lang w:val="en-US" w:eastAsia="zh-CN" w:bidi="ar"/>
        </w:rPr>
        <w:t>）承包人须在隧洞内配置通风监测系统、光照监测系统、气体监测系统，在工区配置环境监测系统、地磅称重系统、智能拌合系统、混凝土温控系统，监测数据须支持接入第三方平台。</w:t>
      </w:r>
    </w:p>
    <w:p w14:paraId="48E66ABD">
      <w:pPr>
        <w:kinsoku/>
        <w:autoSpaceDE w:val="0"/>
        <w:autoSpaceDN w:val="0"/>
        <w:adjustRightInd/>
        <w:spacing w:line="360" w:lineRule="auto"/>
        <w:ind w:firstLine="480" w:firstLineChars="200"/>
        <w:rPr>
          <w:rFonts w:hint="eastAsia" w:ascii="Times New Roman" w:hAnsi="Times New Roman" w:eastAsia="宋体" w:cs="Times New Roman"/>
          <w:snapToGrid w:val="0"/>
          <w:color w:val="auto"/>
          <w:szCs w:val="24"/>
          <w:highlight w:val="none"/>
          <w:lang w:eastAsia="zh-CN" w:bidi="ar"/>
        </w:rPr>
      </w:pPr>
      <w:r>
        <w:rPr>
          <w:rFonts w:hint="eastAsia" w:ascii="Times New Roman" w:hAnsi="Times New Roman" w:eastAsia="宋体" w:cs="Times New Roman"/>
          <w:color w:val="auto"/>
          <w:szCs w:val="24"/>
          <w:highlight w:val="none"/>
          <w:lang w:val="en-US" w:eastAsia="zh-CN" w:bidi="ar"/>
        </w:rPr>
        <w:t>（</w:t>
      </w:r>
      <w:r>
        <w:rPr>
          <w:rFonts w:hint="default" w:ascii="Times New Roman" w:hAnsi="Times New Roman" w:eastAsia="宋体" w:cs="Times New Roman"/>
          <w:color w:val="auto"/>
          <w:szCs w:val="24"/>
          <w:highlight w:val="none"/>
          <w:lang w:eastAsia="zh-CN" w:bidi="ar"/>
        </w:rPr>
        <w:t>7</w:t>
      </w:r>
      <w:r>
        <w:rPr>
          <w:rFonts w:hint="eastAsia" w:ascii="Times New Roman" w:hAnsi="Times New Roman" w:eastAsia="宋体" w:cs="Times New Roman"/>
          <w:color w:val="auto"/>
          <w:szCs w:val="24"/>
          <w:highlight w:val="none"/>
          <w:lang w:val="en-US" w:eastAsia="zh-CN" w:bidi="ar"/>
        </w:rPr>
        <w:t>）</w:t>
      </w:r>
      <w:r>
        <w:rPr>
          <w:rFonts w:hint="eastAsia" w:ascii="宋体" w:hAnsi="宋体" w:eastAsia="宋体" w:cs="宋体"/>
          <w:snapToGrid/>
          <w:color w:val="auto"/>
          <w:szCs w:val="24"/>
          <w:highlight w:val="none"/>
          <w:lang w:eastAsia="zh-CN"/>
        </w:rPr>
        <w:t>隧洞口</w:t>
      </w:r>
      <w:r>
        <w:rPr>
          <w:rFonts w:hint="eastAsia" w:ascii="宋体" w:hAnsi="宋体" w:eastAsia="宋体" w:cs="宋体"/>
          <w:snapToGrid/>
          <w:color w:val="auto"/>
          <w:szCs w:val="24"/>
          <w:highlight w:val="none"/>
          <w:lang w:val="en-US" w:eastAsia="zh-CN"/>
        </w:rPr>
        <w:t>须配置</w:t>
      </w:r>
      <w:r>
        <w:rPr>
          <w:rFonts w:hint="eastAsia" w:ascii="宋体" w:hAnsi="宋体" w:eastAsia="宋体" w:cs="宋体"/>
          <w:snapToGrid/>
          <w:color w:val="auto"/>
          <w:szCs w:val="24"/>
          <w:highlight w:val="none"/>
          <w:lang w:eastAsia="zh-CN"/>
        </w:rPr>
        <w:t>单色LED显示屏，面积不小于1㎡，支持隧洞气体监测值展示，</w:t>
      </w:r>
      <w:r>
        <w:rPr>
          <w:rFonts w:hint="eastAsia" w:ascii="Times New Roman" w:hAnsi="Times New Roman" w:eastAsia="宋体" w:cs="Times New Roman"/>
          <w:snapToGrid w:val="0"/>
          <w:color w:val="auto"/>
          <w:szCs w:val="24"/>
          <w:highlight w:val="none"/>
          <w:lang w:eastAsia="zh-CN" w:bidi="ar"/>
        </w:rPr>
        <w:t>进场人员、车辆数据展示等。</w:t>
      </w:r>
    </w:p>
    <w:p w14:paraId="4AE1B1E0">
      <w:pPr>
        <w:kinsoku/>
        <w:autoSpaceDE w:val="0"/>
        <w:autoSpaceDN w:val="0"/>
        <w:adjustRightInd/>
        <w:spacing w:line="360" w:lineRule="auto"/>
        <w:ind w:firstLine="480" w:firstLineChars="200"/>
        <w:rPr>
          <w:rFonts w:hint="eastAsia" w:ascii="Times New Roman" w:hAnsi="Times New Roman" w:eastAsia="宋体" w:cs="Times New Roman"/>
          <w:color w:val="auto"/>
          <w:szCs w:val="24"/>
          <w:highlight w:val="none"/>
          <w:lang w:val="en-US" w:eastAsia="zh-CN" w:bidi="ar"/>
        </w:rPr>
      </w:pPr>
      <w:r>
        <w:rPr>
          <w:rFonts w:hint="eastAsia" w:ascii="Times New Roman" w:hAnsi="Times New Roman" w:eastAsia="宋体" w:cs="Times New Roman"/>
          <w:snapToGrid w:val="0"/>
          <w:color w:val="auto"/>
          <w:szCs w:val="24"/>
          <w:highlight w:val="none"/>
          <w:lang w:eastAsia="zh-CN" w:bidi="ar"/>
        </w:rPr>
        <w:t>（</w:t>
      </w:r>
      <w:r>
        <w:rPr>
          <w:rFonts w:hint="default" w:ascii="Times New Roman" w:hAnsi="Times New Roman" w:eastAsia="宋体" w:cs="Times New Roman"/>
          <w:snapToGrid w:val="0"/>
          <w:color w:val="auto"/>
          <w:szCs w:val="24"/>
          <w:highlight w:val="none"/>
          <w:lang w:eastAsia="zh-CN" w:bidi="ar"/>
        </w:rPr>
        <w:t>8</w:t>
      </w:r>
      <w:r>
        <w:rPr>
          <w:rFonts w:hint="eastAsia" w:ascii="Times New Roman" w:hAnsi="Times New Roman" w:eastAsia="宋体" w:cs="Times New Roman"/>
          <w:snapToGrid w:val="0"/>
          <w:color w:val="auto"/>
          <w:szCs w:val="24"/>
          <w:highlight w:val="none"/>
          <w:lang w:eastAsia="zh-CN" w:bidi="ar"/>
        </w:rPr>
        <w:t>）</w:t>
      </w:r>
      <w:r>
        <w:rPr>
          <w:rFonts w:hint="eastAsia" w:ascii="Times New Roman" w:hAnsi="Times New Roman" w:eastAsia="宋体" w:cs="Times New Roman"/>
          <w:snapToGrid w:val="0"/>
          <w:color w:val="auto"/>
          <w:szCs w:val="24"/>
          <w:highlight w:val="none"/>
          <w:lang w:val="en-US" w:eastAsia="zh-CN" w:bidi="ar"/>
        </w:rPr>
        <w:t>承包人须在工区配置预警广播系统，</w:t>
      </w:r>
      <w:r>
        <w:rPr>
          <w:rFonts w:hint="eastAsia" w:ascii="Times New Roman" w:hAnsi="Times New Roman" w:eastAsia="宋体" w:cs="Times New Roman"/>
          <w:color w:val="auto"/>
          <w:szCs w:val="24"/>
          <w:highlight w:val="none"/>
          <w:lang w:eastAsia="zh-CN" w:bidi="ar"/>
        </w:rPr>
        <w:t>支持业务讲话广播、分区寻呼、分区广播、定时播放等</w:t>
      </w:r>
      <w:r>
        <w:rPr>
          <w:rFonts w:hint="eastAsia" w:ascii="Times New Roman" w:hAnsi="Times New Roman" w:eastAsia="宋体" w:cs="Times New Roman"/>
          <w:color w:val="auto"/>
          <w:szCs w:val="24"/>
          <w:highlight w:val="none"/>
          <w:lang w:val="en-US" w:eastAsia="zh-CN" w:bidi="ar"/>
        </w:rPr>
        <w:t>功能，须支持接入第三方平台。</w:t>
      </w:r>
    </w:p>
    <w:p w14:paraId="2715DE52">
      <w:pPr>
        <w:kinsoku/>
        <w:autoSpaceDE w:val="0"/>
        <w:autoSpaceDN w:val="0"/>
        <w:adjustRightInd/>
        <w:spacing w:line="360" w:lineRule="auto"/>
        <w:ind w:firstLine="480" w:firstLineChars="200"/>
        <w:rPr>
          <w:rFonts w:hint="eastAsia" w:ascii="Times New Roman" w:hAnsi="Times New Roman" w:eastAsia="宋体" w:cs="Times New Roman"/>
          <w:color w:val="auto"/>
          <w:szCs w:val="24"/>
          <w:highlight w:val="none"/>
          <w:lang w:eastAsia="zh-CN" w:bidi="ar"/>
        </w:rPr>
      </w:pPr>
      <w:r>
        <w:rPr>
          <w:rFonts w:hint="eastAsia" w:ascii="Times New Roman" w:hAnsi="Times New Roman" w:eastAsia="宋体" w:cs="Times New Roman"/>
          <w:color w:val="auto"/>
          <w:szCs w:val="24"/>
          <w:highlight w:val="none"/>
          <w:lang w:val="en-US" w:eastAsia="zh-CN" w:bidi="ar"/>
        </w:rPr>
        <w:t>（</w:t>
      </w:r>
      <w:r>
        <w:rPr>
          <w:rFonts w:hint="default" w:ascii="Times New Roman" w:hAnsi="Times New Roman" w:eastAsia="宋体" w:cs="Times New Roman"/>
          <w:color w:val="auto"/>
          <w:szCs w:val="24"/>
          <w:highlight w:val="none"/>
          <w:lang w:eastAsia="zh-CN" w:bidi="ar"/>
        </w:rPr>
        <w:t>9</w:t>
      </w:r>
      <w:r>
        <w:rPr>
          <w:rFonts w:hint="eastAsia" w:ascii="Times New Roman" w:hAnsi="Times New Roman" w:eastAsia="宋体" w:cs="Times New Roman"/>
          <w:color w:val="auto"/>
          <w:szCs w:val="24"/>
          <w:highlight w:val="none"/>
          <w:lang w:val="en-US" w:eastAsia="zh-CN" w:bidi="ar"/>
        </w:rPr>
        <w:t>）承包人须配置考勤系统，支持</w:t>
      </w:r>
      <w:r>
        <w:rPr>
          <w:rFonts w:hint="eastAsia" w:ascii="Times New Roman" w:hAnsi="Times New Roman" w:eastAsia="宋体" w:cs="Times New Roman"/>
          <w:color w:val="auto"/>
          <w:szCs w:val="24"/>
          <w:highlight w:val="none"/>
          <w:lang w:eastAsia="zh-CN" w:bidi="ar"/>
        </w:rPr>
        <w:t>人脸识别，</w:t>
      </w:r>
      <w:r>
        <w:rPr>
          <w:rFonts w:hint="eastAsia" w:ascii="Times New Roman" w:hAnsi="Times New Roman" w:eastAsia="宋体" w:cs="Times New Roman"/>
          <w:color w:val="auto"/>
          <w:szCs w:val="24"/>
          <w:highlight w:val="none"/>
          <w:lang w:val="en-US" w:eastAsia="zh-CN" w:bidi="ar"/>
        </w:rPr>
        <w:t>支持接入</w:t>
      </w:r>
      <w:r>
        <w:rPr>
          <w:rFonts w:hint="eastAsia" w:ascii="Times New Roman" w:hAnsi="Times New Roman" w:eastAsia="宋体" w:cs="Times New Roman"/>
          <w:color w:val="auto"/>
          <w:szCs w:val="24"/>
          <w:highlight w:val="none"/>
          <w:lang w:eastAsia="zh-CN" w:bidi="ar"/>
        </w:rPr>
        <w:t>第三方平台。</w:t>
      </w:r>
    </w:p>
    <w:p w14:paraId="7472377D">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lang w:eastAsia="zh-CN"/>
        </w:rPr>
        <w:t>0</w:t>
      </w:r>
      <w:r>
        <w:rPr>
          <w:rFonts w:ascii="Times New Roman" w:hAnsi="Times New Roman" w:eastAsia="宋体" w:cs="Times New Roman"/>
          <w:color w:val="auto"/>
          <w:szCs w:val="24"/>
          <w:highlight w:val="none"/>
          <w:lang w:eastAsia="zh-CN"/>
        </w:rPr>
        <w:t>）在确保“施工现场在线监测系统”的基础上，必须按数字工地远程监控系统要求，接入业主指定现场办公室，形成智慧工地系统。</w:t>
      </w:r>
    </w:p>
    <w:p w14:paraId="657A3433">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lang w:eastAsia="zh-CN"/>
        </w:rPr>
        <w:t>1</w:t>
      </w:r>
      <w:r>
        <w:rPr>
          <w:rFonts w:hint="eastAsia" w:ascii="Times New Roman" w:hAnsi="Times New Roman" w:eastAsia="宋体" w:cs="Times New Roman"/>
          <w:color w:val="auto"/>
          <w:szCs w:val="24"/>
          <w:highlight w:val="none"/>
          <w:lang w:eastAsia="zh-CN"/>
        </w:rPr>
        <w:t>）设备维护，设专人每日查看视频监控等设备在线情况，如出现断电断网等情况，需当天修复，如出现设备损坏，3天内完成修复，违反一次处2000元罚款，在当月进度款中进行处罚（新增）。</w:t>
      </w:r>
    </w:p>
    <w:p w14:paraId="059C56C0">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lang w:eastAsia="zh-CN"/>
        </w:rPr>
        <w:t>2</w:t>
      </w:r>
      <w:r>
        <w:rPr>
          <w:rFonts w:ascii="Times New Roman" w:hAnsi="Times New Roman" w:eastAsia="宋体" w:cs="Times New Roman"/>
          <w:color w:val="auto"/>
          <w:szCs w:val="24"/>
          <w:highlight w:val="none"/>
          <w:lang w:eastAsia="zh-CN"/>
        </w:rPr>
        <w:t>）按发包人要求做好“数字孪生”相关工作。发包人需要使用浙江镜岭水库工程数字孪生系统进行进度管理、质量管理、安全管理、投资管理及智慧工地，并且按照发包单位的要求按时按量在镜岭水库工程数字孪生系统上，进行现场管理、数据上传、数据推送、数据填报</w:t>
      </w:r>
      <w:r>
        <w:rPr>
          <w:rFonts w:hint="eastAsia" w:ascii="Times New Roman" w:hAnsi="Times New Roman" w:eastAsia="宋体" w:cs="Times New Roman"/>
          <w:color w:val="auto"/>
          <w:szCs w:val="24"/>
          <w:highlight w:val="none"/>
          <w:lang w:eastAsia="zh-CN"/>
        </w:rPr>
        <w:t>，且相关工作需具备时效性、真实性、准确性</w:t>
      </w:r>
      <w:r>
        <w:rPr>
          <w:rFonts w:ascii="Times New Roman" w:hAnsi="Times New Roman" w:eastAsia="宋体" w:cs="Times New Roman"/>
          <w:color w:val="auto"/>
          <w:szCs w:val="24"/>
          <w:highlight w:val="none"/>
          <w:lang w:eastAsia="zh-CN"/>
        </w:rPr>
        <w:t>。</w:t>
      </w:r>
    </w:p>
    <w:p w14:paraId="1F8001C7">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w:t>
      </w:r>
      <w:r>
        <w:rPr>
          <w:rFonts w:hint="eastAsia"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lang w:eastAsia="zh-CN"/>
        </w:rPr>
        <w:t>3</w:t>
      </w:r>
      <w:r>
        <w:rPr>
          <w:rFonts w:ascii="Times New Roman" w:hAnsi="Times New Roman" w:eastAsia="宋体" w:cs="Times New Roman"/>
          <w:color w:val="auto"/>
          <w:szCs w:val="24"/>
          <w:highlight w:val="none"/>
          <w:lang w:eastAsia="zh-CN"/>
        </w:rPr>
        <w:t>）为保障信息化工作正常有序运行，承包人应建立信息化工作小组。</w:t>
      </w:r>
      <w:r>
        <w:rPr>
          <w:rFonts w:hint="eastAsia" w:ascii="Times New Roman" w:hAnsi="Times New Roman" w:eastAsia="宋体" w:cs="Times New Roman"/>
          <w:color w:val="auto"/>
          <w:szCs w:val="24"/>
          <w:highlight w:val="none"/>
          <w:lang w:eastAsia="zh-CN"/>
        </w:rPr>
        <w:t>设定2位</w:t>
      </w:r>
      <w:r>
        <w:rPr>
          <w:rFonts w:ascii="Times New Roman" w:hAnsi="Times New Roman" w:eastAsia="宋体" w:cs="Times New Roman"/>
          <w:color w:val="auto"/>
          <w:szCs w:val="24"/>
          <w:highlight w:val="none"/>
          <w:lang w:eastAsia="zh-CN"/>
        </w:rPr>
        <w:t>专人负责进度、质量、安全、投资等数字孪生系统实施工作。</w:t>
      </w:r>
    </w:p>
    <w:p w14:paraId="0C0BB90B">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w:t>
      </w:r>
      <w:r>
        <w:rPr>
          <w:rFonts w:hint="default" w:ascii="Times New Roman" w:hAnsi="Times New Roman" w:eastAsia="宋体" w:cs="Times New Roman"/>
          <w:color w:val="auto"/>
          <w:szCs w:val="24"/>
          <w:highlight w:val="none"/>
          <w:lang w:eastAsia="zh-CN"/>
        </w:rPr>
        <w:t>4</w:t>
      </w:r>
      <w:r>
        <w:rPr>
          <w:rFonts w:ascii="Times New Roman" w:hAnsi="Times New Roman" w:eastAsia="宋体" w:cs="Times New Roman"/>
          <w:color w:val="auto"/>
          <w:szCs w:val="24"/>
          <w:highlight w:val="none"/>
          <w:lang w:eastAsia="zh-CN"/>
        </w:rPr>
        <w:t>）智慧工地现场实时数据需接入发包人提供的浙江镜岭水库工程数字孪生系统，硬件需要接入系统并且数据接口符合浙江镜岭水库工程数字孪生系统管理办法，包括“人、机、料、法、环”各阶段数据，使施工现场管理真正融入整个建设管理流程中。智慧工地应包含基础功能和网络功能，宜根据工地实际情况拓展相关功能。</w:t>
      </w:r>
    </w:p>
    <w:p w14:paraId="477EDB19">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w:t>
      </w:r>
      <w:r>
        <w:rPr>
          <w:rFonts w:hint="default" w:ascii="Times New Roman" w:hAnsi="Times New Roman" w:eastAsia="宋体" w:cs="Times New Roman"/>
          <w:color w:val="auto"/>
          <w:szCs w:val="24"/>
          <w:highlight w:val="none"/>
          <w:lang w:eastAsia="zh-CN"/>
        </w:rPr>
        <w:t>5</w:t>
      </w:r>
      <w:r>
        <w:rPr>
          <w:rFonts w:ascii="Times New Roman" w:hAnsi="Times New Roman" w:eastAsia="宋体" w:cs="Times New Roman"/>
          <w:color w:val="auto"/>
          <w:szCs w:val="24"/>
          <w:highlight w:val="none"/>
          <w:lang w:eastAsia="zh-CN"/>
        </w:rPr>
        <w:t>）网络专线：目前视频流服务器放置在绍兴市大数据机房，承包单位需要承担从大数据机房到工地的网络专线费用，具体网络配置要求如下：</w:t>
      </w:r>
    </w:p>
    <w:p w14:paraId="33FA0092">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网络质量等级要求：网络时延上限应小于400ms，时延抖动上限应小于50ms，丢包率上限应小于0.1%。</w:t>
      </w:r>
    </w:p>
    <w:p w14:paraId="3FD84164">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网络带宽要求：对各输入端要求不低于50M上行带宽且具有固定IP，具体上传图像、路数等讨论明确后确定，考虑网络通讯的稳定性，建议采用稳定性高、口碑良好的网络运营商。</w:t>
      </w:r>
    </w:p>
    <w:p w14:paraId="30954EFD">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w:t>
      </w:r>
      <w:r>
        <w:rPr>
          <w:rFonts w:hint="default" w:ascii="Times New Roman" w:hAnsi="Times New Roman" w:eastAsia="宋体" w:cs="Times New Roman"/>
          <w:color w:val="auto"/>
          <w:szCs w:val="24"/>
          <w:highlight w:val="none"/>
          <w:lang w:eastAsia="zh-CN"/>
        </w:rPr>
        <w:t>6</w:t>
      </w:r>
      <w:r>
        <w:rPr>
          <w:rFonts w:ascii="Times New Roman" w:hAnsi="Times New Roman" w:eastAsia="宋体" w:cs="Times New Roman"/>
          <w:color w:val="auto"/>
          <w:szCs w:val="24"/>
          <w:highlight w:val="none"/>
          <w:lang w:eastAsia="zh-CN"/>
        </w:rPr>
        <w:t>）供电配置要求：智慧工地各组成设备需为独立回路供电，供电线路不得与其他系统设备混用；供电回路需设置防雷保护器且接地良好。</w:t>
      </w:r>
    </w:p>
    <w:p w14:paraId="38653CB8">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w:t>
      </w:r>
      <w:r>
        <w:rPr>
          <w:rFonts w:hint="default" w:ascii="Times New Roman" w:hAnsi="Times New Roman" w:eastAsia="宋体" w:cs="Times New Roman"/>
          <w:color w:val="auto"/>
          <w:szCs w:val="24"/>
          <w:highlight w:val="none"/>
          <w:lang w:eastAsia="zh-CN"/>
        </w:rPr>
        <w:t>7</w:t>
      </w:r>
      <w:r>
        <w:rPr>
          <w:rFonts w:ascii="Times New Roman" w:hAnsi="Times New Roman" w:eastAsia="宋体" w:cs="Times New Roman"/>
          <w:color w:val="auto"/>
          <w:szCs w:val="24"/>
          <w:highlight w:val="none"/>
          <w:lang w:eastAsia="zh-CN"/>
        </w:rPr>
        <w:t>）数据传输要求：智慧工地数据需与发包人提供的信息化管理平台进行数据衔接，利用信息化管理平台接口进行数据推送，并遵循数据接口规范，其中：</w:t>
      </w:r>
    </w:p>
    <w:p w14:paraId="00D6CFD9">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1）视频流数据传输需符合http协议规范；</w:t>
      </w:r>
    </w:p>
    <w:p w14:paraId="0C665BD1">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2）其他智慧工地数据的传输需符合restful协议规范；</w:t>
      </w:r>
    </w:p>
    <w:p w14:paraId="0C5A4789">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3）视频以及其它监测数据，在本地需要配置至少10天的备份功能。</w:t>
      </w:r>
    </w:p>
    <w:p w14:paraId="67071E95">
      <w:pPr>
        <w:kinsoku/>
        <w:autoSpaceDE w:val="0"/>
        <w:autoSpaceDN w:val="0"/>
        <w:adjustRightInd/>
        <w:spacing w:line="360" w:lineRule="auto"/>
        <w:ind w:firstLine="480" w:firstLineChars="200"/>
        <w:rPr>
          <w:rFonts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lang w:eastAsia="zh-CN"/>
        </w:rPr>
        <w:t>（1</w:t>
      </w:r>
      <w:r>
        <w:rPr>
          <w:rFonts w:hint="default" w:ascii="Times New Roman" w:hAnsi="Times New Roman" w:eastAsia="宋体" w:cs="Times New Roman"/>
          <w:color w:val="auto"/>
          <w:szCs w:val="24"/>
          <w:highlight w:val="none"/>
          <w:lang w:eastAsia="zh-CN"/>
        </w:rPr>
        <w:t>8</w:t>
      </w:r>
      <w:r>
        <w:rPr>
          <w:rFonts w:ascii="Times New Roman" w:hAnsi="Times New Roman" w:eastAsia="宋体" w:cs="Times New Roman"/>
          <w:color w:val="auto"/>
          <w:szCs w:val="24"/>
          <w:highlight w:val="none"/>
          <w:lang w:eastAsia="zh-CN"/>
        </w:rPr>
        <w:t>）按照浙江镜岭水库工程数字孪生系统要求进行电子签章的申请，包括企业身份认证、个人身份认证、企业长效证书、个人长效证书、事件型证书等。</w:t>
      </w:r>
      <w:r>
        <w:rPr>
          <w:rFonts w:ascii="Times New Roman" w:hAnsi="Times New Roman" w:eastAsia="宋体" w:cs="Times New Roman"/>
          <w:color w:val="auto"/>
          <w:szCs w:val="24"/>
          <w:highlight w:val="none"/>
          <w:lang w:eastAsia="zh-CN"/>
        </w:rPr>
        <w:br w:type="textWrapping"/>
      </w:r>
      <w:r>
        <w:rPr>
          <w:rFonts w:ascii="Times New Roman" w:hAnsi="Times New Roman" w:eastAsia="宋体" w:cs="Times New Roman"/>
          <w:color w:val="auto"/>
          <w:szCs w:val="24"/>
          <w:highlight w:val="none"/>
          <w:lang w:eastAsia="zh-CN"/>
        </w:rPr>
        <w:t>以上各项费用包含在</w:t>
      </w:r>
      <w:r>
        <w:rPr>
          <w:rFonts w:hint="eastAsia" w:ascii="Times New Roman" w:hAnsi="Times New Roman" w:cs="Times New Roman"/>
          <w:color w:val="auto"/>
          <w:szCs w:val="24"/>
          <w:highlight w:val="none"/>
          <w:lang w:val="en-US" w:eastAsia="zh-CN"/>
        </w:rPr>
        <w:t>数字</w:t>
      </w:r>
      <w:r>
        <w:rPr>
          <w:rFonts w:ascii="Times New Roman" w:hAnsi="Times New Roman" w:eastAsia="宋体" w:cs="Times New Roman"/>
          <w:color w:val="auto"/>
          <w:szCs w:val="24"/>
          <w:highlight w:val="none"/>
          <w:lang w:eastAsia="zh-CN"/>
        </w:rPr>
        <w:t>工地建设费中，按照实际发生进行支付，承包人应事先选定品牌报送监理人及发包人进行审核备案。</w:t>
      </w:r>
    </w:p>
    <w:p w14:paraId="7F7E1F5B">
      <w:pPr>
        <w:widowControl w:val="0"/>
        <w:tabs>
          <w:tab w:val="left" w:pos="420"/>
        </w:tabs>
        <w:autoSpaceDE w:val="0"/>
        <w:autoSpaceDN w:val="0"/>
        <w:snapToGrid/>
        <w:spacing w:line="240" w:lineRule="auto"/>
        <w:ind w:firstLine="0" w:firstLineChars="0"/>
        <w:jc w:val="left"/>
        <w:textAlignment w:val="baseline"/>
        <w:outlineLvl w:val="2"/>
        <w:rPr>
          <w:rFonts w:hint="default" w:ascii="Times New Roman" w:hAnsi="Times New Roman" w:eastAsia="宋体" w:cs="Times New Roman"/>
          <w:b/>
          <w:snapToGrid w:val="0"/>
          <w:color w:val="auto"/>
          <w:sz w:val="32"/>
          <w:szCs w:val="20"/>
          <w:highlight w:val="none"/>
          <w:lang w:val="en-US" w:eastAsia="zh-CN" w:bidi="ar-SA"/>
        </w:rPr>
      </w:pPr>
      <w:r>
        <w:rPr>
          <w:rFonts w:hint="eastAsia" w:ascii="Times New Roman" w:hAnsi="Times New Roman" w:eastAsia="黑体" w:cs="Times New Roman"/>
          <w:b/>
          <w:snapToGrid w:val="0"/>
          <w:color w:val="auto"/>
          <w:sz w:val="28"/>
          <w:szCs w:val="20"/>
          <w:highlight w:val="none"/>
          <w:lang w:val="en-US" w:eastAsia="zh-CN" w:bidi="ar-SA"/>
        </w:rPr>
        <w:t>26.4</w:t>
      </w:r>
      <w:r>
        <w:rPr>
          <w:rFonts w:hint="eastAsia" w:ascii="Times New Roman" w:hAnsi="Times New Roman" w:eastAsia="黑体" w:cs="Times New Roman"/>
          <w:b/>
          <w:snapToGrid w:val="0"/>
          <w:color w:val="auto"/>
          <w:sz w:val="28"/>
          <w:szCs w:val="24"/>
          <w:highlight w:val="none"/>
          <w:lang w:val="en-US" w:eastAsia="zh-CN" w:bidi="ar-SA"/>
        </w:rPr>
        <w:t xml:space="preserve"> 计量与支付</w:t>
      </w:r>
    </w:p>
    <w:p w14:paraId="413C8D39">
      <w:pPr>
        <w:kinsoku/>
        <w:autoSpaceDE w:val="0"/>
        <w:autoSpaceDN w:val="0"/>
        <w:adjustRightInd/>
        <w:spacing w:line="360" w:lineRule="auto"/>
        <w:ind w:firstLine="480" w:firstLineChars="200"/>
        <w:rPr>
          <w:rFonts w:hint="eastAsia" w:ascii="Times New Roman" w:hAnsi="Times New Roman" w:eastAsia="宋体" w:cs="Times New Roman"/>
          <w:color w:val="auto"/>
          <w:szCs w:val="24"/>
          <w:highlight w:val="none"/>
          <w:lang w:eastAsia="zh-CN"/>
        </w:rPr>
      </w:pPr>
    </w:p>
    <w:p w14:paraId="7D64739A">
      <w:pPr>
        <w:kinsoku/>
        <w:autoSpaceDE w:val="0"/>
        <w:autoSpaceDN w:val="0"/>
        <w:adjustRightInd/>
        <w:spacing w:line="360" w:lineRule="auto"/>
        <w:ind w:firstLine="48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eastAsia="zh-CN"/>
        </w:rPr>
        <w:t>承包人根据本章要求数字工地建设工作所需的全部费用，包含在《工程量清单》“</w:t>
      </w:r>
      <w:r>
        <w:rPr>
          <w:rFonts w:hint="eastAsia" w:ascii="Times New Roman" w:hAnsi="Times New Roman" w:cs="Times New Roman"/>
          <w:color w:val="auto"/>
          <w:szCs w:val="24"/>
          <w:highlight w:val="none"/>
          <w:lang w:val="en-US" w:eastAsia="zh-CN"/>
        </w:rPr>
        <w:t>数字</w:t>
      </w:r>
      <w:r>
        <w:rPr>
          <w:rFonts w:hint="eastAsia" w:ascii="Times New Roman" w:hAnsi="Times New Roman" w:eastAsia="宋体" w:cs="Times New Roman"/>
          <w:color w:val="auto"/>
          <w:szCs w:val="24"/>
          <w:highlight w:val="none"/>
          <w:lang w:eastAsia="zh-CN"/>
        </w:rPr>
        <w:t>工地建设费”</w:t>
      </w:r>
      <w:r>
        <w:rPr>
          <w:rFonts w:hint="eastAsia" w:ascii="Times New Roman" w:hAnsi="Times New Roman" w:cs="Times New Roman"/>
          <w:color w:val="auto"/>
          <w:szCs w:val="24"/>
          <w:highlight w:val="none"/>
          <w:lang w:val="en-US" w:eastAsia="zh-CN"/>
        </w:rPr>
        <w:t>相应项目</w:t>
      </w:r>
      <w:r>
        <w:rPr>
          <w:rFonts w:hint="eastAsia" w:ascii="Times New Roman" w:hAnsi="Times New Roman" w:eastAsia="宋体" w:cs="Times New Roman"/>
          <w:color w:val="auto"/>
          <w:szCs w:val="24"/>
          <w:highlight w:val="none"/>
          <w:lang w:eastAsia="zh-CN"/>
        </w:rPr>
        <w:t>中，由发包人按照</w:t>
      </w:r>
      <w:r>
        <w:rPr>
          <w:rFonts w:hint="eastAsia" w:ascii="Times New Roman" w:hAnsi="Times New Roman" w:cs="Times New Roman"/>
          <w:color w:val="auto"/>
          <w:szCs w:val="24"/>
          <w:highlight w:val="none"/>
          <w:lang w:val="en-US" w:eastAsia="zh-CN"/>
        </w:rPr>
        <w:t>相应项目有效工程量单价</w:t>
      </w:r>
      <w:r>
        <w:rPr>
          <w:rFonts w:hint="eastAsia" w:ascii="Times New Roman" w:hAnsi="Times New Roman" w:eastAsia="宋体" w:cs="Times New Roman"/>
          <w:color w:val="auto"/>
          <w:szCs w:val="24"/>
          <w:highlight w:val="none"/>
          <w:lang w:eastAsia="zh-CN"/>
        </w:rPr>
        <w:t>支付。</w:t>
      </w:r>
    </w:p>
    <w:p w14:paraId="2B3E2815">
      <w:pPr>
        <w:ind w:firstLine="420"/>
        <w:jc w:val="left"/>
        <w:rPr>
          <w:rFonts w:hint="eastAsia" w:hAnsi="Times New Roman" w:cs="宋体"/>
          <w:color w:val="auto"/>
          <w:highlight w:val="none"/>
          <w:lang w:eastAsia="zh-CN"/>
        </w:rPr>
      </w:pPr>
    </w:p>
    <w:p w14:paraId="352AA330">
      <w:pPr>
        <w:ind w:firstLine="420"/>
        <w:jc w:val="left"/>
        <w:rPr>
          <w:rFonts w:hint="eastAsia" w:hAnsi="Times New Roman" w:cs="宋体"/>
          <w:color w:val="auto"/>
          <w:highlight w:val="none"/>
          <w:lang w:eastAsia="zh-CN"/>
        </w:rPr>
      </w:pPr>
    </w:p>
    <w:p w14:paraId="1DF98AE5">
      <w:pPr>
        <w:ind w:firstLine="420"/>
        <w:jc w:val="left"/>
        <w:rPr>
          <w:rFonts w:hint="eastAsia" w:hAnsi="Times New Roman" w:cs="宋体"/>
          <w:color w:val="auto"/>
          <w:highlight w:val="none"/>
          <w:lang w:eastAsia="zh-CN"/>
        </w:rPr>
      </w:pPr>
    </w:p>
    <w:p w14:paraId="3E0739FF">
      <w:pPr>
        <w:ind w:firstLine="0"/>
        <w:jc w:val="left"/>
        <w:rPr>
          <w:rFonts w:hint="eastAsia" w:ascii="Times New Roman" w:hAnsi="Times New Roman" w:cs="宋体"/>
          <w:b/>
          <w:bCs/>
          <w:color w:val="auto"/>
          <w:szCs w:val="25"/>
          <w:highlight w:val="none"/>
          <w:lang w:eastAsia="zh-CN"/>
        </w:rPr>
      </w:pPr>
      <w:r>
        <w:rPr>
          <w:rFonts w:hint="eastAsia" w:ascii="Times New Roman" w:hAnsi="Times New Roman" w:cs="宋体"/>
          <w:b/>
          <w:bCs/>
          <w:color w:val="auto"/>
          <w:szCs w:val="25"/>
          <w:highlight w:val="none"/>
          <w:lang w:eastAsia="zh-CN"/>
        </w:rPr>
        <w:br w:type="page"/>
      </w:r>
    </w:p>
    <w:p w14:paraId="12C7D994">
      <w:pPr>
        <w:pStyle w:val="7"/>
        <w:kinsoku/>
        <w:spacing w:beforeLines="0" w:afterLines="0" w:line="245" w:lineRule="auto"/>
        <w:ind w:firstLine="420"/>
        <w:jc w:val="left"/>
        <w:rPr>
          <w:color w:val="auto"/>
          <w:highlight w:val="none"/>
        </w:rPr>
      </w:pPr>
      <w:r>
        <w:rPr>
          <w:rFonts w:hint="eastAsia" w:ascii="Times New Roman" w:hAnsi="Times New Roman" w:cs="宋体"/>
          <w:b/>
          <w:bCs/>
          <w:color w:val="auto"/>
          <w:szCs w:val="25"/>
          <w:highlight w:val="none"/>
          <w:lang w:eastAsia="zh-CN"/>
        </w:rPr>
        <w:t>附表1</w:t>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技术标评审重点内容一览表</w:t>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r>
        <w:rPr>
          <w:rFonts w:hint="eastAsia" w:ascii="Times New Roman" w:hAnsi="Times New Roman" w:cs="宋体"/>
          <w:b/>
          <w:bCs/>
          <w:color w:val="auto"/>
          <w:szCs w:val="25"/>
          <w:highlight w:val="none"/>
          <w:lang w:val="en-US" w:eastAsia="zh-CN"/>
        </w:rPr>
        <w:tab/>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35"/>
        <w:gridCol w:w="6805"/>
        <w:gridCol w:w="1302"/>
      </w:tblGrid>
      <w:tr w14:paraId="613C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16" w:type="pct"/>
            <w:tcBorders>
              <w:tl2br w:val="nil"/>
              <w:tr2bl w:val="nil"/>
            </w:tcBorders>
            <w:vAlign w:val="center"/>
          </w:tcPr>
          <w:p w14:paraId="77E3802C">
            <w:pPr>
              <w:kinsoku/>
              <w:adjustRightInd w:val="0"/>
              <w:snapToGrid w:val="0"/>
              <w:spacing w:line="0" w:lineRule="atLeast"/>
              <w:ind w:firstLine="0" w:firstLineChars="0"/>
              <w:jc w:val="center"/>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序号</w:t>
            </w:r>
          </w:p>
        </w:tc>
        <w:tc>
          <w:tcPr>
            <w:tcW w:w="3847" w:type="pct"/>
            <w:tcBorders>
              <w:tl2br w:val="nil"/>
              <w:tr2bl w:val="nil"/>
            </w:tcBorders>
            <w:vAlign w:val="center"/>
          </w:tcPr>
          <w:p w14:paraId="6930CFF1">
            <w:pPr>
              <w:kinsoku/>
              <w:adjustRightInd w:val="0"/>
              <w:snapToGrid w:val="0"/>
              <w:spacing w:line="0" w:lineRule="atLeast"/>
              <w:ind w:firstLine="0" w:firstLineChars="0"/>
              <w:jc w:val="center"/>
              <w:textAlignment w:val="baseline"/>
              <w:rPr>
                <w:rFonts w:ascii="宋体" w:hAnsi="Times New Roman" w:eastAsia="宋体" w:cs="宋体"/>
                <w:snapToGrid w:val="0"/>
                <w:color w:val="auto"/>
                <w:kern w:val="0"/>
                <w:sz w:val="21"/>
                <w:szCs w:val="21"/>
                <w:highlight w:val="none"/>
                <w:lang w:eastAsia="zh-CN"/>
              </w:rPr>
            </w:pPr>
            <w:r>
              <w:rPr>
                <w:rFonts w:hint="eastAsia" w:hAnsi="Times New Roman" w:cs="宋体"/>
                <w:snapToGrid w:val="0"/>
                <w:color w:val="auto"/>
                <w:kern w:val="0"/>
                <w:sz w:val="21"/>
                <w:szCs w:val="21"/>
                <w:highlight w:val="none"/>
                <w:lang w:val="en-US" w:eastAsia="zh-CN"/>
              </w:rPr>
              <w:t>重点评审内容</w:t>
            </w:r>
          </w:p>
        </w:tc>
        <w:tc>
          <w:tcPr>
            <w:tcW w:w="736" w:type="pct"/>
            <w:tcBorders>
              <w:tl2br w:val="nil"/>
              <w:tr2bl w:val="nil"/>
            </w:tcBorders>
            <w:vAlign w:val="center"/>
          </w:tcPr>
          <w:p w14:paraId="3A185D2B">
            <w:pPr>
              <w:kinsoku/>
              <w:adjustRightInd w:val="0"/>
              <w:snapToGrid w:val="0"/>
              <w:spacing w:line="0" w:lineRule="atLeast"/>
              <w:ind w:firstLine="0" w:firstLineChars="0"/>
              <w:jc w:val="center"/>
              <w:textAlignment w:val="baseline"/>
              <w:rPr>
                <w:rFonts w:hint="default" w:ascii="宋体" w:hAnsi="Times New Roman" w:eastAsia="宋体" w:cs="宋体"/>
                <w:snapToGrid w:val="0"/>
                <w:color w:val="auto"/>
                <w:kern w:val="0"/>
                <w:sz w:val="21"/>
                <w:szCs w:val="21"/>
                <w:highlight w:val="none"/>
                <w:lang w:eastAsia="zh-CN"/>
              </w:rPr>
            </w:pPr>
            <w:r>
              <w:rPr>
                <w:rFonts w:hint="eastAsia" w:hAnsi="Times New Roman" w:cs="宋体"/>
                <w:snapToGrid w:val="0"/>
                <w:color w:val="auto"/>
                <w:kern w:val="0"/>
                <w:sz w:val="21"/>
                <w:szCs w:val="21"/>
                <w:highlight w:val="none"/>
                <w:lang w:val="en-US" w:eastAsia="zh-CN"/>
              </w:rPr>
              <w:t>备注</w:t>
            </w:r>
          </w:p>
        </w:tc>
      </w:tr>
      <w:tr w14:paraId="7AE9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49EA2839">
            <w:pPr>
              <w:kinsoku/>
              <w:adjustRightInd w:val="0"/>
              <w:snapToGrid w:val="0"/>
              <w:spacing w:line="0" w:lineRule="atLeast"/>
              <w:ind w:firstLine="0" w:firstLineChars="0"/>
              <w:jc w:val="center"/>
              <w:textAlignment w:val="baseline"/>
              <w:rPr>
                <w:rFonts w:ascii="宋体" w:hAnsi="Times New Roman" w:eastAsia="宋体" w:cs="宋体"/>
                <w:snapToGrid w:val="0"/>
                <w:color w:val="auto"/>
                <w:kern w:val="0"/>
                <w:sz w:val="21"/>
                <w:szCs w:val="21"/>
                <w:highlight w:val="none"/>
                <w:lang w:eastAsia="zh-CN"/>
              </w:rPr>
            </w:pPr>
            <w:r>
              <w:rPr>
                <w:rFonts w:hint="eastAsia" w:hAnsi="Times New Roman" w:cs="宋体"/>
                <w:snapToGrid w:val="0"/>
                <w:color w:val="auto"/>
                <w:kern w:val="0"/>
                <w:sz w:val="21"/>
                <w:szCs w:val="21"/>
                <w:highlight w:val="none"/>
                <w:lang w:val="en-US" w:eastAsia="zh-CN"/>
              </w:rPr>
              <w:t>1</w:t>
            </w:r>
          </w:p>
        </w:tc>
        <w:tc>
          <w:tcPr>
            <w:tcW w:w="3847" w:type="pct"/>
            <w:tcBorders>
              <w:tl2br w:val="nil"/>
              <w:tr2bl w:val="nil"/>
            </w:tcBorders>
            <w:vAlign w:val="center"/>
          </w:tcPr>
          <w:p w14:paraId="7BCFA0F3">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隧洞开挖采用光面爆破，径向超挖及开挖岩石起伏差不大于15cm，不容许出现欠挖；应根据防护对象的爆破振动控制要求进行开挖，根据振动监测反馈情况调整爆破开挖参数；在穿越大断层、富水带地质构造带等不良地质洞段，除按设计要求进行地质超前预报，做好超前支护及加固灌浆外，还应配合做好施工期安全监测，利用监测成果指导施工。</w:t>
            </w:r>
            <w:r>
              <w:rPr>
                <w:rFonts w:hint="eastAsia" w:hAnsi="Times New Roman" w:cs="宋体"/>
                <w:snapToGrid w:val="0"/>
                <w:color w:val="auto"/>
                <w:kern w:val="0"/>
                <w:sz w:val="21"/>
                <w:szCs w:val="21"/>
                <w:highlight w:val="none"/>
                <w:lang w:val="en-US" w:eastAsia="zh-CN"/>
              </w:rPr>
              <w:t>隧洞管棚支护完成并经监理人同意后，才能进行下一工序施工。</w:t>
            </w:r>
          </w:p>
        </w:tc>
        <w:tc>
          <w:tcPr>
            <w:tcW w:w="736" w:type="pct"/>
            <w:tcBorders>
              <w:tl2br w:val="nil"/>
              <w:tr2bl w:val="nil"/>
            </w:tcBorders>
            <w:vAlign w:val="center"/>
          </w:tcPr>
          <w:p w14:paraId="46EED985">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r w14:paraId="5C50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52A5D2B8">
            <w:pPr>
              <w:kinsoku/>
              <w:adjustRightInd w:val="0"/>
              <w:snapToGrid w:val="0"/>
              <w:spacing w:line="0" w:lineRule="atLeast"/>
              <w:ind w:firstLine="0" w:firstLineChars="0"/>
              <w:jc w:val="center"/>
              <w:textAlignment w:val="baseline"/>
              <w:rPr>
                <w:rFonts w:hint="default" w:ascii="宋体" w:hAnsi="Times New Roman" w:eastAsia="宋体" w:cs="宋体"/>
                <w:snapToGrid w:val="0"/>
                <w:color w:val="auto"/>
                <w:kern w:val="0"/>
                <w:sz w:val="21"/>
                <w:szCs w:val="21"/>
                <w:highlight w:val="none"/>
                <w:lang w:val="en-US" w:eastAsia="zh-CN"/>
              </w:rPr>
            </w:pPr>
            <w:r>
              <w:rPr>
                <w:rFonts w:hint="eastAsia" w:hAnsi="Times New Roman" w:cs="宋体"/>
                <w:snapToGrid w:val="0"/>
                <w:color w:val="auto"/>
                <w:kern w:val="0"/>
                <w:sz w:val="21"/>
                <w:szCs w:val="21"/>
                <w:highlight w:val="none"/>
                <w:lang w:val="en-US" w:eastAsia="zh-CN"/>
              </w:rPr>
              <w:t>2</w:t>
            </w:r>
          </w:p>
        </w:tc>
        <w:tc>
          <w:tcPr>
            <w:tcW w:w="3847" w:type="pct"/>
            <w:tcBorders>
              <w:tl2br w:val="nil"/>
              <w:tr2bl w:val="nil"/>
            </w:tcBorders>
            <w:vAlign w:val="center"/>
          </w:tcPr>
          <w:p w14:paraId="6CD251A5">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主洞段采用有轨运输方案。支洞采用无轨运输，无轨运输要求承包人购买全新设备，汽、</w:t>
            </w:r>
            <w:r>
              <w:rPr>
                <w:rFonts w:hint="eastAsia" w:ascii="宋体" w:hAnsi="Times New Roman" w:eastAsia="宋体" w:cs="宋体"/>
                <w:snapToGrid w:val="0"/>
                <w:color w:val="auto"/>
                <w:kern w:val="0"/>
                <w:sz w:val="21"/>
                <w:szCs w:val="21"/>
                <w:highlight w:val="none"/>
                <w:lang w:val="en-US" w:eastAsia="zh-CN"/>
              </w:rPr>
              <w:t>柴</w:t>
            </w:r>
            <w:r>
              <w:rPr>
                <w:rFonts w:hint="eastAsia" w:ascii="宋体" w:hAnsi="Times New Roman" w:eastAsia="宋体" w:cs="宋体"/>
                <w:snapToGrid w:val="0"/>
                <w:color w:val="auto"/>
                <w:kern w:val="0"/>
                <w:sz w:val="21"/>
                <w:szCs w:val="21"/>
                <w:highlight w:val="none"/>
                <w:lang w:eastAsia="zh-CN"/>
              </w:rPr>
              <w:t>油动力施工机械不准进入主洞内</w:t>
            </w:r>
            <w:r>
              <w:rPr>
                <w:rFonts w:hint="eastAsia" w:hAnsi="Times New Roman" w:cs="宋体"/>
                <w:snapToGrid w:val="0"/>
                <w:color w:val="auto"/>
                <w:kern w:val="0"/>
                <w:sz w:val="21"/>
                <w:szCs w:val="21"/>
                <w:highlight w:val="none"/>
                <w:lang w:eastAsia="zh-CN"/>
              </w:rPr>
              <w:t>。</w:t>
            </w:r>
          </w:p>
        </w:tc>
        <w:tc>
          <w:tcPr>
            <w:tcW w:w="736" w:type="pct"/>
            <w:tcBorders>
              <w:tl2br w:val="nil"/>
              <w:tr2bl w:val="nil"/>
            </w:tcBorders>
            <w:vAlign w:val="center"/>
          </w:tcPr>
          <w:p w14:paraId="60614A79">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r w14:paraId="5206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24150761">
            <w:pPr>
              <w:kinsoku/>
              <w:adjustRightInd w:val="0"/>
              <w:snapToGrid w:val="0"/>
              <w:spacing w:line="0" w:lineRule="atLeast"/>
              <w:ind w:firstLine="0" w:firstLineChars="0"/>
              <w:jc w:val="center"/>
              <w:textAlignment w:val="baseline"/>
              <w:rPr>
                <w:rFonts w:hint="default" w:ascii="宋体" w:hAnsi="Times New Roman" w:eastAsia="宋体" w:cs="宋体"/>
                <w:snapToGrid w:val="0"/>
                <w:color w:val="auto"/>
                <w:kern w:val="0"/>
                <w:sz w:val="21"/>
                <w:szCs w:val="21"/>
                <w:highlight w:val="none"/>
                <w:lang w:val="en-US" w:eastAsia="zh-CN"/>
              </w:rPr>
            </w:pPr>
            <w:r>
              <w:rPr>
                <w:rFonts w:hint="eastAsia" w:hAnsi="Times New Roman" w:cs="宋体"/>
                <w:snapToGrid w:val="0"/>
                <w:color w:val="auto"/>
                <w:kern w:val="0"/>
                <w:sz w:val="21"/>
                <w:szCs w:val="21"/>
                <w:highlight w:val="none"/>
                <w:lang w:val="en-US" w:eastAsia="zh-CN"/>
              </w:rPr>
              <w:t>3</w:t>
            </w:r>
          </w:p>
        </w:tc>
        <w:tc>
          <w:tcPr>
            <w:tcW w:w="3847" w:type="pct"/>
            <w:tcBorders>
              <w:tl2br w:val="nil"/>
              <w:tr2bl w:val="nil"/>
            </w:tcBorders>
            <w:vAlign w:val="center"/>
          </w:tcPr>
          <w:p w14:paraId="72BDFA43">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隧洞排水：洞内应设置足够容量的排水泵及备用泵，洞内应有可靠的供电电源，排水泵应设备用电源。</w:t>
            </w:r>
          </w:p>
        </w:tc>
        <w:tc>
          <w:tcPr>
            <w:tcW w:w="736" w:type="pct"/>
            <w:tcBorders>
              <w:tl2br w:val="nil"/>
              <w:tr2bl w:val="nil"/>
            </w:tcBorders>
            <w:vAlign w:val="center"/>
          </w:tcPr>
          <w:p w14:paraId="3265A922">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r w14:paraId="1511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551070CC">
            <w:pPr>
              <w:kinsoku/>
              <w:adjustRightInd w:val="0"/>
              <w:snapToGrid w:val="0"/>
              <w:spacing w:line="0" w:lineRule="atLeast"/>
              <w:ind w:firstLine="0" w:firstLineChars="0"/>
              <w:jc w:val="center"/>
              <w:textAlignment w:val="baseline"/>
              <w:rPr>
                <w:rFonts w:ascii="宋体" w:hAnsi="Times New Roman" w:eastAsia="宋体" w:cs="宋体"/>
                <w:snapToGrid w:val="0"/>
                <w:color w:val="auto"/>
                <w:kern w:val="0"/>
                <w:sz w:val="21"/>
                <w:szCs w:val="21"/>
                <w:highlight w:val="none"/>
                <w:lang w:eastAsia="zh-CN"/>
              </w:rPr>
            </w:pPr>
            <w:r>
              <w:rPr>
                <w:rFonts w:hint="eastAsia" w:hAnsi="Times New Roman" w:cs="宋体"/>
                <w:snapToGrid w:val="0"/>
                <w:color w:val="auto"/>
                <w:kern w:val="0"/>
                <w:sz w:val="21"/>
                <w:szCs w:val="21"/>
                <w:highlight w:val="none"/>
                <w:lang w:val="en-US" w:eastAsia="zh-CN"/>
              </w:rPr>
              <w:t>4</w:t>
            </w:r>
          </w:p>
        </w:tc>
        <w:tc>
          <w:tcPr>
            <w:tcW w:w="3847" w:type="pct"/>
            <w:tcBorders>
              <w:tl2br w:val="nil"/>
              <w:tr2bl w:val="nil"/>
            </w:tcBorders>
            <w:vAlign w:val="center"/>
          </w:tcPr>
          <w:p w14:paraId="32DC1BF2">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隧洞通风：应加大通风排烟的能力，保证洞内足够的风量和风压，降低洞内油烟浓度，洞内</w:t>
            </w:r>
            <w:r>
              <w:rPr>
                <w:rFonts w:hint="eastAsia" w:ascii="宋体" w:hAnsi="Times New Roman" w:eastAsia="宋体" w:cs="宋体"/>
                <w:snapToGrid w:val="0"/>
                <w:color w:val="auto"/>
                <w:kern w:val="0"/>
                <w:sz w:val="21"/>
                <w:szCs w:val="21"/>
                <w:highlight w:val="none"/>
                <w:lang w:val="en-US" w:eastAsia="zh-CN"/>
              </w:rPr>
              <w:t>应</w:t>
            </w:r>
            <w:r>
              <w:rPr>
                <w:rFonts w:hint="eastAsia" w:ascii="宋体" w:hAnsi="Times New Roman" w:eastAsia="宋体" w:cs="宋体"/>
                <w:snapToGrid w:val="0"/>
                <w:color w:val="auto"/>
                <w:kern w:val="0"/>
                <w:sz w:val="21"/>
                <w:szCs w:val="21"/>
                <w:highlight w:val="none"/>
                <w:lang w:eastAsia="zh-CN"/>
              </w:rPr>
              <w:t>具有不低于0.5m/s的最低风速，使烟尘尽可能排出洞外。</w:t>
            </w:r>
          </w:p>
        </w:tc>
        <w:tc>
          <w:tcPr>
            <w:tcW w:w="736" w:type="pct"/>
            <w:tcBorders>
              <w:tl2br w:val="nil"/>
              <w:tr2bl w:val="nil"/>
            </w:tcBorders>
            <w:vAlign w:val="center"/>
          </w:tcPr>
          <w:p w14:paraId="59F19F08">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r w14:paraId="32AE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69CB7912">
            <w:pPr>
              <w:kinsoku/>
              <w:adjustRightInd w:val="0"/>
              <w:snapToGrid w:val="0"/>
              <w:spacing w:line="0" w:lineRule="atLeast"/>
              <w:ind w:firstLine="0" w:firstLineChars="0"/>
              <w:jc w:val="center"/>
              <w:textAlignment w:val="baseline"/>
              <w:rPr>
                <w:rFonts w:ascii="宋体" w:hAnsi="Times New Roman" w:eastAsia="宋体" w:cs="宋体"/>
                <w:strike w:val="0"/>
                <w:snapToGrid w:val="0"/>
                <w:color w:val="auto"/>
                <w:kern w:val="0"/>
                <w:sz w:val="21"/>
                <w:szCs w:val="21"/>
                <w:highlight w:val="none"/>
                <w:lang w:eastAsia="zh-CN"/>
              </w:rPr>
            </w:pPr>
            <w:r>
              <w:rPr>
                <w:rFonts w:hint="eastAsia" w:hAnsi="Times New Roman" w:cs="宋体"/>
                <w:strike w:val="0"/>
                <w:snapToGrid w:val="0"/>
                <w:color w:val="auto"/>
                <w:kern w:val="0"/>
                <w:sz w:val="21"/>
                <w:szCs w:val="21"/>
                <w:highlight w:val="none"/>
                <w:lang w:val="en-US" w:eastAsia="zh-CN"/>
              </w:rPr>
              <w:t>5</w:t>
            </w:r>
          </w:p>
        </w:tc>
        <w:tc>
          <w:tcPr>
            <w:tcW w:w="3847" w:type="pct"/>
            <w:tcBorders>
              <w:tl2br w:val="nil"/>
              <w:tr2bl w:val="nil"/>
            </w:tcBorders>
            <w:vAlign w:val="center"/>
          </w:tcPr>
          <w:p w14:paraId="1A5E7DCE">
            <w:pPr>
              <w:kinsoku/>
              <w:adjustRightInd w:val="0"/>
              <w:snapToGrid w:val="0"/>
              <w:spacing w:line="0" w:lineRule="atLeast"/>
              <w:ind w:firstLine="420" w:firstLineChars="200"/>
              <w:jc w:val="left"/>
              <w:textAlignment w:val="baseline"/>
              <w:rPr>
                <w:rFonts w:hint="eastAsia" w:ascii="宋体" w:hAnsi="Times New Roman" w:eastAsia="宋体" w:cs="宋体"/>
                <w:strike w:val="0"/>
                <w:snapToGrid w:val="0"/>
                <w:color w:val="auto"/>
                <w:kern w:val="0"/>
                <w:sz w:val="21"/>
                <w:szCs w:val="21"/>
                <w:highlight w:val="none"/>
                <w:lang w:eastAsia="zh-CN"/>
              </w:rPr>
            </w:pPr>
            <w:r>
              <w:rPr>
                <w:rFonts w:hint="eastAsia" w:ascii="宋体" w:hAnsi="Times New Roman" w:eastAsia="宋体" w:cs="宋体"/>
                <w:strike w:val="0"/>
                <w:snapToGrid w:val="0"/>
                <w:color w:val="auto"/>
                <w:kern w:val="0"/>
                <w:sz w:val="21"/>
                <w:szCs w:val="21"/>
                <w:highlight w:val="none"/>
                <w:lang w:eastAsia="zh-CN"/>
              </w:rPr>
              <w:t>洞口施工开挖边坡应采取逐层开挖，逐层防护的施工工序，自上而下逐层开挖高度不大于5m，以保证边坡安全，严禁采用一次开挖到底而后防护的工序。洞口支护型式及位置应根据洞口开挖揭示的地质条件进一步确认后方可实施，必要时进行加强支护，或提前进洞。</w:t>
            </w:r>
          </w:p>
        </w:tc>
        <w:tc>
          <w:tcPr>
            <w:tcW w:w="736" w:type="pct"/>
            <w:tcBorders>
              <w:tl2br w:val="nil"/>
              <w:tr2bl w:val="nil"/>
            </w:tcBorders>
            <w:vAlign w:val="center"/>
          </w:tcPr>
          <w:p w14:paraId="50E600F5">
            <w:pPr>
              <w:kinsoku/>
              <w:adjustRightInd w:val="0"/>
              <w:snapToGrid w:val="0"/>
              <w:spacing w:line="0" w:lineRule="atLeast"/>
              <w:ind w:firstLine="0" w:firstLineChars="0"/>
              <w:jc w:val="left"/>
              <w:textAlignment w:val="baseline"/>
              <w:rPr>
                <w:rFonts w:hint="eastAsia" w:ascii="宋体" w:hAnsi="Times New Roman" w:eastAsia="宋体" w:cs="宋体"/>
                <w:strike w:val="0"/>
                <w:snapToGrid w:val="0"/>
                <w:color w:val="auto"/>
                <w:kern w:val="0"/>
                <w:sz w:val="21"/>
                <w:szCs w:val="21"/>
                <w:highlight w:val="none"/>
                <w:lang w:eastAsia="zh-CN"/>
              </w:rPr>
            </w:pPr>
          </w:p>
        </w:tc>
      </w:tr>
      <w:tr w14:paraId="39ECF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2D60C29C">
            <w:pPr>
              <w:kinsoku/>
              <w:adjustRightInd w:val="0"/>
              <w:snapToGrid w:val="0"/>
              <w:spacing w:line="0" w:lineRule="atLeast"/>
              <w:ind w:firstLine="0" w:firstLineChars="0"/>
              <w:jc w:val="center"/>
              <w:textAlignment w:val="baseline"/>
              <w:rPr>
                <w:rFonts w:hint="default" w:ascii="宋体" w:hAnsi="Times New Roman" w:eastAsia="宋体" w:cs="宋体"/>
                <w:snapToGrid w:val="0"/>
                <w:color w:val="auto"/>
                <w:kern w:val="0"/>
                <w:sz w:val="21"/>
                <w:szCs w:val="21"/>
                <w:highlight w:val="none"/>
                <w:lang w:val="en-US" w:eastAsia="zh-CN"/>
              </w:rPr>
            </w:pPr>
            <w:r>
              <w:rPr>
                <w:rFonts w:hint="eastAsia" w:hAnsi="Times New Roman" w:cs="宋体"/>
                <w:snapToGrid w:val="0"/>
                <w:color w:val="auto"/>
                <w:kern w:val="0"/>
                <w:sz w:val="21"/>
                <w:szCs w:val="21"/>
                <w:highlight w:val="none"/>
                <w:lang w:val="en-US" w:eastAsia="zh-CN"/>
              </w:rPr>
              <w:t>6</w:t>
            </w:r>
          </w:p>
        </w:tc>
        <w:tc>
          <w:tcPr>
            <w:tcW w:w="3847" w:type="pct"/>
            <w:tcBorders>
              <w:tl2br w:val="nil"/>
              <w:tr2bl w:val="nil"/>
            </w:tcBorders>
            <w:vAlign w:val="center"/>
          </w:tcPr>
          <w:p w14:paraId="490F894B">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承包人应按招标要求进行临时堆渣，堆渣时应自下而上分层堆筑，每层厚度不大于1.0m，并采取及时推平等必要的措施，达到相对密实。堆渣四周应设置临时拦挡及排水措施。</w:t>
            </w:r>
          </w:p>
        </w:tc>
        <w:tc>
          <w:tcPr>
            <w:tcW w:w="736" w:type="pct"/>
            <w:tcBorders>
              <w:tl2br w:val="nil"/>
              <w:tr2bl w:val="nil"/>
            </w:tcBorders>
            <w:vAlign w:val="center"/>
          </w:tcPr>
          <w:p w14:paraId="60533CF8">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r w14:paraId="7D587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7CF2169F">
            <w:pPr>
              <w:kinsoku/>
              <w:adjustRightInd w:val="0"/>
              <w:snapToGrid w:val="0"/>
              <w:spacing w:line="0" w:lineRule="atLeast"/>
              <w:ind w:firstLine="0" w:firstLineChars="0"/>
              <w:jc w:val="center"/>
              <w:textAlignment w:val="baseline"/>
              <w:rPr>
                <w:rFonts w:hint="default" w:ascii="宋体" w:hAnsi="Times New Roman" w:eastAsia="宋体" w:cs="宋体"/>
                <w:snapToGrid w:val="0"/>
                <w:color w:val="auto"/>
                <w:kern w:val="0"/>
                <w:sz w:val="21"/>
                <w:szCs w:val="21"/>
                <w:highlight w:val="none"/>
                <w:lang w:val="en-US" w:eastAsia="zh-CN"/>
              </w:rPr>
            </w:pPr>
            <w:r>
              <w:rPr>
                <w:rFonts w:hint="eastAsia" w:hAnsi="Times New Roman" w:cs="宋体"/>
                <w:snapToGrid w:val="0"/>
                <w:color w:val="auto"/>
                <w:kern w:val="0"/>
                <w:sz w:val="21"/>
                <w:szCs w:val="21"/>
                <w:highlight w:val="none"/>
                <w:lang w:val="en-US" w:eastAsia="zh-CN"/>
              </w:rPr>
              <w:t>7</w:t>
            </w:r>
          </w:p>
        </w:tc>
        <w:tc>
          <w:tcPr>
            <w:tcW w:w="3847" w:type="pct"/>
            <w:tcBorders>
              <w:tl2br w:val="nil"/>
              <w:tr2bl w:val="nil"/>
            </w:tcBorders>
            <w:vAlign w:val="center"/>
          </w:tcPr>
          <w:p w14:paraId="4B0735BC">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隧洞施工废水应优先在隧洞外采用施工废水处理系统等方式处理，处理后用于施工生产，处理系统排出的污泥不得随意堆存，应进行脱水处理后，运至监理人指定的弃渣场堆存。</w:t>
            </w:r>
          </w:p>
        </w:tc>
        <w:tc>
          <w:tcPr>
            <w:tcW w:w="736" w:type="pct"/>
            <w:tcBorders>
              <w:tl2br w:val="nil"/>
              <w:tr2bl w:val="nil"/>
            </w:tcBorders>
            <w:vAlign w:val="center"/>
          </w:tcPr>
          <w:p w14:paraId="6CFC259C">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r w14:paraId="0B9A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16" w:type="pct"/>
            <w:tcBorders>
              <w:tl2br w:val="nil"/>
              <w:tr2bl w:val="nil"/>
            </w:tcBorders>
            <w:vAlign w:val="center"/>
          </w:tcPr>
          <w:p w14:paraId="1E536F97">
            <w:pPr>
              <w:kinsoku/>
              <w:adjustRightInd w:val="0"/>
              <w:snapToGrid w:val="0"/>
              <w:spacing w:line="0" w:lineRule="atLeast"/>
              <w:ind w:firstLine="0" w:firstLineChars="0"/>
              <w:jc w:val="center"/>
              <w:textAlignment w:val="baseline"/>
              <w:rPr>
                <w:rFonts w:hint="default" w:ascii="宋体" w:hAnsi="Times New Roman" w:eastAsia="宋体" w:cs="宋体"/>
                <w:snapToGrid w:val="0"/>
                <w:color w:val="auto"/>
                <w:kern w:val="0"/>
                <w:sz w:val="21"/>
                <w:szCs w:val="21"/>
                <w:highlight w:val="none"/>
                <w:lang w:val="en-US" w:eastAsia="zh-CN"/>
              </w:rPr>
            </w:pPr>
            <w:r>
              <w:rPr>
                <w:rFonts w:hint="eastAsia" w:hAnsi="Times New Roman" w:cs="宋体"/>
                <w:snapToGrid w:val="0"/>
                <w:color w:val="auto"/>
                <w:kern w:val="0"/>
                <w:sz w:val="21"/>
                <w:szCs w:val="21"/>
                <w:highlight w:val="none"/>
                <w:lang w:val="en-US" w:eastAsia="zh-CN"/>
              </w:rPr>
              <w:t>8</w:t>
            </w:r>
          </w:p>
        </w:tc>
        <w:tc>
          <w:tcPr>
            <w:tcW w:w="3847" w:type="pct"/>
            <w:tcBorders>
              <w:tl2br w:val="nil"/>
              <w:tr2bl w:val="nil"/>
            </w:tcBorders>
            <w:vAlign w:val="center"/>
          </w:tcPr>
          <w:p w14:paraId="0ED5E9CA">
            <w:pPr>
              <w:kinsoku/>
              <w:adjustRightInd w:val="0"/>
              <w:snapToGrid w:val="0"/>
              <w:spacing w:line="0" w:lineRule="atLeast"/>
              <w:ind w:firstLine="420" w:firstLineChars="200"/>
              <w:jc w:val="left"/>
              <w:textAlignment w:val="baseline"/>
              <w:rPr>
                <w:rFonts w:ascii="宋体" w:hAnsi="Times New Roman" w:eastAsia="宋体" w:cs="宋体"/>
                <w:snapToGrid w:val="0"/>
                <w:color w:val="auto"/>
                <w:kern w:val="0"/>
                <w:sz w:val="21"/>
                <w:szCs w:val="21"/>
                <w:highlight w:val="none"/>
                <w:lang w:eastAsia="zh-CN"/>
              </w:rPr>
            </w:pPr>
            <w:r>
              <w:rPr>
                <w:rFonts w:hint="eastAsia" w:ascii="宋体" w:hAnsi="Times New Roman" w:eastAsia="宋体" w:cs="宋体"/>
                <w:snapToGrid w:val="0"/>
                <w:color w:val="auto"/>
                <w:kern w:val="0"/>
                <w:sz w:val="21"/>
                <w:szCs w:val="21"/>
                <w:highlight w:val="none"/>
                <w:lang w:eastAsia="zh-CN"/>
              </w:rPr>
              <w:t>按照浙江省水利建设工程文明标化工地创建指导手册（2024年）要求，做好现场安全文明施工。</w:t>
            </w:r>
          </w:p>
        </w:tc>
        <w:tc>
          <w:tcPr>
            <w:tcW w:w="736" w:type="pct"/>
            <w:tcBorders>
              <w:tl2br w:val="nil"/>
              <w:tr2bl w:val="nil"/>
            </w:tcBorders>
            <w:vAlign w:val="center"/>
          </w:tcPr>
          <w:p w14:paraId="61D3924A">
            <w:pPr>
              <w:kinsoku/>
              <w:adjustRightInd w:val="0"/>
              <w:snapToGrid w:val="0"/>
              <w:spacing w:line="0" w:lineRule="atLeast"/>
              <w:ind w:firstLine="0" w:firstLineChars="0"/>
              <w:jc w:val="left"/>
              <w:textAlignment w:val="baseline"/>
              <w:rPr>
                <w:rFonts w:hint="eastAsia" w:ascii="宋体" w:hAnsi="Times New Roman" w:eastAsia="宋体" w:cs="宋体"/>
                <w:snapToGrid w:val="0"/>
                <w:color w:val="auto"/>
                <w:kern w:val="0"/>
                <w:sz w:val="21"/>
                <w:szCs w:val="21"/>
                <w:highlight w:val="none"/>
                <w:lang w:eastAsia="zh-CN"/>
              </w:rPr>
            </w:pPr>
          </w:p>
        </w:tc>
      </w:tr>
    </w:tbl>
    <w:p w14:paraId="7D7D8391">
      <w:pPr>
        <w:pStyle w:val="7"/>
        <w:kinsoku/>
        <w:spacing w:beforeLines="0" w:afterLines="0" w:line="245" w:lineRule="auto"/>
        <w:ind w:firstLine="420"/>
        <w:jc w:val="left"/>
        <w:rPr>
          <w:rFonts w:hint="default" w:eastAsia="宋体"/>
          <w:color w:val="auto"/>
          <w:highlight w:val="none"/>
          <w:lang w:val="en-US" w:eastAsia="zh-CN"/>
        </w:rPr>
      </w:pPr>
      <w:r>
        <w:rPr>
          <w:rFonts w:hint="eastAsia"/>
          <w:color w:val="auto"/>
          <w:highlight w:val="none"/>
          <w:lang w:val="en-US" w:eastAsia="zh-CN"/>
        </w:rPr>
        <w:t>备注：投标人须在备注栏内注明上述内容在投标文件中的页码位置。</w:t>
      </w:r>
    </w:p>
    <w:p w14:paraId="15F17122">
      <w:pPr>
        <w:pStyle w:val="7"/>
        <w:kinsoku/>
        <w:spacing w:beforeLines="0" w:afterLines="0" w:line="245" w:lineRule="auto"/>
        <w:ind w:firstLine="420"/>
        <w:jc w:val="left"/>
        <w:rPr>
          <w:color w:val="auto"/>
          <w:highlight w:val="none"/>
        </w:rPr>
      </w:pPr>
    </w:p>
    <w:p w14:paraId="45604134">
      <w:pPr>
        <w:ind w:firstLine="422"/>
        <w:jc w:val="left"/>
        <w:rPr>
          <w:rFonts w:hint="eastAsia" w:ascii="Times New Roman" w:hAnsi="Times New Roman" w:cs="宋体"/>
          <w:b/>
          <w:bCs/>
          <w:color w:val="auto"/>
          <w:szCs w:val="25"/>
          <w:highlight w:val="none"/>
          <w:lang w:eastAsia="zh-CN"/>
        </w:rPr>
      </w:pPr>
    </w:p>
    <w:p w14:paraId="2799F054">
      <w:pPr>
        <w:ind w:firstLine="0"/>
        <w:jc w:val="left"/>
        <w:rPr>
          <w:rFonts w:hint="eastAsia" w:ascii="Times New Roman" w:hAnsi="Times New Roman" w:cs="宋体"/>
          <w:b/>
          <w:bCs/>
          <w:color w:val="auto"/>
          <w:szCs w:val="25"/>
          <w:highlight w:val="none"/>
          <w:lang w:eastAsia="zh-CN"/>
        </w:rPr>
      </w:pPr>
      <w:r>
        <w:rPr>
          <w:rFonts w:hint="eastAsia" w:ascii="Times New Roman" w:hAnsi="Times New Roman" w:cs="宋体"/>
          <w:b/>
          <w:bCs/>
          <w:color w:val="auto"/>
          <w:szCs w:val="25"/>
          <w:highlight w:val="none"/>
          <w:lang w:eastAsia="zh-CN"/>
        </w:rPr>
        <w:br w:type="page"/>
      </w:r>
    </w:p>
    <w:p w14:paraId="3394235E">
      <w:pPr>
        <w:kinsoku/>
        <w:spacing w:line="360" w:lineRule="auto"/>
        <w:rPr>
          <w:color w:val="auto"/>
          <w:highlight w:val="none"/>
          <w:lang w:eastAsia="zh-CN"/>
        </w:rPr>
      </w:pPr>
    </w:p>
    <w:p w14:paraId="5222A6C8">
      <w:pPr>
        <w:kinsoku/>
        <w:spacing w:line="360" w:lineRule="auto"/>
        <w:rPr>
          <w:color w:val="auto"/>
          <w:highlight w:val="none"/>
          <w:lang w:eastAsia="zh-CN"/>
        </w:rPr>
      </w:pPr>
    </w:p>
    <w:p w14:paraId="70F55BA1">
      <w:pPr>
        <w:kinsoku/>
        <w:spacing w:line="360" w:lineRule="auto"/>
        <w:rPr>
          <w:color w:val="auto"/>
          <w:highlight w:val="none"/>
          <w:lang w:eastAsia="zh-CN"/>
        </w:rPr>
      </w:pPr>
    </w:p>
    <w:p w14:paraId="604F3C4F">
      <w:pPr>
        <w:kinsoku/>
        <w:spacing w:line="360" w:lineRule="auto"/>
        <w:rPr>
          <w:color w:val="auto"/>
          <w:highlight w:val="none"/>
          <w:lang w:eastAsia="zh-CN"/>
        </w:rPr>
      </w:pPr>
    </w:p>
    <w:p w14:paraId="73F57EEB">
      <w:pPr>
        <w:kinsoku/>
        <w:spacing w:line="360" w:lineRule="auto"/>
        <w:rPr>
          <w:color w:val="auto"/>
          <w:highlight w:val="none"/>
          <w:lang w:eastAsia="zh-CN"/>
        </w:rPr>
      </w:pPr>
    </w:p>
    <w:p w14:paraId="6D3E8B11">
      <w:pPr>
        <w:kinsoku/>
        <w:spacing w:line="360" w:lineRule="auto"/>
        <w:rPr>
          <w:color w:val="auto"/>
          <w:highlight w:val="none"/>
          <w:lang w:eastAsia="zh-CN"/>
        </w:rPr>
      </w:pPr>
    </w:p>
    <w:p w14:paraId="4BE1171B">
      <w:pPr>
        <w:kinsoku/>
        <w:spacing w:line="360" w:lineRule="auto"/>
        <w:rPr>
          <w:color w:val="auto"/>
          <w:highlight w:val="none"/>
          <w:lang w:eastAsia="zh-CN"/>
        </w:rPr>
      </w:pPr>
    </w:p>
    <w:p w14:paraId="4799BB0B">
      <w:pPr>
        <w:kinsoku/>
        <w:spacing w:line="360" w:lineRule="auto"/>
        <w:rPr>
          <w:color w:val="auto"/>
          <w:highlight w:val="none"/>
          <w:lang w:eastAsia="zh-CN"/>
        </w:rPr>
      </w:pPr>
    </w:p>
    <w:p w14:paraId="761E1EE8">
      <w:pPr>
        <w:keepNext/>
        <w:keepLines/>
        <w:widowControl w:val="0"/>
        <w:kinsoku/>
        <w:adjustRightInd w:val="0"/>
        <w:snapToGrid w:val="0"/>
        <w:spacing w:before="0" w:beforeLines="0" w:afterLines="0" w:line="224" w:lineRule="auto"/>
        <w:ind w:left="0" w:firstLine="0" w:firstLineChars="0"/>
        <w:jc w:val="center"/>
        <w:textAlignment w:val="baseline"/>
        <w:outlineLvl w:val="0"/>
        <w:rPr>
          <w:rFonts w:hint="eastAsia" w:ascii="宋体" w:hAnsi="宋体" w:eastAsia="宋体" w:cs="宋体"/>
          <w:b/>
          <w:bCs/>
          <w:snapToGrid w:val="0"/>
          <w:color w:val="auto"/>
          <w:kern w:val="44"/>
          <w:sz w:val="52"/>
          <w:szCs w:val="52"/>
          <w:highlight w:val="none"/>
          <w:lang w:val="en-US" w:eastAsia="en-US" w:bidi="ar-SA"/>
        </w:rPr>
      </w:pPr>
      <w:bookmarkStart w:id="2341" w:name="_Toc31583"/>
      <w:bookmarkStart w:id="2342" w:name="_Toc19622"/>
      <w:bookmarkStart w:id="2343" w:name="_Toc9228"/>
      <w:bookmarkStart w:id="2344" w:name="_Toc6467"/>
      <w:bookmarkStart w:id="2345" w:name="_Toc24475"/>
      <w:bookmarkStart w:id="2346" w:name="_Toc27593"/>
      <w:bookmarkStart w:id="2347" w:name="_Toc18243"/>
      <w:bookmarkStart w:id="2348" w:name="_Toc21999"/>
      <w:bookmarkStart w:id="2349" w:name="_Toc2893"/>
      <w:bookmarkStart w:id="2350" w:name="_Toc11813"/>
      <w:bookmarkStart w:id="2351" w:name="_Toc2813"/>
      <w:bookmarkStart w:id="2352" w:name="_Toc12971"/>
      <w:bookmarkStart w:id="2353" w:name="_Toc6721"/>
      <w:r>
        <w:rPr>
          <w:rFonts w:hint="eastAsia" w:ascii="宋体" w:hAnsi="宋体" w:eastAsia="宋体" w:cs="宋体"/>
          <w:b/>
          <w:bCs/>
          <w:snapToGrid w:val="0"/>
          <w:color w:val="auto"/>
          <w:spacing w:val="0"/>
          <w:kern w:val="44"/>
          <w:sz w:val="52"/>
          <w:szCs w:val="52"/>
          <w:highlight w:val="none"/>
          <w:lang w:val="en-US" w:eastAsia="en-US" w:bidi="ar-SA"/>
        </w:rPr>
        <w:t xml:space="preserve">第 </w:t>
      </w:r>
      <w:r>
        <w:rPr>
          <w:rFonts w:hint="eastAsia" w:ascii="宋体" w:hAnsi="宋体" w:eastAsia="宋体" w:cs="宋体"/>
          <w:b/>
          <w:bCs/>
          <w:snapToGrid w:val="0"/>
          <w:color w:val="auto"/>
          <w:spacing w:val="0"/>
          <w:kern w:val="44"/>
          <w:sz w:val="52"/>
          <w:szCs w:val="52"/>
          <w:highlight w:val="none"/>
          <w:lang w:val="en-US" w:eastAsia="zh-CN" w:bidi="ar-SA"/>
        </w:rPr>
        <w:t>四</w:t>
      </w:r>
      <w:r>
        <w:rPr>
          <w:rFonts w:hint="eastAsia" w:ascii="宋体" w:hAnsi="宋体" w:eastAsia="宋体" w:cs="宋体"/>
          <w:b/>
          <w:bCs/>
          <w:snapToGrid w:val="0"/>
          <w:color w:val="auto"/>
          <w:spacing w:val="0"/>
          <w:kern w:val="44"/>
          <w:sz w:val="52"/>
          <w:szCs w:val="52"/>
          <w:highlight w:val="none"/>
          <w:lang w:val="en-US" w:eastAsia="en-US" w:bidi="ar-SA"/>
        </w:rPr>
        <w:t xml:space="preserve"> 卷</w:t>
      </w:r>
      <w:bookmarkEnd w:id="2341"/>
      <w:bookmarkEnd w:id="2342"/>
      <w:bookmarkEnd w:id="2343"/>
      <w:bookmarkEnd w:id="2344"/>
      <w:bookmarkEnd w:id="2345"/>
      <w:bookmarkEnd w:id="2346"/>
      <w:bookmarkEnd w:id="2347"/>
      <w:bookmarkEnd w:id="2348"/>
      <w:bookmarkEnd w:id="2349"/>
      <w:bookmarkEnd w:id="2350"/>
      <w:bookmarkEnd w:id="2351"/>
      <w:bookmarkEnd w:id="2352"/>
      <w:bookmarkEnd w:id="2353"/>
    </w:p>
    <w:p w14:paraId="31329CC1">
      <w:pPr>
        <w:widowControl w:val="0"/>
        <w:kinsoku/>
        <w:adjustRightInd w:val="0"/>
        <w:snapToGrid w:val="0"/>
        <w:spacing w:beforeLines="0" w:afterLines="0" w:line="245" w:lineRule="auto"/>
        <w:ind w:firstLine="480" w:firstLineChars="200"/>
        <w:jc w:val="left"/>
        <w:textAlignment w:val="baseline"/>
        <w:rPr>
          <w:rFonts w:ascii="宋体" w:hAnsi="宋体" w:eastAsia="宋体" w:cs="Arial"/>
          <w:snapToGrid w:val="0"/>
          <w:color w:val="auto"/>
          <w:sz w:val="24"/>
          <w:szCs w:val="24"/>
          <w:highlight w:val="none"/>
          <w:lang w:val="en-US" w:eastAsia="en-US" w:bidi="ar-SA"/>
        </w:rPr>
      </w:pPr>
    </w:p>
    <w:p w14:paraId="79A7BECE">
      <w:pPr>
        <w:widowControl w:val="0"/>
        <w:kinsoku/>
        <w:adjustRightInd w:val="0"/>
        <w:snapToGrid w:val="0"/>
        <w:spacing w:beforeLines="0" w:afterLines="0" w:line="245" w:lineRule="auto"/>
        <w:ind w:firstLine="480" w:firstLineChars="200"/>
        <w:jc w:val="left"/>
        <w:textAlignment w:val="baseline"/>
        <w:rPr>
          <w:rFonts w:ascii="宋体" w:hAnsi="宋体" w:eastAsia="宋体" w:cs="Arial"/>
          <w:snapToGrid w:val="0"/>
          <w:color w:val="auto"/>
          <w:sz w:val="24"/>
          <w:szCs w:val="24"/>
          <w:highlight w:val="none"/>
          <w:lang w:val="en-US" w:eastAsia="en-US" w:bidi="ar-SA"/>
        </w:rPr>
      </w:pPr>
    </w:p>
    <w:p w14:paraId="38B10222">
      <w:pPr>
        <w:widowControl w:val="0"/>
        <w:kinsoku/>
        <w:adjustRightInd w:val="0"/>
        <w:snapToGrid w:val="0"/>
        <w:spacing w:beforeLines="0" w:afterLines="0" w:line="245" w:lineRule="auto"/>
        <w:ind w:firstLine="480" w:firstLineChars="200"/>
        <w:jc w:val="left"/>
        <w:textAlignment w:val="baseline"/>
        <w:rPr>
          <w:rFonts w:ascii="宋体" w:hAnsi="宋体" w:eastAsia="宋体" w:cs="Arial"/>
          <w:snapToGrid w:val="0"/>
          <w:color w:val="auto"/>
          <w:sz w:val="24"/>
          <w:szCs w:val="24"/>
          <w:highlight w:val="none"/>
          <w:lang w:val="en-US" w:eastAsia="en-US" w:bidi="ar-SA"/>
        </w:rPr>
      </w:pPr>
    </w:p>
    <w:p w14:paraId="2794D391">
      <w:pPr>
        <w:widowControl w:val="0"/>
        <w:kinsoku/>
        <w:adjustRightInd w:val="0"/>
        <w:snapToGrid w:val="0"/>
        <w:spacing w:beforeLines="0" w:afterLines="0" w:line="245" w:lineRule="auto"/>
        <w:ind w:firstLine="480" w:firstLineChars="200"/>
        <w:jc w:val="left"/>
        <w:textAlignment w:val="baseline"/>
        <w:rPr>
          <w:rFonts w:ascii="宋体" w:hAnsi="宋体" w:eastAsia="宋体" w:cs="Arial"/>
          <w:snapToGrid w:val="0"/>
          <w:color w:val="auto"/>
          <w:sz w:val="24"/>
          <w:szCs w:val="24"/>
          <w:highlight w:val="none"/>
          <w:lang w:val="en-US" w:eastAsia="en-US" w:bidi="ar-SA"/>
        </w:rPr>
      </w:pPr>
    </w:p>
    <w:p w14:paraId="592373C2">
      <w:pPr>
        <w:widowControl w:val="0"/>
        <w:kinsoku/>
        <w:adjustRightInd w:val="0"/>
        <w:snapToGrid w:val="0"/>
        <w:spacing w:beforeLines="0" w:afterLines="0" w:line="245" w:lineRule="auto"/>
        <w:ind w:firstLine="480" w:firstLineChars="200"/>
        <w:jc w:val="left"/>
        <w:textAlignment w:val="baseline"/>
        <w:rPr>
          <w:rFonts w:ascii="宋体" w:hAnsi="宋体" w:eastAsia="宋体" w:cs="Arial"/>
          <w:snapToGrid w:val="0"/>
          <w:color w:val="auto"/>
          <w:sz w:val="24"/>
          <w:szCs w:val="24"/>
          <w:highlight w:val="none"/>
          <w:lang w:val="en-US" w:eastAsia="en-US" w:bidi="ar-SA"/>
        </w:rPr>
      </w:pPr>
    </w:p>
    <w:p w14:paraId="317083F1">
      <w:pPr>
        <w:widowControl w:val="0"/>
        <w:kinsoku/>
        <w:adjustRightInd w:val="0"/>
        <w:snapToGrid w:val="0"/>
        <w:spacing w:beforeLines="0" w:afterLines="0" w:line="245" w:lineRule="auto"/>
        <w:ind w:firstLine="480" w:firstLineChars="200"/>
        <w:jc w:val="left"/>
        <w:textAlignment w:val="baseline"/>
        <w:rPr>
          <w:rFonts w:ascii="宋体" w:hAnsi="宋体" w:eastAsia="宋体" w:cs="Arial"/>
          <w:snapToGrid w:val="0"/>
          <w:color w:val="auto"/>
          <w:sz w:val="24"/>
          <w:szCs w:val="24"/>
          <w:highlight w:val="none"/>
          <w:lang w:val="en-US" w:eastAsia="en-US" w:bidi="ar-SA"/>
        </w:rPr>
      </w:pPr>
    </w:p>
    <w:p w14:paraId="074BEB99">
      <w:pPr>
        <w:kinsoku/>
        <w:spacing w:line="245" w:lineRule="auto"/>
        <w:rPr>
          <w:color w:val="auto"/>
          <w:highlight w:val="none"/>
        </w:rPr>
      </w:pPr>
      <w:r>
        <w:rPr>
          <w:color w:val="auto"/>
          <w:highlight w:val="none"/>
        </w:rPr>
        <w:br w:type="page"/>
      </w:r>
    </w:p>
    <w:p w14:paraId="7342DA85">
      <w:pPr>
        <w:pStyle w:val="2"/>
        <w:kinsoku/>
        <w:spacing w:before="71"/>
        <w:ind w:left="0"/>
        <w:outlineLvl w:val="0"/>
        <w:rPr>
          <w:rFonts w:hint="eastAsia"/>
          <w:color w:val="auto"/>
          <w:highlight w:val="none"/>
          <w:lang w:eastAsia="zh-CN"/>
        </w:rPr>
      </w:pPr>
      <w:bookmarkStart w:id="2354" w:name="_Toc31973"/>
      <w:bookmarkStart w:id="2355" w:name="_Toc6559"/>
      <w:bookmarkStart w:id="2356" w:name="_Toc27682"/>
      <w:bookmarkStart w:id="2357" w:name="_Toc20500"/>
      <w:bookmarkStart w:id="2358" w:name="_Toc4337"/>
      <w:bookmarkStart w:id="2359" w:name="_Toc30617"/>
      <w:bookmarkStart w:id="2360" w:name="_Toc6944"/>
      <w:bookmarkStart w:id="2361" w:name="_Toc19910"/>
      <w:bookmarkStart w:id="2362" w:name="_Toc20427"/>
      <w:bookmarkStart w:id="2363" w:name="_Toc19033"/>
      <w:bookmarkStart w:id="2364" w:name="_Toc9914"/>
      <w:bookmarkStart w:id="2365" w:name="_Toc30267"/>
      <w:bookmarkStart w:id="2366" w:name="_Toc26008"/>
      <w:bookmarkStart w:id="2367" w:name="_Toc18109"/>
      <w:bookmarkStart w:id="2368" w:name="_Toc25243"/>
      <w:bookmarkStart w:id="2369" w:name="_Toc12495"/>
      <w:r>
        <w:rPr>
          <w:rFonts w:hint="eastAsia" w:ascii="宋体" w:cs="Arial"/>
          <w:b/>
          <w:bCs w:val="0"/>
          <w:color w:val="auto"/>
          <w:spacing w:val="0"/>
          <w:sz w:val="36"/>
          <w:szCs w:val="21"/>
          <w:highlight w:val="none"/>
          <w:lang w:eastAsia="zh-CN"/>
        </w:rPr>
        <w:t>第八章  投标文件格式</w:t>
      </w:r>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p>
    <w:p w14:paraId="65F8FF91">
      <w:pPr>
        <w:kinsoku/>
        <w:rPr>
          <w:color w:val="auto"/>
          <w:highlight w:val="none"/>
          <w:lang w:eastAsia="zh-CN"/>
        </w:rPr>
      </w:pPr>
    </w:p>
    <w:p w14:paraId="55AFBF15">
      <w:pPr>
        <w:kinsoku/>
        <w:rPr>
          <w:color w:val="auto"/>
          <w:highlight w:val="none"/>
          <w:lang w:eastAsia="zh-CN"/>
        </w:rPr>
      </w:pPr>
    </w:p>
    <w:p w14:paraId="5FB1D237">
      <w:pPr>
        <w:tabs>
          <w:tab w:val="left" w:pos="3577"/>
        </w:tabs>
        <w:kinsoku/>
        <w:spacing w:before="0" w:beforeLines="0" w:afterLines="0"/>
        <w:ind w:left="0" w:firstLine="420"/>
        <w:jc w:val="center"/>
        <w:rPr>
          <w:rFonts w:cs="宋体"/>
          <w:color w:val="auto"/>
          <w:szCs w:val="24"/>
          <w:highlight w:val="none"/>
          <w:lang w:eastAsia="zh-CN"/>
        </w:rPr>
      </w:pPr>
      <w:r>
        <w:rPr>
          <w:rFonts w:cs="宋体"/>
          <w:color w:val="auto"/>
          <w:szCs w:val="24"/>
          <w:highlight w:val="none"/>
          <w:u w:val="single"/>
          <w:lang w:eastAsia="zh-CN"/>
        </w:rPr>
        <w:t xml:space="preserve">  </w:t>
      </w:r>
      <w:r>
        <w:rPr>
          <w:rFonts w:hint="eastAsia" w:cs="宋体"/>
          <w:color w:val="auto"/>
          <w:szCs w:val="24"/>
          <w:highlight w:val="none"/>
          <w:u w:val="single"/>
          <w:lang w:val="en-US" w:eastAsia="zh-CN"/>
        </w:rPr>
        <w:t xml:space="preserve">               </w:t>
      </w:r>
      <w:r>
        <w:rPr>
          <w:rFonts w:cs="宋体"/>
          <w:color w:val="auto"/>
          <w:szCs w:val="24"/>
          <w:highlight w:val="none"/>
          <w:u w:val="single"/>
          <w:lang w:eastAsia="zh-CN"/>
        </w:rPr>
        <w:t xml:space="preserve">  </w:t>
      </w:r>
      <w:r>
        <w:rPr>
          <w:rFonts w:ascii="宋体" w:cs="宋体"/>
          <w:b w:val="0"/>
          <w:color w:val="auto"/>
          <w:spacing w:val="0"/>
          <w:sz w:val="24"/>
          <w:szCs w:val="24"/>
          <w:highlight w:val="none"/>
          <w:lang w:eastAsia="zh-CN"/>
        </w:rPr>
        <w:t xml:space="preserve">（项目名称） </w:t>
      </w:r>
      <w:r>
        <w:rPr>
          <w:rFonts w:cs="宋体"/>
          <w:color w:val="auto"/>
          <w:szCs w:val="24"/>
          <w:highlight w:val="none"/>
          <w:u w:val="single"/>
          <w:lang w:eastAsia="zh-CN"/>
        </w:rPr>
        <w:t xml:space="preserve">     </w:t>
      </w:r>
      <w:r>
        <w:rPr>
          <w:rFonts w:hint="eastAsia" w:cs="宋体"/>
          <w:color w:val="auto"/>
          <w:szCs w:val="24"/>
          <w:highlight w:val="none"/>
          <w:u w:val="single"/>
          <w:lang w:val="en-US" w:eastAsia="zh-CN"/>
        </w:rPr>
        <w:t xml:space="preserve">          </w:t>
      </w:r>
      <w:r>
        <w:rPr>
          <w:rFonts w:cs="宋体"/>
          <w:color w:val="auto"/>
          <w:szCs w:val="24"/>
          <w:highlight w:val="none"/>
          <w:u w:val="single"/>
          <w:lang w:eastAsia="zh-CN"/>
        </w:rPr>
        <w:t xml:space="preserve">   </w:t>
      </w:r>
      <w:r>
        <w:rPr>
          <w:rFonts w:ascii="宋体" w:cs="宋体"/>
          <w:b w:val="0"/>
          <w:color w:val="auto"/>
          <w:spacing w:val="0"/>
          <w:sz w:val="24"/>
          <w:szCs w:val="24"/>
          <w:highlight w:val="none"/>
          <w:lang w:eastAsia="zh-CN"/>
        </w:rPr>
        <w:t xml:space="preserve"> （标段名称）</w:t>
      </w:r>
    </w:p>
    <w:p w14:paraId="65AD2B0D">
      <w:pPr>
        <w:kinsoku/>
        <w:rPr>
          <w:color w:val="auto"/>
          <w:highlight w:val="none"/>
          <w:lang w:eastAsia="zh-CN"/>
        </w:rPr>
      </w:pPr>
    </w:p>
    <w:p w14:paraId="63ED3EBF">
      <w:pPr>
        <w:kinsoku/>
        <w:rPr>
          <w:color w:val="auto"/>
          <w:highlight w:val="none"/>
          <w:lang w:eastAsia="zh-CN"/>
        </w:rPr>
      </w:pPr>
    </w:p>
    <w:p w14:paraId="5B8732B0">
      <w:pPr>
        <w:kinsoku/>
        <w:rPr>
          <w:color w:val="auto"/>
          <w:highlight w:val="none"/>
          <w:lang w:eastAsia="zh-CN"/>
        </w:rPr>
      </w:pPr>
    </w:p>
    <w:p w14:paraId="6C73A4F5">
      <w:pPr>
        <w:kinsoku/>
        <w:rPr>
          <w:color w:val="auto"/>
          <w:highlight w:val="none"/>
          <w:lang w:eastAsia="zh-CN"/>
        </w:rPr>
      </w:pPr>
    </w:p>
    <w:p w14:paraId="15303AD2">
      <w:pPr>
        <w:pStyle w:val="7"/>
        <w:kinsoku/>
        <w:spacing w:beforeLines="0" w:afterLines="0"/>
        <w:ind w:firstLine="420"/>
        <w:jc w:val="left"/>
        <w:rPr>
          <w:color w:val="auto"/>
          <w:highlight w:val="none"/>
          <w:lang w:eastAsia="zh-CN"/>
        </w:rPr>
      </w:pPr>
    </w:p>
    <w:p w14:paraId="1DF1CF03">
      <w:pPr>
        <w:pStyle w:val="7"/>
        <w:kinsoku/>
        <w:spacing w:beforeLines="0" w:afterLines="0"/>
        <w:ind w:firstLine="420"/>
        <w:jc w:val="left"/>
        <w:rPr>
          <w:color w:val="auto"/>
          <w:highlight w:val="none"/>
          <w:lang w:eastAsia="zh-CN"/>
        </w:rPr>
      </w:pPr>
    </w:p>
    <w:p w14:paraId="544625C7">
      <w:pPr>
        <w:pStyle w:val="7"/>
        <w:kinsoku/>
        <w:spacing w:beforeLines="0" w:afterLines="0"/>
        <w:ind w:firstLine="420"/>
        <w:jc w:val="left"/>
        <w:rPr>
          <w:color w:val="auto"/>
          <w:highlight w:val="none"/>
          <w:lang w:eastAsia="zh-CN"/>
        </w:rPr>
      </w:pPr>
    </w:p>
    <w:p w14:paraId="1B5F87B5">
      <w:pPr>
        <w:kinsoku/>
        <w:spacing w:before="0" w:beforeLines="0" w:afterLines="0" w:line="240" w:lineRule="auto"/>
        <w:ind w:left="0" w:firstLine="0" w:firstLineChars="0"/>
        <w:jc w:val="center"/>
        <w:rPr>
          <w:rFonts w:cs="宋体"/>
          <w:color w:val="auto"/>
          <w:sz w:val="44"/>
          <w:szCs w:val="44"/>
          <w:highlight w:val="none"/>
          <w:lang w:eastAsia="zh-CN"/>
        </w:rPr>
      </w:pPr>
      <w:r>
        <w:rPr>
          <w:rFonts w:ascii="宋体" w:cs="宋体"/>
          <w:b/>
          <w:bCs/>
          <w:color w:val="auto"/>
          <w:spacing w:val="0"/>
          <w:sz w:val="44"/>
          <w:szCs w:val="44"/>
          <w:highlight w:val="none"/>
          <w:lang w:eastAsia="zh-CN"/>
        </w:rPr>
        <w:t>投 标 文 件</w:t>
      </w:r>
    </w:p>
    <w:p w14:paraId="2D567462">
      <w:pPr>
        <w:kinsoku/>
        <w:spacing w:before="0" w:beforeLines="0" w:afterLines="0" w:line="240" w:lineRule="auto"/>
        <w:ind w:left="0" w:firstLine="0" w:firstLineChars="0"/>
        <w:jc w:val="center"/>
        <w:rPr>
          <w:rFonts w:hint="eastAsia" w:cs="宋体"/>
          <w:color w:val="auto"/>
          <w:sz w:val="28"/>
          <w:szCs w:val="28"/>
          <w:highlight w:val="none"/>
          <w:lang w:eastAsia="zh-CN"/>
        </w:rPr>
      </w:pPr>
      <w:r>
        <w:rPr>
          <w:rFonts w:hint="eastAsia" w:ascii="宋体" w:cs="宋体"/>
          <w:b w:val="0"/>
          <w:color w:val="auto"/>
          <w:spacing w:val="0"/>
          <w:sz w:val="28"/>
          <w:szCs w:val="28"/>
          <w:highlight w:val="none"/>
          <w:lang w:eastAsia="zh-CN"/>
        </w:rPr>
        <w:t>（</w:t>
      </w:r>
      <w:r>
        <w:rPr>
          <w:rFonts w:hint="eastAsia" w:ascii="宋体" w:hAnsi="宋体" w:eastAsia="宋体" w:cs="宋体"/>
          <w:b w:val="0"/>
          <w:color w:val="auto"/>
          <w:spacing w:val="0"/>
          <w:sz w:val="28"/>
          <w:szCs w:val="28"/>
          <w:highlight w:val="none"/>
          <w:lang w:eastAsia="zh-CN"/>
        </w:rPr>
        <w:t>技术标/资信标/商务标</w:t>
      </w:r>
      <w:r>
        <w:rPr>
          <w:rFonts w:hint="eastAsia" w:cs="宋体"/>
          <w:b w:val="0"/>
          <w:color w:val="auto"/>
          <w:spacing w:val="0"/>
          <w:sz w:val="28"/>
          <w:szCs w:val="28"/>
          <w:highlight w:val="none"/>
          <w:lang w:val="en-US" w:eastAsia="zh-CN"/>
        </w:rPr>
        <w:t>/资格审查</w:t>
      </w:r>
      <w:r>
        <w:rPr>
          <w:rFonts w:hint="eastAsia" w:ascii="宋体" w:cs="宋体"/>
          <w:b w:val="0"/>
          <w:color w:val="auto"/>
          <w:spacing w:val="0"/>
          <w:sz w:val="28"/>
          <w:szCs w:val="28"/>
          <w:highlight w:val="none"/>
          <w:lang w:eastAsia="zh-CN"/>
        </w:rPr>
        <w:t>）</w:t>
      </w:r>
    </w:p>
    <w:p w14:paraId="533D7506">
      <w:pPr>
        <w:kinsoku/>
        <w:rPr>
          <w:color w:val="auto"/>
          <w:highlight w:val="none"/>
          <w:lang w:eastAsia="zh-CN"/>
        </w:rPr>
      </w:pPr>
    </w:p>
    <w:p w14:paraId="4E0413E1">
      <w:pPr>
        <w:kinsoku/>
        <w:rPr>
          <w:color w:val="auto"/>
          <w:highlight w:val="none"/>
          <w:lang w:eastAsia="zh-CN"/>
        </w:rPr>
      </w:pPr>
    </w:p>
    <w:p w14:paraId="035336C4">
      <w:pPr>
        <w:kinsoku/>
        <w:rPr>
          <w:color w:val="auto"/>
          <w:highlight w:val="none"/>
          <w:lang w:eastAsia="zh-CN"/>
        </w:rPr>
      </w:pPr>
    </w:p>
    <w:p w14:paraId="695FF71B">
      <w:pPr>
        <w:kinsoku/>
        <w:rPr>
          <w:color w:val="auto"/>
          <w:highlight w:val="none"/>
          <w:lang w:eastAsia="zh-CN"/>
        </w:rPr>
      </w:pPr>
    </w:p>
    <w:p w14:paraId="5B075D15">
      <w:pPr>
        <w:kinsoku/>
        <w:rPr>
          <w:color w:val="auto"/>
          <w:highlight w:val="none"/>
          <w:lang w:eastAsia="zh-CN"/>
        </w:rPr>
      </w:pPr>
    </w:p>
    <w:p w14:paraId="490D9BF6">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投标人：</w:t>
      </w:r>
      <w:r>
        <w:rPr>
          <w:rFonts w:ascii="宋体" w:cs="宋体"/>
          <w:b w:val="0"/>
          <w:color w:val="auto"/>
          <w:spacing w:val="0"/>
          <w:sz w:val="24"/>
          <w:szCs w:val="24"/>
          <w:highlight w:val="none"/>
          <w:u w:val="single"/>
          <w:lang w:eastAsia="zh-CN"/>
        </w:rPr>
        <w:t xml:space="preserve">        （盖单位公章）</w:t>
      </w:r>
      <w:r>
        <w:rPr>
          <w:rFonts w:cs="宋体"/>
          <w:color w:val="auto"/>
          <w:szCs w:val="24"/>
          <w:highlight w:val="none"/>
          <w:u w:val="single"/>
          <w:lang w:eastAsia="zh-CN"/>
        </w:rPr>
        <w:t xml:space="preserve">            </w:t>
      </w:r>
    </w:p>
    <w:p w14:paraId="4839DDC6">
      <w:pPr>
        <w:pStyle w:val="7"/>
        <w:kinsoku/>
        <w:spacing w:beforeLines="0" w:afterLines="0"/>
        <w:ind w:firstLine="420"/>
        <w:jc w:val="left"/>
        <w:rPr>
          <w:color w:val="auto"/>
          <w:highlight w:val="none"/>
          <w:lang w:eastAsia="zh-CN"/>
        </w:rPr>
      </w:pPr>
    </w:p>
    <w:p w14:paraId="12B3E0DE">
      <w:pPr>
        <w:pStyle w:val="7"/>
        <w:kinsoku/>
        <w:spacing w:beforeLines="0" w:afterLines="0"/>
        <w:ind w:firstLine="420"/>
        <w:jc w:val="left"/>
        <w:rPr>
          <w:color w:val="auto"/>
          <w:highlight w:val="none"/>
          <w:lang w:eastAsia="zh-CN"/>
        </w:rPr>
      </w:pPr>
    </w:p>
    <w:p w14:paraId="1405539B">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 xml:space="preserve">法定代表人或委托代理人： </w:t>
      </w:r>
      <w:r>
        <w:rPr>
          <w:rFonts w:ascii="宋体" w:cs="宋体"/>
          <w:b w:val="0"/>
          <w:color w:val="auto"/>
          <w:spacing w:val="0"/>
          <w:sz w:val="24"/>
          <w:szCs w:val="24"/>
          <w:highlight w:val="none"/>
          <w:u w:val="single"/>
          <w:lang w:eastAsia="zh-CN"/>
        </w:rPr>
        <w:t xml:space="preserve">     （签字或盖章）</w:t>
      </w:r>
      <w:r>
        <w:rPr>
          <w:rFonts w:cs="宋体"/>
          <w:color w:val="auto"/>
          <w:szCs w:val="24"/>
          <w:highlight w:val="none"/>
          <w:u w:val="single"/>
          <w:lang w:eastAsia="zh-CN"/>
        </w:rPr>
        <w:t xml:space="preserve">      </w:t>
      </w:r>
    </w:p>
    <w:p w14:paraId="28F1B92D">
      <w:pPr>
        <w:tabs>
          <w:tab w:val="left" w:pos="4215"/>
        </w:tabs>
        <w:kinsoku/>
        <w:spacing w:beforeLines="0" w:afterLines="0" w:line="219" w:lineRule="auto"/>
        <w:ind w:left="0" w:firstLine="420"/>
        <w:jc w:val="left"/>
        <w:rPr>
          <w:rFonts w:cs="宋体"/>
          <w:color w:val="auto"/>
          <w:szCs w:val="24"/>
          <w:highlight w:val="none"/>
          <w:lang w:eastAsia="zh-CN"/>
        </w:rPr>
      </w:pPr>
      <w:r>
        <w:rPr>
          <w:rFonts w:cs="宋体"/>
          <w:color w:val="auto"/>
          <w:szCs w:val="24"/>
          <w:highlight w:val="none"/>
          <w:u w:val="single"/>
          <w:lang w:eastAsia="zh-CN"/>
        </w:rPr>
        <w:t xml:space="preserve">  </w:t>
      </w:r>
      <w:r>
        <w:rPr>
          <w:rFonts w:hint="eastAsia" w:cs="宋体"/>
          <w:color w:val="auto"/>
          <w:szCs w:val="24"/>
          <w:highlight w:val="none"/>
          <w:u w:val="single"/>
          <w:lang w:val="en-US" w:eastAsia="zh-CN"/>
        </w:rPr>
        <w:t xml:space="preserve">  </w:t>
      </w:r>
      <w:r>
        <w:rPr>
          <w:rFonts w:cs="宋体"/>
          <w:color w:val="auto"/>
          <w:szCs w:val="24"/>
          <w:highlight w:val="none"/>
          <w:u w:val="single"/>
          <w:lang w:eastAsia="zh-CN"/>
        </w:rPr>
        <w:t xml:space="preserve">  </w:t>
      </w:r>
      <w:r>
        <w:rPr>
          <w:rFonts w:ascii="宋体" w:cs="宋体"/>
          <w:b w:val="0"/>
          <w:color w:val="auto"/>
          <w:spacing w:val="0"/>
          <w:sz w:val="24"/>
          <w:szCs w:val="24"/>
          <w:highlight w:val="none"/>
          <w:lang w:eastAsia="zh-CN"/>
        </w:rPr>
        <w:t xml:space="preserve"> 年 </w:t>
      </w:r>
      <w:r>
        <w:rPr>
          <w:rFonts w:cs="宋体"/>
          <w:color w:val="auto"/>
          <w:szCs w:val="24"/>
          <w:highlight w:val="none"/>
          <w:u w:val="single"/>
          <w:lang w:eastAsia="zh-CN"/>
        </w:rPr>
        <w:t xml:space="preserve">   </w:t>
      </w:r>
      <w:r>
        <w:rPr>
          <w:rFonts w:hint="eastAsia" w:cs="宋体"/>
          <w:color w:val="auto"/>
          <w:szCs w:val="24"/>
          <w:highlight w:val="none"/>
          <w:u w:val="single"/>
          <w:lang w:val="en-US" w:eastAsia="zh-CN"/>
        </w:rPr>
        <w:t xml:space="preserve"> </w:t>
      </w:r>
      <w:r>
        <w:rPr>
          <w:rFonts w:cs="宋体"/>
          <w:color w:val="auto"/>
          <w:szCs w:val="24"/>
          <w:highlight w:val="none"/>
          <w:u w:val="single"/>
          <w:lang w:eastAsia="zh-CN"/>
        </w:rPr>
        <w:t xml:space="preserve"> </w:t>
      </w:r>
      <w:r>
        <w:rPr>
          <w:rFonts w:ascii="宋体" w:cs="宋体"/>
          <w:b w:val="0"/>
          <w:color w:val="auto"/>
          <w:spacing w:val="0"/>
          <w:sz w:val="24"/>
          <w:szCs w:val="24"/>
          <w:highlight w:val="none"/>
          <w:lang w:eastAsia="zh-CN"/>
        </w:rPr>
        <w:t xml:space="preserve"> 月 </w:t>
      </w:r>
      <w:r>
        <w:rPr>
          <w:rFonts w:cs="宋体"/>
          <w:color w:val="auto"/>
          <w:szCs w:val="24"/>
          <w:highlight w:val="none"/>
          <w:u w:val="single"/>
          <w:lang w:eastAsia="zh-CN"/>
        </w:rPr>
        <w:t xml:space="preserve">    </w:t>
      </w:r>
      <w:r>
        <w:rPr>
          <w:rFonts w:ascii="宋体" w:cs="宋体"/>
          <w:b w:val="0"/>
          <w:color w:val="auto"/>
          <w:spacing w:val="0"/>
          <w:sz w:val="24"/>
          <w:szCs w:val="24"/>
          <w:highlight w:val="none"/>
          <w:lang w:eastAsia="zh-CN"/>
        </w:rPr>
        <w:t xml:space="preserve"> 日</w:t>
      </w:r>
    </w:p>
    <w:p w14:paraId="493BA233">
      <w:pPr>
        <w:pStyle w:val="7"/>
        <w:kinsoku/>
        <w:spacing w:beforeLines="0" w:afterLines="0"/>
        <w:ind w:firstLine="420"/>
        <w:jc w:val="left"/>
        <w:rPr>
          <w:color w:val="auto"/>
          <w:highlight w:val="none"/>
          <w:lang w:eastAsia="zh-CN"/>
        </w:rPr>
      </w:pPr>
    </w:p>
    <w:p w14:paraId="5689025C">
      <w:pPr>
        <w:pStyle w:val="7"/>
        <w:kinsoku/>
        <w:spacing w:beforeLines="0" w:afterLines="0"/>
        <w:ind w:firstLine="420"/>
        <w:jc w:val="left"/>
        <w:rPr>
          <w:color w:val="auto"/>
          <w:highlight w:val="none"/>
          <w:lang w:eastAsia="zh-CN"/>
        </w:rPr>
      </w:pPr>
    </w:p>
    <w:p w14:paraId="53053FE3">
      <w:pPr>
        <w:kinsoku/>
        <w:spacing w:before="0" w:beforeLines="0" w:afterLines="0"/>
        <w:ind w:firstLine="500"/>
        <w:jc w:val="left"/>
        <w:rPr>
          <w:rFonts w:cs="宋体"/>
          <w:color w:val="auto"/>
          <w:sz w:val="25"/>
          <w:szCs w:val="25"/>
          <w:highlight w:val="none"/>
          <w:lang w:eastAsia="zh-CN"/>
        </w:rPr>
      </w:pPr>
      <w:r>
        <w:rPr>
          <w:rFonts w:ascii="宋体" w:cs="宋体"/>
          <w:b w:val="0"/>
          <w:color w:val="auto"/>
          <w:spacing w:val="0"/>
          <w:sz w:val="25"/>
          <w:szCs w:val="25"/>
          <w:highlight w:val="none"/>
          <w:lang w:eastAsia="zh-CN"/>
        </w:rPr>
        <w:t>注：本页同时适用于封面或扉页。</w:t>
      </w:r>
    </w:p>
    <w:p w14:paraId="23D1B183">
      <w:pPr>
        <w:kinsoku/>
        <w:adjustRightInd/>
        <w:snapToGrid/>
        <w:spacing w:beforeLines="0" w:afterLines="0" w:line="240" w:lineRule="auto"/>
        <w:ind w:firstLine="500"/>
        <w:jc w:val="left"/>
        <w:textAlignment w:val="auto"/>
        <w:rPr>
          <w:rFonts w:cs="宋体"/>
          <w:color w:val="auto"/>
          <w:sz w:val="25"/>
          <w:szCs w:val="25"/>
          <w:highlight w:val="none"/>
          <w:lang w:eastAsia="zh-CN"/>
        </w:rPr>
      </w:pPr>
      <w:r>
        <w:rPr>
          <w:rFonts w:cs="宋体"/>
          <w:color w:val="auto"/>
          <w:sz w:val="25"/>
          <w:szCs w:val="25"/>
          <w:highlight w:val="none"/>
          <w:lang w:eastAsia="zh-CN"/>
        </w:rPr>
        <w:br w:type="page"/>
      </w:r>
    </w:p>
    <w:p w14:paraId="0ABD9BCC">
      <w:pPr>
        <w:pStyle w:val="4"/>
        <w:kinsoku/>
        <w:spacing w:before="0" w:beforeLines="0" w:afterLines="0"/>
        <w:ind w:left="0"/>
        <w:jc w:val="center"/>
        <w:rPr>
          <w:rFonts w:hint="eastAsia" w:cs="宋体"/>
          <w:bCs/>
          <w:color w:val="auto"/>
          <w:szCs w:val="24"/>
          <w:highlight w:val="none"/>
        </w:rPr>
      </w:pPr>
      <w:bookmarkStart w:id="2370" w:name="_Toc2452"/>
      <w:bookmarkStart w:id="2371" w:name="_Toc12743"/>
      <w:bookmarkStart w:id="2372" w:name="_Toc19451"/>
      <w:r>
        <w:rPr>
          <w:rFonts w:hint="eastAsia" w:ascii="宋体" w:cs="宋体"/>
          <w:b/>
          <w:bCs/>
          <w:color w:val="auto"/>
          <w:spacing w:val="0"/>
          <w:sz w:val="24"/>
          <w:szCs w:val="24"/>
          <w:highlight w:val="none"/>
          <w:lang w:eastAsia="en-US"/>
        </w:rPr>
        <w:t>评审因素索引表</w:t>
      </w:r>
      <w:bookmarkEnd w:id="2370"/>
      <w:bookmarkEnd w:id="2371"/>
      <w:bookmarkEnd w:id="2372"/>
    </w:p>
    <w:p w14:paraId="374ECADF">
      <w:pPr>
        <w:kinsoku/>
        <w:spacing w:before="0" w:beforeLines="0" w:afterLines="0"/>
        <w:ind w:firstLine="420"/>
        <w:jc w:val="left"/>
        <w:rPr>
          <w:color w:val="auto"/>
          <w:highlight w:val="none"/>
        </w:rPr>
      </w:pPr>
    </w:p>
    <w:tbl>
      <w:tblPr>
        <w:tblStyle w:val="2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34"/>
        <w:gridCol w:w="5410"/>
        <w:gridCol w:w="2663"/>
      </w:tblGrid>
      <w:tr w14:paraId="3CCD2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68BAEBD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5410" w:type="dxa"/>
            <w:tcBorders>
              <w:tl2br w:val="nil"/>
              <w:tr2bl w:val="nil"/>
            </w:tcBorders>
            <w:vAlign w:val="center"/>
          </w:tcPr>
          <w:p w14:paraId="256C3D6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评审因素</w:t>
            </w:r>
          </w:p>
        </w:tc>
        <w:tc>
          <w:tcPr>
            <w:tcW w:w="2663" w:type="dxa"/>
            <w:tcBorders>
              <w:tl2br w:val="nil"/>
              <w:tr2bl w:val="nil"/>
            </w:tcBorders>
            <w:vAlign w:val="center"/>
          </w:tcPr>
          <w:p w14:paraId="2B462B7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投标文件页码范围</w:t>
            </w:r>
          </w:p>
        </w:tc>
      </w:tr>
      <w:tr w14:paraId="5EFE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470811B2">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76D130F9">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2BFA5EF9">
            <w:pPr>
              <w:kinsoku/>
              <w:spacing w:beforeLines="0" w:afterLines="0" w:line="0" w:lineRule="atLeast"/>
              <w:ind w:firstLine="0" w:firstLineChars="0"/>
              <w:jc w:val="center"/>
              <w:rPr>
                <w:color w:val="auto"/>
                <w:sz w:val="21"/>
                <w:highlight w:val="none"/>
              </w:rPr>
            </w:pPr>
          </w:p>
        </w:tc>
      </w:tr>
      <w:tr w14:paraId="3931A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24D7AE57">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607DBBAA">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245698EC">
            <w:pPr>
              <w:kinsoku/>
              <w:spacing w:beforeLines="0" w:afterLines="0" w:line="0" w:lineRule="atLeast"/>
              <w:ind w:firstLine="0" w:firstLineChars="0"/>
              <w:jc w:val="center"/>
              <w:rPr>
                <w:color w:val="auto"/>
                <w:sz w:val="21"/>
                <w:highlight w:val="none"/>
              </w:rPr>
            </w:pPr>
          </w:p>
        </w:tc>
      </w:tr>
      <w:tr w14:paraId="7DF9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72786BDA">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18CF2486">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6C72025E">
            <w:pPr>
              <w:kinsoku/>
              <w:spacing w:beforeLines="0" w:afterLines="0" w:line="0" w:lineRule="atLeast"/>
              <w:ind w:firstLine="0" w:firstLineChars="0"/>
              <w:jc w:val="center"/>
              <w:rPr>
                <w:color w:val="auto"/>
                <w:sz w:val="21"/>
                <w:highlight w:val="none"/>
              </w:rPr>
            </w:pPr>
          </w:p>
        </w:tc>
      </w:tr>
      <w:tr w14:paraId="2041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13CB06F8">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1A79FC76">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2FC23116">
            <w:pPr>
              <w:kinsoku/>
              <w:spacing w:beforeLines="0" w:afterLines="0" w:line="0" w:lineRule="atLeast"/>
              <w:ind w:firstLine="0" w:firstLineChars="0"/>
              <w:jc w:val="center"/>
              <w:rPr>
                <w:color w:val="auto"/>
                <w:sz w:val="21"/>
                <w:highlight w:val="none"/>
              </w:rPr>
            </w:pPr>
          </w:p>
        </w:tc>
      </w:tr>
      <w:tr w14:paraId="17FA8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1D1D3E39">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1BA39D27">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5D16D253">
            <w:pPr>
              <w:kinsoku/>
              <w:spacing w:beforeLines="0" w:afterLines="0" w:line="0" w:lineRule="atLeast"/>
              <w:ind w:firstLine="0" w:firstLineChars="0"/>
              <w:jc w:val="center"/>
              <w:rPr>
                <w:color w:val="auto"/>
                <w:sz w:val="21"/>
                <w:highlight w:val="none"/>
              </w:rPr>
            </w:pPr>
          </w:p>
        </w:tc>
      </w:tr>
      <w:tr w14:paraId="0011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6B3C1FE5">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48E8CB7E">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06B95E08">
            <w:pPr>
              <w:kinsoku/>
              <w:spacing w:beforeLines="0" w:afterLines="0" w:line="0" w:lineRule="atLeast"/>
              <w:ind w:firstLine="0" w:firstLineChars="0"/>
              <w:jc w:val="center"/>
              <w:rPr>
                <w:color w:val="auto"/>
                <w:sz w:val="21"/>
                <w:highlight w:val="none"/>
              </w:rPr>
            </w:pPr>
          </w:p>
        </w:tc>
      </w:tr>
      <w:tr w14:paraId="0DFA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0DB7D769">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3DCD3B59">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193C5E3E">
            <w:pPr>
              <w:kinsoku/>
              <w:spacing w:beforeLines="0" w:afterLines="0" w:line="0" w:lineRule="atLeast"/>
              <w:ind w:firstLine="0" w:firstLineChars="0"/>
              <w:jc w:val="center"/>
              <w:rPr>
                <w:color w:val="auto"/>
                <w:sz w:val="21"/>
                <w:highlight w:val="none"/>
              </w:rPr>
            </w:pPr>
          </w:p>
        </w:tc>
      </w:tr>
      <w:tr w14:paraId="250DB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30FA90B1">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17EFC171">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64D0D117">
            <w:pPr>
              <w:kinsoku/>
              <w:spacing w:beforeLines="0" w:afterLines="0" w:line="0" w:lineRule="atLeast"/>
              <w:ind w:firstLine="0" w:firstLineChars="0"/>
              <w:jc w:val="center"/>
              <w:rPr>
                <w:color w:val="auto"/>
                <w:sz w:val="21"/>
                <w:highlight w:val="none"/>
              </w:rPr>
            </w:pPr>
          </w:p>
        </w:tc>
      </w:tr>
      <w:tr w14:paraId="0202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72060D11">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6F2F972C">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6F88EA40">
            <w:pPr>
              <w:kinsoku/>
              <w:spacing w:beforeLines="0" w:afterLines="0" w:line="0" w:lineRule="atLeast"/>
              <w:ind w:firstLine="0" w:firstLineChars="0"/>
              <w:jc w:val="center"/>
              <w:rPr>
                <w:color w:val="auto"/>
                <w:sz w:val="21"/>
                <w:highlight w:val="none"/>
              </w:rPr>
            </w:pPr>
          </w:p>
        </w:tc>
      </w:tr>
      <w:tr w14:paraId="48B79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541FB339">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0D4D7330">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1165717C">
            <w:pPr>
              <w:kinsoku/>
              <w:spacing w:beforeLines="0" w:afterLines="0" w:line="0" w:lineRule="atLeast"/>
              <w:ind w:firstLine="0" w:firstLineChars="0"/>
              <w:jc w:val="center"/>
              <w:rPr>
                <w:color w:val="auto"/>
                <w:sz w:val="21"/>
                <w:highlight w:val="none"/>
              </w:rPr>
            </w:pPr>
          </w:p>
        </w:tc>
      </w:tr>
      <w:tr w14:paraId="7D88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32716B4A">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627C0043">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56592F48">
            <w:pPr>
              <w:kinsoku/>
              <w:spacing w:beforeLines="0" w:afterLines="0" w:line="0" w:lineRule="atLeast"/>
              <w:ind w:firstLine="0" w:firstLineChars="0"/>
              <w:jc w:val="center"/>
              <w:rPr>
                <w:color w:val="auto"/>
                <w:sz w:val="21"/>
                <w:highlight w:val="none"/>
              </w:rPr>
            </w:pPr>
          </w:p>
        </w:tc>
      </w:tr>
      <w:tr w14:paraId="050C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4544C4F4">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5F9A2E9B">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0A32DA24">
            <w:pPr>
              <w:kinsoku/>
              <w:spacing w:beforeLines="0" w:afterLines="0" w:line="0" w:lineRule="atLeast"/>
              <w:ind w:firstLine="0" w:firstLineChars="0"/>
              <w:jc w:val="center"/>
              <w:rPr>
                <w:color w:val="auto"/>
                <w:sz w:val="21"/>
                <w:highlight w:val="none"/>
              </w:rPr>
            </w:pPr>
          </w:p>
        </w:tc>
      </w:tr>
      <w:tr w14:paraId="5D73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5FB324AE">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39DAF41A">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26862EEE">
            <w:pPr>
              <w:kinsoku/>
              <w:spacing w:beforeLines="0" w:afterLines="0" w:line="0" w:lineRule="atLeast"/>
              <w:ind w:firstLine="0" w:firstLineChars="0"/>
              <w:jc w:val="center"/>
              <w:rPr>
                <w:color w:val="auto"/>
                <w:sz w:val="21"/>
                <w:highlight w:val="none"/>
              </w:rPr>
            </w:pPr>
          </w:p>
        </w:tc>
      </w:tr>
      <w:tr w14:paraId="3BF3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4" w:type="dxa"/>
            <w:tcBorders>
              <w:tl2br w:val="nil"/>
              <w:tr2bl w:val="nil"/>
            </w:tcBorders>
            <w:vAlign w:val="center"/>
          </w:tcPr>
          <w:p w14:paraId="6477ABE6">
            <w:pPr>
              <w:kinsoku/>
              <w:spacing w:beforeLines="0" w:afterLines="0" w:line="0" w:lineRule="atLeast"/>
              <w:ind w:firstLine="0" w:firstLineChars="0"/>
              <w:jc w:val="center"/>
              <w:rPr>
                <w:color w:val="auto"/>
                <w:sz w:val="21"/>
                <w:highlight w:val="none"/>
              </w:rPr>
            </w:pPr>
          </w:p>
        </w:tc>
        <w:tc>
          <w:tcPr>
            <w:tcW w:w="5410" w:type="dxa"/>
            <w:tcBorders>
              <w:tl2br w:val="nil"/>
              <w:tr2bl w:val="nil"/>
            </w:tcBorders>
            <w:vAlign w:val="center"/>
          </w:tcPr>
          <w:p w14:paraId="1A1F48BA">
            <w:pPr>
              <w:kinsoku/>
              <w:spacing w:beforeLines="0" w:afterLines="0" w:line="0" w:lineRule="atLeast"/>
              <w:ind w:firstLine="0" w:firstLineChars="0"/>
              <w:jc w:val="center"/>
              <w:rPr>
                <w:color w:val="auto"/>
                <w:sz w:val="21"/>
                <w:highlight w:val="none"/>
              </w:rPr>
            </w:pPr>
          </w:p>
        </w:tc>
        <w:tc>
          <w:tcPr>
            <w:tcW w:w="2663" w:type="dxa"/>
            <w:tcBorders>
              <w:tl2br w:val="nil"/>
              <w:tr2bl w:val="nil"/>
            </w:tcBorders>
            <w:vAlign w:val="center"/>
          </w:tcPr>
          <w:p w14:paraId="3E8E4107">
            <w:pPr>
              <w:kinsoku/>
              <w:spacing w:beforeLines="0" w:afterLines="0" w:line="0" w:lineRule="atLeast"/>
              <w:ind w:firstLine="0" w:firstLineChars="0"/>
              <w:jc w:val="center"/>
              <w:rPr>
                <w:color w:val="auto"/>
                <w:sz w:val="21"/>
                <w:highlight w:val="none"/>
              </w:rPr>
            </w:pPr>
          </w:p>
        </w:tc>
      </w:tr>
    </w:tbl>
    <w:p w14:paraId="00EA4949">
      <w:pPr>
        <w:pStyle w:val="7"/>
        <w:kinsoku/>
        <w:spacing w:beforeLines="0" w:afterLines="0"/>
        <w:ind w:firstLine="420"/>
        <w:jc w:val="left"/>
        <w:rPr>
          <w:color w:val="auto"/>
          <w:highlight w:val="none"/>
        </w:rPr>
      </w:pPr>
    </w:p>
    <w:p w14:paraId="6D55FE43">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282D349B">
      <w:pPr>
        <w:pStyle w:val="4"/>
        <w:kinsoku/>
        <w:spacing w:before="0" w:beforeLines="0" w:afterLines="0"/>
        <w:ind w:left="0"/>
        <w:jc w:val="center"/>
        <w:rPr>
          <w:rFonts w:hint="eastAsia" w:cs="宋体"/>
          <w:bCs/>
          <w:color w:val="auto"/>
          <w:szCs w:val="24"/>
          <w:highlight w:val="none"/>
          <w:lang w:eastAsia="zh-CN"/>
        </w:rPr>
      </w:pPr>
      <w:bookmarkStart w:id="2373" w:name="_Toc28502"/>
      <w:bookmarkStart w:id="2374" w:name="_Toc28272"/>
      <w:bookmarkStart w:id="2375" w:name="_Toc1117"/>
      <w:r>
        <w:rPr>
          <w:rFonts w:hint="eastAsia" w:ascii="宋体" w:cs="宋体"/>
          <w:b/>
          <w:bCs/>
          <w:color w:val="auto"/>
          <w:spacing w:val="0"/>
          <w:sz w:val="24"/>
          <w:szCs w:val="24"/>
          <w:highlight w:val="none"/>
          <w:lang w:eastAsia="zh-CN"/>
        </w:rPr>
        <w:t>目  录</w:t>
      </w:r>
      <w:bookmarkEnd w:id="2373"/>
      <w:bookmarkEnd w:id="2374"/>
      <w:bookmarkEnd w:id="2375"/>
    </w:p>
    <w:p w14:paraId="79730BC0">
      <w:pPr>
        <w:pStyle w:val="7"/>
        <w:kinsoku/>
        <w:spacing w:beforeLines="0" w:afterLines="0"/>
        <w:ind w:firstLine="420"/>
        <w:jc w:val="left"/>
        <w:rPr>
          <w:color w:val="auto"/>
          <w:highlight w:val="none"/>
          <w:lang w:eastAsia="zh-CN"/>
        </w:rPr>
      </w:pPr>
    </w:p>
    <w:p w14:paraId="5F1D748E">
      <w:pPr>
        <w:pStyle w:val="7"/>
        <w:kinsoku/>
        <w:spacing w:beforeLines="0" w:afterLines="0"/>
        <w:ind w:firstLine="420"/>
        <w:jc w:val="left"/>
        <w:rPr>
          <w:color w:val="auto"/>
          <w:highlight w:val="none"/>
          <w:lang w:eastAsia="zh-CN"/>
        </w:rPr>
      </w:pPr>
    </w:p>
    <w:p w14:paraId="41AC0F62">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一、投标函及投标函附录</w:t>
      </w:r>
    </w:p>
    <w:p w14:paraId="4329982D">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二、法定代表人身份证明</w:t>
      </w:r>
    </w:p>
    <w:p w14:paraId="47E48129">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三、授权委托书</w:t>
      </w:r>
    </w:p>
    <w:p w14:paraId="25BF5158">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四、联合体协议书</w:t>
      </w:r>
    </w:p>
    <w:p w14:paraId="4F8E11E0">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五、投标保证金</w:t>
      </w:r>
    </w:p>
    <w:p w14:paraId="01AF2ACA">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六、已标价工程量清单</w:t>
      </w:r>
    </w:p>
    <w:p w14:paraId="63C4BE39">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七、施工组织设计</w:t>
      </w:r>
    </w:p>
    <w:p w14:paraId="21C858FF">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八、项目管理机构</w:t>
      </w:r>
    </w:p>
    <w:p w14:paraId="2EFB1A5E">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九、拟分包项目情况表</w:t>
      </w:r>
    </w:p>
    <w:p w14:paraId="35971E12">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十、资格审查资料</w:t>
      </w:r>
    </w:p>
    <w:p w14:paraId="3A354DA6">
      <w:pPr>
        <w:kinsoku/>
        <w:spacing w:before="0" w:line="360" w:lineRule="auto"/>
        <w:ind w:left="0"/>
        <w:rPr>
          <w:rFonts w:hint="eastAsia" w:ascii="宋体" w:cs="Arial"/>
          <w:b w:val="0"/>
          <w:color w:val="auto"/>
          <w:spacing w:val="0"/>
          <w:position w:val="0"/>
          <w:sz w:val="24"/>
          <w:szCs w:val="24"/>
          <w:highlight w:val="none"/>
          <w:lang w:eastAsia="zh-CN"/>
        </w:rPr>
      </w:pPr>
      <w:r>
        <w:rPr>
          <w:rFonts w:hint="eastAsia" w:ascii="宋体" w:cs="Arial"/>
          <w:b w:val="0"/>
          <w:color w:val="auto"/>
          <w:spacing w:val="0"/>
          <w:position w:val="0"/>
          <w:sz w:val="24"/>
          <w:szCs w:val="24"/>
          <w:highlight w:val="none"/>
          <w:lang w:eastAsia="zh-CN"/>
        </w:rPr>
        <w:t>十一、原件的复制件</w:t>
      </w:r>
    </w:p>
    <w:p w14:paraId="51C41A8C">
      <w:pPr>
        <w:kinsoku/>
        <w:adjustRightInd/>
        <w:snapToGrid/>
        <w:spacing w:beforeLines="0" w:afterLines="0" w:line="240" w:lineRule="auto"/>
        <w:ind w:firstLine="420"/>
        <w:jc w:val="left"/>
        <w:textAlignment w:val="auto"/>
        <w:rPr>
          <w:rFonts w:cs="宋体"/>
          <w:color w:val="auto"/>
          <w:szCs w:val="24"/>
          <w:highlight w:val="none"/>
        </w:rPr>
      </w:pPr>
      <w:r>
        <w:rPr>
          <w:rFonts w:hint="eastAsia" w:ascii="宋体" w:cs="Arial"/>
          <w:b w:val="0"/>
          <w:color w:val="auto"/>
          <w:spacing w:val="0"/>
          <w:position w:val="0"/>
          <w:sz w:val="24"/>
          <w:szCs w:val="24"/>
          <w:highlight w:val="none"/>
          <w:lang w:eastAsia="zh-CN"/>
        </w:rPr>
        <w:t>十二、其他材料</w:t>
      </w:r>
      <w:r>
        <w:rPr>
          <w:rFonts w:cs="宋体"/>
          <w:color w:val="auto"/>
          <w:szCs w:val="24"/>
          <w:highlight w:val="none"/>
        </w:rPr>
        <w:br w:type="page"/>
      </w:r>
    </w:p>
    <w:p w14:paraId="2DBE2690">
      <w:pPr>
        <w:pStyle w:val="3"/>
        <w:kinsoku/>
        <w:spacing w:before="169"/>
        <w:ind w:left="0"/>
        <w:jc w:val="center"/>
        <w:outlineLvl w:val="1"/>
        <w:rPr>
          <w:rFonts w:hint="eastAsia"/>
          <w:color w:val="auto"/>
          <w:szCs w:val="30"/>
          <w:highlight w:val="none"/>
          <w:lang w:eastAsia="zh-CN"/>
        </w:rPr>
      </w:pPr>
      <w:bookmarkStart w:id="2376" w:name="_Toc19075"/>
      <w:bookmarkStart w:id="2377" w:name="_Toc18920"/>
      <w:bookmarkStart w:id="2378" w:name="_Toc2592"/>
      <w:bookmarkStart w:id="2379" w:name="_Toc8402"/>
      <w:bookmarkStart w:id="2380" w:name="_Toc32000"/>
      <w:bookmarkStart w:id="2381" w:name="_Toc13585"/>
      <w:bookmarkStart w:id="2382" w:name="_Toc11646"/>
      <w:bookmarkStart w:id="2383" w:name="_Toc5581"/>
      <w:bookmarkStart w:id="2384" w:name="_Toc4755"/>
      <w:bookmarkStart w:id="2385" w:name="_Toc20271"/>
      <w:bookmarkStart w:id="2386" w:name="_Toc10426"/>
      <w:bookmarkStart w:id="2387" w:name="_Toc23370"/>
      <w:bookmarkStart w:id="2388" w:name="_Toc24390"/>
      <w:bookmarkStart w:id="2389" w:name="_Toc13960"/>
      <w:r>
        <w:rPr>
          <w:rFonts w:hint="eastAsia" w:ascii="宋体" w:cs="Mongolian Baiti"/>
          <w:b/>
          <w:bCs/>
          <w:color w:val="auto"/>
          <w:spacing w:val="0"/>
          <w:sz w:val="30"/>
          <w:szCs w:val="30"/>
          <w:highlight w:val="none"/>
          <w:lang w:eastAsia="zh-CN"/>
        </w:rPr>
        <w:t>一、投标函及投标函附录</w:t>
      </w:r>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p>
    <w:p w14:paraId="2074B5C6">
      <w:pPr>
        <w:pStyle w:val="4"/>
        <w:kinsoku/>
        <w:spacing w:before="0" w:beforeLines="0" w:afterLines="0"/>
        <w:ind w:left="0"/>
        <w:jc w:val="left"/>
        <w:rPr>
          <w:rFonts w:hint="eastAsia" w:cs="宋体"/>
          <w:bCs/>
          <w:color w:val="auto"/>
          <w:szCs w:val="24"/>
          <w:highlight w:val="none"/>
          <w:lang w:eastAsia="zh-CN"/>
        </w:rPr>
      </w:pPr>
      <w:bookmarkStart w:id="2390" w:name="_Toc5226"/>
      <w:bookmarkStart w:id="2391" w:name="_Toc25575"/>
      <w:bookmarkStart w:id="2392" w:name="_Toc3340"/>
      <w:r>
        <w:rPr>
          <w:rFonts w:hint="eastAsia" w:ascii="宋体" w:cs="宋体"/>
          <w:b/>
          <w:bCs/>
          <w:color w:val="auto"/>
          <w:spacing w:val="0"/>
          <w:sz w:val="24"/>
          <w:szCs w:val="24"/>
          <w:highlight w:val="none"/>
          <w:lang w:eastAsia="zh-CN"/>
        </w:rPr>
        <w:t>（一）投标函</w:t>
      </w:r>
      <w:bookmarkEnd w:id="2390"/>
      <w:bookmarkEnd w:id="2391"/>
      <w:bookmarkEnd w:id="2392"/>
    </w:p>
    <w:p w14:paraId="0B4DC188">
      <w:pPr>
        <w:widowControl/>
        <w:tabs>
          <w:tab w:val="left" w:pos="2400"/>
        </w:tabs>
        <w:kinsoku/>
        <w:autoSpaceDE/>
        <w:autoSpaceDN/>
        <w:spacing w:before="0" w:beforeLines="0" w:afterLines="0" w:line="360" w:lineRule="auto"/>
        <w:ind w:firstLine="480" w:firstLineChars="20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5"/>
          <w:kern w:val="0"/>
          <w:sz w:val="24"/>
          <w:szCs w:val="24"/>
          <w:highlight w:val="none"/>
        </w:rPr>
        <w:t xml:space="preserve"> </w:t>
      </w:r>
      <w:r>
        <w:rPr>
          <w:rFonts w:ascii="宋体" w:hAnsi="宋体" w:eastAsia="宋体" w:cs="宋体"/>
          <w:color w:val="auto"/>
          <w:spacing w:val="-24"/>
          <w:kern w:val="0"/>
          <w:sz w:val="24"/>
          <w:szCs w:val="24"/>
          <w:highlight w:val="none"/>
        </w:rPr>
        <w:t>（招标人名称</w:t>
      </w:r>
      <w:r>
        <w:rPr>
          <w:rFonts w:ascii="宋体" w:hAnsi="宋体" w:eastAsia="宋体" w:cs="宋体"/>
          <w:color w:val="auto"/>
          <w:spacing w:val="-12"/>
          <w:kern w:val="0"/>
          <w:sz w:val="24"/>
          <w:szCs w:val="24"/>
          <w:highlight w:val="none"/>
        </w:rPr>
        <w:t>）：</w:t>
      </w:r>
    </w:p>
    <w:p w14:paraId="52ECD685">
      <w:pPr>
        <w:widowControl/>
        <w:kinsoku/>
        <w:autoSpaceDE/>
        <w:autoSpaceDN/>
        <w:spacing w:before="0" w:beforeLines="0" w:afterLines="0" w:line="360" w:lineRule="auto"/>
        <w:ind w:left="0" w:firstLine="424"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14"/>
          <w:kern w:val="0"/>
          <w:sz w:val="24"/>
          <w:szCs w:val="24"/>
          <w:highlight w:val="none"/>
        </w:rPr>
        <w:t>1</w:t>
      </w:r>
      <w:r>
        <w:rPr>
          <w:rFonts w:ascii="Times New Roman" w:hAnsi="Times New Roman" w:eastAsia="Times New Roman" w:cs="Times New Roman"/>
          <w:color w:val="auto"/>
          <w:spacing w:val="-28"/>
          <w:kern w:val="0"/>
          <w:sz w:val="24"/>
          <w:szCs w:val="24"/>
          <w:highlight w:val="none"/>
        </w:rPr>
        <w:t xml:space="preserve"> </w:t>
      </w:r>
      <w:r>
        <w:rPr>
          <w:rFonts w:ascii="宋体" w:hAnsi="宋体" w:eastAsia="宋体" w:cs="宋体"/>
          <w:color w:val="auto"/>
          <w:spacing w:val="-14"/>
          <w:kern w:val="0"/>
          <w:sz w:val="24"/>
          <w:szCs w:val="24"/>
          <w:highlight w:val="none"/>
        </w:rPr>
        <w:t>．我方已仔细研究了</w:t>
      </w:r>
      <w:r>
        <w:rPr>
          <w:rFonts w:ascii="宋体" w:hAnsi="宋体" w:eastAsia="宋体" w:cs="宋体"/>
          <w:color w:val="auto"/>
          <w:spacing w:val="-14"/>
          <w:kern w:val="0"/>
          <w:sz w:val="24"/>
          <w:szCs w:val="24"/>
          <w:highlight w:val="none"/>
          <w:u w:val="single" w:color="auto"/>
        </w:rPr>
        <w:t xml:space="preserve">             </w:t>
      </w:r>
      <w:r>
        <w:rPr>
          <w:rFonts w:ascii="宋体" w:hAnsi="宋体" w:eastAsia="宋体" w:cs="宋体"/>
          <w:color w:val="auto"/>
          <w:spacing w:val="-15"/>
          <w:kern w:val="0"/>
          <w:sz w:val="24"/>
          <w:szCs w:val="24"/>
          <w:highlight w:val="none"/>
          <w:u w:val="single" w:color="auto"/>
        </w:rPr>
        <w:t xml:space="preserve">     </w:t>
      </w:r>
      <w:r>
        <w:rPr>
          <w:rFonts w:ascii="宋体" w:hAnsi="宋体" w:eastAsia="宋体" w:cs="宋体"/>
          <w:color w:val="auto"/>
          <w:spacing w:val="-38"/>
          <w:kern w:val="0"/>
          <w:sz w:val="24"/>
          <w:szCs w:val="24"/>
          <w:highlight w:val="none"/>
        </w:rPr>
        <w:t xml:space="preserve"> </w:t>
      </w:r>
      <w:r>
        <w:rPr>
          <w:rFonts w:ascii="宋体" w:hAnsi="宋体" w:eastAsia="宋体" w:cs="宋体"/>
          <w:color w:val="auto"/>
          <w:spacing w:val="-15"/>
          <w:kern w:val="0"/>
          <w:sz w:val="24"/>
          <w:szCs w:val="24"/>
          <w:highlight w:val="none"/>
        </w:rPr>
        <w:t>（项目名称</w:t>
      </w:r>
      <w:r>
        <w:rPr>
          <w:rFonts w:ascii="宋体" w:hAnsi="宋体" w:eastAsia="宋体" w:cs="宋体"/>
          <w:color w:val="auto"/>
          <w:kern w:val="0"/>
          <w:sz w:val="24"/>
          <w:szCs w:val="24"/>
          <w:highlight w:val="none"/>
        </w:rPr>
        <w:t>）</w:t>
      </w:r>
      <w:r>
        <w:rPr>
          <w:rFonts w:ascii="宋体" w:hAnsi="宋体" w:eastAsia="宋体" w:cs="宋体"/>
          <w:color w:val="auto"/>
          <w:spacing w:val="-37"/>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38"/>
          <w:kern w:val="0"/>
          <w:sz w:val="24"/>
          <w:szCs w:val="24"/>
          <w:highlight w:val="none"/>
        </w:rPr>
        <w:t xml:space="preserve"> </w:t>
      </w:r>
      <w:r>
        <w:rPr>
          <w:rFonts w:ascii="宋体" w:hAnsi="宋体" w:eastAsia="宋体" w:cs="宋体"/>
          <w:color w:val="auto"/>
          <w:kern w:val="0"/>
          <w:sz w:val="24"/>
          <w:szCs w:val="24"/>
          <w:highlight w:val="none"/>
        </w:rPr>
        <w:t>（</w:t>
      </w:r>
      <w:r>
        <w:rPr>
          <w:rFonts w:ascii="宋体" w:hAnsi="宋体" w:eastAsia="宋体" w:cs="宋体"/>
          <w:color w:val="auto"/>
          <w:spacing w:val="-15"/>
          <w:kern w:val="0"/>
          <w:sz w:val="24"/>
          <w:szCs w:val="24"/>
          <w:highlight w:val="none"/>
        </w:rPr>
        <w:t>标段名称）招标文件的</w:t>
      </w:r>
      <w:r>
        <w:rPr>
          <w:rFonts w:ascii="宋体" w:hAnsi="宋体" w:eastAsia="宋体" w:cs="宋体"/>
          <w:color w:val="auto"/>
          <w:spacing w:val="-14"/>
          <w:kern w:val="0"/>
          <w:sz w:val="24"/>
          <w:szCs w:val="24"/>
          <w:highlight w:val="none"/>
        </w:rPr>
        <w:t>全部内容，愿意以人民币（大写）</w:t>
      </w:r>
      <w:r>
        <w:rPr>
          <w:rFonts w:ascii="宋体" w:hAnsi="宋体" w:eastAsia="宋体" w:cs="宋体"/>
          <w:color w:val="auto"/>
          <w:spacing w:val="-41"/>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14"/>
          <w:kern w:val="0"/>
          <w:sz w:val="24"/>
          <w:szCs w:val="24"/>
          <w:highlight w:val="none"/>
        </w:rPr>
        <w:t>元(￥</w:t>
      </w:r>
      <w:r>
        <w:rPr>
          <w:rFonts w:ascii="宋体" w:hAnsi="宋体" w:eastAsia="宋体" w:cs="宋体"/>
          <w:color w:val="auto"/>
          <w:spacing w:val="-9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14"/>
          <w:kern w:val="0"/>
          <w:sz w:val="24"/>
          <w:szCs w:val="24"/>
          <w:highlight w:val="none"/>
        </w:rPr>
        <w:t>元）</w:t>
      </w:r>
      <w:r>
        <w:rPr>
          <w:rFonts w:ascii="宋体" w:hAnsi="宋体" w:eastAsia="宋体" w:cs="宋体"/>
          <w:color w:val="auto"/>
          <w:spacing w:val="-47"/>
          <w:kern w:val="0"/>
          <w:sz w:val="24"/>
          <w:szCs w:val="24"/>
          <w:highlight w:val="none"/>
        </w:rPr>
        <w:t xml:space="preserve"> </w:t>
      </w:r>
      <w:r>
        <w:rPr>
          <w:rFonts w:ascii="宋体" w:hAnsi="宋体" w:eastAsia="宋体" w:cs="宋体"/>
          <w:color w:val="auto"/>
          <w:spacing w:val="-14"/>
          <w:kern w:val="0"/>
          <w:sz w:val="24"/>
          <w:szCs w:val="24"/>
          <w:highlight w:val="none"/>
        </w:rPr>
        <w:t>的</w:t>
      </w:r>
      <w:r>
        <w:rPr>
          <w:rFonts w:ascii="宋体" w:hAnsi="宋体" w:eastAsia="宋体" w:cs="宋体"/>
          <w:color w:val="auto"/>
          <w:spacing w:val="-11"/>
          <w:kern w:val="0"/>
          <w:sz w:val="24"/>
          <w:szCs w:val="24"/>
          <w:highlight w:val="none"/>
        </w:rPr>
        <w:t>投</w:t>
      </w:r>
      <w:r>
        <w:rPr>
          <w:rFonts w:ascii="宋体" w:hAnsi="宋体" w:eastAsia="宋体" w:cs="宋体"/>
          <w:color w:val="auto"/>
          <w:spacing w:val="-4"/>
          <w:kern w:val="0"/>
          <w:sz w:val="24"/>
          <w:szCs w:val="24"/>
          <w:highlight w:val="none"/>
        </w:rPr>
        <w:t>标总报价，工期</w:t>
      </w:r>
      <w:r>
        <w:rPr>
          <w:rFonts w:ascii="宋体" w:hAnsi="宋体" w:eastAsia="宋体" w:cs="宋体"/>
          <w:color w:val="auto"/>
          <w:spacing w:val="-11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6"/>
          <w:kern w:val="0"/>
          <w:sz w:val="24"/>
          <w:szCs w:val="24"/>
          <w:highlight w:val="none"/>
        </w:rPr>
        <w:t xml:space="preserve"> </w:t>
      </w:r>
      <w:r>
        <w:rPr>
          <w:rFonts w:ascii="宋体" w:hAnsi="宋体" w:eastAsia="宋体" w:cs="宋体"/>
          <w:color w:val="auto"/>
          <w:spacing w:val="-4"/>
          <w:kern w:val="0"/>
          <w:sz w:val="24"/>
          <w:szCs w:val="24"/>
          <w:highlight w:val="none"/>
        </w:rPr>
        <w:t>个</w:t>
      </w:r>
      <w:r>
        <w:rPr>
          <w:rFonts w:ascii="宋体" w:hAnsi="宋体" w:eastAsia="宋体" w:cs="宋体"/>
          <w:strike/>
          <w:color w:val="auto"/>
          <w:spacing w:val="-4"/>
          <w:kern w:val="0"/>
          <w:sz w:val="24"/>
          <w:szCs w:val="24"/>
          <w:highlight w:val="none"/>
        </w:rPr>
        <w:t>月</w:t>
      </w:r>
      <w:r>
        <w:rPr>
          <w:rFonts w:ascii="新宋体" w:hAnsi="新宋体" w:eastAsia="新宋体" w:cs="新宋体"/>
          <w:strike/>
          <w:color w:val="auto"/>
          <w:spacing w:val="-4"/>
          <w:kern w:val="0"/>
          <w:sz w:val="24"/>
          <w:szCs w:val="24"/>
          <w:highlight w:val="none"/>
        </w:rPr>
        <w:t>（</w:t>
      </w:r>
      <w:r>
        <w:rPr>
          <w:rFonts w:ascii="新宋体" w:hAnsi="新宋体" w:eastAsia="新宋体" w:cs="新宋体"/>
          <w:color w:val="auto"/>
          <w:spacing w:val="-4"/>
          <w:kern w:val="0"/>
          <w:sz w:val="24"/>
          <w:szCs w:val="24"/>
          <w:highlight w:val="none"/>
        </w:rPr>
        <w:t>日历天</w:t>
      </w:r>
      <w:r>
        <w:rPr>
          <w:rFonts w:ascii="新宋体" w:hAnsi="新宋体" w:eastAsia="新宋体" w:cs="新宋体"/>
          <w:strike/>
          <w:color w:val="auto"/>
          <w:spacing w:val="-15"/>
          <w:kern w:val="0"/>
          <w:sz w:val="24"/>
          <w:szCs w:val="24"/>
          <w:highlight w:val="none"/>
        </w:rPr>
        <w:t>）</w:t>
      </w:r>
      <w:r>
        <w:rPr>
          <w:rFonts w:ascii="宋体" w:hAnsi="宋体" w:eastAsia="宋体" w:cs="宋体"/>
          <w:color w:val="auto"/>
          <w:spacing w:val="-15"/>
          <w:kern w:val="0"/>
          <w:sz w:val="24"/>
          <w:szCs w:val="24"/>
          <w:highlight w:val="none"/>
        </w:rPr>
        <w:t>，</w:t>
      </w:r>
      <w:r>
        <w:rPr>
          <w:rFonts w:ascii="宋体" w:hAnsi="宋体" w:eastAsia="宋体" w:cs="宋体"/>
          <w:color w:val="auto"/>
          <w:spacing w:val="-4"/>
          <w:kern w:val="0"/>
          <w:sz w:val="24"/>
          <w:szCs w:val="24"/>
          <w:highlight w:val="none"/>
        </w:rPr>
        <w:t>按合同约定实施和完</w:t>
      </w:r>
      <w:r>
        <w:rPr>
          <w:rFonts w:ascii="宋体" w:hAnsi="宋体" w:eastAsia="宋体" w:cs="宋体"/>
          <w:color w:val="auto"/>
          <w:spacing w:val="-5"/>
          <w:kern w:val="0"/>
          <w:sz w:val="24"/>
          <w:szCs w:val="24"/>
          <w:highlight w:val="none"/>
        </w:rPr>
        <w:t>成承包工程，修补工</w:t>
      </w:r>
      <w:r>
        <w:rPr>
          <w:rFonts w:ascii="宋体" w:hAnsi="宋体" w:eastAsia="宋体" w:cs="宋体"/>
          <w:color w:val="auto"/>
          <w:spacing w:val="-1"/>
          <w:kern w:val="0"/>
          <w:sz w:val="24"/>
          <w:szCs w:val="24"/>
          <w:highlight w:val="none"/>
        </w:rPr>
        <w:t>程中的任何缺陷，工程质量达到</w:t>
      </w:r>
      <w:r>
        <w:rPr>
          <w:rFonts w:ascii="宋体" w:hAnsi="宋体" w:eastAsia="宋体" w:cs="宋体"/>
          <w:color w:val="auto"/>
          <w:spacing w:val="-1"/>
          <w:kern w:val="0"/>
          <w:sz w:val="24"/>
          <w:szCs w:val="24"/>
          <w:highlight w:val="none"/>
          <w:u w:val="single" w:color="auto"/>
        </w:rPr>
        <w:t xml:space="preserve">        </w:t>
      </w:r>
      <w:r>
        <w:rPr>
          <w:rFonts w:ascii="宋体" w:hAnsi="宋体" w:eastAsia="宋体" w:cs="宋体"/>
          <w:color w:val="auto"/>
          <w:spacing w:val="-91"/>
          <w:kern w:val="0"/>
          <w:sz w:val="24"/>
          <w:szCs w:val="24"/>
          <w:highlight w:val="none"/>
        </w:rPr>
        <w:t xml:space="preserve"> </w:t>
      </w:r>
      <w:r>
        <w:rPr>
          <w:rFonts w:ascii="宋体" w:hAnsi="宋体" w:eastAsia="宋体" w:cs="宋体"/>
          <w:color w:val="auto"/>
          <w:spacing w:val="-1"/>
          <w:kern w:val="0"/>
          <w:sz w:val="24"/>
          <w:szCs w:val="24"/>
          <w:highlight w:val="none"/>
        </w:rPr>
        <w:t>，项目负责人</w:t>
      </w:r>
      <w:r>
        <w:rPr>
          <w:rFonts w:ascii="宋体" w:hAnsi="宋体" w:eastAsia="宋体" w:cs="宋体"/>
          <w:color w:val="auto"/>
          <w:spacing w:val="-110"/>
          <w:kern w:val="0"/>
          <w:sz w:val="24"/>
          <w:szCs w:val="24"/>
          <w:highlight w:val="none"/>
        </w:rPr>
        <w:t xml:space="preserve"> </w:t>
      </w:r>
      <w:r>
        <w:rPr>
          <w:rFonts w:ascii="宋体" w:hAnsi="宋体" w:eastAsia="宋体" w:cs="宋体"/>
          <w:color w:val="auto"/>
          <w:spacing w:val="-1"/>
          <w:kern w:val="0"/>
          <w:sz w:val="24"/>
          <w:szCs w:val="24"/>
          <w:highlight w:val="none"/>
          <w:u w:val="single" w:color="auto"/>
        </w:rPr>
        <w:t xml:space="preserve">   </w:t>
      </w:r>
      <w:r>
        <w:rPr>
          <w:rFonts w:ascii="宋体" w:hAnsi="宋体" w:eastAsia="宋体" w:cs="宋体"/>
          <w:color w:val="auto"/>
          <w:spacing w:val="-2"/>
          <w:kern w:val="0"/>
          <w:sz w:val="24"/>
          <w:szCs w:val="24"/>
          <w:highlight w:val="none"/>
          <w:u w:val="single" w:color="auto"/>
        </w:rPr>
        <w:t xml:space="preserve">        </w:t>
      </w:r>
      <w:r>
        <w:rPr>
          <w:rFonts w:ascii="宋体" w:hAnsi="宋体" w:eastAsia="宋体" w:cs="宋体"/>
          <w:color w:val="auto"/>
          <w:spacing w:val="-2"/>
          <w:kern w:val="0"/>
          <w:sz w:val="24"/>
          <w:szCs w:val="24"/>
          <w:highlight w:val="none"/>
        </w:rPr>
        <w:t>。</w:t>
      </w:r>
    </w:p>
    <w:p w14:paraId="12308D7E">
      <w:pPr>
        <w:widowControl/>
        <w:kinsoku/>
        <w:autoSpaceDE/>
        <w:autoSpaceDN/>
        <w:spacing w:before="0" w:beforeLines="0" w:afterLines="0" w:line="360" w:lineRule="auto"/>
        <w:ind w:left="0" w:firstLine="472"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2"/>
          <w:kern w:val="0"/>
          <w:sz w:val="24"/>
          <w:szCs w:val="24"/>
          <w:highlight w:val="none"/>
        </w:rPr>
        <w:t>2</w:t>
      </w:r>
      <w:r>
        <w:rPr>
          <w:rFonts w:ascii="宋体" w:hAnsi="宋体" w:eastAsia="宋体" w:cs="宋体"/>
          <w:color w:val="auto"/>
          <w:spacing w:val="-2"/>
          <w:kern w:val="0"/>
          <w:sz w:val="24"/>
          <w:szCs w:val="24"/>
          <w:highlight w:val="none"/>
        </w:rPr>
        <w:t>．我方承诺在投标有效期内不补充、修改、替代或者</w:t>
      </w:r>
      <w:r>
        <w:rPr>
          <w:rFonts w:ascii="宋体" w:hAnsi="宋体" w:eastAsia="宋体" w:cs="宋体"/>
          <w:color w:val="auto"/>
          <w:spacing w:val="-3"/>
          <w:kern w:val="0"/>
          <w:sz w:val="24"/>
          <w:szCs w:val="24"/>
          <w:highlight w:val="none"/>
        </w:rPr>
        <w:t>撤回本投标文件。</w:t>
      </w:r>
    </w:p>
    <w:p w14:paraId="345C91F7">
      <w:pPr>
        <w:widowControl/>
        <w:kinsoku/>
        <w:autoSpaceDE/>
        <w:autoSpaceDN/>
        <w:spacing w:before="0" w:beforeLines="0" w:afterLines="0" w:line="360" w:lineRule="auto"/>
        <w:ind w:left="0" w:firstLine="424"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14"/>
          <w:kern w:val="0"/>
          <w:sz w:val="24"/>
          <w:szCs w:val="24"/>
          <w:highlight w:val="none"/>
        </w:rPr>
        <w:t>3</w:t>
      </w:r>
      <w:r>
        <w:rPr>
          <w:rFonts w:ascii="宋体" w:hAnsi="宋体" w:eastAsia="宋体" w:cs="宋体"/>
          <w:color w:val="auto"/>
          <w:spacing w:val="-14"/>
          <w:kern w:val="0"/>
          <w:sz w:val="24"/>
          <w:szCs w:val="24"/>
          <w:highlight w:val="none"/>
        </w:rPr>
        <w:t>．</w:t>
      </w:r>
      <w:r>
        <w:rPr>
          <w:rFonts w:ascii="宋体" w:hAnsi="宋体" w:eastAsia="宋体" w:cs="宋体"/>
          <w:color w:val="auto"/>
          <w:spacing w:val="-13"/>
          <w:kern w:val="0"/>
          <w:sz w:val="24"/>
          <w:szCs w:val="24"/>
          <w:highlight w:val="none"/>
        </w:rPr>
        <w:t>随同本投标函递交投标保证金一份，金额为人民币（大写）</w:t>
      </w:r>
      <w:r>
        <w:rPr>
          <w:rFonts w:ascii="宋体" w:hAnsi="宋体" w:eastAsia="宋体" w:cs="宋体"/>
          <w:color w:val="auto"/>
          <w:spacing w:val="-13"/>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11"/>
          <w:kern w:val="0"/>
          <w:sz w:val="24"/>
          <w:szCs w:val="24"/>
          <w:highlight w:val="none"/>
        </w:rPr>
        <w:t>元</w:t>
      </w:r>
      <w:r>
        <w:rPr>
          <w:rFonts w:ascii="宋体" w:hAnsi="宋体" w:eastAsia="宋体" w:cs="宋体"/>
          <w:color w:val="auto"/>
          <w:spacing w:val="2"/>
          <w:kern w:val="0"/>
          <w:sz w:val="24"/>
          <w:szCs w:val="24"/>
          <w:highlight w:val="none"/>
        </w:rPr>
        <w:t>(￥</w:t>
      </w:r>
      <w:r>
        <w:rPr>
          <w:rFonts w:ascii="宋体" w:hAnsi="宋体" w:eastAsia="宋体" w:cs="宋体"/>
          <w:color w:val="auto"/>
          <w:spacing w:val="-9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85"/>
          <w:kern w:val="0"/>
          <w:sz w:val="24"/>
          <w:szCs w:val="24"/>
          <w:highlight w:val="none"/>
        </w:rPr>
        <w:t xml:space="preserve"> </w:t>
      </w:r>
      <w:r>
        <w:rPr>
          <w:rFonts w:ascii="宋体" w:hAnsi="宋体" w:eastAsia="宋体" w:cs="宋体"/>
          <w:color w:val="auto"/>
          <w:spacing w:val="2"/>
          <w:kern w:val="0"/>
          <w:sz w:val="24"/>
          <w:szCs w:val="24"/>
          <w:highlight w:val="none"/>
        </w:rPr>
        <w:t>)。</w:t>
      </w:r>
    </w:p>
    <w:p w14:paraId="5114ACB9">
      <w:pPr>
        <w:widowControl/>
        <w:kinsoku/>
        <w:autoSpaceDE/>
        <w:autoSpaceDN/>
        <w:spacing w:before="0" w:beforeLines="0" w:afterLines="0" w:line="360" w:lineRule="auto"/>
        <w:ind w:left="0" w:firstLine="440"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10"/>
          <w:kern w:val="0"/>
          <w:sz w:val="24"/>
          <w:szCs w:val="24"/>
          <w:highlight w:val="none"/>
        </w:rPr>
        <w:t>4</w:t>
      </w:r>
      <w:r>
        <w:rPr>
          <w:rFonts w:ascii="Times New Roman" w:hAnsi="Times New Roman" w:eastAsia="Times New Roman" w:cs="Times New Roman"/>
          <w:color w:val="auto"/>
          <w:spacing w:val="-29"/>
          <w:kern w:val="0"/>
          <w:sz w:val="24"/>
          <w:szCs w:val="24"/>
          <w:highlight w:val="none"/>
        </w:rPr>
        <w:t xml:space="preserve"> </w:t>
      </w:r>
      <w:r>
        <w:rPr>
          <w:rFonts w:ascii="宋体" w:hAnsi="宋体" w:eastAsia="宋体" w:cs="宋体"/>
          <w:color w:val="auto"/>
          <w:spacing w:val="-10"/>
          <w:kern w:val="0"/>
          <w:sz w:val="24"/>
          <w:szCs w:val="24"/>
          <w:highlight w:val="none"/>
        </w:rPr>
        <w:t>．如我方中标：</w:t>
      </w:r>
    </w:p>
    <w:p w14:paraId="6E9789EC">
      <w:pPr>
        <w:widowControl/>
        <w:kinsoku/>
        <w:autoSpaceDE/>
        <w:autoSpaceDN/>
        <w:spacing w:before="0" w:beforeLines="0" w:afterLines="0" w:line="360" w:lineRule="auto"/>
        <w:ind w:left="0" w:firstLine="472" w:firstLineChars="200"/>
        <w:jc w:val="left"/>
        <w:rPr>
          <w:rFonts w:ascii="宋体" w:hAnsi="宋体" w:eastAsia="宋体" w:cs="宋体"/>
          <w:color w:val="auto"/>
          <w:kern w:val="0"/>
          <w:sz w:val="24"/>
          <w:szCs w:val="24"/>
          <w:highlight w:val="none"/>
        </w:rPr>
      </w:pPr>
      <w:r>
        <w:rPr>
          <w:rFonts w:ascii="宋体" w:hAnsi="宋体" w:eastAsia="宋体" w:cs="宋体"/>
          <w:color w:val="auto"/>
          <w:spacing w:val="-2"/>
          <w:kern w:val="0"/>
          <w:sz w:val="24"/>
          <w:szCs w:val="24"/>
          <w:highlight w:val="none"/>
        </w:rPr>
        <w:t>（</w:t>
      </w:r>
      <w:r>
        <w:rPr>
          <w:rFonts w:hint="eastAsia" w:ascii="Times New Roman" w:hAnsi="Times New Roman" w:eastAsia="宋体" w:cs="Times New Roman"/>
          <w:color w:val="auto"/>
          <w:spacing w:val="-2"/>
          <w:kern w:val="0"/>
          <w:sz w:val="24"/>
          <w:szCs w:val="24"/>
          <w:highlight w:val="none"/>
          <w:lang w:eastAsia="zh-CN"/>
        </w:rPr>
        <w:t>1</w:t>
      </w:r>
      <w:r>
        <w:rPr>
          <w:rFonts w:ascii="宋体" w:hAnsi="宋体" w:eastAsia="宋体" w:cs="宋体"/>
          <w:color w:val="auto"/>
          <w:spacing w:val="-2"/>
          <w:kern w:val="0"/>
          <w:sz w:val="24"/>
          <w:szCs w:val="24"/>
          <w:highlight w:val="none"/>
        </w:rPr>
        <w:t>）</w:t>
      </w:r>
      <w:r>
        <w:rPr>
          <w:rFonts w:hint="eastAsia" w:ascii="宋体" w:hAnsi="宋体" w:eastAsia="宋体" w:cs="宋体"/>
          <w:color w:val="auto"/>
          <w:spacing w:val="-2"/>
          <w:kern w:val="0"/>
          <w:sz w:val="24"/>
          <w:szCs w:val="24"/>
          <w:highlight w:val="none"/>
        </w:rPr>
        <w:t>我方承诺在收到中标通知书后，在中标通知书规定的期限内与你方签订合同</w:t>
      </w:r>
      <w:r>
        <w:rPr>
          <w:rFonts w:ascii="宋体" w:hAnsi="宋体" w:eastAsia="宋体" w:cs="宋体"/>
          <w:color w:val="auto"/>
          <w:spacing w:val="-2"/>
          <w:kern w:val="0"/>
          <w:sz w:val="24"/>
          <w:szCs w:val="24"/>
          <w:highlight w:val="none"/>
        </w:rPr>
        <w:t>。</w:t>
      </w:r>
    </w:p>
    <w:p w14:paraId="5F94D27E">
      <w:pPr>
        <w:widowControl/>
        <w:kinsoku/>
        <w:autoSpaceDE/>
        <w:autoSpaceDN/>
        <w:spacing w:before="0" w:beforeLines="0" w:afterLines="0" w:line="360" w:lineRule="auto"/>
        <w:ind w:left="0" w:firstLine="472" w:firstLineChars="200"/>
        <w:jc w:val="left"/>
        <w:rPr>
          <w:rFonts w:ascii="宋体" w:hAnsi="宋体" w:eastAsia="宋体" w:cs="宋体"/>
          <w:color w:val="auto"/>
          <w:kern w:val="0"/>
          <w:sz w:val="24"/>
          <w:szCs w:val="24"/>
          <w:highlight w:val="none"/>
        </w:rPr>
      </w:pPr>
      <w:r>
        <w:rPr>
          <w:rFonts w:ascii="宋体" w:hAnsi="宋体" w:eastAsia="宋体" w:cs="宋体"/>
          <w:color w:val="auto"/>
          <w:spacing w:val="-2"/>
          <w:kern w:val="0"/>
          <w:sz w:val="24"/>
          <w:szCs w:val="24"/>
          <w:highlight w:val="none"/>
        </w:rPr>
        <w:t>（</w:t>
      </w:r>
      <w:r>
        <w:rPr>
          <w:rFonts w:ascii="Times New Roman" w:hAnsi="Times New Roman" w:eastAsia="Times New Roman" w:cs="Times New Roman"/>
          <w:color w:val="auto"/>
          <w:spacing w:val="-2"/>
          <w:kern w:val="0"/>
          <w:sz w:val="24"/>
          <w:szCs w:val="24"/>
          <w:highlight w:val="none"/>
        </w:rPr>
        <w:t>2</w:t>
      </w:r>
      <w:r>
        <w:rPr>
          <w:rFonts w:ascii="宋体" w:hAnsi="宋体" w:eastAsia="宋体" w:cs="宋体"/>
          <w:color w:val="auto"/>
          <w:spacing w:val="-2"/>
          <w:kern w:val="0"/>
          <w:sz w:val="24"/>
          <w:szCs w:val="24"/>
          <w:highlight w:val="none"/>
        </w:rPr>
        <w:t>）随同本投标函递交的投标函附录属于合同文件的组成部分。</w:t>
      </w:r>
    </w:p>
    <w:p w14:paraId="62B19FC3">
      <w:pPr>
        <w:widowControl/>
        <w:kinsoku/>
        <w:autoSpaceDE/>
        <w:autoSpaceDN/>
        <w:spacing w:before="0" w:beforeLines="0" w:afterLines="0" w:line="360" w:lineRule="auto"/>
        <w:ind w:left="0" w:firstLine="472" w:firstLineChars="200"/>
        <w:jc w:val="left"/>
        <w:rPr>
          <w:rFonts w:ascii="宋体" w:hAnsi="宋体" w:eastAsia="宋体" w:cs="宋体"/>
          <w:color w:val="auto"/>
          <w:kern w:val="0"/>
          <w:sz w:val="24"/>
          <w:szCs w:val="24"/>
          <w:highlight w:val="none"/>
        </w:rPr>
      </w:pPr>
      <w:r>
        <w:rPr>
          <w:rFonts w:ascii="宋体" w:hAnsi="宋体" w:eastAsia="宋体" w:cs="宋体"/>
          <w:color w:val="auto"/>
          <w:spacing w:val="-2"/>
          <w:kern w:val="0"/>
          <w:sz w:val="24"/>
          <w:szCs w:val="24"/>
          <w:highlight w:val="none"/>
        </w:rPr>
        <w:t>（</w:t>
      </w:r>
      <w:r>
        <w:rPr>
          <w:rFonts w:ascii="Times New Roman" w:hAnsi="Times New Roman" w:eastAsia="Times New Roman" w:cs="Times New Roman"/>
          <w:color w:val="auto"/>
          <w:spacing w:val="-2"/>
          <w:kern w:val="0"/>
          <w:sz w:val="24"/>
          <w:szCs w:val="24"/>
          <w:highlight w:val="none"/>
        </w:rPr>
        <w:t>3</w:t>
      </w:r>
      <w:r>
        <w:rPr>
          <w:rFonts w:ascii="宋体" w:hAnsi="宋体" w:eastAsia="宋体" w:cs="宋体"/>
          <w:color w:val="auto"/>
          <w:spacing w:val="-2"/>
          <w:kern w:val="0"/>
          <w:sz w:val="24"/>
          <w:szCs w:val="24"/>
          <w:highlight w:val="none"/>
        </w:rPr>
        <w:t>）我方承诺按照招标文件规定向你方递交履约担保。</w:t>
      </w:r>
    </w:p>
    <w:p w14:paraId="2D1CDA5A">
      <w:pPr>
        <w:widowControl/>
        <w:kinsoku/>
        <w:autoSpaceDE/>
        <w:autoSpaceDN/>
        <w:spacing w:before="0" w:beforeLines="0" w:afterLines="0" w:line="360" w:lineRule="auto"/>
        <w:ind w:left="0" w:firstLine="472" w:firstLineChars="200"/>
        <w:jc w:val="left"/>
        <w:rPr>
          <w:rFonts w:ascii="宋体" w:hAnsi="宋体" w:eastAsia="宋体" w:cs="宋体"/>
          <w:color w:val="auto"/>
          <w:spacing w:val="-2"/>
          <w:kern w:val="0"/>
          <w:sz w:val="24"/>
          <w:szCs w:val="24"/>
          <w:highlight w:val="none"/>
        </w:rPr>
      </w:pPr>
      <w:r>
        <w:rPr>
          <w:rFonts w:ascii="宋体" w:hAnsi="宋体" w:eastAsia="宋体" w:cs="宋体"/>
          <w:color w:val="auto"/>
          <w:spacing w:val="-2"/>
          <w:kern w:val="0"/>
          <w:sz w:val="24"/>
          <w:szCs w:val="24"/>
          <w:highlight w:val="none"/>
        </w:rPr>
        <w:t>（</w:t>
      </w:r>
      <w:r>
        <w:rPr>
          <w:rFonts w:ascii="Times New Roman" w:hAnsi="Times New Roman" w:eastAsia="Times New Roman" w:cs="Times New Roman"/>
          <w:color w:val="auto"/>
          <w:spacing w:val="-2"/>
          <w:kern w:val="0"/>
          <w:sz w:val="24"/>
          <w:szCs w:val="24"/>
          <w:highlight w:val="none"/>
        </w:rPr>
        <w:t>4</w:t>
      </w:r>
      <w:r>
        <w:rPr>
          <w:rFonts w:ascii="宋体" w:hAnsi="宋体" w:eastAsia="宋体" w:cs="宋体"/>
          <w:color w:val="auto"/>
          <w:spacing w:val="-2"/>
          <w:kern w:val="0"/>
          <w:sz w:val="24"/>
          <w:szCs w:val="24"/>
          <w:highlight w:val="none"/>
        </w:rPr>
        <w:t>）我方承诺在合同约定的期限内完成并移交全部合同工程。</w:t>
      </w:r>
    </w:p>
    <w:p w14:paraId="7F14264E">
      <w:pPr>
        <w:widowControl/>
        <w:kinsoku/>
        <w:autoSpaceDE/>
        <w:autoSpaceDN/>
        <w:spacing w:before="0" w:beforeLines="0" w:afterLines="0" w:line="360" w:lineRule="auto"/>
        <w:ind w:left="0" w:firstLine="472" w:firstLineChars="200"/>
        <w:jc w:val="left"/>
        <w:rPr>
          <w:rFonts w:ascii="宋体" w:hAnsi="宋体" w:eastAsia="宋体" w:cs="宋体"/>
          <w:color w:val="auto"/>
          <w:spacing w:val="-2"/>
          <w:kern w:val="0"/>
          <w:sz w:val="24"/>
          <w:szCs w:val="24"/>
          <w:highlight w:val="none"/>
        </w:rPr>
      </w:pPr>
      <w:r>
        <w:rPr>
          <w:rFonts w:hint="eastAsia" w:ascii="宋体" w:hAnsi="宋体" w:eastAsia="宋体" w:cs="宋体"/>
          <w:color w:val="auto"/>
          <w:spacing w:val="-2"/>
          <w:kern w:val="0"/>
          <w:sz w:val="24"/>
          <w:szCs w:val="24"/>
          <w:highlight w:val="none"/>
        </w:rPr>
        <w:t>5 ．我方在此声明，所递交的投标文件及有关资料内容完整、真实和准确，且不存在第2章投标人须知第1.4.3项规定的任何一种情形。</w:t>
      </w:r>
    </w:p>
    <w:p w14:paraId="2292675D">
      <w:pPr>
        <w:widowControl/>
        <w:kinsoku/>
        <w:autoSpaceDE/>
        <w:autoSpaceDN/>
        <w:spacing w:before="0" w:beforeLines="0" w:afterLines="0" w:line="360" w:lineRule="auto"/>
        <w:ind w:left="0" w:firstLine="428"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13"/>
          <w:kern w:val="0"/>
          <w:sz w:val="24"/>
          <w:szCs w:val="24"/>
          <w:highlight w:val="none"/>
        </w:rPr>
        <w:t xml:space="preserve">6.  </w:t>
      </w:r>
      <w:r>
        <w:rPr>
          <w:rFonts w:ascii="Times New Roman" w:hAnsi="Times New Roman" w:eastAsia="Times New Roman" w:cs="Times New Roman"/>
          <w:color w:val="auto"/>
          <w:kern w:val="0"/>
          <w:sz w:val="24"/>
          <w:szCs w:val="24"/>
          <w:highlight w:val="none"/>
          <w:u w:val="single" w:color="auto"/>
        </w:rPr>
        <w:t xml:space="preserve">                                    </w:t>
      </w:r>
      <w:r>
        <w:rPr>
          <w:rFonts w:ascii="Times New Roman" w:hAnsi="Times New Roman" w:eastAsia="Times New Roman" w:cs="Times New Roman"/>
          <w:color w:val="auto"/>
          <w:spacing w:val="10"/>
          <w:kern w:val="0"/>
          <w:sz w:val="24"/>
          <w:szCs w:val="24"/>
          <w:highlight w:val="none"/>
        </w:rPr>
        <w:t xml:space="preserve">  </w:t>
      </w:r>
      <w:r>
        <w:rPr>
          <w:rFonts w:ascii="宋体" w:hAnsi="宋体" w:eastAsia="宋体" w:cs="宋体"/>
          <w:color w:val="auto"/>
          <w:spacing w:val="-13"/>
          <w:kern w:val="0"/>
          <w:sz w:val="24"/>
          <w:szCs w:val="24"/>
          <w:highlight w:val="none"/>
        </w:rPr>
        <w:t>（其它补充说明）。</w:t>
      </w:r>
    </w:p>
    <w:p w14:paraId="434B1378">
      <w:pPr>
        <w:kinsoku w:val="0"/>
        <w:autoSpaceDE w:val="0"/>
        <w:autoSpaceDN w:val="0"/>
        <w:adjustRightInd w:val="0"/>
        <w:snapToGrid w:val="0"/>
        <w:spacing w:line="256" w:lineRule="auto"/>
        <w:jc w:val="left"/>
        <w:textAlignment w:val="baseline"/>
        <w:rPr>
          <w:rFonts w:ascii="Arial" w:hAnsi="Arial" w:eastAsia="Arial" w:cs="Arial"/>
          <w:snapToGrid w:val="0"/>
          <w:color w:val="auto"/>
          <w:kern w:val="0"/>
          <w:sz w:val="21"/>
          <w:szCs w:val="21"/>
          <w:highlight w:val="none"/>
          <w:lang w:val="en-US" w:eastAsia="en-US" w:bidi="ar-SA"/>
        </w:rPr>
      </w:pPr>
    </w:p>
    <w:p w14:paraId="24823AC8">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5F9CDE51">
      <w:pPr>
        <w:widowControl/>
        <w:kinsoku w:val="0"/>
        <w:autoSpaceDE w:val="0"/>
        <w:autoSpaceDN w:val="0"/>
        <w:spacing w:before="79" w:line="219" w:lineRule="auto"/>
        <w:ind w:left="3036"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5"/>
          <w:kern w:val="0"/>
          <w:sz w:val="24"/>
          <w:szCs w:val="24"/>
          <w:highlight w:val="none"/>
        </w:rPr>
        <w:t>投</w:t>
      </w:r>
      <w:r>
        <w:rPr>
          <w:rFonts w:ascii="宋体" w:hAnsi="宋体" w:eastAsia="宋体" w:cs="宋体"/>
          <w:color w:val="auto"/>
          <w:spacing w:val="10"/>
          <w:kern w:val="0"/>
          <w:sz w:val="24"/>
          <w:szCs w:val="24"/>
          <w:highlight w:val="none"/>
        </w:rPr>
        <w:t xml:space="preserve"> </w:t>
      </w:r>
      <w:r>
        <w:rPr>
          <w:rFonts w:ascii="宋体" w:hAnsi="宋体" w:eastAsia="宋体" w:cs="宋体"/>
          <w:color w:val="auto"/>
          <w:spacing w:val="-25"/>
          <w:kern w:val="0"/>
          <w:sz w:val="24"/>
          <w:szCs w:val="24"/>
          <w:highlight w:val="none"/>
        </w:rPr>
        <w:t>标</w:t>
      </w:r>
      <w:r>
        <w:rPr>
          <w:rFonts w:ascii="宋体" w:hAnsi="宋体" w:eastAsia="宋体" w:cs="宋体"/>
          <w:color w:val="auto"/>
          <w:spacing w:val="11"/>
          <w:kern w:val="0"/>
          <w:sz w:val="24"/>
          <w:szCs w:val="24"/>
          <w:highlight w:val="none"/>
        </w:rPr>
        <w:t xml:space="preserve"> </w:t>
      </w:r>
      <w:r>
        <w:rPr>
          <w:rFonts w:ascii="宋体" w:hAnsi="宋体" w:eastAsia="宋体" w:cs="宋体"/>
          <w:color w:val="auto"/>
          <w:spacing w:val="-25"/>
          <w:kern w:val="0"/>
          <w:sz w:val="24"/>
          <w:szCs w:val="24"/>
          <w:highlight w:val="none"/>
        </w:rPr>
        <w:t>人</w:t>
      </w:r>
      <w:r>
        <w:rPr>
          <w:rFonts w:ascii="宋体" w:hAnsi="宋体" w:eastAsia="宋体" w:cs="宋体"/>
          <w:color w:val="auto"/>
          <w:spacing w:val="-11"/>
          <w:kern w:val="0"/>
          <w:sz w:val="24"/>
          <w:szCs w:val="24"/>
          <w:highlight w:val="none"/>
        </w:rPr>
        <w:t>：</w:t>
      </w:r>
      <w:r>
        <w:rPr>
          <w:rFonts w:ascii="宋体" w:hAnsi="宋体" w:eastAsia="宋体" w:cs="宋体"/>
          <w:color w:val="auto"/>
          <w:spacing w:val="-38"/>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1"/>
          <w:kern w:val="0"/>
          <w:sz w:val="24"/>
          <w:szCs w:val="24"/>
          <w:highlight w:val="none"/>
        </w:rPr>
        <w:t>（</w:t>
      </w:r>
      <w:r>
        <w:rPr>
          <w:rFonts w:ascii="宋体" w:hAnsi="宋体" w:eastAsia="宋体" w:cs="宋体"/>
          <w:color w:val="auto"/>
          <w:spacing w:val="-25"/>
          <w:kern w:val="0"/>
          <w:sz w:val="24"/>
          <w:szCs w:val="24"/>
          <w:highlight w:val="none"/>
        </w:rPr>
        <w:t>盖单位公章）</w:t>
      </w:r>
    </w:p>
    <w:p w14:paraId="76CB41B8">
      <w:pPr>
        <w:widowControl/>
        <w:kinsoku w:val="0"/>
        <w:autoSpaceDE w:val="0"/>
        <w:autoSpaceDN w:val="0"/>
        <w:spacing w:before="182" w:line="359" w:lineRule="auto"/>
        <w:ind w:left="3059"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1"/>
          <w:kern w:val="0"/>
          <w:sz w:val="24"/>
          <w:szCs w:val="24"/>
          <w:highlight w:val="none"/>
        </w:rPr>
        <w:t>法定代表人或委托代理人</w:t>
      </w:r>
      <w:r>
        <w:rPr>
          <w:rFonts w:ascii="宋体" w:hAnsi="宋体" w:eastAsia="宋体" w:cs="宋体"/>
          <w:color w:val="auto"/>
          <w:spacing w:val="-1"/>
          <w:kern w:val="0"/>
          <w:sz w:val="24"/>
          <w:szCs w:val="24"/>
          <w:highlight w:val="none"/>
        </w:rPr>
        <w:t>：</w:t>
      </w:r>
      <w:r>
        <w:rPr>
          <w:rFonts w:ascii="宋体" w:hAnsi="宋体" w:eastAsia="宋体" w:cs="宋体"/>
          <w:color w:val="auto"/>
          <w:spacing w:val="55"/>
          <w:kern w:val="0"/>
          <w:sz w:val="24"/>
          <w:szCs w:val="24"/>
          <w:highlight w:val="none"/>
        </w:rPr>
        <w:t xml:space="preserve"> </w:t>
      </w:r>
      <w:r>
        <w:rPr>
          <w:rFonts w:ascii="宋体" w:hAnsi="宋体" w:eastAsia="宋体" w:cs="宋体"/>
          <w:color w:val="auto"/>
          <w:spacing w:val="24"/>
          <w:kern w:val="0"/>
          <w:sz w:val="24"/>
          <w:szCs w:val="24"/>
          <w:highlight w:val="none"/>
          <w:u w:val="single" w:color="auto"/>
        </w:rPr>
        <w:t xml:space="preserve">    </w:t>
      </w:r>
      <w:r>
        <w:rPr>
          <w:rFonts w:ascii="宋体" w:hAnsi="宋体" w:eastAsia="宋体" w:cs="宋体"/>
          <w:color w:val="auto"/>
          <w:spacing w:val="-1"/>
          <w:kern w:val="0"/>
          <w:sz w:val="24"/>
          <w:szCs w:val="24"/>
          <w:highlight w:val="none"/>
          <w:u w:val="single" w:color="auto"/>
        </w:rPr>
        <w:t>（</w:t>
      </w:r>
      <w:r>
        <w:rPr>
          <w:rFonts w:ascii="宋体" w:hAnsi="宋体" w:eastAsia="宋体" w:cs="宋体"/>
          <w:color w:val="auto"/>
          <w:spacing w:val="-21"/>
          <w:kern w:val="0"/>
          <w:sz w:val="24"/>
          <w:szCs w:val="24"/>
          <w:highlight w:val="none"/>
          <w:u w:val="single" w:color="auto"/>
        </w:rPr>
        <w:t>签字或盖章）</w:t>
      </w:r>
      <w:r>
        <w:rPr>
          <w:rFonts w:ascii="宋体" w:hAnsi="宋体" w:eastAsia="宋体" w:cs="宋体"/>
          <w:color w:val="auto"/>
          <w:kern w:val="0"/>
          <w:sz w:val="24"/>
          <w:szCs w:val="24"/>
          <w:highlight w:val="none"/>
          <w:u w:val="single" w:color="auto"/>
        </w:rPr>
        <w:t xml:space="preserve">     </w:t>
      </w:r>
    </w:p>
    <w:p w14:paraId="7272C094">
      <w:pPr>
        <w:widowControl/>
        <w:kinsoku w:val="0"/>
        <w:autoSpaceDE w:val="0"/>
        <w:autoSpaceDN w:val="0"/>
        <w:spacing w:before="1" w:line="228" w:lineRule="auto"/>
        <w:ind w:left="3033"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32"/>
          <w:w w:val="99"/>
          <w:kern w:val="0"/>
          <w:sz w:val="24"/>
          <w:szCs w:val="24"/>
          <w:highlight w:val="none"/>
        </w:rPr>
        <w:t>地</w:t>
      </w:r>
      <w:r>
        <w:rPr>
          <w:rFonts w:ascii="宋体" w:hAnsi="宋体" w:eastAsia="宋体" w:cs="宋体"/>
          <w:color w:val="auto"/>
          <w:spacing w:val="2"/>
          <w:kern w:val="0"/>
          <w:sz w:val="24"/>
          <w:szCs w:val="24"/>
          <w:highlight w:val="none"/>
        </w:rPr>
        <w:t xml:space="preserve">    </w:t>
      </w:r>
      <w:r>
        <w:rPr>
          <w:rFonts w:ascii="宋体" w:hAnsi="宋体" w:eastAsia="宋体" w:cs="宋体"/>
          <w:color w:val="auto"/>
          <w:spacing w:val="-32"/>
          <w:w w:val="99"/>
          <w:kern w:val="0"/>
          <w:sz w:val="24"/>
          <w:szCs w:val="24"/>
          <w:highlight w:val="none"/>
        </w:rPr>
        <w:t>址：</w:t>
      </w:r>
      <w:r>
        <w:rPr>
          <w:rFonts w:ascii="宋体" w:hAnsi="宋体" w:eastAsia="宋体" w:cs="宋体"/>
          <w:color w:val="auto"/>
          <w:spacing w:val="-3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72E5F11D">
      <w:pPr>
        <w:widowControl/>
        <w:kinsoku w:val="0"/>
        <w:autoSpaceDE w:val="0"/>
        <w:autoSpaceDN w:val="0"/>
        <w:spacing w:before="170" w:line="359" w:lineRule="auto"/>
        <w:ind w:left="306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9"/>
          <w:w w:val="97"/>
          <w:kern w:val="0"/>
          <w:sz w:val="24"/>
          <w:szCs w:val="24"/>
          <w:highlight w:val="none"/>
        </w:rPr>
        <w:t>电子信箱：</w:t>
      </w:r>
      <w:r>
        <w:rPr>
          <w:rFonts w:ascii="宋体" w:hAnsi="宋体" w:eastAsia="宋体" w:cs="宋体"/>
          <w:color w:val="auto"/>
          <w:spacing w:val="22"/>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05E27D56">
      <w:pPr>
        <w:widowControl/>
        <w:kinsoku w:val="0"/>
        <w:autoSpaceDE w:val="0"/>
        <w:autoSpaceDN w:val="0"/>
        <w:spacing w:before="1" w:line="221" w:lineRule="auto"/>
        <w:ind w:left="306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33"/>
          <w:w w:val="95"/>
          <w:kern w:val="0"/>
          <w:sz w:val="24"/>
          <w:szCs w:val="24"/>
          <w:highlight w:val="none"/>
        </w:rPr>
        <w:t>电</w:t>
      </w:r>
      <w:r>
        <w:rPr>
          <w:rFonts w:ascii="宋体" w:hAnsi="宋体" w:eastAsia="宋体" w:cs="宋体"/>
          <w:color w:val="auto"/>
          <w:spacing w:val="3"/>
          <w:kern w:val="0"/>
          <w:sz w:val="24"/>
          <w:szCs w:val="24"/>
          <w:highlight w:val="none"/>
        </w:rPr>
        <w:t xml:space="preserve">    </w:t>
      </w:r>
      <w:r>
        <w:rPr>
          <w:rFonts w:ascii="宋体" w:hAnsi="宋体" w:eastAsia="宋体" w:cs="宋体"/>
          <w:color w:val="auto"/>
          <w:spacing w:val="-33"/>
          <w:w w:val="95"/>
          <w:kern w:val="0"/>
          <w:sz w:val="24"/>
          <w:szCs w:val="24"/>
          <w:highlight w:val="none"/>
        </w:rPr>
        <w:t>话：</w:t>
      </w:r>
      <w:r>
        <w:rPr>
          <w:rFonts w:ascii="宋体" w:hAnsi="宋体" w:eastAsia="宋体" w:cs="宋体"/>
          <w:color w:val="auto"/>
          <w:spacing w:val="-3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2D8BCB58">
      <w:pPr>
        <w:widowControl/>
        <w:kinsoku w:val="0"/>
        <w:autoSpaceDE w:val="0"/>
        <w:autoSpaceDN w:val="0"/>
        <w:spacing w:before="178" w:line="219" w:lineRule="auto"/>
        <w:ind w:left="303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31"/>
          <w:w w:val="98"/>
          <w:kern w:val="0"/>
          <w:sz w:val="24"/>
          <w:szCs w:val="24"/>
          <w:highlight w:val="none"/>
        </w:rPr>
        <w:t>传</w:t>
      </w:r>
      <w:r>
        <w:rPr>
          <w:rFonts w:ascii="宋体" w:hAnsi="宋体" w:eastAsia="宋体" w:cs="宋体"/>
          <w:color w:val="auto"/>
          <w:spacing w:val="4"/>
          <w:kern w:val="0"/>
          <w:sz w:val="24"/>
          <w:szCs w:val="24"/>
          <w:highlight w:val="none"/>
        </w:rPr>
        <w:t xml:space="preserve">    </w:t>
      </w:r>
      <w:r>
        <w:rPr>
          <w:rFonts w:ascii="宋体" w:hAnsi="宋体" w:eastAsia="宋体" w:cs="宋体"/>
          <w:color w:val="auto"/>
          <w:spacing w:val="-31"/>
          <w:w w:val="98"/>
          <w:kern w:val="0"/>
          <w:sz w:val="24"/>
          <w:szCs w:val="24"/>
          <w:highlight w:val="none"/>
        </w:rPr>
        <w:t>真：</w:t>
      </w:r>
      <w:r>
        <w:rPr>
          <w:rFonts w:ascii="宋体" w:hAnsi="宋体" w:eastAsia="宋体" w:cs="宋体"/>
          <w:color w:val="auto"/>
          <w:spacing w:val="-38"/>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6765D7EE">
      <w:pPr>
        <w:widowControl/>
        <w:kinsoku w:val="0"/>
        <w:autoSpaceDE w:val="0"/>
        <w:autoSpaceDN w:val="0"/>
        <w:spacing w:before="182" w:line="220" w:lineRule="auto"/>
        <w:ind w:left="305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8"/>
          <w:w w:val="98"/>
          <w:kern w:val="0"/>
          <w:sz w:val="24"/>
          <w:szCs w:val="24"/>
          <w:highlight w:val="none"/>
        </w:rPr>
        <w:t>邮政编码：</w:t>
      </w:r>
      <w:r>
        <w:rPr>
          <w:rFonts w:ascii="宋体" w:hAnsi="宋体" w:eastAsia="宋体" w:cs="宋体"/>
          <w:color w:val="auto"/>
          <w:spacing w:val="1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0C0833D4">
      <w:pPr>
        <w:widowControl/>
        <w:tabs>
          <w:tab w:val="left" w:pos="7227"/>
        </w:tabs>
        <w:kinsoku w:val="0"/>
        <w:autoSpaceDE w:val="0"/>
        <w:autoSpaceDN w:val="0"/>
        <w:spacing w:before="181" w:line="220" w:lineRule="auto"/>
        <w:ind w:left="6507" w:firstLine="0" w:firstLineChars="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26"/>
          <w:kern w:val="0"/>
          <w:sz w:val="24"/>
          <w:szCs w:val="24"/>
          <w:highlight w:val="none"/>
        </w:rPr>
        <w:t>年</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26"/>
          <w:kern w:val="0"/>
          <w:sz w:val="24"/>
          <w:szCs w:val="24"/>
          <w:highlight w:val="none"/>
        </w:rPr>
        <w:t>月</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69"/>
          <w:kern w:val="0"/>
          <w:sz w:val="24"/>
          <w:szCs w:val="24"/>
          <w:highlight w:val="none"/>
        </w:rPr>
        <w:t xml:space="preserve"> </w:t>
      </w:r>
      <w:r>
        <w:rPr>
          <w:rFonts w:ascii="宋体" w:hAnsi="宋体" w:eastAsia="宋体" w:cs="宋体"/>
          <w:color w:val="auto"/>
          <w:spacing w:val="-26"/>
          <w:kern w:val="0"/>
          <w:sz w:val="24"/>
          <w:szCs w:val="24"/>
          <w:highlight w:val="none"/>
        </w:rPr>
        <w:t>日</w:t>
      </w:r>
    </w:p>
    <w:p w14:paraId="664F42CB">
      <w:pPr>
        <w:spacing w:line="220" w:lineRule="auto"/>
        <w:rPr>
          <w:rFonts w:ascii="宋体" w:hAnsi="宋体" w:eastAsia="宋体" w:cs="宋体"/>
          <w:color w:val="auto"/>
          <w:sz w:val="24"/>
          <w:szCs w:val="24"/>
          <w:highlight w:val="none"/>
        </w:rPr>
        <w:sectPr>
          <w:footerReference r:id="rId10" w:type="default"/>
          <w:pgSz w:w="11905" w:h="16840"/>
          <w:pgMar w:top="1431" w:right="1527" w:bottom="1260" w:left="1587" w:header="0" w:footer="1097" w:gutter="0"/>
          <w:pgNumType w:fmt="decimal"/>
          <w:cols w:space="720" w:num="1"/>
        </w:sectPr>
      </w:pPr>
    </w:p>
    <w:p w14:paraId="4EE8160C">
      <w:pPr>
        <w:pStyle w:val="4"/>
        <w:kinsoku/>
        <w:spacing w:before="0" w:beforeLines="0" w:afterLines="0"/>
        <w:ind w:left="0"/>
        <w:jc w:val="left"/>
        <w:rPr>
          <w:rFonts w:hint="eastAsia" w:cs="宋体"/>
          <w:bCs/>
          <w:color w:val="auto"/>
          <w:szCs w:val="24"/>
          <w:highlight w:val="none"/>
        </w:rPr>
      </w:pPr>
      <w:bookmarkStart w:id="2393" w:name="_Toc29159"/>
      <w:bookmarkStart w:id="2394" w:name="_Toc24927"/>
      <w:bookmarkStart w:id="2395" w:name="_Toc27734"/>
      <w:r>
        <w:rPr>
          <w:rFonts w:hint="eastAsia" w:ascii="宋体" w:cs="宋体"/>
          <w:b/>
          <w:bCs/>
          <w:color w:val="auto"/>
          <w:spacing w:val="0"/>
          <w:sz w:val="24"/>
          <w:szCs w:val="24"/>
          <w:highlight w:val="none"/>
          <w:lang w:eastAsia="en-US"/>
        </w:rPr>
        <w:t>（二）投标函附录</w:t>
      </w:r>
      <w:bookmarkEnd w:id="2393"/>
      <w:bookmarkEnd w:id="2394"/>
      <w:bookmarkEnd w:id="2395"/>
    </w:p>
    <w:p w14:paraId="2114AC94">
      <w:pPr>
        <w:kinsoku/>
        <w:spacing w:beforeLines="0" w:afterLines="0"/>
        <w:ind w:firstLine="420"/>
        <w:jc w:val="left"/>
        <w:rPr>
          <w:color w:val="auto"/>
          <w:highlight w:val="none"/>
        </w:rPr>
      </w:pPr>
    </w:p>
    <w:tbl>
      <w:tblPr>
        <w:tblStyle w:val="2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36"/>
        <w:gridCol w:w="2438"/>
        <w:gridCol w:w="1697"/>
        <w:gridCol w:w="2688"/>
        <w:gridCol w:w="1248"/>
      </w:tblGrid>
      <w:tr w14:paraId="63EE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1FD3FD8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2438" w:type="dxa"/>
            <w:tcBorders>
              <w:tl2br w:val="nil"/>
              <w:tr2bl w:val="nil"/>
            </w:tcBorders>
            <w:vAlign w:val="center"/>
          </w:tcPr>
          <w:p w14:paraId="59BE58E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条款名称</w:t>
            </w:r>
          </w:p>
        </w:tc>
        <w:tc>
          <w:tcPr>
            <w:tcW w:w="1697" w:type="dxa"/>
            <w:tcBorders>
              <w:tl2br w:val="nil"/>
              <w:tr2bl w:val="nil"/>
            </w:tcBorders>
            <w:vAlign w:val="center"/>
          </w:tcPr>
          <w:p w14:paraId="0E8FD9A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合同条款号</w:t>
            </w:r>
          </w:p>
        </w:tc>
        <w:tc>
          <w:tcPr>
            <w:tcW w:w="2688" w:type="dxa"/>
            <w:tcBorders>
              <w:tl2br w:val="nil"/>
              <w:tr2bl w:val="nil"/>
            </w:tcBorders>
            <w:vAlign w:val="center"/>
          </w:tcPr>
          <w:p w14:paraId="688BD86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约定内容</w:t>
            </w:r>
          </w:p>
        </w:tc>
        <w:tc>
          <w:tcPr>
            <w:tcW w:w="1248" w:type="dxa"/>
            <w:tcBorders>
              <w:tl2br w:val="nil"/>
              <w:tr2bl w:val="nil"/>
            </w:tcBorders>
            <w:vAlign w:val="center"/>
          </w:tcPr>
          <w:p w14:paraId="6509C72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0B94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518E7875">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1</w:t>
            </w:r>
          </w:p>
        </w:tc>
        <w:tc>
          <w:tcPr>
            <w:tcW w:w="2438" w:type="dxa"/>
            <w:tcBorders>
              <w:tl2br w:val="nil"/>
              <w:tr2bl w:val="nil"/>
            </w:tcBorders>
            <w:vAlign w:val="center"/>
          </w:tcPr>
          <w:p w14:paraId="68AAEFE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项目负责人</w:t>
            </w:r>
          </w:p>
        </w:tc>
        <w:tc>
          <w:tcPr>
            <w:tcW w:w="1697" w:type="dxa"/>
            <w:tcBorders>
              <w:tl2br w:val="nil"/>
              <w:tr2bl w:val="nil"/>
            </w:tcBorders>
            <w:vAlign w:val="center"/>
          </w:tcPr>
          <w:p w14:paraId="77F01E3C">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Arial" w:eastAsia="宋体"/>
                <w:b w:val="0"/>
                <w:color w:val="auto"/>
                <w:sz w:val="21"/>
                <w:szCs w:val="21"/>
                <w:highlight w:val="none"/>
                <w:lang w:eastAsia="en-US"/>
              </w:rPr>
              <w:fldChar w:fldCharType="begin"/>
            </w:r>
            <w:r>
              <w:rPr>
                <w:rFonts w:ascii="宋体" w:hAnsi="Arial" w:eastAsia="宋体"/>
                <w:b w:val="0"/>
                <w:color w:val="auto"/>
                <w:sz w:val="21"/>
                <w:szCs w:val="21"/>
                <w:highlight w:val="none"/>
                <w:lang w:eastAsia="en-US"/>
              </w:rPr>
              <w:instrText xml:space="preserve">HYPERLINK "1.1.2.4"</w:instrText>
            </w:r>
            <w:r>
              <w:rPr>
                <w:rFonts w:ascii="宋体" w:hAnsi="Arial" w:eastAsia="宋体"/>
                <w:b w:val="0"/>
                <w:color w:val="auto"/>
                <w:sz w:val="21"/>
                <w:szCs w:val="21"/>
                <w:highlight w:val="none"/>
                <w:lang w:eastAsia="en-US"/>
              </w:rPr>
              <w:fldChar w:fldCharType="separate"/>
            </w:r>
            <w:r>
              <w:rPr>
                <w:rFonts w:ascii="宋体" w:hAnsi="Times New Roman" w:eastAsia="宋体" w:cs="Times New Roman"/>
                <w:b w:val="0"/>
                <w:color w:val="auto"/>
                <w:spacing w:val="0"/>
                <w:sz w:val="21"/>
                <w:szCs w:val="21"/>
                <w:highlight w:val="none"/>
                <w:lang w:eastAsia="en-US"/>
              </w:rPr>
              <w:t>1.1.2.4</w:t>
            </w:r>
            <w:r>
              <w:rPr>
                <w:rFonts w:ascii="宋体" w:hAnsi="Arial" w:eastAsia="宋体"/>
                <w:b w:val="0"/>
                <w:color w:val="auto"/>
                <w:sz w:val="21"/>
                <w:szCs w:val="21"/>
                <w:highlight w:val="none"/>
                <w:lang w:eastAsia="en-US"/>
              </w:rPr>
              <w:fldChar w:fldCharType="end"/>
            </w:r>
          </w:p>
        </w:tc>
        <w:tc>
          <w:tcPr>
            <w:tcW w:w="2688" w:type="dxa"/>
            <w:tcBorders>
              <w:tl2br w:val="nil"/>
              <w:tr2bl w:val="nil"/>
            </w:tcBorders>
            <w:vAlign w:val="center"/>
          </w:tcPr>
          <w:p w14:paraId="39DFBF77">
            <w:pPr>
              <w:pStyle w:val="23"/>
              <w:kinsoku/>
              <w:spacing w:before="0" w:beforeLines="0" w:afterLines="0" w:line="0" w:lineRule="atLeast"/>
              <w:ind w:left="0" w:firstLine="0" w:firstLineChars="0"/>
              <w:jc w:val="left"/>
              <w:rPr>
                <w:color w:val="auto"/>
                <w:sz w:val="21"/>
                <w:szCs w:val="21"/>
                <w:highlight w:val="none"/>
              </w:rPr>
            </w:pPr>
            <w:r>
              <w:rPr>
                <w:rFonts w:hint="eastAsia" w:ascii="宋体" w:hAnsi="宋体" w:eastAsia="宋体" w:cs="宋体"/>
                <w:b w:val="0"/>
                <w:color w:val="auto"/>
                <w:spacing w:val="0"/>
                <w:w w:val="100"/>
                <w:sz w:val="21"/>
                <w:szCs w:val="21"/>
                <w:highlight w:val="none"/>
                <w:lang w:eastAsia="en-US"/>
              </w:rPr>
              <w:t>姓名：</w:t>
            </w:r>
          </w:p>
        </w:tc>
        <w:tc>
          <w:tcPr>
            <w:tcW w:w="1248" w:type="dxa"/>
            <w:tcBorders>
              <w:tl2br w:val="nil"/>
              <w:tr2bl w:val="nil"/>
            </w:tcBorders>
            <w:vAlign w:val="center"/>
          </w:tcPr>
          <w:p w14:paraId="387BCB29">
            <w:pPr>
              <w:kinsoku/>
              <w:spacing w:beforeLines="0" w:afterLines="0" w:line="0" w:lineRule="atLeast"/>
              <w:ind w:firstLine="0" w:firstLineChars="0"/>
              <w:jc w:val="center"/>
              <w:rPr>
                <w:color w:val="auto"/>
                <w:sz w:val="21"/>
                <w:highlight w:val="none"/>
              </w:rPr>
            </w:pPr>
          </w:p>
        </w:tc>
      </w:tr>
      <w:tr w14:paraId="1221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49D1E95C">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2</w:t>
            </w:r>
          </w:p>
        </w:tc>
        <w:tc>
          <w:tcPr>
            <w:tcW w:w="2438" w:type="dxa"/>
            <w:tcBorders>
              <w:tl2br w:val="nil"/>
              <w:tr2bl w:val="nil"/>
            </w:tcBorders>
            <w:vAlign w:val="center"/>
          </w:tcPr>
          <w:p w14:paraId="5995318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工期</w:t>
            </w:r>
          </w:p>
        </w:tc>
        <w:tc>
          <w:tcPr>
            <w:tcW w:w="1697" w:type="dxa"/>
            <w:tcBorders>
              <w:tl2br w:val="nil"/>
              <w:tr2bl w:val="nil"/>
            </w:tcBorders>
            <w:vAlign w:val="center"/>
          </w:tcPr>
          <w:p w14:paraId="46B4592F">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Arial" w:eastAsia="宋体"/>
                <w:b w:val="0"/>
                <w:color w:val="auto"/>
                <w:sz w:val="21"/>
                <w:szCs w:val="21"/>
                <w:highlight w:val="none"/>
                <w:lang w:eastAsia="en-US"/>
              </w:rPr>
              <w:fldChar w:fldCharType="begin"/>
            </w:r>
            <w:r>
              <w:rPr>
                <w:rFonts w:ascii="宋体" w:hAnsi="Arial" w:eastAsia="宋体"/>
                <w:b w:val="0"/>
                <w:color w:val="auto"/>
                <w:sz w:val="21"/>
                <w:szCs w:val="21"/>
                <w:highlight w:val="none"/>
                <w:lang w:eastAsia="en-US"/>
              </w:rPr>
              <w:instrText xml:space="preserve">HYPERLINK "1.1.4.3"</w:instrText>
            </w:r>
            <w:r>
              <w:rPr>
                <w:rFonts w:ascii="宋体" w:hAnsi="Arial" w:eastAsia="宋体"/>
                <w:b w:val="0"/>
                <w:color w:val="auto"/>
                <w:sz w:val="21"/>
                <w:szCs w:val="21"/>
                <w:highlight w:val="none"/>
                <w:lang w:eastAsia="en-US"/>
              </w:rPr>
              <w:fldChar w:fldCharType="separate"/>
            </w:r>
            <w:r>
              <w:rPr>
                <w:rFonts w:ascii="宋体" w:hAnsi="Times New Roman" w:eastAsia="宋体" w:cs="Times New Roman"/>
                <w:b w:val="0"/>
                <w:color w:val="auto"/>
                <w:spacing w:val="0"/>
                <w:sz w:val="21"/>
                <w:szCs w:val="21"/>
                <w:highlight w:val="none"/>
                <w:lang w:eastAsia="en-US"/>
              </w:rPr>
              <w:t>1.1.4.3</w:t>
            </w:r>
            <w:r>
              <w:rPr>
                <w:rFonts w:ascii="宋体" w:hAnsi="Arial" w:eastAsia="宋体"/>
                <w:b w:val="0"/>
                <w:color w:val="auto"/>
                <w:sz w:val="21"/>
                <w:szCs w:val="21"/>
                <w:highlight w:val="none"/>
                <w:lang w:eastAsia="en-US"/>
              </w:rPr>
              <w:fldChar w:fldCharType="end"/>
            </w:r>
          </w:p>
        </w:tc>
        <w:tc>
          <w:tcPr>
            <w:tcW w:w="2688" w:type="dxa"/>
            <w:tcBorders>
              <w:tl2br w:val="nil"/>
              <w:tr2bl w:val="nil"/>
            </w:tcBorders>
            <w:vAlign w:val="center"/>
          </w:tcPr>
          <w:p w14:paraId="4E393054">
            <w:pPr>
              <w:pStyle w:val="23"/>
              <w:tabs>
                <w:tab w:val="left" w:pos="864"/>
              </w:tabs>
              <w:kinsoku/>
              <w:spacing w:before="0" w:beforeLines="0" w:afterLines="0" w:line="0" w:lineRule="atLeast"/>
              <w:ind w:left="0" w:firstLine="0" w:firstLineChars="0"/>
              <w:jc w:val="center"/>
              <w:rPr>
                <w:rFonts w:ascii="宋体" w:hAnsi="新宋体" w:eastAsia="宋体" w:cs="新宋体"/>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pacing w:val="0"/>
                <w:sz w:val="21"/>
                <w:szCs w:val="21"/>
                <w:highlight w:val="none"/>
                <w:lang w:eastAsia="en-US"/>
              </w:rPr>
              <w:t>个</w:t>
            </w:r>
            <w:r>
              <w:rPr>
                <w:rFonts w:hint="eastAsia" w:ascii="宋体" w:hAnsi="宋体" w:eastAsia="宋体" w:cs="宋体"/>
                <w:b w:val="0"/>
                <w:strike/>
                <w:color w:val="auto"/>
                <w:spacing w:val="0"/>
                <w:sz w:val="21"/>
                <w:szCs w:val="21"/>
                <w:highlight w:val="none"/>
                <w:lang w:eastAsia="en-US"/>
              </w:rPr>
              <w:t>月</w:t>
            </w:r>
            <w:r>
              <w:rPr>
                <w:rFonts w:ascii="宋体" w:hAnsi="新宋体" w:eastAsia="宋体" w:cs="新宋体"/>
                <w:b w:val="0"/>
                <w:strike/>
                <w:color w:val="auto"/>
                <w:spacing w:val="0"/>
                <w:sz w:val="21"/>
                <w:szCs w:val="21"/>
                <w:highlight w:val="none"/>
                <w:lang w:eastAsia="en-US"/>
              </w:rPr>
              <w:t>（</w:t>
            </w:r>
            <w:r>
              <w:rPr>
                <w:rFonts w:ascii="宋体" w:hAnsi="新宋体" w:eastAsia="宋体" w:cs="新宋体"/>
                <w:b w:val="0"/>
                <w:color w:val="auto"/>
                <w:spacing w:val="0"/>
                <w:sz w:val="21"/>
                <w:szCs w:val="21"/>
                <w:highlight w:val="none"/>
                <w:lang w:eastAsia="en-US"/>
              </w:rPr>
              <w:t>日历天</w:t>
            </w:r>
            <w:r>
              <w:rPr>
                <w:rFonts w:ascii="宋体" w:hAnsi="新宋体" w:eastAsia="宋体" w:cs="新宋体"/>
                <w:b w:val="0"/>
                <w:strike/>
                <w:color w:val="auto"/>
                <w:spacing w:val="0"/>
                <w:sz w:val="21"/>
                <w:szCs w:val="21"/>
                <w:highlight w:val="none"/>
                <w:lang w:eastAsia="en-US"/>
              </w:rPr>
              <w:t>）</w:t>
            </w:r>
          </w:p>
        </w:tc>
        <w:tc>
          <w:tcPr>
            <w:tcW w:w="1248" w:type="dxa"/>
            <w:tcBorders>
              <w:tl2br w:val="nil"/>
              <w:tr2bl w:val="nil"/>
            </w:tcBorders>
            <w:vAlign w:val="center"/>
          </w:tcPr>
          <w:p w14:paraId="4958EEEE">
            <w:pPr>
              <w:kinsoku/>
              <w:spacing w:beforeLines="0" w:afterLines="0" w:line="0" w:lineRule="atLeast"/>
              <w:ind w:firstLine="0" w:firstLineChars="0"/>
              <w:jc w:val="center"/>
              <w:rPr>
                <w:color w:val="auto"/>
                <w:sz w:val="21"/>
                <w:highlight w:val="none"/>
              </w:rPr>
            </w:pPr>
          </w:p>
        </w:tc>
      </w:tr>
      <w:tr w14:paraId="725D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67984B32">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3</w:t>
            </w:r>
          </w:p>
        </w:tc>
        <w:tc>
          <w:tcPr>
            <w:tcW w:w="2438" w:type="dxa"/>
            <w:tcBorders>
              <w:tl2br w:val="nil"/>
              <w:tr2bl w:val="nil"/>
            </w:tcBorders>
            <w:vAlign w:val="center"/>
          </w:tcPr>
          <w:p w14:paraId="284558D8">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缺陷责任期</w:t>
            </w:r>
          </w:p>
          <w:p w14:paraId="7501916B">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（工程质量保修期）</w:t>
            </w:r>
          </w:p>
        </w:tc>
        <w:tc>
          <w:tcPr>
            <w:tcW w:w="1697" w:type="dxa"/>
            <w:tcBorders>
              <w:tl2br w:val="nil"/>
              <w:tr2bl w:val="nil"/>
            </w:tcBorders>
            <w:vAlign w:val="center"/>
          </w:tcPr>
          <w:p w14:paraId="3B5F96A3">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Arial" w:eastAsia="宋体"/>
                <w:b w:val="0"/>
                <w:color w:val="auto"/>
                <w:sz w:val="21"/>
                <w:szCs w:val="21"/>
                <w:highlight w:val="none"/>
                <w:lang w:eastAsia="en-US"/>
              </w:rPr>
              <w:fldChar w:fldCharType="begin"/>
            </w:r>
            <w:r>
              <w:rPr>
                <w:rFonts w:ascii="宋体" w:hAnsi="Arial" w:eastAsia="宋体"/>
                <w:b w:val="0"/>
                <w:color w:val="auto"/>
                <w:sz w:val="21"/>
                <w:szCs w:val="21"/>
                <w:highlight w:val="none"/>
                <w:lang w:eastAsia="en-US"/>
              </w:rPr>
              <w:instrText xml:space="preserve">HYPERLINK "1.1.4.5"</w:instrText>
            </w:r>
            <w:r>
              <w:rPr>
                <w:rFonts w:ascii="宋体" w:hAnsi="Arial" w:eastAsia="宋体"/>
                <w:b w:val="0"/>
                <w:color w:val="auto"/>
                <w:sz w:val="21"/>
                <w:szCs w:val="21"/>
                <w:highlight w:val="none"/>
                <w:lang w:eastAsia="en-US"/>
              </w:rPr>
              <w:fldChar w:fldCharType="separate"/>
            </w:r>
            <w:r>
              <w:rPr>
                <w:rFonts w:ascii="宋体" w:hAnsi="Times New Roman" w:eastAsia="宋体" w:cs="Times New Roman"/>
                <w:b w:val="0"/>
                <w:color w:val="auto"/>
                <w:spacing w:val="0"/>
                <w:sz w:val="21"/>
                <w:szCs w:val="21"/>
                <w:highlight w:val="none"/>
                <w:lang w:eastAsia="en-US"/>
              </w:rPr>
              <w:t>1.1.4.5</w:t>
            </w:r>
            <w:r>
              <w:rPr>
                <w:rFonts w:ascii="宋体" w:hAnsi="Arial" w:eastAsia="宋体"/>
                <w:b w:val="0"/>
                <w:color w:val="auto"/>
                <w:sz w:val="21"/>
                <w:szCs w:val="21"/>
                <w:highlight w:val="none"/>
                <w:lang w:eastAsia="en-US"/>
              </w:rPr>
              <w:fldChar w:fldCharType="end"/>
            </w:r>
          </w:p>
        </w:tc>
        <w:tc>
          <w:tcPr>
            <w:tcW w:w="2688" w:type="dxa"/>
            <w:tcBorders>
              <w:tl2br w:val="nil"/>
              <w:tr2bl w:val="nil"/>
            </w:tcBorders>
            <w:vAlign w:val="center"/>
          </w:tcPr>
          <w:p w14:paraId="2BDE179E">
            <w:pPr>
              <w:kinsoku/>
              <w:spacing w:beforeLines="0" w:afterLines="0" w:line="0" w:lineRule="atLeast"/>
              <w:ind w:firstLine="0" w:firstLineChars="0"/>
              <w:jc w:val="center"/>
              <w:rPr>
                <w:color w:val="auto"/>
                <w:sz w:val="21"/>
                <w:highlight w:val="none"/>
              </w:rPr>
            </w:pPr>
          </w:p>
        </w:tc>
        <w:tc>
          <w:tcPr>
            <w:tcW w:w="1248" w:type="dxa"/>
            <w:tcBorders>
              <w:tl2br w:val="nil"/>
              <w:tr2bl w:val="nil"/>
            </w:tcBorders>
            <w:vAlign w:val="center"/>
          </w:tcPr>
          <w:p w14:paraId="67C18717">
            <w:pPr>
              <w:kinsoku/>
              <w:spacing w:beforeLines="0" w:afterLines="0" w:line="0" w:lineRule="atLeast"/>
              <w:ind w:firstLine="0" w:firstLineChars="0"/>
              <w:jc w:val="center"/>
              <w:rPr>
                <w:color w:val="auto"/>
                <w:sz w:val="21"/>
                <w:highlight w:val="none"/>
              </w:rPr>
            </w:pPr>
          </w:p>
        </w:tc>
      </w:tr>
      <w:tr w14:paraId="3A7B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0F173731">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4</w:t>
            </w:r>
          </w:p>
        </w:tc>
        <w:tc>
          <w:tcPr>
            <w:tcW w:w="2438" w:type="dxa"/>
            <w:tcBorders>
              <w:tl2br w:val="nil"/>
              <w:tr2bl w:val="nil"/>
            </w:tcBorders>
            <w:vAlign w:val="center"/>
          </w:tcPr>
          <w:p w14:paraId="39A69A2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分包</w:t>
            </w:r>
          </w:p>
        </w:tc>
        <w:tc>
          <w:tcPr>
            <w:tcW w:w="1697" w:type="dxa"/>
            <w:tcBorders>
              <w:tl2br w:val="nil"/>
              <w:tr2bl w:val="nil"/>
            </w:tcBorders>
            <w:vAlign w:val="center"/>
          </w:tcPr>
          <w:p w14:paraId="6A7BA143">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sz w:val="21"/>
                <w:szCs w:val="21"/>
                <w:highlight w:val="none"/>
                <w:lang w:eastAsia="en-US"/>
              </w:rPr>
              <w:t>4.3</w:t>
            </w:r>
          </w:p>
        </w:tc>
        <w:tc>
          <w:tcPr>
            <w:tcW w:w="2688" w:type="dxa"/>
            <w:tcBorders>
              <w:tl2br w:val="nil"/>
              <w:tr2bl w:val="nil"/>
            </w:tcBorders>
            <w:vAlign w:val="center"/>
          </w:tcPr>
          <w:p w14:paraId="0D1E8E14">
            <w:pPr>
              <w:kinsoku/>
              <w:spacing w:beforeLines="0" w:afterLines="0" w:line="0" w:lineRule="atLeast"/>
              <w:ind w:firstLine="0" w:firstLineChars="0"/>
              <w:jc w:val="center"/>
              <w:rPr>
                <w:color w:val="auto"/>
                <w:sz w:val="21"/>
                <w:highlight w:val="none"/>
              </w:rPr>
            </w:pPr>
          </w:p>
        </w:tc>
        <w:tc>
          <w:tcPr>
            <w:tcW w:w="1248" w:type="dxa"/>
            <w:tcBorders>
              <w:tl2br w:val="nil"/>
              <w:tr2bl w:val="nil"/>
            </w:tcBorders>
            <w:vAlign w:val="center"/>
          </w:tcPr>
          <w:p w14:paraId="060BD4FC">
            <w:pPr>
              <w:kinsoku/>
              <w:spacing w:beforeLines="0" w:afterLines="0" w:line="0" w:lineRule="atLeast"/>
              <w:ind w:firstLine="0" w:firstLineChars="0"/>
              <w:jc w:val="center"/>
              <w:rPr>
                <w:color w:val="auto"/>
                <w:sz w:val="21"/>
                <w:highlight w:val="none"/>
              </w:rPr>
            </w:pPr>
          </w:p>
        </w:tc>
      </w:tr>
      <w:tr w14:paraId="3EB8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42E5D48D">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5</w:t>
            </w:r>
          </w:p>
        </w:tc>
        <w:tc>
          <w:tcPr>
            <w:tcW w:w="2438" w:type="dxa"/>
            <w:tcBorders>
              <w:tl2br w:val="nil"/>
              <w:tr2bl w:val="nil"/>
            </w:tcBorders>
            <w:vAlign w:val="center"/>
          </w:tcPr>
          <w:p w14:paraId="0324990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投标有效期</w:t>
            </w:r>
          </w:p>
        </w:tc>
        <w:tc>
          <w:tcPr>
            <w:tcW w:w="1697" w:type="dxa"/>
            <w:tcBorders>
              <w:tl2br w:val="nil"/>
              <w:tr2bl w:val="nil"/>
            </w:tcBorders>
            <w:vAlign w:val="center"/>
          </w:tcPr>
          <w:p w14:paraId="6D00A83B">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w:t>
            </w:r>
          </w:p>
        </w:tc>
        <w:tc>
          <w:tcPr>
            <w:tcW w:w="2688" w:type="dxa"/>
            <w:tcBorders>
              <w:tl2br w:val="nil"/>
              <w:tr2bl w:val="nil"/>
            </w:tcBorders>
            <w:vAlign w:val="center"/>
          </w:tcPr>
          <w:p w14:paraId="46080AF5">
            <w:pPr>
              <w:kinsoku/>
              <w:spacing w:beforeLines="0" w:afterLines="0" w:line="0" w:lineRule="atLeast"/>
              <w:ind w:firstLine="0" w:firstLineChars="0"/>
              <w:jc w:val="center"/>
              <w:rPr>
                <w:color w:val="auto"/>
                <w:sz w:val="21"/>
                <w:highlight w:val="none"/>
              </w:rPr>
            </w:pPr>
          </w:p>
        </w:tc>
        <w:tc>
          <w:tcPr>
            <w:tcW w:w="1248" w:type="dxa"/>
            <w:tcBorders>
              <w:tl2br w:val="nil"/>
              <w:tr2bl w:val="nil"/>
            </w:tcBorders>
            <w:vAlign w:val="center"/>
          </w:tcPr>
          <w:p w14:paraId="5929E566">
            <w:pPr>
              <w:kinsoku/>
              <w:spacing w:beforeLines="0" w:afterLines="0" w:line="0" w:lineRule="atLeast"/>
              <w:ind w:firstLine="0" w:firstLineChars="0"/>
              <w:jc w:val="center"/>
              <w:rPr>
                <w:color w:val="auto"/>
                <w:sz w:val="21"/>
                <w:highlight w:val="none"/>
              </w:rPr>
            </w:pPr>
          </w:p>
        </w:tc>
      </w:tr>
      <w:tr w14:paraId="0BDFA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5016B9FA">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2438" w:type="dxa"/>
            <w:tcBorders>
              <w:tl2br w:val="nil"/>
              <w:tr2bl w:val="nil"/>
            </w:tcBorders>
            <w:vAlign w:val="center"/>
          </w:tcPr>
          <w:p w14:paraId="1B1D8783">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1697" w:type="dxa"/>
            <w:tcBorders>
              <w:tl2br w:val="nil"/>
              <w:tr2bl w:val="nil"/>
            </w:tcBorders>
            <w:vAlign w:val="center"/>
          </w:tcPr>
          <w:p w14:paraId="51B90091">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2688" w:type="dxa"/>
            <w:tcBorders>
              <w:tl2br w:val="nil"/>
              <w:tr2bl w:val="nil"/>
            </w:tcBorders>
            <w:vAlign w:val="center"/>
          </w:tcPr>
          <w:p w14:paraId="11044327">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1248" w:type="dxa"/>
            <w:tcBorders>
              <w:tl2br w:val="nil"/>
              <w:tr2bl w:val="nil"/>
            </w:tcBorders>
            <w:vAlign w:val="center"/>
          </w:tcPr>
          <w:p w14:paraId="021F65C8">
            <w:pPr>
              <w:kinsoku/>
              <w:spacing w:beforeLines="0" w:afterLines="0" w:line="0" w:lineRule="atLeast"/>
              <w:ind w:firstLine="0" w:firstLineChars="0"/>
              <w:jc w:val="center"/>
              <w:rPr>
                <w:color w:val="auto"/>
                <w:sz w:val="21"/>
                <w:highlight w:val="none"/>
              </w:rPr>
            </w:pPr>
          </w:p>
        </w:tc>
      </w:tr>
      <w:tr w14:paraId="3CFD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36" w:type="dxa"/>
            <w:tcBorders>
              <w:tl2br w:val="nil"/>
              <w:tr2bl w:val="nil"/>
            </w:tcBorders>
            <w:vAlign w:val="center"/>
          </w:tcPr>
          <w:p w14:paraId="05366E7E">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2438" w:type="dxa"/>
            <w:tcBorders>
              <w:tl2br w:val="nil"/>
              <w:tr2bl w:val="nil"/>
            </w:tcBorders>
            <w:vAlign w:val="center"/>
          </w:tcPr>
          <w:p w14:paraId="75AD3A01">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1697" w:type="dxa"/>
            <w:tcBorders>
              <w:tl2br w:val="nil"/>
              <w:tr2bl w:val="nil"/>
            </w:tcBorders>
            <w:vAlign w:val="center"/>
          </w:tcPr>
          <w:p w14:paraId="7EF6499A">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2688" w:type="dxa"/>
            <w:tcBorders>
              <w:tl2br w:val="nil"/>
              <w:tr2bl w:val="nil"/>
            </w:tcBorders>
            <w:vAlign w:val="center"/>
          </w:tcPr>
          <w:p w14:paraId="1688E255">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1248" w:type="dxa"/>
            <w:tcBorders>
              <w:tl2br w:val="nil"/>
              <w:tr2bl w:val="nil"/>
            </w:tcBorders>
            <w:vAlign w:val="center"/>
          </w:tcPr>
          <w:p w14:paraId="492B02A6">
            <w:pPr>
              <w:kinsoku/>
              <w:spacing w:beforeLines="0" w:afterLines="0" w:line="0" w:lineRule="atLeast"/>
              <w:ind w:firstLine="0" w:firstLineChars="0"/>
              <w:jc w:val="center"/>
              <w:rPr>
                <w:color w:val="auto"/>
                <w:sz w:val="21"/>
                <w:highlight w:val="none"/>
              </w:rPr>
            </w:pPr>
          </w:p>
        </w:tc>
      </w:tr>
    </w:tbl>
    <w:p w14:paraId="45C9C1A1">
      <w:pPr>
        <w:pStyle w:val="7"/>
        <w:kinsoku/>
        <w:spacing w:beforeLines="0" w:afterLines="0"/>
        <w:ind w:firstLine="420"/>
        <w:jc w:val="left"/>
        <w:rPr>
          <w:color w:val="auto"/>
          <w:highlight w:val="none"/>
        </w:rPr>
      </w:pPr>
    </w:p>
    <w:p w14:paraId="0ABF9537">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77EC71BE">
      <w:pPr>
        <w:pStyle w:val="3"/>
        <w:kinsoku/>
        <w:spacing w:before="169"/>
        <w:ind w:left="0"/>
        <w:jc w:val="center"/>
        <w:outlineLvl w:val="1"/>
        <w:rPr>
          <w:rFonts w:hint="eastAsia"/>
          <w:color w:val="auto"/>
          <w:szCs w:val="30"/>
          <w:highlight w:val="none"/>
          <w:lang w:eastAsia="zh-CN"/>
        </w:rPr>
      </w:pPr>
      <w:bookmarkStart w:id="2396" w:name="_Toc27432"/>
      <w:bookmarkStart w:id="2397" w:name="_Toc11488"/>
      <w:bookmarkStart w:id="2398" w:name="_Toc16521"/>
      <w:bookmarkStart w:id="2399" w:name="_Toc2134"/>
      <w:bookmarkStart w:id="2400" w:name="_Toc9096"/>
      <w:bookmarkStart w:id="2401" w:name="_Toc25532"/>
      <w:bookmarkStart w:id="2402" w:name="_Toc8866"/>
      <w:bookmarkStart w:id="2403" w:name="_Toc20577"/>
      <w:bookmarkStart w:id="2404" w:name="_Toc16397"/>
      <w:bookmarkStart w:id="2405" w:name="_Toc18878"/>
      <w:bookmarkStart w:id="2406" w:name="_Toc29726"/>
      <w:bookmarkStart w:id="2407" w:name="_Toc9204"/>
      <w:bookmarkStart w:id="2408" w:name="_Toc11311"/>
      <w:bookmarkStart w:id="2409" w:name="_Toc1986"/>
      <w:r>
        <w:rPr>
          <w:rFonts w:hint="eastAsia" w:ascii="宋体" w:cs="Arial"/>
          <w:b/>
          <w:bCs w:val="0"/>
          <w:color w:val="auto"/>
          <w:spacing w:val="0"/>
          <w:sz w:val="30"/>
          <w:szCs w:val="30"/>
          <w:highlight w:val="none"/>
          <w:lang w:eastAsia="zh-CN"/>
        </w:rPr>
        <w:t>二、法定代表人身份证明</w:t>
      </w:r>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p>
    <w:p w14:paraId="0D01EE37">
      <w:pPr>
        <w:pStyle w:val="7"/>
        <w:kinsoku/>
        <w:spacing w:beforeLines="0" w:afterLines="0"/>
        <w:ind w:firstLine="420"/>
        <w:jc w:val="left"/>
        <w:rPr>
          <w:color w:val="auto"/>
          <w:highlight w:val="none"/>
          <w:lang w:eastAsia="zh-CN"/>
        </w:rPr>
      </w:pPr>
    </w:p>
    <w:p w14:paraId="327ACA7F">
      <w:pPr>
        <w:pStyle w:val="7"/>
        <w:kinsoku/>
        <w:spacing w:beforeLines="0" w:afterLines="0"/>
        <w:ind w:firstLine="420"/>
        <w:jc w:val="left"/>
        <w:rPr>
          <w:color w:val="auto"/>
          <w:highlight w:val="none"/>
          <w:lang w:eastAsia="zh-CN"/>
        </w:rPr>
      </w:pPr>
    </w:p>
    <w:p w14:paraId="1C4D63ED">
      <w:pPr>
        <w:widowControl/>
        <w:kinsoku w:val="0"/>
        <w:autoSpaceDE w:val="0"/>
        <w:autoSpaceDN w:val="0"/>
        <w:spacing w:before="78" w:line="359" w:lineRule="auto"/>
        <w:ind w:left="48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6"/>
          <w:w w:val="97"/>
          <w:kern w:val="0"/>
          <w:sz w:val="24"/>
          <w:szCs w:val="24"/>
          <w:highlight w:val="none"/>
        </w:rPr>
        <w:t>投标人名称：</w:t>
      </w:r>
      <w:r>
        <w:rPr>
          <w:rFonts w:ascii="宋体" w:hAnsi="宋体" w:eastAsia="宋体" w:cs="宋体"/>
          <w:color w:val="auto"/>
          <w:spacing w:val="6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5904B6EF">
      <w:pPr>
        <w:widowControl/>
        <w:kinsoku w:val="0"/>
        <w:autoSpaceDE w:val="0"/>
        <w:autoSpaceDN w:val="0"/>
        <w:spacing w:line="220" w:lineRule="auto"/>
        <w:ind w:left="480"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6"/>
          <w:w w:val="98"/>
          <w:kern w:val="0"/>
          <w:sz w:val="24"/>
          <w:szCs w:val="24"/>
          <w:highlight w:val="none"/>
        </w:rPr>
        <w:t>单位性质：</w:t>
      </w:r>
      <w:r>
        <w:rPr>
          <w:rFonts w:ascii="宋体" w:hAnsi="宋体" w:eastAsia="宋体" w:cs="宋体"/>
          <w:color w:val="auto"/>
          <w:spacing w:val="21"/>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62971A58">
      <w:pPr>
        <w:widowControl/>
        <w:kinsoku w:val="0"/>
        <w:autoSpaceDE w:val="0"/>
        <w:autoSpaceDN w:val="0"/>
        <w:spacing w:before="180" w:line="229" w:lineRule="auto"/>
        <w:ind w:left="479"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31"/>
          <w:w w:val="95"/>
          <w:kern w:val="0"/>
          <w:sz w:val="24"/>
          <w:szCs w:val="24"/>
          <w:highlight w:val="none"/>
        </w:rPr>
        <w:t>地址：</w:t>
      </w:r>
      <w:r>
        <w:rPr>
          <w:rFonts w:ascii="宋体" w:hAnsi="宋体" w:eastAsia="宋体" w:cs="宋体"/>
          <w:color w:val="auto"/>
          <w:spacing w:val="-2"/>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5D79F7ED">
      <w:pPr>
        <w:widowControl/>
        <w:kinsoku w:val="0"/>
        <w:autoSpaceDE w:val="0"/>
        <w:autoSpaceDN w:val="0"/>
        <w:spacing w:before="168" w:line="220" w:lineRule="auto"/>
        <w:ind w:left="480"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2"/>
          <w:kern w:val="0"/>
          <w:sz w:val="24"/>
          <w:szCs w:val="24"/>
          <w:highlight w:val="none"/>
        </w:rPr>
        <w:t>成立时间：</w:t>
      </w:r>
      <w:r>
        <w:rPr>
          <w:rFonts w:ascii="宋体" w:hAnsi="宋体" w:eastAsia="宋体" w:cs="宋体"/>
          <w:color w:val="auto"/>
          <w:spacing w:val="18"/>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10"/>
          <w:kern w:val="0"/>
          <w:sz w:val="24"/>
          <w:szCs w:val="24"/>
          <w:highlight w:val="none"/>
        </w:rPr>
        <w:t xml:space="preserve"> </w:t>
      </w:r>
      <w:r>
        <w:rPr>
          <w:rFonts w:ascii="宋体" w:hAnsi="宋体" w:eastAsia="宋体" w:cs="宋体"/>
          <w:color w:val="auto"/>
          <w:spacing w:val="-22"/>
          <w:kern w:val="0"/>
          <w:sz w:val="24"/>
          <w:szCs w:val="24"/>
          <w:highlight w:val="none"/>
        </w:rPr>
        <w:t>年</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22"/>
          <w:kern w:val="0"/>
          <w:sz w:val="24"/>
          <w:szCs w:val="24"/>
          <w:highlight w:val="none"/>
        </w:rPr>
        <w:t>月</w:t>
      </w:r>
      <w:r>
        <w:rPr>
          <w:rFonts w:ascii="宋体" w:hAnsi="宋体" w:eastAsia="宋体" w:cs="宋体"/>
          <w:color w:val="auto"/>
          <w:spacing w:val="40"/>
          <w:kern w:val="0"/>
          <w:sz w:val="24"/>
          <w:szCs w:val="24"/>
          <w:highlight w:val="none"/>
          <w:u w:val="single" w:color="auto"/>
        </w:rPr>
        <w:t xml:space="preserve">   </w:t>
      </w:r>
      <w:r>
        <w:rPr>
          <w:rFonts w:ascii="宋体" w:hAnsi="宋体" w:eastAsia="宋体" w:cs="宋体"/>
          <w:color w:val="auto"/>
          <w:spacing w:val="-69"/>
          <w:kern w:val="0"/>
          <w:sz w:val="24"/>
          <w:szCs w:val="24"/>
          <w:highlight w:val="none"/>
        </w:rPr>
        <w:t xml:space="preserve"> </w:t>
      </w:r>
      <w:r>
        <w:rPr>
          <w:rFonts w:ascii="宋体" w:hAnsi="宋体" w:eastAsia="宋体" w:cs="宋体"/>
          <w:color w:val="auto"/>
          <w:spacing w:val="-22"/>
          <w:kern w:val="0"/>
          <w:sz w:val="24"/>
          <w:szCs w:val="24"/>
          <w:highlight w:val="none"/>
        </w:rPr>
        <w:t>日</w:t>
      </w:r>
    </w:p>
    <w:p w14:paraId="6BC7CC4D">
      <w:pPr>
        <w:widowControl/>
        <w:kinsoku w:val="0"/>
        <w:autoSpaceDE w:val="0"/>
        <w:autoSpaceDN w:val="0"/>
        <w:spacing w:before="181" w:line="220" w:lineRule="auto"/>
        <w:ind w:left="480"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30"/>
          <w:kern w:val="0"/>
          <w:sz w:val="24"/>
          <w:szCs w:val="24"/>
          <w:highlight w:val="none"/>
        </w:rPr>
        <w:t>经营期限：</w:t>
      </w:r>
      <w:r>
        <w:rPr>
          <w:rFonts w:ascii="宋体" w:hAnsi="宋体" w:eastAsia="宋体" w:cs="宋体"/>
          <w:color w:val="auto"/>
          <w:spacing w:val="17"/>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735D9A76">
      <w:pPr>
        <w:widowControl/>
        <w:kinsoku w:val="0"/>
        <w:autoSpaceDE w:val="0"/>
        <w:autoSpaceDN w:val="0"/>
        <w:spacing w:before="181" w:line="359" w:lineRule="auto"/>
        <w:ind w:left="479"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4"/>
          <w:kern w:val="0"/>
          <w:sz w:val="24"/>
          <w:szCs w:val="24"/>
          <w:highlight w:val="none"/>
        </w:rPr>
        <w:t xml:space="preserve">姓名：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8"/>
          <w:kern w:val="0"/>
          <w:sz w:val="24"/>
          <w:szCs w:val="24"/>
          <w:highlight w:val="none"/>
        </w:rPr>
        <w:t xml:space="preserve"> </w:t>
      </w:r>
      <w:r>
        <w:rPr>
          <w:rFonts w:ascii="宋体" w:hAnsi="宋体" w:eastAsia="宋体" w:cs="宋体"/>
          <w:color w:val="auto"/>
          <w:spacing w:val="-24"/>
          <w:kern w:val="0"/>
          <w:sz w:val="24"/>
          <w:szCs w:val="24"/>
          <w:highlight w:val="none"/>
        </w:rPr>
        <w:t xml:space="preserve">性别：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10"/>
          <w:kern w:val="0"/>
          <w:sz w:val="24"/>
          <w:szCs w:val="24"/>
          <w:highlight w:val="none"/>
        </w:rPr>
        <w:t xml:space="preserve"> </w:t>
      </w:r>
      <w:r>
        <w:rPr>
          <w:rFonts w:ascii="宋体" w:hAnsi="宋体" w:eastAsia="宋体" w:cs="宋体"/>
          <w:color w:val="auto"/>
          <w:spacing w:val="-24"/>
          <w:kern w:val="0"/>
          <w:sz w:val="24"/>
          <w:szCs w:val="24"/>
          <w:highlight w:val="none"/>
        </w:rPr>
        <w:t xml:space="preserve">年龄：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24"/>
          <w:kern w:val="0"/>
          <w:sz w:val="24"/>
          <w:szCs w:val="24"/>
          <w:highlight w:val="none"/>
        </w:rPr>
        <w:t>身份证号码</w:t>
      </w:r>
      <w:r>
        <w:rPr>
          <w:rFonts w:ascii="宋体" w:hAnsi="宋体" w:eastAsia="宋体" w:cs="宋体"/>
          <w:color w:val="auto"/>
          <w:kern w:val="0"/>
          <w:sz w:val="24"/>
          <w:szCs w:val="24"/>
          <w:highlight w:val="none"/>
          <w:u w:val="single" w:color="auto"/>
        </w:rPr>
        <w:t xml:space="preserve">                        </w:t>
      </w:r>
    </w:p>
    <w:p w14:paraId="47B76C86">
      <w:pPr>
        <w:widowControl/>
        <w:kinsoku w:val="0"/>
        <w:autoSpaceDE w:val="0"/>
        <w:autoSpaceDN w:val="0"/>
        <w:spacing w:before="1" w:line="219" w:lineRule="auto"/>
        <w:ind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15"/>
          <w:kern w:val="0"/>
          <w:sz w:val="24"/>
          <w:szCs w:val="24"/>
          <w:highlight w:val="none"/>
        </w:rPr>
        <w:t xml:space="preserve">职务： </w:t>
      </w:r>
      <w:r>
        <w:rPr>
          <w:rFonts w:ascii="宋体" w:hAnsi="宋体" w:eastAsia="宋体" w:cs="宋体"/>
          <w:color w:val="auto"/>
          <w:spacing w:val="1"/>
          <w:kern w:val="0"/>
          <w:sz w:val="24"/>
          <w:szCs w:val="24"/>
          <w:highlight w:val="none"/>
          <w:u w:val="single" w:color="auto"/>
        </w:rPr>
        <w:t xml:space="preserve">          </w:t>
      </w:r>
      <w:r>
        <w:rPr>
          <w:rFonts w:ascii="宋体" w:hAnsi="宋体" w:eastAsia="宋体" w:cs="宋体"/>
          <w:color w:val="auto"/>
          <w:spacing w:val="-104"/>
          <w:kern w:val="0"/>
          <w:sz w:val="24"/>
          <w:szCs w:val="24"/>
          <w:highlight w:val="none"/>
        </w:rPr>
        <w:t xml:space="preserve"> </w:t>
      </w:r>
      <w:r>
        <w:rPr>
          <w:rFonts w:ascii="宋体" w:hAnsi="宋体" w:eastAsia="宋体" w:cs="宋体"/>
          <w:color w:val="auto"/>
          <w:spacing w:val="-15"/>
          <w:kern w:val="0"/>
          <w:sz w:val="24"/>
          <w:szCs w:val="24"/>
          <w:highlight w:val="none"/>
        </w:rPr>
        <w:t>系</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5"/>
          <w:kern w:val="0"/>
          <w:sz w:val="24"/>
          <w:szCs w:val="24"/>
          <w:highlight w:val="none"/>
        </w:rPr>
        <w:t xml:space="preserve"> （投标人名称）的法定代表人。</w:t>
      </w:r>
    </w:p>
    <w:p w14:paraId="706D43BF">
      <w:pPr>
        <w:kinsoku w:val="0"/>
        <w:autoSpaceDE w:val="0"/>
        <w:autoSpaceDN w:val="0"/>
        <w:adjustRightInd w:val="0"/>
        <w:snapToGrid w:val="0"/>
        <w:spacing w:line="256" w:lineRule="auto"/>
        <w:jc w:val="left"/>
        <w:textAlignment w:val="baseline"/>
        <w:rPr>
          <w:rFonts w:ascii="Arial" w:hAnsi="Arial" w:eastAsia="Arial" w:cs="Arial"/>
          <w:snapToGrid w:val="0"/>
          <w:color w:val="auto"/>
          <w:kern w:val="0"/>
          <w:sz w:val="21"/>
          <w:szCs w:val="21"/>
          <w:highlight w:val="none"/>
          <w:lang w:val="en-US" w:eastAsia="en-US" w:bidi="ar-SA"/>
        </w:rPr>
      </w:pPr>
    </w:p>
    <w:p w14:paraId="3AA2E42D">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7A7293B9">
      <w:pPr>
        <w:widowControl/>
        <w:kinsoku w:val="0"/>
        <w:autoSpaceDE w:val="0"/>
        <w:autoSpaceDN w:val="0"/>
        <w:spacing w:before="78" w:line="220" w:lineRule="auto"/>
        <w:ind w:left="959"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8"/>
          <w:kern w:val="0"/>
          <w:sz w:val="24"/>
          <w:szCs w:val="24"/>
          <w:highlight w:val="none"/>
        </w:rPr>
        <w:t>特此证明。</w:t>
      </w:r>
    </w:p>
    <w:p w14:paraId="46BF0680">
      <w:pPr>
        <w:kinsoku w:val="0"/>
        <w:autoSpaceDE w:val="0"/>
        <w:autoSpaceDN w:val="0"/>
        <w:adjustRightInd w:val="0"/>
        <w:snapToGrid w:val="0"/>
        <w:spacing w:line="249" w:lineRule="auto"/>
        <w:jc w:val="left"/>
        <w:textAlignment w:val="baseline"/>
        <w:rPr>
          <w:rFonts w:ascii="Arial" w:hAnsi="Arial" w:eastAsia="Arial" w:cs="Arial"/>
          <w:snapToGrid w:val="0"/>
          <w:color w:val="auto"/>
          <w:kern w:val="0"/>
          <w:sz w:val="21"/>
          <w:szCs w:val="21"/>
          <w:highlight w:val="none"/>
          <w:lang w:val="en-US" w:eastAsia="en-US" w:bidi="ar-SA"/>
        </w:rPr>
      </w:pPr>
    </w:p>
    <w:p w14:paraId="603830D9">
      <w:pPr>
        <w:kinsoku w:val="0"/>
        <w:autoSpaceDE w:val="0"/>
        <w:autoSpaceDN w:val="0"/>
        <w:adjustRightInd w:val="0"/>
        <w:snapToGrid w:val="0"/>
        <w:spacing w:line="249" w:lineRule="auto"/>
        <w:jc w:val="left"/>
        <w:textAlignment w:val="baseline"/>
        <w:rPr>
          <w:rFonts w:ascii="Arial" w:hAnsi="Arial" w:eastAsia="Arial" w:cs="Arial"/>
          <w:snapToGrid w:val="0"/>
          <w:color w:val="auto"/>
          <w:kern w:val="0"/>
          <w:sz w:val="21"/>
          <w:szCs w:val="21"/>
          <w:highlight w:val="none"/>
          <w:lang w:val="en-US" w:eastAsia="en-US" w:bidi="ar-SA"/>
        </w:rPr>
      </w:pPr>
    </w:p>
    <w:p w14:paraId="65405D5A">
      <w:pPr>
        <w:kinsoku w:val="0"/>
        <w:autoSpaceDE w:val="0"/>
        <w:autoSpaceDN w:val="0"/>
        <w:adjustRightInd w:val="0"/>
        <w:snapToGrid w:val="0"/>
        <w:spacing w:line="250" w:lineRule="auto"/>
        <w:jc w:val="left"/>
        <w:textAlignment w:val="baseline"/>
        <w:rPr>
          <w:rFonts w:ascii="Arial" w:hAnsi="Arial" w:eastAsia="Arial" w:cs="Arial"/>
          <w:snapToGrid w:val="0"/>
          <w:color w:val="auto"/>
          <w:kern w:val="0"/>
          <w:sz w:val="21"/>
          <w:szCs w:val="21"/>
          <w:highlight w:val="none"/>
          <w:lang w:val="en-US" w:eastAsia="en-US" w:bidi="ar-SA"/>
        </w:rPr>
      </w:pPr>
    </w:p>
    <w:p w14:paraId="5C80718B">
      <w:pPr>
        <w:kinsoku w:val="0"/>
        <w:autoSpaceDE w:val="0"/>
        <w:autoSpaceDN w:val="0"/>
        <w:adjustRightInd w:val="0"/>
        <w:snapToGrid w:val="0"/>
        <w:spacing w:line="250" w:lineRule="auto"/>
        <w:jc w:val="left"/>
        <w:textAlignment w:val="baseline"/>
        <w:rPr>
          <w:rFonts w:ascii="Arial" w:hAnsi="Arial" w:eastAsia="Arial" w:cs="Arial"/>
          <w:snapToGrid w:val="0"/>
          <w:color w:val="auto"/>
          <w:kern w:val="0"/>
          <w:sz w:val="21"/>
          <w:szCs w:val="21"/>
          <w:highlight w:val="none"/>
          <w:lang w:val="en-US" w:eastAsia="en-US" w:bidi="ar-SA"/>
        </w:rPr>
      </w:pPr>
    </w:p>
    <w:p w14:paraId="77F3AE9F">
      <w:pPr>
        <w:kinsoku w:val="0"/>
        <w:autoSpaceDE w:val="0"/>
        <w:autoSpaceDN w:val="0"/>
        <w:adjustRightInd w:val="0"/>
        <w:snapToGrid w:val="0"/>
        <w:spacing w:line="250" w:lineRule="auto"/>
        <w:jc w:val="left"/>
        <w:textAlignment w:val="baseline"/>
        <w:rPr>
          <w:rFonts w:ascii="Arial" w:hAnsi="Arial" w:eastAsia="Arial" w:cs="Arial"/>
          <w:snapToGrid w:val="0"/>
          <w:color w:val="auto"/>
          <w:kern w:val="0"/>
          <w:sz w:val="21"/>
          <w:szCs w:val="21"/>
          <w:highlight w:val="none"/>
          <w:lang w:val="en-US" w:eastAsia="en-US" w:bidi="ar-SA"/>
        </w:rPr>
      </w:pPr>
    </w:p>
    <w:p w14:paraId="110F2353">
      <w:pPr>
        <w:kinsoku w:val="0"/>
        <w:autoSpaceDE w:val="0"/>
        <w:autoSpaceDN w:val="0"/>
        <w:adjustRightInd w:val="0"/>
        <w:snapToGrid w:val="0"/>
        <w:spacing w:line="250" w:lineRule="auto"/>
        <w:jc w:val="left"/>
        <w:textAlignment w:val="baseline"/>
        <w:rPr>
          <w:rFonts w:ascii="Arial" w:hAnsi="Arial" w:eastAsia="Arial" w:cs="Arial"/>
          <w:snapToGrid w:val="0"/>
          <w:color w:val="auto"/>
          <w:kern w:val="0"/>
          <w:sz w:val="21"/>
          <w:szCs w:val="21"/>
          <w:highlight w:val="none"/>
          <w:lang w:val="en-US" w:eastAsia="en-US" w:bidi="ar-SA"/>
        </w:rPr>
      </w:pPr>
    </w:p>
    <w:p w14:paraId="5C06FB24">
      <w:pPr>
        <w:kinsoku w:val="0"/>
        <w:autoSpaceDE w:val="0"/>
        <w:autoSpaceDN w:val="0"/>
        <w:adjustRightInd w:val="0"/>
        <w:snapToGrid w:val="0"/>
        <w:spacing w:line="250" w:lineRule="auto"/>
        <w:jc w:val="left"/>
        <w:textAlignment w:val="baseline"/>
        <w:rPr>
          <w:rFonts w:ascii="Arial" w:hAnsi="Arial" w:eastAsia="Arial" w:cs="Arial"/>
          <w:snapToGrid w:val="0"/>
          <w:color w:val="auto"/>
          <w:kern w:val="0"/>
          <w:sz w:val="21"/>
          <w:szCs w:val="21"/>
          <w:highlight w:val="none"/>
          <w:lang w:val="en-US" w:eastAsia="en-US" w:bidi="ar-SA"/>
        </w:rPr>
      </w:pPr>
    </w:p>
    <w:p w14:paraId="64977F2D">
      <w:pPr>
        <w:widowControl/>
        <w:kinsoku w:val="0"/>
        <w:autoSpaceDE w:val="0"/>
        <w:autoSpaceDN w:val="0"/>
        <w:spacing w:before="79" w:line="219" w:lineRule="auto"/>
        <w:ind w:left="396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8"/>
          <w:kern w:val="0"/>
          <w:sz w:val="24"/>
          <w:szCs w:val="24"/>
          <w:highlight w:val="none"/>
        </w:rPr>
        <w:t>投标人</w:t>
      </w:r>
      <w:r>
        <w:rPr>
          <w:rFonts w:ascii="宋体" w:hAnsi="宋体" w:eastAsia="宋体" w:cs="宋体"/>
          <w:color w:val="auto"/>
          <w:spacing w:val="-10"/>
          <w:kern w:val="0"/>
          <w:sz w:val="24"/>
          <w:szCs w:val="24"/>
          <w:highlight w:val="none"/>
        </w:rPr>
        <w:t>：</w:t>
      </w:r>
      <w:r>
        <w:rPr>
          <w:rFonts w:ascii="宋体" w:hAnsi="宋体" w:eastAsia="宋体" w:cs="宋体"/>
          <w:color w:val="auto"/>
          <w:spacing w:val="8"/>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0"/>
          <w:kern w:val="0"/>
          <w:sz w:val="24"/>
          <w:szCs w:val="24"/>
          <w:highlight w:val="none"/>
        </w:rPr>
        <w:t>（</w:t>
      </w:r>
      <w:r>
        <w:rPr>
          <w:rFonts w:ascii="宋体" w:hAnsi="宋体" w:eastAsia="宋体" w:cs="宋体"/>
          <w:color w:val="auto"/>
          <w:spacing w:val="-28"/>
          <w:kern w:val="0"/>
          <w:sz w:val="24"/>
          <w:szCs w:val="24"/>
          <w:highlight w:val="none"/>
        </w:rPr>
        <w:t>盖单位公章）</w:t>
      </w:r>
    </w:p>
    <w:p w14:paraId="63BB7A1C">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178575A8">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68633220">
      <w:pPr>
        <w:widowControl/>
        <w:tabs>
          <w:tab w:val="left" w:pos="5869"/>
        </w:tabs>
        <w:kinsoku w:val="0"/>
        <w:autoSpaceDE w:val="0"/>
        <w:autoSpaceDN w:val="0"/>
        <w:spacing w:before="78" w:line="220" w:lineRule="auto"/>
        <w:ind w:left="4909" w:firstLine="0" w:firstLineChars="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9"/>
          <w:kern w:val="0"/>
          <w:sz w:val="24"/>
          <w:szCs w:val="24"/>
          <w:highlight w:val="none"/>
        </w:rPr>
        <w:t>年</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9"/>
          <w:kern w:val="0"/>
          <w:sz w:val="24"/>
          <w:szCs w:val="24"/>
          <w:highlight w:val="none"/>
        </w:rPr>
        <w:t>月</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69"/>
          <w:kern w:val="0"/>
          <w:sz w:val="24"/>
          <w:szCs w:val="24"/>
          <w:highlight w:val="none"/>
        </w:rPr>
        <w:t xml:space="preserve"> </w:t>
      </w:r>
      <w:r>
        <w:rPr>
          <w:rFonts w:ascii="宋体" w:hAnsi="宋体" w:eastAsia="宋体" w:cs="宋体"/>
          <w:color w:val="auto"/>
          <w:spacing w:val="-9"/>
          <w:kern w:val="0"/>
          <w:sz w:val="24"/>
          <w:szCs w:val="24"/>
          <w:highlight w:val="none"/>
        </w:rPr>
        <w:t>日</w:t>
      </w:r>
    </w:p>
    <w:p w14:paraId="4E9CCB42">
      <w:pPr>
        <w:spacing w:line="220" w:lineRule="auto"/>
        <w:rPr>
          <w:rFonts w:ascii="宋体" w:hAnsi="宋体" w:eastAsia="宋体" w:cs="宋体"/>
          <w:color w:val="auto"/>
          <w:sz w:val="24"/>
          <w:szCs w:val="24"/>
          <w:highlight w:val="none"/>
        </w:rPr>
        <w:sectPr>
          <w:footerReference r:id="rId11" w:type="default"/>
          <w:pgSz w:w="11905" w:h="16840"/>
          <w:pgMar w:top="1431" w:right="1529" w:bottom="1260" w:left="1597" w:header="0" w:footer="1097" w:gutter="0"/>
          <w:pgNumType w:fmt="decimal"/>
          <w:cols w:space="720" w:num="1"/>
        </w:sectPr>
      </w:pPr>
    </w:p>
    <w:p w14:paraId="2A86E8D0">
      <w:pPr>
        <w:pStyle w:val="3"/>
        <w:kinsoku/>
        <w:spacing w:before="169"/>
        <w:ind w:left="0"/>
        <w:jc w:val="center"/>
        <w:outlineLvl w:val="1"/>
        <w:rPr>
          <w:rFonts w:cs="宋体"/>
          <w:bCs/>
          <w:color w:val="auto"/>
          <w:sz w:val="30"/>
          <w:szCs w:val="30"/>
          <w:highlight w:val="none"/>
          <w:lang w:eastAsia="zh-CN"/>
        </w:rPr>
      </w:pPr>
      <w:bookmarkStart w:id="2410" w:name="_Toc1346"/>
      <w:bookmarkStart w:id="2411" w:name="_Toc17661"/>
      <w:bookmarkStart w:id="2412" w:name="_Toc1585"/>
      <w:bookmarkStart w:id="2413" w:name="_Toc12798"/>
      <w:bookmarkStart w:id="2414" w:name="_Toc25252"/>
      <w:bookmarkStart w:id="2415" w:name="_Toc20190"/>
      <w:bookmarkStart w:id="2416" w:name="_Toc24266"/>
      <w:bookmarkStart w:id="2417" w:name="_Toc13838"/>
      <w:bookmarkStart w:id="2418" w:name="_Toc26413"/>
      <w:bookmarkStart w:id="2419" w:name="_Toc22911"/>
      <w:bookmarkStart w:id="2420" w:name="_Toc20539"/>
      <w:bookmarkStart w:id="2421" w:name="_Toc6634"/>
      <w:bookmarkStart w:id="2422" w:name="_Toc4221"/>
      <w:bookmarkStart w:id="2423" w:name="_Toc9567"/>
      <w:r>
        <w:rPr>
          <w:rFonts w:hint="eastAsia" w:ascii="宋体" w:cs="宋体"/>
          <w:b/>
          <w:bCs/>
          <w:color w:val="auto"/>
          <w:spacing w:val="0"/>
          <w:sz w:val="30"/>
          <w:szCs w:val="30"/>
          <w:highlight w:val="none"/>
          <w:lang w:eastAsia="zh-CN"/>
        </w:rPr>
        <w:t>三</w:t>
      </w:r>
      <w:r>
        <w:rPr>
          <w:rFonts w:ascii="宋体" w:cs="宋体"/>
          <w:b/>
          <w:bCs/>
          <w:color w:val="auto"/>
          <w:spacing w:val="0"/>
          <w:sz w:val="30"/>
          <w:szCs w:val="30"/>
          <w:highlight w:val="none"/>
          <w:lang w:eastAsia="zh-CN"/>
        </w:rPr>
        <w:t>、授权委托书</w:t>
      </w:r>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p>
    <w:p w14:paraId="2DDD4893">
      <w:pPr>
        <w:pStyle w:val="7"/>
        <w:kinsoku/>
        <w:spacing w:beforeLines="0" w:afterLines="0"/>
        <w:ind w:firstLine="420"/>
        <w:jc w:val="left"/>
        <w:rPr>
          <w:color w:val="auto"/>
          <w:highlight w:val="none"/>
          <w:lang w:eastAsia="zh-CN"/>
        </w:rPr>
      </w:pPr>
    </w:p>
    <w:p w14:paraId="01CF0FBD">
      <w:pPr>
        <w:pStyle w:val="7"/>
        <w:kinsoku/>
        <w:spacing w:beforeLines="0" w:afterLines="0"/>
        <w:ind w:firstLine="420"/>
        <w:jc w:val="left"/>
        <w:rPr>
          <w:color w:val="auto"/>
          <w:highlight w:val="none"/>
          <w:lang w:eastAsia="zh-CN"/>
        </w:rPr>
      </w:pPr>
    </w:p>
    <w:p w14:paraId="6FFE2204">
      <w:pPr>
        <w:widowControl/>
        <w:kinsoku w:val="0"/>
        <w:autoSpaceDE w:val="0"/>
        <w:autoSpaceDN w:val="0"/>
        <w:spacing w:before="78" w:line="359" w:lineRule="auto"/>
        <w:ind w:right="36" w:firstLine="480" w:firstLineChars="0"/>
        <w:jc w:val="both"/>
        <w:rPr>
          <w:rFonts w:ascii="宋体" w:hAnsi="宋体" w:eastAsia="宋体" w:cs="宋体"/>
          <w:color w:val="auto"/>
          <w:kern w:val="0"/>
          <w:sz w:val="24"/>
          <w:szCs w:val="24"/>
          <w:highlight w:val="none"/>
        </w:rPr>
      </w:pPr>
      <w:r>
        <w:rPr>
          <w:rFonts w:ascii="宋体" w:hAnsi="宋体" w:eastAsia="宋体" w:cs="宋体"/>
          <w:color w:val="auto"/>
          <w:spacing w:val="-16"/>
          <w:kern w:val="0"/>
          <w:sz w:val="24"/>
          <w:szCs w:val="24"/>
          <w:highlight w:val="none"/>
        </w:rPr>
        <w:t>本人</w:t>
      </w:r>
      <w:r>
        <w:rPr>
          <w:rFonts w:ascii="宋体" w:hAnsi="宋体" w:eastAsia="宋体" w:cs="宋体"/>
          <w:color w:val="auto"/>
          <w:spacing w:val="2"/>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（姓名）系</w:t>
      </w:r>
      <w:r>
        <w:rPr>
          <w:rFonts w:ascii="宋体" w:hAnsi="宋体" w:eastAsia="宋体" w:cs="宋体"/>
          <w:color w:val="auto"/>
          <w:spacing w:val="-92"/>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28"/>
          <w:kern w:val="0"/>
          <w:sz w:val="24"/>
          <w:szCs w:val="24"/>
          <w:highlight w:val="none"/>
        </w:rPr>
        <w:t xml:space="preserve"> </w:t>
      </w:r>
      <w:r>
        <w:rPr>
          <w:rFonts w:ascii="宋体" w:hAnsi="宋体" w:eastAsia="宋体" w:cs="宋体"/>
          <w:color w:val="auto"/>
          <w:spacing w:val="-16"/>
          <w:kern w:val="0"/>
          <w:sz w:val="24"/>
          <w:szCs w:val="24"/>
          <w:highlight w:val="none"/>
        </w:rPr>
        <w:t>（投标人名称）的法定代表人，</w:t>
      </w:r>
      <w:r>
        <w:rPr>
          <w:rFonts w:ascii="宋体" w:hAnsi="宋体" w:eastAsia="宋体" w:cs="宋体"/>
          <w:color w:val="auto"/>
          <w:kern w:val="0"/>
          <w:sz w:val="24"/>
          <w:szCs w:val="24"/>
          <w:highlight w:val="none"/>
        </w:rPr>
        <w:t xml:space="preserve"> </w:t>
      </w:r>
      <w:r>
        <w:rPr>
          <w:rFonts w:ascii="宋体" w:hAnsi="宋体" w:eastAsia="宋体" w:cs="宋体"/>
          <w:color w:val="auto"/>
          <w:spacing w:val="-8"/>
          <w:kern w:val="0"/>
          <w:sz w:val="24"/>
          <w:szCs w:val="24"/>
          <w:highlight w:val="none"/>
        </w:rPr>
        <w:t>现委托</w:t>
      </w:r>
      <w:r>
        <w:rPr>
          <w:rFonts w:ascii="宋体" w:hAnsi="宋体" w:eastAsia="宋体" w:cs="宋体"/>
          <w:color w:val="auto"/>
          <w:spacing w:val="-8"/>
          <w:kern w:val="0"/>
          <w:sz w:val="24"/>
          <w:szCs w:val="24"/>
          <w:highlight w:val="none"/>
          <w:u w:val="single" w:color="auto"/>
        </w:rPr>
        <w:t xml:space="preserve">            </w:t>
      </w:r>
      <w:r>
        <w:rPr>
          <w:rFonts w:ascii="宋体" w:hAnsi="宋体" w:eastAsia="宋体" w:cs="宋体"/>
          <w:color w:val="auto"/>
          <w:spacing w:val="-75"/>
          <w:kern w:val="0"/>
          <w:sz w:val="24"/>
          <w:szCs w:val="24"/>
          <w:highlight w:val="none"/>
        </w:rPr>
        <w:t xml:space="preserve"> </w:t>
      </w:r>
      <w:r>
        <w:rPr>
          <w:rFonts w:ascii="宋体" w:hAnsi="宋体" w:eastAsia="宋体" w:cs="宋体"/>
          <w:color w:val="auto"/>
          <w:spacing w:val="-8"/>
          <w:kern w:val="0"/>
          <w:sz w:val="24"/>
          <w:szCs w:val="24"/>
          <w:highlight w:val="none"/>
        </w:rPr>
        <w:t>（姓名）</w:t>
      </w:r>
      <w:r>
        <w:rPr>
          <w:rFonts w:ascii="宋体" w:hAnsi="宋体" w:eastAsia="宋体" w:cs="宋体"/>
          <w:color w:val="auto"/>
          <w:spacing w:val="-62"/>
          <w:kern w:val="0"/>
          <w:sz w:val="24"/>
          <w:szCs w:val="24"/>
          <w:highlight w:val="none"/>
        </w:rPr>
        <w:t xml:space="preserve"> </w:t>
      </w:r>
      <w:r>
        <w:rPr>
          <w:rFonts w:ascii="宋体" w:hAnsi="宋体" w:eastAsia="宋体" w:cs="宋体"/>
          <w:color w:val="auto"/>
          <w:spacing w:val="-8"/>
          <w:kern w:val="0"/>
          <w:sz w:val="24"/>
          <w:szCs w:val="24"/>
          <w:highlight w:val="none"/>
        </w:rPr>
        <w:t>为我方</w:t>
      </w:r>
      <w:r>
        <w:rPr>
          <w:rFonts w:ascii="宋体" w:hAnsi="宋体" w:eastAsia="宋体" w:cs="宋体"/>
          <w:color w:val="auto"/>
          <w:spacing w:val="-9"/>
          <w:kern w:val="0"/>
          <w:sz w:val="24"/>
          <w:szCs w:val="24"/>
          <w:highlight w:val="none"/>
        </w:rPr>
        <w:t>代理人。代理人根据授权，</w:t>
      </w:r>
      <w:r>
        <w:rPr>
          <w:rFonts w:ascii="宋体" w:hAnsi="宋体" w:eastAsia="宋体" w:cs="宋体"/>
          <w:color w:val="auto"/>
          <w:spacing w:val="39"/>
          <w:kern w:val="0"/>
          <w:sz w:val="24"/>
          <w:szCs w:val="24"/>
          <w:highlight w:val="none"/>
        </w:rPr>
        <w:t xml:space="preserve"> </w:t>
      </w:r>
      <w:r>
        <w:rPr>
          <w:rFonts w:ascii="宋体" w:hAnsi="宋体" w:eastAsia="宋体" w:cs="宋体"/>
          <w:color w:val="auto"/>
          <w:spacing w:val="-9"/>
          <w:kern w:val="0"/>
          <w:sz w:val="24"/>
          <w:szCs w:val="24"/>
          <w:highlight w:val="none"/>
        </w:rPr>
        <w:t>在投标有效期满前以</w:t>
      </w:r>
      <w:r>
        <w:rPr>
          <w:rFonts w:ascii="宋体" w:hAnsi="宋体" w:eastAsia="宋体" w:cs="宋体"/>
          <w:color w:val="auto"/>
          <w:kern w:val="0"/>
          <w:sz w:val="24"/>
          <w:szCs w:val="24"/>
          <w:highlight w:val="none"/>
        </w:rPr>
        <w:t xml:space="preserve"> </w:t>
      </w:r>
      <w:r>
        <w:rPr>
          <w:rFonts w:ascii="宋体" w:hAnsi="宋体" w:eastAsia="宋体" w:cs="宋体"/>
          <w:color w:val="auto"/>
          <w:spacing w:val="-6"/>
          <w:kern w:val="0"/>
          <w:sz w:val="24"/>
          <w:szCs w:val="24"/>
          <w:highlight w:val="none"/>
        </w:rPr>
        <w:t>我方名义签署、澄清、说明、</w:t>
      </w:r>
      <w:r>
        <w:rPr>
          <w:rFonts w:ascii="宋体" w:hAnsi="宋体" w:eastAsia="宋体" w:cs="宋体"/>
          <w:color w:val="auto"/>
          <w:spacing w:val="44"/>
          <w:kern w:val="0"/>
          <w:sz w:val="24"/>
          <w:szCs w:val="24"/>
          <w:highlight w:val="none"/>
        </w:rPr>
        <w:t xml:space="preserve"> </w:t>
      </w:r>
      <w:r>
        <w:rPr>
          <w:rFonts w:ascii="宋体" w:hAnsi="宋体" w:eastAsia="宋体" w:cs="宋体"/>
          <w:color w:val="auto"/>
          <w:spacing w:val="-6"/>
          <w:kern w:val="0"/>
          <w:sz w:val="24"/>
          <w:szCs w:val="24"/>
          <w:highlight w:val="none"/>
        </w:rPr>
        <w:t>补正、递交、撤回、修改</w:t>
      </w:r>
      <w:r>
        <w:rPr>
          <w:rFonts w:ascii="宋体" w:hAnsi="宋体" w:eastAsia="宋体" w:cs="宋体"/>
          <w:color w:val="auto"/>
          <w:spacing w:val="-119"/>
          <w:kern w:val="0"/>
          <w:sz w:val="24"/>
          <w:szCs w:val="24"/>
          <w:highlight w:val="none"/>
        </w:rPr>
        <w:t xml:space="preserve"> </w:t>
      </w:r>
      <w:r>
        <w:rPr>
          <w:rFonts w:ascii="宋体" w:hAnsi="宋体" w:eastAsia="宋体" w:cs="宋体"/>
          <w:color w:val="auto"/>
          <w:spacing w:val="-6"/>
          <w:kern w:val="0"/>
          <w:sz w:val="24"/>
          <w:szCs w:val="24"/>
          <w:highlight w:val="none"/>
          <w:u w:val="single" w:color="auto"/>
        </w:rPr>
        <w:t xml:space="preserve">  </w:t>
      </w:r>
      <w:r>
        <w:rPr>
          <w:rFonts w:ascii="宋体" w:hAnsi="宋体" w:eastAsia="宋体" w:cs="宋体"/>
          <w:color w:val="auto"/>
          <w:spacing w:val="-7"/>
          <w:kern w:val="0"/>
          <w:sz w:val="24"/>
          <w:szCs w:val="24"/>
          <w:highlight w:val="none"/>
          <w:u w:val="single" w:color="auto"/>
        </w:rPr>
        <w:t xml:space="preserve">               </w:t>
      </w:r>
      <w:r>
        <w:rPr>
          <w:rFonts w:ascii="宋体" w:hAnsi="宋体" w:eastAsia="宋体" w:cs="宋体"/>
          <w:color w:val="auto"/>
          <w:spacing w:val="-7"/>
          <w:kern w:val="0"/>
          <w:sz w:val="24"/>
          <w:szCs w:val="24"/>
          <w:highlight w:val="none"/>
        </w:rPr>
        <w:t xml:space="preserve"> （项目及 </w:t>
      </w:r>
      <w:r>
        <w:rPr>
          <w:rFonts w:ascii="宋体" w:hAnsi="宋体" w:eastAsia="宋体" w:cs="宋体"/>
          <w:color w:val="auto"/>
          <w:spacing w:val="-11"/>
          <w:kern w:val="0"/>
          <w:sz w:val="24"/>
          <w:szCs w:val="24"/>
          <w:highlight w:val="none"/>
        </w:rPr>
        <w:t>标段名称</w:t>
      </w:r>
      <w:r>
        <w:rPr>
          <w:rFonts w:ascii="宋体" w:hAnsi="宋体" w:eastAsia="宋体" w:cs="宋体"/>
          <w:color w:val="auto"/>
          <w:spacing w:val="-15"/>
          <w:kern w:val="0"/>
          <w:sz w:val="24"/>
          <w:szCs w:val="24"/>
          <w:highlight w:val="none"/>
        </w:rPr>
        <w:t>）</w:t>
      </w:r>
      <w:r>
        <w:rPr>
          <w:rFonts w:ascii="宋体" w:hAnsi="宋体" w:eastAsia="宋体" w:cs="宋体"/>
          <w:color w:val="auto"/>
          <w:spacing w:val="-1"/>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48"/>
          <w:kern w:val="0"/>
          <w:sz w:val="24"/>
          <w:szCs w:val="24"/>
          <w:highlight w:val="none"/>
        </w:rPr>
        <w:t xml:space="preserve"> </w:t>
      </w:r>
      <w:r>
        <w:rPr>
          <w:rFonts w:ascii="宋体" w:hAnsi="宋体" w:eastAsia="宋体" w:cs="宋体"/>
          <w:color w:val="auto"/>
          <w:spacing w:val="-15"/>
          <w:kern w:val="0"/>
          <w:sz w:val="24"/>
          <w:szCs w:val="24"/>
          <w:highlight w:val="none"/>
        </w:rPr>
        <w:t>（</w:t>
      </w:r>
      <w:r>
        <w:rPr>
          <w:rFonts w:ascii="宋体" w:hAnsi="宋体" w:eastAsia="宋体" w:cs="宋体"/>
          <w:color w:val="auto"/>
          <w:spacing w:val="-11"/>
          <w:kern w:val="0"/>
          <w:sz w:val="24"/>
          <w:szCs w:val="24"/>
          <w:highlight w:val="none"/>
        </w:rPr>
        <w:t>标段名称）</w:t>
      </w:r>
      <w:r>
        <w:rPr>
          <w:rFonts w:ascii="宋体" w:hAnsi="宋体" w:eastAsia="宋体" w:cs="宋体"/>
          <w:color w:val="auto"/>
          <w:spacing w:val="-35"/>
          <w:kern w:val="0"/>
          <w:sz w:val="24"/>
          <w:szCs w:val="24"/>
          <w:highlight w:val="none"/>
        </w:rPr>
        <w:t xml:space="preserve"> </w:t>
      </w:r>
      <w:r>
        <w:rPr>
          <w:rFonts w:ascii="宋体" w:hAnsi="宋体" w:eastAsia="宋体" w:cs="宋体"/>
          <w:color w:val="auto"/>
          <w:spacing w:val="-11"/>
          <w:kern w:val="0"/>
          <w:sz w:val="24"/>
          <w:szCs w:val="24"/>
          <w:highlight w:val="none"/>
        </w:rPr>
        <w:t>投标文件、出席开标会议、签订</w:t>
      </w:r>
      <w:r>
        <w:rPr>
          <w:rFonts w:ascii="宋体" w:hAnsi="宋体" w:eastAsia="宋体" w:cs="宋体"/>
          <w:color w:val="auto"/>
          <w:spacing w:val="-12"/>
          <w:kern w:val="0"/>
          <w:sz w:val="24"/>
          <w:szCs w:val="24"/>
          <w:highlight w:val="none"/>
        </w:rPr>
        <w:t>合同和处理有关事</w:t>
      </w:r>
    </w:p>
    <w:p w14:paraId="3A34D28C">
      <w:pPr>
        <w:widowControl/>
        <w:kinsoku w:val="0"/>
        <w:autoSpaceDE w:val="0"/>
        <w:autoSpaceDN w:val="0"/>
        <w:spacing w:line="219" w:lineRule="auto"/>
        <w:ind w:left="3"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4"/>
          <w:kern w:val="0"/>
          <w:sz w:val="24"/>
          <w:szCs w:val="24"/>
          <w:highlight w:val="none"/>
        </w:rPr>
        <w:t>宜，其法律后果由我方承担。</w:t>
      </w:r>
    </w:p>
    <w:p w14:paraId="7703959B">
      <w:pPr>
        <w:widowControl/>
        <w:kinsoku w:val="0"/>
        <w:autoSpaceDE w:val="0"/>
        <w:autoSpaceDN w:val="0"/>
        <w:spacing w:before="181" w:line="220" w:lineRule="auto"/>
        <w:ind w:left="478"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5"/>
          <w:kern w:val="0"/>
          <w:sz w:val="24"/>
          <w:szCs w:val="24"/>
          <w:highlight w:val="none"/>
        </w:rPr>
        <w:t>代理人无转委托权。</w:t>
      </w:r>
    </w:p>
    <w:p w14:paraId="7165ED5F">
      <w:pPr>
        <w:widowControl/>
        <w:kinsoku w:val="0"/>
        <w:autoSpaceDE w:val="0"/>
        <w:autoSpaceDN w:val="0"/>
        <w:spacing w:before="181" w:line="219" w:lineRule="auto"/>
        <w:ind w:left="497"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5"/>
          <w:kern w:val="0"/>
          <w:sz w:val="24"/>
          <w:szCs w:val="24"/>
          <w:highlight w:val="none"/>
        </w:rPr>
        <w:t>附：法定代表人身份证明。</w:t>
      </w:r>
    </w:p>
    <w:p w14:paraId="201ED511">
      <w:pPr>
        <w:kinsoku w:val="0"/>
        <w:autoSpaceDE w:val="0"/>
        <w:autoSpaceDN w:val="0"/>
        <w:adjustRightInd w:val="0"/>
        <w:snapToGrid w:val="0"/>
        <w:spacing w:line="308" w:lineRule="auto"/>
        <w:jc w:val="left"/>
        <w:textAlignment w:val="baseline"/>
        <w:rPr>
          <w:rFonts w:ascii="Arial" w:hAnsi="Arial" w:eastAsia="Arial" w:cs="Arial"/>
          <w:snapToGrid w:val="0"/>
          <w:color w:val="auto"/>
          <w:kern w:val="0"/>
          <w:sz w:val="21"/>
          <w:szCs w:val="21"/>
          <w:highlight w:val="none"/>
          <w:lang w:val="en-US" w:eastAsia="en-US" w:bidi="ar-SA"/>
        </w:rPr>
      </w:pPr>
    </w:p>
    <w:p w14:paraId="4641C481">
      <w:pPr>
        <w:kinsoku w:val="0"/>
        <w:autoSpaceDE w:val="0"/>
        <w:autoSpaceDN w:val="0"/>
        <w:adjustRightInd w:val="0"/>
        <w:snapToGrid w:val="0"/>
        <w:spacing w:line="309" w:lineRule="auto"/>
        <w:jc w:val="left"/>
        <w:textAlignment w:val="baseline"/>
        <w:rPr>
          <w:rFonts w:ascii="Arial" w:hAnsi="Arial" w:eastAsia="Arial" w:cs="Arial"/>
          <w:snapToGrid w:val="0"/>
          <w:color w:val="auto"/>
          <w:kern w:val="0"/>
          <w:sz w:val="21"/>
          <w:szCs w:val="21"/>
          <w:highlight w:val="none"/>
          <w:lang w:val="en-US" w:eastAsia="en-US" w:bidi="ar-SA"/>
        </w:rPr>
      </w:pPr>
    </w:p>
    <w:p w14:paraId="0704C52F">
      <w:pPr>
        <w:kinsoku w:val="0"/>
        <w:autoSpaceDE w:val="0"/>
        <w:autoSpaceDN w:val="0"/>
        <w:adjustRightInd w:val="0"/>
        <w:snapToGrid w:val="0"/>
        <w:spacing w:line="309" w:lineRule="auto"/>
        <w:jc w:val="left"/>
        <w:textAlignment w:val="baseline"/>
        <w:rPr>
          <w:rFonts w:ascii="Arial" w:hAnsi="Arial" w:eastAsia="Arial" w:cs="Arial"/>
          <w:snapToGrid w:val="0"/>
          <w:color w:val="auto"/>
          <w:kern w:val="0"/>
          <w:sz w:val="21"/>
          <w:szCs w:val="21"/>
          <w:highlight w:val="none"/>
          <w:lang w:val="en-US" w:eastAsia="en-US" w:bidi="ar-SA"/>
        </w:rPr>
      </w:pPr>
    </w:p>
    <w:p w14:paraId="27AD38A2">
      <w:pPr>
        <w:widowControl/>
        <w:kinsoku w:val="0"/>
        <w:autoSpaceDE/>
        <w:autoSpaceDN/>
        <w:spacing w:before="0" w:line="360" w:lineRule="auto"/>
        <w:ind w:firstLine="3294" w:firstLineChars="1800"/>
        <w:jc w:val="left"/>
        <w:rPr>
          <w:rFonts w:ascii="宋体" w:hAnsi="宋体" w:eastAsia="宋体" w:cs="宋体"/>
          <w:color w:val="auto"/>
          <w:kern w:val="0"/>
          <w:sz w:val="24"/>
          <w:szCs w:val="24"/>
          <w:highlight w:val="none"/>
        </w:rPr>
      </w:pPr>
      <w:r>
        <w:rPr>
          <w:rFonts w:ascii="宋体" w:hAnsi="宋体" w:eastAsia="宋体" w:cs="宋体"/>
          <w:color w:val="auto"/>
          <w:spacing w:val="-27"/>
          <w:w w:val="99"/>
          <w:kern w:val="0"/>
          <w:sz w:val="24"/>
          <w:szCs w:val="24"/>
          <w:highlight w:val="none"/>
        </w:rPr>
        <w:t>投标人</w:t>
      </w:r>
      <w:r>
        <w:rPr>
          <w:rFonts w:ascii="宋体" w:hAnsi="宋体" w:eastAsia="宋体" w:cs="宋体"/>
          <w:color w:val="auto"/>
          <w:spacing w:val="-11"/>
          <w:kern w:val="0"/>
          <w:sz w:val="24"/>
          <w:szCs w:val="24"/>
          <w:highlight w:val="none"/>
        </w:rPr>
        <w:t>：</w:t>
      </w:r>
      <w:r>
        <w:rPr>
          <w:rFonts w:ascii="宋体" w:hAnsi="宋体" w:eastAsia="宋体" w:cs="宋体"/>
          <w:color w:val="auto"/>
          <w:spacing w:val="8"/>
          <w:kern w:val="0"/>
          <w:sz w:val="24"/>
          <w:szCs w:val="24"/>
          <w:highlight w:val="none"/>
        </w:rPr>
        <w:t xml:space="preserve"> </w:t>
      </w:r>
      <w:r>
        <w:rPr>
          <w:rFonts w:ascii="宋体" w:hAnsi="宋体" w:eastAsia="宋体" w:cs="宋体"/>
          <w:color w:val="auto"/>
          <w:spacing w:val="1"/>
          <w:kern w:val="0"/>
          <w:sz w:val="24"/>
          <w:szCs w:val="24"/>
          <w:highlight w:val="none"/>
          <w:u w:val="single" w:color="auto"/>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1"/>
          <w:kern w:val="0"/>
          <w:sz w:val="24"/>
          <w:szCs w:val="24"/>
          <w:highlight w:val="none"/>
        </w:rPr>
        <w:t>（</w:t>
      </w:r>
      <w:r>
        <w:rPr>
          <w:rFonts w:ascii="宋体" w:hAnsi="宋体" w:eastAsia="宋体" w:cs="宋体"/>
          <w:color w:val="auto"/>
          <w:spacing w:val="-27"/>
          <w:w w:val="99"/>
          <w:kern w:val="0"/>
          <w:sz w:val="24"/>
          <w:szCs w:val="24"/>
          <w:highlight w:val="none"/>
        </w:rPr>
        <w:t>盖单位公章）</w:t>
      </w:r>
    </w:p>
    <w:p w14:paraId="349D3917">
      <w:pPr>
        <w:kinsoku w:val="0"/>
        <w:autoSpaceDE w:val="0"/>
        <w:autoSpaceDN w:val="0"/>
        <w:adjustRightInd w:val="0"/>
        <w:snapToGrid w:val="0"/>
        <w:spacing w:line="360" w:lineRule="auto"/>
        <w:ind w:firstLine="3780" w:firstLineChars="1800"/>
        <w:jc w:val="left"/>
        <w:textAlignment w:val="baseline"/>
        <w:rPr>
          <w:rFonts w:ascii="Arial" w:hAnsi="Arial" w:eastAsia="Arial" w:cs="Arial"/>
          <w:snapToGrid w:val="0"/>
          <w:color w:val="auto"/>
          <w:kern w:val="0"/>
          <w:sz w:val="21"/>
          <w:szCs w:val="21"/>
          <w:highlight w:val="none"/>
          <w:lang w:val="en-US" w:eastAsia="en-US" w:bidi="ar-SA"/>
        </w:rPr>
      </w:pPr>
    </w:p>
    <w:p w14:paraId="2CEBAA2E">
      <w:pPr>
        <w:widowControl/>
        <w:kinsoku w:val="0"/>
        <w:autoSpaceDE w:val="0"/>
        <w:autoSpaceDN w:val="0"/>
        <w:spacing w:before="0" w:line="360" w:lineRule="auto"/>
        <w:ind w:left="0" w:firstLine="3330" w:firstLineChars="1800"/>
        <w:jc w:val="left"/>
        <w:rPr>
          <w:rFonts w:ascii="宋体" w:hAnsi="宋体" w:eastAsia="宋体" w:cs="宋体"/>
          <w:color w:val="auto"/>
          <w:kern w:val="0"/>
          <w:sz w:val="24"/>
          <w:szCs w:val="24"/>
          <w:highlight w:val="none"/>
        </w:rPr>
      </w:pPr>
      <w:r>
        <w:rPr>
          <w:rFonts w:ascii="宋体" w:hAnsi="宋体" w:eastAsia="宋体" w:cs="宋体"/>
          <w:color w:val="auto"/>
          <w:spacing w:val="-25"/>
          <w:w w:val="98"/>
          <w:kern w:val="0"/>
          <w:sz w:val="24"/>
          <w:szCs w:val="24"/>
          <w:highlight w:val="none"/>
        </w:rPr>
        <w:t>法定代表人</w:t>
      </w:r>
      <w:r>
        <w:rPr>
          <w:rFonts w:ascii="宋体" w:hAnsi="宋体" w:eastAsia="宋体" w:cs="宋体"/>
          <w:color w:val="auto"/>
          <w:spacing w:val="-12"/>
          <w:kern w:val="0"/>
          <w:sz w:val="24"/>
          <w:szCs w:val="24"/>
          <w:highlight w:val="none"/>
        </w:rPr>
        <w:t>：</w:t>
      </w:r>
      <w:r>
        <w:rPr>
          <w:rFonts w:ascii="宋体" w:hAnsi="宋体" w:eastAsia="宋体" w:cs="宋体"/>
          <w:color w:val="auto"/>
          <w:spacing w:val="5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22"/>
          <w:kern w:val="0"/>
          <w:sz w:val="24"/>
          <w:szCs w:val="24"/>
          <w:highlight w:val="none"/>
        </w:rPr>
        <w:t xml:space="preserve"> </w:t>
      </w:r>
      <w:r>
        <w:rPr>
          <w:rFonts w:ascii="宋体" w:hAnsi="宋体" w:eastAsia="宋体" w:cs="宋体"/>
          <w:color w:val="auto"/>
          <w:spacing w:val="-12"/>
          <w:kern w:val="0"/>
          <w:sz w:val="24"/>
          <w:szCs w:val="24"/>
          <w:highlight w:val="none"/>
        </w:rPr>
        <w:t>（</w:t>
      </w:r>
      <w:r>
        <w:rPr>
          <w:rFonts w:ascii="宋体" w:hAnsi="宋体" w:eastAsia="宋体" w:cs="宋体"/>
          <w:color w:val="auto"/>
          <w:spacing w:val="-25"/>
          <w:w w:val="98"/>
          <w:kern w:val="0"/>
          <w:sz w:val="24"/>
          <w:szCs w:val="24"/>
          <w:highlight w:val="none"/>
        </w:rPr>
        <w:t>签字）</w:t>
      </w:r>
    </w:p>
    <w:p w14:paraId="5DB6502E">
      <w:pPr>
        <w:kinsoku w:val="0"/>
        <w:autoSpaceDE w:val="0"/>
        <w:autoSpaceDN w:val="0"/>
        <w:adjustRightInd w:val="0"/>
        <w:snapToGrid w:val="0"/>
        <w:spacing w:line="360" w:lineRule="auto"/>
        <w:ind w:firstLine="3780" w:firstLineChars="1800"/>
        <w:jc w:val="left"/>
        <w:textAlignment w:val="baseline"/>
        <w:rPr>
          <w:rFonts w:ascii="Arial" w:hAnsi="Arial" w:eastAsia="Arial" w:cs="Arial"/>
          <w:snapToGrid w:val="0"/>
          <w:color w:val="auto"/>
          <w:kern w:val="0"/>
          <w:sz w:val="21"/>
          <w:szCs w:val="21"/>
          <w:highlight w:val="none"/>
          <w:lang w:val="en-US" w:eastAsia="en-US" w:bidi="ar-SA"/>
        </w:rPr>
      </w:pPr>
    </w:p>
    <w:p w14:paraId="1F88E435">
      <w:pPr>
        <w:widowControl/>
        <w:kinsoku w:val="0"/>
        <w:autoSpaceDE w:val="0"/>
        <w:autoSpaceDN w:val="0"/>
        <w:spacing w:before="0" w:line="360" w:lineRule="auto"/>
        <w:ind w:left="0" w:firstLine="3222" w:firstLineChars="1800"/>
        <w:jc w:val="left"/>
        <w:rPr>
          <w:rFonts w:ascii="宋体" w:hAnsi="宋体" w:eastAsia="宋体" w:cs="宋体"/>
          <w:color w:val="auto"/>
          <w:kern w:val="0"/>
          <w:sz w:val="24"/>
          <w:szCs w:val="24"/>
          <w:highlight w:val="none"/>
        </w:rPr>
      </w:pPr>
      <w:r>
        <w:rPr>
          <w:rFonts w:ascii="宋体" w:hAnsi="宋体" w:eastAsia="宋体" w:cs="宋体"/>
          <w:color w:val="auto"/>
          <w:spacing w:val="-28"/>
          <w:w w:val="98"/>
          <w:kern w:val="0"/>
          <w:sz w:val="24"/>
          <w:szCs w:val="24"/>
          <w:highlight w:val="none"/>
        </w:rPr>
        <w:t>身份证号码：</w:t>
      </w:r>
      <w:r>
        <w:rPr>
          <w:rFonts w:ascii="宋体" w:hAnsi="宋体" w:eastAsia="宋体" w:cs="宋体"/>
          <w:color w:val="auto"/>
          <w:spacing w:val="5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09FB687C">
      <w:pPr>
        <w:kinsoku w:val="0"/>
        <w:autoSpaceDE w:val="0"/>
        <w:autoSpaceDN w:val="0"/>
        <w:adjustRightInd w:val="0"/>
        <w:snapToGrid w:val="0"/>
        <w:spacing w:line="360" w:lineRule="auto"/>
        <w:ind w:firstLine="3780" w:firstLineChars="1800"/>
        <w:jc w:val="left"/>
        <w:textAlignment w:val="baseline"/>
        <w:rPr>
          <w:rFonts w:ascii="Arial" w:hAnsi="Arial" w:eastAsia="Arial" w:cs="Arial"/>
          <w:snapToGrid w:val="0"/>
          <w:color w:val="auto"/>
          <w:kern w:val="0"/>
          <w:sz w:val="21"/>
          <w:szCs w:val="21"/>
          <w:highlight w:val="none"/>
          <w:lang w:val="en-US" w:eastAsia="en-US" w:bidi="ar-SA"/>
        </w:rPr>
      </w:pPr>
    </w:p>
    <w:p w14:paraId="501EB5AD">
      <w:pPr>
        <w:widowControl/>
        <w:kinsoku w:val="0"/>
        <w:autoSpaceDE w:val="0"/>
        <w:autoSpaceDN w:val="0"/>
        <w:spacing w:before="0" w:line="360" w:lineRule="auto"/>
        <w:ind w:left="0" w:firstLine="3366" w:firstLineChars="1800"/>
        <w:jc w:val="left"/>
        <w:rPr>
          <w:rFonts w:ascii="宋体" w:hAnsi="宋体" w:eastAsia="宋体" w:cs="宋体"/>
          <w:color w:val="auto"/>
          <w:kern w:val="0"/>
          <w:sz w:val="24"/>
          <w:szCs w:val="24"/>
          <w:highlight w:val="none"/>
        </w:rPr>
      </w:pPr>
      <w:r>
        <w:rPr>
          <w:rFonts w:ascii="宋体" w:hAnsi="宋体" w:eastAsia="宋体" w:cs="宋体"/>
          <w:color w:val="auto"/>
          <w:spacing w:val="-24"/>
          <w:w w:val="98"/>
          <w:kern w:val="0"/>
          <w:sz w:val="24"/>
          <w:szCs w:val="24"/>
          <w:highlight w:val="none"/>
        </w:rPr>
        <w:t>委托代理人</w:t>
      </w:r>
      <w:r>
        <w:rPr>
          <w:rFonts w:ascii="宋体" w:hAnsi="宋体" w:eastAsia="宋体" w:cs="宋体"/>
          <w:color w:val="auto"/>
          <w:spacing w:val="-16"/>
          <w:kern w:val="0"/>
          <w:sz w:val="24"/>
          <w:szCs w:val="24"/>
          <w:highlight w:val="none"/>
        </w:rPr>
        <w:t>：</w:t>
      </w:r>
      <w:r>
        <w:rPr>
          <w:rFonts w:ascii="宋体" w:hAnsi="宋体" w:eastAsia="宋体" w:cs="宋体"/>
          <w:color w:val="auto"/>
          <w:spacing w:val="57"/>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22"/>
          <w:kern w:val="0"/>
          <w:sz w:val="24"/>
          <w:szCs w:val="24"/>
          <w:highlight w:val="none"/>
        </w:rPr>
        <w:t xml:space="preserve"> </w:t>
      </w:r>
      <w:r>
        <w:rPr>
          <w:rFonts w:ascii="宋体" w:hAnsi="宋体" w:eastAsia="宋体" w:cs="宋体"/>
          <w:color w:val="auto"/>
          <w:spacing w:val="-16"/>
          <w:kern w:val="0"/>
          <w:sz w:val="24"/>
          <w:szCs w:val="24"/>
          <w:highlight w:val="none"/>
        </w:rPr>
        <w:t>（</w:t>
      </w:r>
      <w:r>
        <w:rPr>
          <w:rFonts w:ascii="宋体" w:hAnsi="宋体" w:eastAsia="宋体" w:cs="宋体"/>
          <w:color w:val="auto"/>
          <w:spacing w:val="-24"/>
          <w:w w:val="98"/>
          <w:kern w:val="0"/>
          <w:sz w:val="24"/>
          <w:szCs w:val="24"/>
          <w:highlight w:val="none"/>
        </w:rPr>
        <w:t>签字）</w:t>
      </w:r>
    </w:p>
    <w:p w14:paraId="4A54DFDB">
      <w:pPr>
        <w:kinsoku w:val="0"/>
        <w:autoSpaceDE w:val="0"/>
        <w:autoSpaceDN w:val="0"/>
        <w:adjustRightInd w:val="0"/>
        <w:snapToGrid w:val="0"/>
        <w:spacing w:line="360" w:lineRule="auto"/>
        <w:ind w:firstLine="3780" w:firstLineChars="1800"/>
        <w:jc w:val="left"/>
        <w:textAlignment w:val="baseline"/>
        <w:rPr>
          <w:rFonts w:ascii="Arial" w:hAnsi="Arial" w:eastAsia="Arial" w:cs="Arial"/>
          <w:snapToGrid w:val="0"/>
          <w:color w:val="auto"/>
          <w:kern w:val="0"/>
          <w:sz w:val="21"/>
          <w:szCs w:val="21"/>
          <w:highlight w:val="none"/>
          <w:lang w:val="en-US" w:eastAsia="en-US" w:bidi="ar-SA"/>
        </w:rPr>
      </w:pPr>
    </w:p>
    <w:p w14:paraId="0D976DA1">
      <w:pPr>
        <w:widowControl/>
        <w:kinsoku w:val="0"/>
        <w:autoSpaceDE w:val="0"/>
        <w:autoSpaceDN w:val="0"/>
        <w:spacing w:before="0" w:line="360" w:lineRule="auto"/>
        <w:ind w:left="0" w:firstLine="3222" w:firstLineChars="1800"/>
        <w:jc w:val="left"/>
        <w:rPr>
          <w:rFonts w:ascii="宋体" w:hAnsi="宋体" w:eastAsia="宋体" w:cs="宋体"/>
          <w:color w:val="auto"/>
          <w:kern w:val="0"/>
          <w:sz w:val="24"/>
          <w:szCs w:val="24"/>
          <w:highlight w:val="none"/>
        </w:rPr>
      </w:pPr>
      <w:r>
        <w:rPr>
          <w:rFonts w:ascii="宋体" w:hAnsi="宋体" w:eastAsia="宋体" w:cs="宋体"/>
          <w:color w:val="auto"/>
          <w:spacing w:val="-28"/>
          <w:w w:val="98"/>
          <w:kern w:val="0"/>
          <w:sz w:val="24"/>
          <w:szCs w:val="24"/>
          <w:highlight w:val="none"/>
        </w:rPr>
        <w:t>身份证号码：</w:t>
      </w:r>
      <w:r>
        <w:rPr>
          <w:rFonts w:ascii="宋体" w:hAnsi="宋体" w:eastAsia="宋体" w:cs="宋体"/>
          <w:color w:val="auto"/>
          <w:spacing w:val="5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6973F415">
      <w:pPr>
        <w:kinsoku w:val="0"/>
        <w:autoSpaceDE w:val="0"/>
        <w:autoSpaceDN w:val="0"/>
        <w:adjustRightInd w:val="0"/>
        <w:snapToGrid w:val="0"/>
        <w:spacing w:line="360" w:lineRule="auto"/>
        <w:ind w:firstLine="3780" w:firstLineChars="1800"/>
        <w:jc w:val="left"/>
        <w:textAlignment w:val="baseline"/>
        <w:rPr>
          <w:rFonts w:ascii="Arial" w:hAnsi="Arial" w:eastAsia="Arial" w:cs="Arial"/>
          <w:snapToGrid w:val="0"/>
          <w:color w:val="auto"/>
          <w:kern w:val="0"/>
          <w:sz w:val="21"/>
          <w:szCs w:val="21"/>
          <w:highlight w:val="none"/>
          <w:lang w:val="en-US" w:eastAsia="en-US" w:bidi="ar-SA"/>
        </w:rPr>
      </w:pPr>
    </w:p>
    <w:p w14:paraId="1DC47C85">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519FAB88">
      <w:pPr>
        <w:widowControl/>
        <w:tabs>
          <w:tab w:val="left" w:pos="5749"/>
        </w:tabs>
        <w:kinsoku w:val="0"/>
        <w:autoSpaceDE w:val="0"/>
        <w:autoSpaceDN w:val="0"/>
        <w:spacing w:before="78" w:line="220" w:lineRule="auto"/>
        <w:ind w:left="5029" w:firstLine="0" w:firstLineChars="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9"/>
          <w:kern w:val="0"/>
          <w:sz w:val="24"/>
          <w:szCs w:val="24"/>
          <w:highlight w:val="none"/>
        </w:rPr>
        <w:t>年</w:t>
      </w:r>
      <w:r>
        <w:rPr>
          <w:rFonts w:ascii="宋体" w:hAnsi="宋体" w:eastAsia="宋体" w:cs="宋体"/>
          <w:color w:val="auto"/>
          <w:spacing w:val="40"/>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9"/>
          <w:kern w:val="0"/>
          <w:sz w:val="24"/>
          <w:szCs w:val="24"/>
          <w:highlight w:val="none"/>
        </w:rPr>
        <w:t>月</w:t>
      </w:r>
      <w:r>
        <w:rPr>
          <w:rFonts w:ascii="宋体" w:hAnsi="宋体" w:eastAsia="宋体" w:cs="宋体"/>
          <w:color w:val="auto"/>
          <w:spacing w:val="40"/>
          <w:kern w:val="0"/>
          <w:sz w:val="24"/>
          <w:szCs w:val="24"/>
          <w:highlight w:val="none"/>
          <w:u w:val="single" w:color="auto"/>
        </w:rPr>
        <w:t xml:space="preserve">   </w:t>
      </w:r>
      <w:r>
        <w:rPr>
          <w:rFonts w:ascii="宋体" w:hAnsi="宋体" w:eastAsia="宋体" w:cs="宋体"/>
          <w:color w:val="auto"/>
          <w:spacing w:val="-69"/>
          <w:kern w:val="0"/>
          <w:sz w:val="24"/>
          <w:szCs w:val="24"/>
          <w:highlight w:val="none"/>
        </w:rPr>
        <w:t xml:space="preserve"> </w:t>
      </w:r>
      <w:r>
        <w:rPr>
          <w:rFonts w:ascii="宋体" w:hAnsi="宋体" w:eastAsia="宋体" w:cs="宋体"/>
          <w:color w:val="auto"/>
          <w:spacing w:val="-9"/>
          <w:kern w:val="0"/>
          <w:sz w:val="24"/>
          <w:szCs w:val="24"/>
          <w:highlight w:val="none"/>
        </w:rPr>
        <w:t>日</w:t>
      </w:r>
    </w:p>
    <w:p w14:paraId="7ED31FD3">
      <w:pPr>
        <w:kinsoku w:val="0"/>
        <w:autoSpaceDE w:val="0"/>
        <w:autoSpaceDN w:val="0"/>
        <w:adjustRightInd w:val="0"/>
        <w:snapToGrid w:val="0"/>
        <w:spacing w:line="267" w:lineRule="auto"/>
        <w:jc w:val="left"/>
        <w:textAlignment w:val="baseline"/>
        <w:rPr>
          <w:rFonts w:ascii="Arial" w:hAnsi="Arial" w:eastAsia="Arial" w:cs="Arial"/>
          <w:snapToGrid w:val="0"/>
          <w:color w:val="auto"/>
          <w:kern w:val="0"/>
          <w:sz w:val="21"/>
          <w:szCs w:val="21"/>
          <w:highlight w:val="none"/>
          <w:lang w:val="en-US" w:eastAsia="en-US" w:bidi="ar-SA"/>
        </w:rPr>
      </w:pPr>
    </w:p>
    <w:p w14:paraId="706BE0A8">
      <w:pPr>
        <w:kinsoku w:val="0"/>
        <w:autoSpaceDE w:val="0"/>
        <w:autoSpaceDN w:val="0"/>
        <w:adjustRightInd w:val="0"/>
        <w:snapToGrid w:val="0"/>
        <w:spacing w:line="267" w:lineRule="auto"/>
        <w:jc w:val="left"/>
        <w:textAlignment w:val="baseline"/>
        <w:rPr>
          <w:rFonts w:ascii="Arial" w:hAnsi="Arial" w:eastAsia="Arial" w:cs="Arial"/>
          <w:snapToGrid w:val="0"/>
          <w:color w:val="auto"/>
          <w:kern w:val="0"/>
          <w:sz w:val="21"/>
          <w:szCs w:val="21"/>
          <w:highlight w:val="none"/>
          <w:lang w:val="en-US" w:eastAsia="en-US" w:bidi="ar-SA"/>
        </w:rPr>
      </w:pPr>
    </w:p>
    <w:p w14:paraId="4C844FB5">
      <w:pPr>
        <w:kinsoku w:val="0"/>
        <w:autoSpaceDE w:val="0"/>
        <w:autoSpaceDN w:val="0"/>
        <w:adjustRightInd w:val="0"/>
        <w:snapToGrid w:val="0"/>
        <w:spacing w:line="267" w:lineRule="auto"/>
        <w:jc w:val="left"/>
        <w:textAlignment w:val="baseline"/>
        <w:rPr>
          <w:rFonts w:ascii="Arial" w:hAnsi="Arial" w:eastAsia="Arial" w:cs="Arial"/>
          <w:snapToGrid w:val="0"/>
          <w:color w:val="auto"/>
          <w:kern w:val="0"/>
          <w:sz w:val="21"/>
          <w:szCs w:val="21"/>
          <w:highlight w:val="none"/>
          <w:lang w:val="en-US" w:eastAsia="en-US" w:bidi="ar-SA"/>
        </w:rPr>
      </w:pPr>
    </w:p>
    <w:p w14:paraId="4BC12DF8">
      <w:pPr>
        <w:kinsoku w:val="0"/>
        <w:autoSpaceDE w:val="0"/>
        <w:autoSpaceDN w:val="0"/>
        <w:adjustRightInd w:val="0"/>
        <w:snapToGrid w:val="0"/>
        <w:spacing w:line="268" w:lineRule="auto"/>
        <w:jc w:val="left"/>
        <w:textAlignment w:val="baseline"/>
        <w:rPr>
          <w:rFonts w:ascii="Arial" w:hAnsi="Arial" w:eastAsia="Arial" w:cs="Arial"/>
          <w:snapToGrid w:val="0"/>
          <w:color w:val="auto"/>
          <w:kern w:val="0"/>
          <w:sz w:val="21"/>
          <w:szCs w:val="21"/>
          <w:highlight w:val="none"/>
          <w:lang w:val="en-US" w:eastAsia="en-US" w:bidi="ar-SA"/>
        </w:rPr>
      </w:pPr>
    </w:p>
    <w:p w14:paraId="5B43DAD4">
      <w:pPr>
        <w:widowControl/>
        <w:kinsoku w:val="0"/>
        <w:autoSpaceDE/>
        <w:autoSpaceDN/>
        <w:spacing w:before="0" w:line="360" w:lineRule="auto"/>
        <w:ind w:left="239" w:firstLine="0" w:firstLineChars="0"/>
        <w:jc w:val="left"/>
        <w:rPr>
          <w:rFonts w:ascii="宋体" w:hAnsi="宋体" w:eastAsia="宋体" w:cs="宋体"/>
          <w:color w:val="auto"/>
          <w:spacing w:val="-8"/>
          <w:kern w:val="0"/>
          <w:sz w:val="24"/>
          <w:szCs w:val="24"/>
          <w:highlight w:val="none"/>
        </w:rPr>
      </w:pPr>
      <w:r>
        <w:rPr>
          <w:rFonts w:ascii="宋体" w:hAnsi="宋体" w:eastAsia="宋体" w:cs="宋体"/>
          <w:color w:val="auto"/>
          <w:spacing w:val="-8"/>
          <w:kern w:val="0"/>
          <w:sz w:val="24"/>
          <w:szCs w:val="24"/>
          <w:highlight w:val="none"/>
        </w:rPr>
        <w:t xml:space="preserve">注： </w:t>
      </w:r>
      <w:r>
        <w:rPr>
          <w:rFonts w:ascii="Times New Roman" w:hAnsi="Times New Roman" w:eastAsia="Times New Roman" w:cs="Times New Roman"/>
          <w:strike/>
          <w:color w:val="auto"/>
          <w:spacing w:val="-8"/>
          <w:kern w:val="0"/>
          <w:sz w:val="24"/>
          <w:szCs w:val="24"/>
          <w:highlight w:val="none"/>
        </w:rPr>
        <w:t>1</w:t>
      </w:r>
      <w:r>
        <w:rPr>
          <w:rFonts w:ascii="Times New Roman" w:hAnsi="Times New Roman" w:eastAsia="Times New Roman" w:cs="Times New Roman"/>
          <w:strike/>
          <w:color w:val="auto"/>
          <w:spacing w:val="-23"/>
          <w:kern w:val="0"/>
          <w:sz w:val="24"/>
          <w:szCs w:val="24"/>
          <w:highlight w:val="none"/>
        </w:rPr>
        <w:t xml:space="preserve"> </w:t>
      </w:r>
      <w:r>
        <w:rPr>
          <w:rFonts w:ascii="宋体" w:hAnsi="宋体" w:eastAsia="宋体" w:cs="宋体"/>
          <w:strike/>
          <w:color w:val="auto"/>
          <w:spacing w:val="-8"/>
          <w:kern w:val="0"/>
          <w:sz w:val="24"/>
          <w:szCs w:val="24"/>
          <w:highlight w:val="none"/>
        </w:rPr>
        <w:t>、电子招投标原则上不再需要提供授权委托书。</w:t>
      </w:r>
    </w:p>
    <w:p w14:paraId="710DED3E">
      <w:pPr>
        <w:widowControl/>
        <w:numPr>
          <w:ilvl w:val="0"/>
          <w:numId w:val="0"/>
        </w:numPr>
        <w:kinsoku w:val="0"/>
        <w:autoSpaceDE/>
        <w:autoSpaceDN/>
        <w:spacing w:before="0" w:line="360" w:lineRule="auto"/>
        <w:ind w:left="0" w:firstLine="0" w:firstLineChars="0"/>
        <w:jc w:val="left"/>
        <w:rPr>
          <w:rFonts w:hint="eastAsia" w:ascii="宋体" w:hAnsi="宋体" w:eastAsia="宋体" w:cs="宋体"/>
          <w:color w:val="auto"/>
          <w:spacing w:val="-8"/>
          <w:kern w:val="0"/>
          <w:sz w:val="24"/>
          <w:szCs w:val="24"/>
          <w:highlight w:val="none"/>
          <w:lang w:eastAsia="zh-CN"/>
        </w:rPr>
      </w:pPr>
      <w:r>
        <w:rPr>
          <w:rFonts w:hint="eastAsia" w:ascii="宋体" w:hAnsi="宋体" w:eastAsia="宋体" w:cs="宋体"/>
          <w:color w:val="auto"/>
          <w:spacing w:val="-8"/>
          <w:kern w:val="0"/>
          <w:sz w:val="24"/>
          <w:szCs w:val="24"/>
          <w:highlight w:val="none"/>
          <w:lang w:val="en-US" w:eastAsia="zh-CN"/>
        </w:rPr>
        <w:t xml:space="preserve">        2、</w:t>
      </w:r>
      <w:r>
        <w:rPr>
          <w:rFonts w:hint="eastAsia" w:ascii="宋体" w:hAnsi="宋体" w:eastAsia="宋体" w:cs="宋体"/>
          <w:color w:val="auto"/>
          <w:spacing w:val="-8"/>
          <w:kern w:val="0"/>
          <w:sz w:val="24"/>
          <w:szCs w:val="24"/>
          <w:highlight w:val="none"/>
        </w:rPr>
        <w:t>法定代表人和委托代理人均应在本授权委托书上签字，不得使用印章、签名章或其他电子制版签名</w:t>
      </w:r>
      <w:r>
        <w:rPr>
          <w:rFonts w:hint="eastAsia" w:ascii="宋体" w:hAnsi="宋体" w:eastAsia="宋体" w:cs="宋体"/>
          <w:color w:val="auto"/>
          <w:spacing w:val="-8"/>
          <w:kern w:val="0"/>
          <w:sz w:val="24"/>
          <w:szCs w:val="24"/>
          <w:highlight w:val="none"/>
          <w:lang w:eastAsia="zh-CN"/>
        </w:rPr>
        <w:t>。</w:t>
      </w:r>
    </w:p>
    <w:p w14:paraId="3C0E8BE5">
      <w:pPr>
        <w:widowControl/>
        <w:kinsoku w:val="0"/>
        <w:autoSpaceDE w:val="0"/>
        <w:autoSpaceDN w:val="0"/>
        <w:spacing w:before="79" w:line="219" w:lineRule="auto"/>
        <w:ind w:left="239" w:firstLine="0" w:firstLineChars="0"/>
        <w:jc w:val="left"/>
        <w:rPr>
          <w:rFonts w:ascii="宋体" w:hAnsi="宋体" w:eastAsia="宋体" w:cs="宋体"/>
          <w:color w:val="auto"/>
          <w:spacing w:val="-8"/>
          <w:kern w:val="0"/>
          <w:sz w:val="24"/>
          <w:szCs w:val="24"/>
          <w:highlight w:val="none"/>
        </w:rPr>
      </w:pPr>
    </w:p>
    <w:p w14:paraId="4A4C72E5">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288E2FED">
      <w:pPr>
        <w:pStyle w:val="3"/>
        <w:kinsoku/>
        <w:spacing w:before="169"/>
        <w:ind w:left="0"/>
        <w:jc w:val="center"/>
        <w:outlineLvl w:val="1"/>
        <w:rPr>
          <w:rFonts w:cs="宋体"/>
          <w:bCs/>
          <w:color w:val="auto"/>
          <w:sz w:val="30"/>
          <w:szCs w:val="30"/>
          <w:highlight w:val="none"/>
          <w:lang w:eastAsia="zh-CN"/>
        </w:rPr>
      </w:pPr>
      <w:bookmarkStart w:id="2424" w:name="_Toc24591"/>
      <w:bookmarkStart w:id="2425" w:name="_Toc22975"/>
      <w:bookmarkStart w:id="2426" w:name="_Toc3155"/>
      <w:bookmarkStart w:id="2427" w:name="_Toc9794"/>
      <w:bookmarkStart w:id="2428" w:name="_Toc21205"/>
      <w:bookmarkStart w:id="2429" w:name="_Toc23811"/>
      <w:bookmarkStart w:id="2430" w:name="_Toc18712"/>
      <w:bookmarkStart w:id="2431" w:name="_Toc8538"/>
      <w:bookmarkStart w:id="2432" w:name="_Toc23144"/>
      <w:bookmarkStart w:id="2433" w:name="_Toc15041"/>
      <w:bookmarkStart w:id="2434" w:name="_Toc5228"/>
      <w:bookmarkStart w:id="2435" w:name="_Toc20773"/>
      <w:bookmarkStart w:id="2436" w:name="_Toc28916"/>
      <w:bookmarkStart w:id="2437" w:name="_Toc29895"/>
      <w:r>
        <w:rPr>
          <w:rFonts w:hint="eastAsia" w:ascii="宋体" w:cs="宋体"/>
          <w:b/>
          <w:bCs/>
          <w:color w:val="auto"/>
          <w:spacing w:val="0"/>
          <w:sz w:val="30"/>
          <w:szCs w:val="30"/>
          <w:highlight w:val="none"/>
          <w:lang w:eastAsia="zh-CN"/>
        </w:rPr>
        <w:t>四</w:t>
      </w:r>
      <w:r>
        <w:rPr>
          <w:rFonts w:ascii="宋体" w:cs="宋体"/>
          <w:b/>
          <w:bCs/>
          <w:color w:val="auto"/>
          <w:spacing w:val="0"/>
          <w:sz w:val="30"/>
          <w:szCs w:val="30"/>
          <w:highlight w:val="none"/>
          <w:lang w:eastAsia="zh-CN"/>
        </w:rPr>
        <w:t>、联合体协议书</w:t>
      </w:r>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p>
    <w:p w14:paraId="1C5831A8">
      <w:pPr>
        <w:kinsoku w:val="0"/>
        <w:autoSpaceDE w:val="0"/>
        <w:autoSpaceDN w:val="0"/>
        <w:adjustRightInd w:val="0"/>
        <w:snapToGrid w:val="0"/>
        <w:spacing w:line="330" w:lineRule="auto"/>
        <w:jc w:val="left"/>
        <w:textAlignment w:val="baseline"/>
        <w:rPr>
          <w:rFonts w:ascii="Arial" w:hAnsi="Arial" w:eastAsia="Arial" w:cs="Arial"/>
          <w:snapToGrid w:val="0"/>
          <w:color w:val="auto"/>
          <w:kern w:val="0"/>
          <w:sz w:val="21"/>
          <w:szCs w:val="21"/>
          <w:highlight w:val="none"/>
          <w:lang w:val="en-US" w:eastAsia="en-US" w:bidi="ar-SA"/>
        </w:rPr>
      </w:pPr>
    </w:p>
    <w:p w14:paraId="07788D17">
      <w:pPr>
        <w:kinsoku w:val="0"/>
        <w:autoSpaceDE w:val="0"/>
        <w:autoSpaceDN w:val="0"/>
        <w:adjustRightInd w:val="0"/>
        <w:snapToGrid w:val="0"/>
        <w:spacing w:line="331" w:lineRule="auto"/>
        <w:jc w:val="left"/>
        <w:textAlignment w:val="baseline"/>
        <w:rPr>
          <w:rFonts w:ascii="Arial" w:hAnsi="Arial" w:eastAsia="Arial" w:cs="Arial"/>
          <w:snapToGrid w:val="0"/>
          <w:color w:val="auto"/>
          <w:kern w:val="0"/>
          <w:sz w:val="21"/>
          <w:szCs w:val="21"/>
          <w:highlight w:val="none"/>
          <w:lang w:val="en-US" w:eastAsia="en-US" w:bidi="ar-SA"/>
        </w:rPr>
      </w:pPr>
    </w:p>
    <w:p w14:paraId="320A6BC8">
      <w:pPr>
        <w:widowControl/>
        <w:tabs>
          <w:tab w:val="left" w:pos="2151"/>
        </w:tabs>
        <w:kinsoku w:val="0"/>
        <w:autoSpaceDE w:val="0"/>
        <w:autoSpaceDN w:val="0"/>
        <w:spacing w:line="360" w:lineRule="auto"/>
        <w:ind w:firstLine="480" w:firstLineChars="20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7"/>
          <w:kern w:val="0"/>
          <w:sz w:val="24"/>
          <w:szCs w:val="24"/>
          <w:highlight w:val="none"/>
        </w:rPr>
        <w:t xml:space="preserve"> </w:t>
      </w:r>
      <w:r>
        <w:rPr>
          <w:rFonts w:ascii="宋体" w:hAnsi="宋体" w:eastAsia="宋体" w:cs="宋体"/>
          <w:color w:val="auto"/>
          <w:spacing w:val="-26"/>
          <w:kern w:val="0"/>
          <w:sz w:val="24"/>
          <w:szCs w:val="24"/>
          <w:highlight w:val="none"/>
        </w:rPr>
        <w:t>（所有成员单位名称）自愿组成</w:t>
      </w:r>
      <w:r>
        <w:rPr>
          <w:rFonts w:ascii="宋体" w:hAnsi="宋体" w:eastAsia="宋体" w:cs="宋体"/>
          <w:color w:val="auto"/>
          <w:spacing w:val="-120"/>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46"/>
          <w:kern w:val="0"/>
          <w:sz w:val="24"/>
          <w:szCs w:val="24"/>
          <w:highlight w:val="none"/>
        </w:rPr>
        <w:t xml:space="preserve"> </w:t>
      </w:r>
      <w:r>
        <w:rPr>
          <w:rFonts w:ascii="宋体" w:hAnsi="宋体" w:eastAsia="宋体" w:cs="宋体"/>
          <w:color w:val="auto"/>
          <w:spacing w:val="-26"/>
          <w:kern w:val="0"/>
          <w:sz w:val="24"/>
          <w:szCs w:val="24"/>
          <w:highlight w:val="none"/>
        </w:rPr>
        <w:t>（联合体名称</w:t>
      </w:r>
      <w:r>
        <w:rPr>
          <w:rFonts w:ascii="宋体" w:hAnsi="宋体" w:eastAsia="宋体" w:cs="宋体"/>
          <w:color w:val="auto"/>
          <w:spacing w:val="-2"/>
          <w:kern w:val="0"/>
          <w:sz w:val="24"/>
          <w:szCs w:val="24"/>
          <w:highlight w:val="none"/>
        </w:rPr>
        <w:t>）</w:t>
      </w:r>
      <w:r>
        <w:rPr>
          <w:rFonts w:ascii="宋体" w:hAnsi="宋体" w:eastAsia="宋体" w:cs="宋体"/>
          <w:color w:val="auto"/>
          <w:spacing w:val="-45"/>
          <w:kern w:val="0"/>
          <w:sz w:val="24"/>
          <w:szCs w:val="24"/>
          <w:highlight w:val="none"/>
        </w:rPr>
        <w:t xml:space="preserve"> </w:t>
      </w:r>
      <w:r>
        <w:rPr>
          <w:rFonts w:ascii="宋体" w:hAnsi="宋体" w:eastAsia="宋体" w:cs="宋体"/>
          <w:color w:val="auto"/>
          <w:spacing w:val="-2"/>
          <w:kern w:val="0"/>
          <w:sz w:val="24"/>
          <w:szCs w:val="24"/>
          <w:highlight w:val="none"/>
        </w:rPr>
        <w:t>，</w:t>
      </w:r>
      <w:r>
        <w:rPr>
          <w:rFonts w:ascii="宋体" w:hAnsi="宋体" w:eastAsia="宋体" w:cs="宋体"/>
          <w:color w:val="auto"/>
          <w:spacing w:val="-26"/>
          <w:kern w:val="0"/>
          <w:sz w:val="24"/>
          <w:szCs w:val="24"/>
          <w:highlight w:val="none"/>
        </w:rPr>
        <w:t>共</w:t>
      </w:r>
      <w:r>
        <w:rPr>
          <w:rFonts w:ascii="宋体" w:hAnsi="宋体" w:eastAsia="宋体" w:cs="宋体"/>
          <w:color w:val="auto"/>
          <w:spacing w:val="-15"/>
          <w:kern w:val="0"/>
          <w:sz w:val="24"/>
          <w:szCs w:val="24"/>
          <w:highlight w:val="none"/>
        </w:rPr>
        <w:t>同参加</w:t>
      </w:r>
      <w:r>
        <w:rPr>
          <w:rFonts w:ascii="宋体" w:hAnsi="宋体" w:eastAsia="宋体" w:cs="宋体"/>
          <w:color w:val="auto"/>
          <w:spacing w:val="-11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hint="eastAsia" w:ascii="宋体" w:hAnsi="宋体" w:eastAsia="宋体" w:cs="宋体"/>
          <w:color w:val="auto"/>
          <w:kern w:val="0"/>
          <w:sz w:val="24"/>
          <w:szCs w:val="24"/>
          <w:highlight w:val="none"/>
          <w:u w:val="single" w:color="auto"/>
          <w:lang w:val="en-US" w:eastAsia="zh-CN"/>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20"/>
          <w:kern w:val="0"/>
          <w:sz w:val="24"/>
          <w:szCs w:val="24"/>
          <w:highlight w:val="none"/>
        </w:rPr>
        <w:t xml:space="preserve"> </w:t>
      </w:r>
      <w:r>
        <w:rPr>
          <w:rFonts w:ascii="宋体" w:hAnsi="宋体" w:eastAsia="宋体" w:cs="宋体"/>
          <w:color w:val="auto"/>
          <w:spacing w:val="-15"/>
          <w:kern w:val="0"/>
          <w:sz w:val="24"/>
          <w:szCs w:val="24"/>
          <w:highlight w:val="none"/>
        </w:rPr>
        <w:t>（项目名称</w:t>
      </w:r>
      <w:r>
        <w:rPr>
          <w:rFonts w:ascii="宋体" w:hAnsi="宋体" w:eastAsia="宋体" w:cs="宋体"/>
          <w:color w:val="auto"/>
          <w:spacing w:val="-2"/>
          <w:kern w:val="0"/>
          <w:sz w:val="24"/>
          <w:szCs w:val="24"/>
          <w:highlight w:val="none"/>
        </w:rPr>
        <w:t>）</w:t>
      </w:r>
      <w:r>
        <w:rPr>
          <w:rFonts w:ascii="宋体" w:hAnsi="宋体" w:eastAsia="宋体" w:cs="宋体"/>
          <w:color w:val="auto"/>
          <w:spacing w:val="-27"/>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8"/>
          <w:kern w:val="0"/>
          <w:sz w:val="24"/>
          <w:szCs w:val="24"/>
          <w:highlight w:val="none"/>
        </w:rPr>
        <w:t xml:space="preserve"> </w:t>
      </w:r>
      <w:r>
        <w:rPr>
          <w:rFonts w:ascii="宋体" w:hAnsi="宋体" w:eastAsia="宋体" w:cs="宋体"/>
          <w:color w:val="auto"/>
          <w:spacing w:val="-2"/>
          <w:kern w:val="0"/>
          <w:sz w:val="24"/>
          <w:szCs w:val="24"/>
          <w:highlight w:val="none"/>
        </w:rPr>
        <w:t>（</w:t>
      </w:r>
      <w:r>
        <w:rPr>
          <w:rFonts w:ascii="宋体" w:hAnsi="宋体" w:eastAsia="宋体" w:cs="宋体"/>
          <w:color w:val="auto"/>
          <w:spacing w:val="-15"/>
          <w:kern w:val="0"/>
          <w:sz w:val="24"/>
          <w:szCs w:val="24"/>
          <w:highlight w:val="none"/>
        </w:rPr>
        <w:t>标段名称）投标。现就联合体投标</w:t>
      </w:r>
      <w:r>
        <w:rPr>
          <w:rFonts w:ascii="宋体" w:hAnsi="宋体" w:eastAsia="宋体" w:cs="宋体"/>
          <w:color w:val="auto"/>
          <w:spacing w:val="-5"/>
          <w:kern w:val="0"/>
          <w:sz w:val="24"/>
          <w:szCs w:val="24"/>
          <w:highlight w:val="none"/>
        </w:rPr>
        <w:t>事宜订立如下协议。</w:t>
      </w:r>
    </w:p>
    <w:p w14:paraId="0013A86F">
      <w:pPr>
        <w:widowControl/>
        <w:numPr>
          <w:ilvl w:val="0"/>
          <w:numId w:val="0"/>
        </w:numPr>
        <w:kinsoku w:val="0"/>
        <w:autoSpaceDE w:val="0"/>
        <w:autoSpaceDN w:val="0"/>
        <w:spacing w:before="0" w:line="360" w:lineRule="auto"/>
        <w:ind w:left="0" w:firstLine="448" w:firstLineChars="200"/>
        <w:jc w:val="left"/>
        <w:rPr>
          <w:rFonts w:ascii="宋体" w:hAnsi="宋体" w:eastAsia="宋体" w:cs="宋体"/>
          <w:color w:val="auto"/>
          <w:kern w:val="0"/>
          <w:sz w:val="24"/>
          <w:szCs w:val="24"/>
          <w:highlight w:val="none"/>
        </w:rPr>
      </w:pPr>
      <w:r>
        <w:rPr>
          <w:rFonts w:ascii="宋体" w:hAnsi="宋体" w:eastAsia="宋体" w:cs="宋体"/>
          <w:snapToGrid w:val="0"/>
          <w:color w:val="auto"/>
          <w:spacing w:val="-8"/>
          <w:kern w:val="0"/>
          <w:sz w:val="24"/>
          <w:szCs w:val="24"/>
          <w:highlight w:val="none"/>
          <w:lang w:val="en-US" w:eastAsia="en-US" w:bidi="ar-SA"/>
        </w:rPr>
        <w:t>1.</w:t>
      </w:r>
      <w:r>
        <w:rPr>
          <w:rFonts w:ascii="Times New Roman" w:hAnsi="Times New Roman" w:eastAsia="Times New Roman" w:cs="Times New Roman"/>
          <w:color w:val="auto"/>
          <w:spacing w:val="-8"/>
          <w:kern w:val="0"/>
          <w:sz w:val="24"/>
          <w:szCs w:val="24"/>
          <w:highlight w:val="none"/>
        </w:rPr>
        <w:t xml:space="preserve"> </w:t>
      </w:r>
      <w:r>
        <w:rPr>
          <w:rFonts w:ascii="Times New Roman" w:hAnsi="Times New Roman" w:eastAsia="Times New Roman" w:cs="Times New Roman"/>
          <w:color w:val="auto"/>
          <w:spacing w:val="-8"/>
          <w:kern w:val="0"/>
          <w:sz w:val="24"/>
          <w:szCs w:val="24"/>
          <w:highlight w:val="none"/>
          <w:u w:val="single" w:color="auto"/>
        </w:rPr>
        <w:t xml:space="preserve">              </w:t>
      </w:r>
      <w:r>
        <w:rPr>
          <w:rFonts w:ascii="Times New Roman" w:hAnsi="Times New Roman" w:eastAsia="Times New Roman" w:cs="Times New Roman"/>
          <w:color w:val="auto"/>
          <w:spacing w:val="11"/>
          <w:kern w:val="0"/>
          <w:sz w:val="24"/>
          <w:szCs w:val="24"/>
          <w:highlight w:val="none"/>
        </w:rPr>
        <w:t xml:space="preserve">  </w:t>
      </w:r>
      <w:r>
        <w:rPr>
          <w:rFonts w:ascii="宋体" w:hAnsi="宋体" w:eastAsia="宋体" w:cs="宋体"/>
          <w:color w:val="auto"/>
          <w:spacing w:val="-8"/>
          <w:kern w:val="0"/>
          <w:sz w:val="24"/>
          <w:szCs w:val="24"/>
          <w:highlight w:val="none"/>
        </w:rPr>
        <w:t>（某成员单位名称）为</w:t>
      </w:r>
      <w:r>
        <w:rPr>
          <w:rFonts w:ascii="宋体" w:hAnsi="宋体" w:eastAsia="宋体" w:cs="宋体"/>
          <w:color w:val="auto"/>
          <w:spacing w:val="-107"/>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8"/>
          <w:kern w:val="0"/>
          <w:sz w:val="24"/>
          <w:szCs w:val="24"/>
          <w:highlight w:val="none"/>
        </w:rPr>
        <w:t>（联合体名称）牵头人。</w:t>
      </w:r>
    </w:p>
    <w:p w14:paraId="3344718B">
      <w:pPr>
        <w:widowControl/>
        <w:kinsoku w:val="0"/>
        <w:autoSpaceDE w:val="0"/>
        <w:autoSpaceDN w:val="0"/>
        <w:spacing w:before="0" w:line="360" w:lineRule="auto"/>
        <w:ind w:firstLine="480"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kern w:val="0"/>
          <w:sz w:val="24"/>
          <w:szCs w:val="24"/>
          <w:highlight w:val="none"/>
        </w:rPr>
        <w:t>2</w:t>
      </w:r>
      <w:r>
        <w:rPr>
          <w:rFonts w:ascii="Times New Roman" w:hAnsi="Times New Roman" w:eastAsia="Times New Roman" w:cs="Times New Roman"/>
          <w:color w:val="auto"/>
          <w:spacing w:val="-27"/>
          <w:kern w:val="0"/>
          <w:sz w:val="24"/>
          <w:szCs w:val="24"/>
          <w:highlight w:val="none"/>
        </w:rPr>
        <w:t xml:space="preserve"> </w:t>
      </w:r>
      <w:r>
        <w:rPr>
          <w:rFonts w:ascii="宋体" w:hAnsi="宋体" w:eastAsia="宋体" w:cs="宋体"/>
          <w:color w:val="auto"/>
          <w:kern w:val="0"/>
          <w:sz w:val="24"/>
          <w:szCs w:val="24"/>
          <w:highlight w:val="none"/>
        </w:rPr>
        <w:t>．联合体牵头人合法代表联合体各成员负责本标段</w:t>
      </w:r>
      <w:r>
        <w:rPr>
          <w:rFonts w:ascii="宋体" w:hAnsi="宋体" w:eastAsia="宋体" w:cs="宋体"/>
          <w:color w:val="auto"/>
          <w:spacing w:val="-1"/>
          <w:kern w:val="0"/>
          <w:sz w:val="24"/>
          <w:szCs w:val="24"/>
          <w:highlight w:val="none"/>
        </w:rPr>
        <w:t>施工招标投标文件递交和合</w:t>
      </w:r>
      <w:r>
        <w:rPr>
          <w:rFonts w:ascii="宋体" w:hAnsi="宋体" w:eastAsia="宋体" w:cs="宋体"/>
          <w:color w:val="auto"/>
          <w:spacing w:val="-12"/>
          <w:kern w:val="0"/>
          <w:sz w:val="24"/>
          <w:szCs w:val="24"/>
          <w:highlight w:val="none"/>
        </w:rPr>
        <w:t>同谈判活动，并代表联合体提交和接受相关的资料、信息及指示，处理与之有关的一</w:t>
      </w:r>
      <w:r>
        <w:rPr>
          <w:rFonts w:ascii="宋体" w:hAnsi="宋体" w:eastAsia="宋体" w:cs="宋体"/>
          <w:color w:val="auto"/>
          <w:spacing w:val="-2"/>
          <w:kern w:val="0"/>
          <w:sz w:val="24"/>
          <w:szCs w:val="24"/>
          <w:highlight w:val="none"/>
        </w:rPr>
        <w:t>切事务，并负责合同实施阶段的主办、组织和协调工作。</w:t>
      </w:r>
    </w:p>
    <w:p w14:paraId="12F4227A">
      <w:pPr>
        <w:widowControl/>
        <w:kinsoku w:val="0"/>
        <w:autoSpaceDE w:val="0"/>
        <w:autoSpaceDN w:val="0"/>
        <w:spacing w:before="0" w:line="360" w:lineRule="auto"/>
        <w:ind w:firstLine="476"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1"/>
          <w:kern w:val="0"/>
          <w:position w:val="17"/>
          <w:sz w:val="24"/>
          <w:szCs w:val="24"/>
          <w:highlight w:val="none"/>
        </w:rPr>
        <w:t>3</w:t>
      </w:r>
      <w:r>
        <w:rPr>
          <w:rFonts w:ascii="Times New Roman" w:hAnsi="Times New Roman" w:eastAsia="Times New Roman" w:cs="Times New Roman"/>
          <w:color w:val="auto"/>
          <w:spacing w:val="-9"/>
          <w:kern w:val="0"/>
          <w:position w:val="17"/>
          <w:sz w:val="24"/>
          <w:szCs w:val="24"/>
          <w:highlight w:val="none"/>
        </w:rPr>
        <w:t xml:space="preserve"> </w:t>
      </w:r>
      <w:r>
        <w:rPr>
          <w:rFonts w:ascii="宋体" w:hAnsi="宋体" w:eastAsia="宋体" w:cs="宋体"/>
          <w:color w:val="auto"/>
          <w:spacing w:val="-1"/>
          <w:kern w:val="0"/>
          <w:position w:val="17"/>
          <w:sz w:val="24"/>
          <w:szCs w:val="24"/>
          <w:highlight w:val="none"/>
        </w:rPr>
        <w:t>．联合体将严格按照招标文件的各项要求，编制投标文件，履行合同，并对外</w:t>
      </w:r>
      <w:r>
        <w:rPr>
          <w:rFonts w:hint="eastAsia" w:cs="宋体"/>
          <w:color w:val="auto"/>
          <w:spacing w:val="-1"/>
          <w:position w:val="17"/>
          <w:szCs w:val="24"/>
          <w:highlight w:val="none"/>
        </w:rPr>
        <w:t>承担连带责任</w:t>
      </w:r>
      <w:r>
        <w:rPr>
          <w:rFonts w:hint="eastAsia" w:cs="宋体"/>
          <w:color w:val="auto"/>
          <w:spacing w:val="-1"/>
          <w:position w:val="17"/>
          <w:szCs w:val="24"/>
          <w:highlight w:val="none"/>
          <w:lang w:eastAsia="zh-CN"/>
        </w:rPr>
        <w:t>。</w:t>
      </w:r>
    </w:p>
    <w:p w14:paraId="1BF93DE5">
      <w:pPr>
        <w:widowControl/>
        <w:kinsoku w:val="0"/>
        <w:autoSpaceDE w:val="0"/>
        <w:autoSpaceDN w:val="0"/>
        <w:spacing w:before="0" w:line="360" w:lineRule="auto"/>
        <w:ind w:left="0" w:firstLine="440"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10"/>
          <w:kern w:val="0"/>
          <w:sz w:val="24"/>
          <w:szCs w:val="24"/>
          <w:highlight w:val="none"/>
        </w:rPr>
        <w:t>4</w:t>
      </w:r>
      <w:r>
        <w:rPr>
          <w:rFonts w:ascii="Times New Roman" w:hAnsi="Times New Roman" w:eastAsia="Times New Roman" w:cs="Times New Roman"/>
          <w:color w:val="auto"/>
          <w:spacing w:val="-29"/>
          <w:kern w:val="0"/>
          <w:sz w:val="24"/>
          <w:szCs w:val="24"/>
          <w:highlight w:val="none"/>
        </w:rPr>
        <w:t xml:space="preserve"> </w:t>
      </w:r>
      <w:r>
        <w:rPr>
          <w:rFonts w:ascii="宋体" w:hAnsi="宋体" w:eastAsia="宋体" w:cs="宋体"/>
          <w:color w:val="auto"/>
          <w:spacing w:val="-10"/>
          <w:kern w:val="0"/>
          <w:sz w:val="24"/>
          <w:szCs w:val="24"/>
          <w:highlight w:val="none"/>
        </w:rPr>
        <w:t>．联合体内部各成员单位的职责分工如下</w:t>
      </w:r>
      <w:r>
        <w:rPr>
          <w:rFonts w:ascii="宋体" w:hAnsi="宋体" w:eastAsia="宋体" w:cs="宋体"/>
          <w:color w:val="auto"/>
          <w:spacing w:val="-11"/>
          <w:kern w:val="0"/>
          <w:sz w:val="24"/>
          <w:szCs w:val="24"/>
          <w:highlight w:val="none"/>
        </w:rPr>
        <w:t>：</w:t>
      </w:r>
      <w:r>
        <w:rPr>
          <w:rFonts w:ascii="宋体" w:hAnsi="宋体" w:eastAsia="宋体" w:cs="宋体"/>
          <w:color w:val="auto"/>
          <w:spacing w:val="5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1"/>
          <w:kern w:val="0"/>
          <w:sz w:val="24"/>
          <w:szCs w:val="24"/>
          <w:highlight w:val="none"/>
        </w:rPr>
        <w:t>。</w:t>
      </w:r>
    </w:p>
    <w:p w14:paraId="4989FF8D">
      <w:pPr>
        <w:widowControl/>
        <w:kinsoku w:val="0"/>
        <w:autoSpaceDE w:val="0"/>
        <w:autoSpaceDN w:val="0"/>
        <w:spacing w:before="0" w:line="360" w:lineRule="auto"/>
        <w:ind w:left="0" w:firstLine="468"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3"/>
          <w:kern w:val="0"/>
          <w:sz w:val="24"/>
          <w:szCs w:val="24"/>
          <w:highlight w:val="none"/>
        </w:rPr>
        <w:t>5</w:t>
      </w:r>
      <w:r>
        <w:rPr>
          <w:rFonts w:ascii="Times New Roman" w:hAnsi="Times New Roman" w:eastAsia="Times New Roman" w:cs="Times New Roman"/>
          <w:color w:val="auto"/>
          <w:spacing w:val="-25"/>
          <w:kern w:val="0"/>
          <w:sz w:val="24"/>
          <w:szCs w:val="24"/>
          <w:highlight w:val="none"/>
        </w:rPr>
        <w:t xml:space="preserve"> </w:t>
      </w:r>
      <w:r>
        <w:rPr>
          <w:rFonts w:ascii="宋体" w:hAnsi="宋体" w:eastAsia="宋体" w:cs="宋体"/>
          <w:color w:val="auto"/>
          <w:spacing w:val="-3"/>
          <w:kern w:val="0"/>
          <w:sz w:val="24"/>
          <w:szCs w:val="24"/>
          <w:highlight w:val="none"/>
        </w:rPr>
        <w:t>．本协议书自签署之日起生效，合同履行完毕后自动失效。</w:t>
      </w:r>
    </w:p>
    <w:p w14:paraId="1F25073B">
      <w:pPr>
        <w:widowControl/>
        <w:kinsoku w:val="0"/>
        <w:autoSpaceDE w:val="0"/>
        <w:autoSpaceDN w:val="0"/>
        <w:spacing w:before="0" w:line="360" w:lineRule="auto"/>
        <w:ind w:left="0" w:firstLine="468" w:firstLineChars="200"/>
        <w:jc w:val="left"/>
        <w:rPr>
          <w:rFonts w:ascii="宋体" w:hAnsi="宋体" w:eastAsia="宋体" w:cs="宋体"/>
          <w:color w:val="auto"/>
          <w:kern w:val="0"/>
          <w:sz w:val="24"/>
          <w:szCs w:val="24"/>
          <w:highlight w:val="none"/>
        </w:rPr>
      </w:pPr>
      <w:r>
        <w:rPr>
          <w:rFonts w:ascii="Times New Roman" w:hAnsi="Times New Roman" w:eastAsia="Times New Roman" w:cs="Times New Roman"/>
          <w:color w:val="auto"/>
          <w:spacing w:val="-3"/>
          <w:kern w:val="0"/>
          <w:sz w:val="24"/>
          <w:szCs w:val="24"/>
          <w:highlight w:val="none"/>
        </w:rPr>
        <w:t>6</w:t>
      </w:r>
      <w:r>
        <w:rPr>
          <w:rFonts w:ascii="Times New Roman" w:hAnsi="Times New Roman" w:eastAsia="Times New Roman" w:cs="Times New Roman"/>
          <w:color w:val="auto"/>
          <w:spacing w:val="-15"/>
          <w:kern w:val="0"/>
          <w:sz w:val="24"/>
          <w:szCs w:val="24"/>
          <w:highlight w:val="none"/>
        </w:rPr>
        <w:t xml:space="preserve"> </w:t>
      </w:r>
      <w:r>
        <w:rPr>
          <w:rFonts w:ascii="宋体" w:hAnsi="宋体" w:eastAsia="宋体" w:cs="宋体"/>
          <w:color w:val="auto"/>
          <w:spacing w:val="-3"/>
          <w:kern w:val="0"/>
          <w:sz w:val="24"/>
          <w:szCs w:val="24"/>
          <w:highlight w:val="none"/>
        </w:rPr>
        <w:t>．本协议书一式</w:t>
      </w:r>
      <w:r>
        <w:rPr>
          <w:rFonts w:ascii="宋体" w:hAnsi="宋体" w:eastAsia="宋体" w:cs="宋体"/>
          <w:color w:val="auto"/>
          <w:spacing w:val="-3"/>
          <w:kern w:val="0"/>
          <w:sz w:val="24"/>
          <w:szCs w:val="24"/>
          <w:highlight w:val="none"/>
          <w:u w:val="single" w:color="auto"/>
        </w:rPr>
        <w:t xml:space="preserve">    </w:t>
      </w:r>
      <w:r>
        <w:rPr>
          <w:rFonts w:ascii="宋体" w:hAnsi="宋体" w:eastAsia="宋体" w:cs="宋体"/>
          <w:color w:val="auto"/>
          <w:spacing w:val="-110"/>
          <w:kern w:val="0"/>
          <w:sz w:val="24"/>
          <w:szCs w:val="24"/>
          <w:highlight w:val="none"/>
        </w:rPr>
        <w:t xml:space="preserve"> </w:t>
      </w:r>
      <w:r>
        <w:rPr>
          <w:rFonts w:ascii="宋体" w:hAnsi="宋体" w:eastAsia="宋体" w:cs="宋体"/>
          <w:color w:val="auto"/>
          <w:spacing w:val="-3"/>
          <w:kern w:val="0"/>
          <w:sz w:val="24"/>
          <w:szCs w:val="24"/>
          <w:highlight w:val="none"/>
        </w:rPr>
        <w:t>份，联合体成员和招标人各执一份。</w:t>
      </w:r>
    </w:p>
    <w:p w14:paraId="1FC9804F">
      <w:pPr>
        <w:kinsoku w:val="0"/>
        <w:autoSpaceDE w:val="0"/>
        <w:autoSpaceDN w:val="0"/>
        <w:adjustRightInd w:val="0"/>
        <w:snapToGrid w:val="0"/>
        <w:spacing w:line="360" w:lineRule="auto"/>
        <w:ind w:firstLine="420"/>
        <w:jc w:val="left"/>
        <w:textAlignment w:val="baseline"/>
        <w:rPr>
          <w:rFonts w:ascii="Arial" w:hAnsi="Arial" w:eastAsia="Arial" w:cs="Arial"/>
          <w:snapToGrid w:val="0"/>
          <w:color w:val="auto"/>
          <w:kern w:val="0"/>
          <w:sz w:val="21"/>
          <w:szCs w:val="21"/>
          <w:highlight w:val="none"/>
          <w:lang w:val="en-US" w:eastAsia="en-US" w:bidi="ar-SA"/>
        </w:rPr>
      </w:pPr>
    </w:p>
    <w:p w14:paraId="3D59BA61">
      <w:pPr>
        <w:kinsoku w:val="0"/>
        <w:autoSpaceDE w:val="0"/>
        <w:autoSpaceDN w:val="0"/>
        <w:adjustRightInd w:val="0"/>
        <w:snapToGrid w:val="0"/>
        <w:spacing w:line="360" w:lineRule="auto"/>
        <w:ind w:firstLine="420"/>
        <w:jc w:val="left"/>
        <w:textAlignment w:val="baseline"/>
        <w:rPr>
          <w:rFonts w:ascii="Arial" w:hAnsi="Arial" w:eastAsia="Arial" w:cs="Arial"/>
          <w:snapToGrid w:val="0"/>
          <w:color w:val="auto"/>
          <w:kern w:val="0"/>
          <w:sz w:val="21"/>
          <w:szCs w:val="21"/>
          <w:highlight w:val="none"/>
          <w:lang w:val="en-US" w:eastAsia="en-US" w:bidi="ar-SA"/>
        </w:rPr>
      </w:pPr>
    </w:p>
    <w:p w14:paraId="3D2DE043">
      <w:pPr>
        <w:kinsoku w:val="0"/>
        <w:autoSpaceDE w:val="0"/>
        <w:autoSpaceDN w:val="0"/>
        <w:adjustRightInd w:val="0"/>
        <w:snapToGrid w:val="0"/>
        <w:spacing w:line="360" w:lineRule="auto"/>
        <w:ind w:firstLine="420"/>
        <w:jc w:val="left"/>
        <w:textAlignment w:val="baseline"/>
        <w:rPr>
          <w:rFonts w:ascii="Arial" w:hAnsi="Arial" w:eastAsia="Arial" w:cs="Arial"/>
          <w:snapToGrid w:val="0"/>
          <w:color w:val="auto"/>
          <w:kern w:val="0"/>
          <w:sz w:val="21"/>
          <w:szCs w:val="21"/>
          <w:highlight w:val="none"/>
          <w:lang w:val="en-US" w:eastAsia="en-US" w:bidi="ar-SA"/>
        </w:rPr>
      </w:pPr>
    </w:p>
    <w:p w14:paraId="4E5BCBFF">
      <w:pPr>
        <w:widowControl/>
        <w:kinsoku w:val="0"/>
        <w:autoSpaceDE w:val="0"/>
        <w:autoSpaceDN w:val="0"/>
        <w:spacing w:before="79" w:line="359" w:lineRule="auto"/>
        <w:ind w:left="2"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4"/>
          <w:kern w:val="0"/>
          <w:sz w:val="24"/>
          <w:szCs w:val="24"/>
          <w:highlight w:val="none"/>
        </w:rPr>
        <w:t>牵头人名称</w:t>
      </w:r>
      <w:r>
        <w:rPr>
          <w:rFonts w:ascii="宋体" w:hAnsi="宋体" w:eastAsia="宋体" w:cs="宋体"/>
          <w:color w:val="auto"/>
          <w:spacing w:val="-27"/>
          <w:kern w:val="0"/>
          <w:sz w:val="24"/>
          <w:szCs w:val="24"/>
          <w:highlight w:val="none"/>
        </w:rPr>
        <w:t>：</w:t>
      </w:r>
      <w:r>
        <w:rPr>
          <w:rFonts w:ascii="宋体" w:hAnsi="宋体" w:eastAsia="宋体" w:cs="宋体"/>
          <w:color w:val="auto"/>
          <w:spacing w:val="5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27"/>
          <w:kern w:val="0"/>
          <w:sz w:val="24"/>
          <w:szCs w:val="24"/>
          <w:highlight w:val="none"/>
        </w:rPr>
        <w:t>（</w:t>
      </w:r>
      <w:r>
        <w:rPr>
          <w:rFonts w:ascii="宋体" w:hAnsi="宋体" w:eastAsia="宋体" w:cs="宋体"/>
          <w:color w:val="auto"/>
          <w:spacing w:val="-24"/>
          <w:kern w:val="0"/>
          <w:sz w:val="24"/>
          <w:szCs w:val="24"/>
          <w:highlight w:val="none"/>
        </w:rPr>
        <w:t>盖单位公章）</w:t>
      </w:r>
    </w:p>
    <w:p w14:paraId="69CA65B2">
      <w:pPr>
        <w:widowControl/>
        <w:kinsoku w:val="0"/>
        <w:autoSpaceDE w:val="0"/>
        <w:autoSpaceDN w:val="0"/>
        <w:spacing w:before="1" w:line="218" w:lineRule="auto"/>
        <w:ind w:left="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16"/>
          <w:kern w:val="0"/>
          <w:sz w:val="24"/>
          <w:szCs w:val="24"/>
          <w:highlight w:val="none"/>
        </w:rPr>
        <w:t>法定代表人或其委托代理人</w:t>
      </w:r>
      <w:r>
        <w:rPr>
          <w:rFonts w:ascii="宋体" w:hAnsi="宋体" w:eastAsia="宋体" w:cs="宋体"/>
          <w:color w:val="auto"/>
          <w:spacing w:val="-15"/>
          <w:kern w:val="0"/>
          <w:sz w:val="24"/>
          <w:szCs w:val="24"/>
          <w:highlight w:val="none"/>
        </w:rPr>
        <w:t>：</w:t>
      </w:r>
      <w:r>
        <w:rPr>
          <w:rFonts w:ascii="宋体" w:hAnsi="宋体" w:eastAsia="宋体" w:cs="宋体"/>
          <w:color w:val="auto"/>
          <w:spacing w:val="5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5"/>
          <w:kern w:val="0"/>
          <w:sz w:val="24"/>
          <w:szCs w:val="24"/>
          <w:highlight w:val="none"/>
        </w:rPr>
        <w:t>（</w:t>
      </w:r>
      <w:r>
        <w:rPr>
          <w:rFonts w:ascii="宋体" w:hAnsi="宋体" w:eastAsia="宋体" w:cs="宋体"/>
          <w:color w:val="auto"/>
          <w:spacing w:val="-16"/>
          <w:kern w:val="0"/>
          <w:sz w:val="24"/>
          <w:szCs w:val="24"/>
          <w:highlight w:val="none"/>
        </w:rPr>
        <w:t>签字或盖章）</w:t>
      </w:r>
    </w:p>
    <w:p w14:paraId="4326EBCD">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1CD65395">
      <w:pPr>
        <w:kinsoku w:val="0"/>
        <w:autoSpaceDE w:val="0"/>
        <w:autoSpaceDN w:val="0"/>
        <w:adjustRightInd w:val="0"/>
        <w:snapToGrid w:val="0"/>
        <w:spacing w:line="258" w:lineRule="auto"/>
        <w:jc w:val="left"/>
        <w:textAlignment w:val="baseline"/>
        <w:rPr>
          <w:rFonts w:ascii="Arial" w:hAnsi="Arial" w:eastAsia="Arial" w:cs="Arial"/>
          <w:snapToGrid w:val="0"/>
          <w:color w:val="auto"/>
          <w:kern w:val="0"/>
          <w:sz w:val="21"/>
          <w:szCs w:val="21"/>
          <w:highlight w:val="none"/>
          <w:lang w:val="en-US" w:eastAsia="en-US" w:bidi="ar-SA"/>
        </w:rPr>
      </w:pPr>
    </w:p>
    <w:p w14:paraId="16AC08C9">
      <w:pPr>
        <w:widowControl/>
        <w:kinsoku w:val="0"/>
        <w:autoSpaceDE w:val="0"/>
        <w:autoSpaceDN w:val="0"/>
        <w:spacing w:before="78" w:line="359" w:lineRule="auto"/>
        <w:ind w:left="2"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2"/>
          <w:kern w:val="0"/>
          <w:sz w:val="24"/>
          <w:szCs w:val="24"/>
          <w:highlight w:val="none"/>
        </w:rPr>
        <w:t>成员一名称</w:t>
      </w:r>
      <w:r>
        <w:rPr>
          <w:rFonts w:ascii="宋体" w:hAnsi="宋体" w:eastAsia="宋体" w:cs="宋体"/>
          <w:color w:val="auto"/>
          <w:spacing w:val="-9"/>
          <w:kern w:val="0"/>
          <w:sz w:val="24"/>
          <w:szCs w:val="24"/>
          <w:highlight w:val="none"/>
        </w:rPr>
        <w:t>：</w:t>
      </w:r>
      <w:r>
        <w:rPr>
          <w:rFonts w:ascii="宋体" w:hAnsi="宋体" w:eastAsia="宋体" w:cs="宋体"/>
          <w:color w:val="auto"/>
          <w:spacing w:val="-3"/>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9"/>
          <w:kern w:val="0"/>
          <w:sz w:val="24"/>
          <w:szCs w:val="24"/>
          <w:highlight w:val="none"/>
        </w:rPr>
        <w:t>（</w:t>
      </w:r>
      <w:r>
        <w:rPr>
          <w:rFonts w:ascii="宋体" w:hAnsi="宋体" w:eastAsia="宋体" w:cs="宋体"/>
          <w:color w:val="auto"/>
          <w:spacing w:val="-22"/>
          <w:kern w:val="0"/>
          <w:sz w:val="24"/>
          <w:szCs w:val="24"/>
          <w:highlight w:val="none"/>
        </w:rPr>
        <w:t>盖单位公章）</w:t>
      </w:r>
    </w:p>
    <w:p w14:paraId="0536098A">
      <w:pPr>
        <w:widowControl/>
        <w:kinsoku w:val="0"/>
        <w:autoSpaceDE w:val="0"/>
        <w:autoSpaceDN w:val="0"/>
        <w:spacing w:before="1" w:line="218" w:lineRule="auto"/>
        <w:ind w:left="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16"/>
          <w:kern w:val="0"/>
          <w:sz w:val="24"/>
          <w:szCs w:val="24"/>
          <w:highlight w:val="none"/>
        </w:rPr>
        <w:t>法定代表人或其委托代理人</w:t>
      </w:r>
      <w:r>
        <w:rPr>
          <w:rFonts w:ascii="宋体" w:hAnsi="宋体" w:eastAsia="宋体" w:cs="宋体"/>
          <w:color w:val="auto"/>
          <w:spacing w:val="-15"/>
          <w:kern w:val="0"/>
          <w:sz w:val="24"/>
          <w:szCs w:val="24"/>
          <w:highlight w:val="none"/>
        </w:rPr>
        <w:t>：</w:t>
      </w:r>
      <w:r>
        <w:rPr>
          <w:rFonts w:ascii="宋体" w:hAnsi="宋体" w:eastAsia="宋体" w:cs="宋体"/>
          <w:color w:val="auto"/>
          <w:spacing w:val="5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5"/>
          <w:kern w:val="0"/>
          <w:sz w:val="24"/>
          <w:szCs w:val="24"/>
          <w:highlight w:val="none"/>
        </w:rPr>
        <w:t>（</w:t>
      </w:r>
      <w:r>
        <w:rPr>
          <w:rFonts w:ascii="宋体" w:hAnsi="宋体" w:eastAsia="宋体" w:cs="宋体"/>
          <w:color w:val="auto"/>
          <w:spacing w:val="-16"/>
          <w:kern w:val="0"/>
          <w:sz w:val="24"/>
          <w:szCs w:val="24"/>
          <w:highlight w:val="none"/>
        </w:rPr>
        <w:t>签字或盖章）</w:t>
      </w:r>
    </w:p>
    <w:p w14:paraId="49D7657F">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3D47A3CD">
      <w:pPr>
        <w:kinsoku w:val="0"/>
        <w:autoSpaceDE w:val="0"/>
        <w:autoSpaceDN w:val="0"/>
        <w:adjustRightInd w:val="0"/>
        <w:snapToGrid w:val="0"/>
        <w:spacing w:line="258" w:lineRule="auto"/>
        <w:jc w:val="left"/>
        <w:textAlignment w:val="baseline"/>
        <w:rPr>
          <w:rFonts w:ascii="Arial" w:hAnsi="Arial" w:eastAsia="Arial" w:cs="Arial"/>
          <w:snapToGrid w:val="0"/>
          <w:color w:val="auto"/>
          <w:kern w:val="0"/>
          <w:sz w:val="21"/>
          <w:szCs w:val="21"/>
          <w:highlight w:val="none"/>
          <w:lang w:val="en-US" w:eastAsia="en-US" w:bidi="ar-SA"/>
        </w:rPr>
      </w:pPr>
    </w:p>
    <w:p w14:paraId="5AE701DC">
      <w:pPr>
        <w:widowControl/>
        <w:kinsoku w:val="0"/>
        <w:autoSpaceDE w:val="0"/>
        <w:autoSpaceDN w:val="0"/>
        <w:spacing w:before="78" w:line="359" w:lineRule="auto"/>
        <w:ind w:left="2"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4"/>
          <w:kern w:val="0"/>
          <w:sz w:val="24"/>
          <w:szCs w:val="24"/>
          <w:highlight w:val="none"/>
        </w:rPr>
        <w:t>成员二名称</w:t>
      </w:r>
      <w:r>
        <w:rPr>
          <w:rFonts w:ascii="宋体" w:hAnsi="宋体" w:eastAsia="宋体" w:cs="宋体"/>
          <w:color w:val="auto"/>
          <w:spacing w:val="-27"/>
          <w:kern w:val="0"/>
          <w:sz w:val="24"/>
          <w:szCs w:val="24"/>
          <w:highlight w:val="none"/>
        </w:rPr>
        <w:t>：</w:t>
      </w:r>
      <w:r>
        <w:rPr>
          <w:rFonts w:ascii="宋体" w:hAnsi="宋体" w:eastAsia="宋体" w:cs="宋体"/>
          <w:color w:val="auto"/>
          <w:spacing w:val="5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27"/>
          <w:kern w:val="0"/>
          <w:sz w:val="24"/>
          <w:szCs w:val="24"/>
          <w:highlight w:val="none"/>
        </w:rPr>
        <w:t>（</w:t>
      </w:r>
      <w:r>
        <w:rPr>
          <w:rFonts w:ascii="宋体" w:hAnsi="宋体" w:eastAsia="宋体" w:cs="宋体"/>
          <w:color w:val="auto"/>
          <w:spacing w:val="-24"/>
          <w:kern w:val="0"/>
          <w:sz w:val="24"/>
          <w:szCs w:val="24"/>
          <w:highlight w:val="none"/>
        </w:rPr>
        <w:t>盖单位公章）</w:t>
      </w:r>
    </w:p>
    <w:p w14:paraId="19363890">
      <w:pPr>
        <w:widowControl/>
        <w:kinsoku w:val="0"/>
        <w:autoSpaceDE w:val="0"/>
        <w:autoSpaceDN w:val="0"/>
        <w:spacing w:before="1" w:line="218" w:lineRule="auto"/>
        <w:ind w:left="1"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16"/>
          <w:kern w:val="0"/>
          <w:sz w:val="24"/>
          <w:szCs w:val="24"/>
          <w:highlight w:val="none"/>
        </w:rPr>
        <w:t>法定代表人或其委托代理人</w:t>
      </w:r>
      <w:r>
        <w:rPr>
          <w:rFonts w:ascii="宋体" w:hAnsi="宋体" w:eastAsia="宋体" w:cs="宋体"/>
          <w:color w:val="auto"/>
          <w:spacing w:val="-15"/>
          <w:kern w:val="0"/>
          <w:sz w:val="24"/>
          <w:szCs w:val="24"/>
          <w:highlight w:val="none"/>
        </w:rPr>
        <w:t>：</w:t>
      </w:r>
      <w:r>
        <w:rPr>
          <w:rFonts w:ascii="宋体" w:hAnsi="宋体" w:eastAsia="宋体" w:cs="宋体"/>
          <w:color w:val="auto"/>
          <w:spacing w:val="5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5"/>
          <w:kern w:val="0"/>
          <w:sz w:val="24"/>
          <w:szCs w:val="24"/>
          <w:highlight w:val="none"/>
        </w:rPr>
        <w:t>（</w:t>
      </w:r>
      <w:r>
        <w:rPr>
          <w:rFonts w:ascii="宋体" w:hAnsi="宋体" w:eastAsia="宋体" w:cs="宋体"/>
          <w:color w:val="auto"/>
          <w:spacing w:val="-16"/>
          <w:kern w:val="0"/>
          <w:sz w:val="24"/>
          <w:szCs w:val="24"/>
          <w:highlight w:val="none"/>
        </w:rPr>
        <w:t>签字或盖章）</w:t>
      </w:r>
    </w:p>
    <w:p w14:paraId="5FEBBC64">
      <w:pPr>
        <w:kinsoku w:val="0"/>
        <w:autoSpaceDE w:val="0"/>
        <w:autoSpaceDN w:val="0"/>
        <w:adjustRightInd w:val="0"/>
        <w:snapToGrid w:val="0"/>
        <w:spacing w:line="274" w:lineRule="auto"/>
        <w:jc w:val="left"/>
        <w:textAlignment w:val="baseline"/>
        <w:rPr>
          <w:rFonts w:ascii="Arial" w:hAnsi="Arial" w:eastAsia="Arial" w:cs="Arial"/>
          <w:snapToGrid w:val="0"/>
          <w:color w:val="auto"/>
          <w:kern w:val="0"/>
          <w:sz w:val="21"/>
          <w:szCs w:val="21"/>
          <w:highlight w:val="none"/>
          <w:lang w:val="en-US" w:eastAsia="en-US" w:bidi="ar-SA"/>
        </w:rPr>
      </w:pPr>
    </w:p>
    <w:p w14:paraId="4AD79860">
      <w:pPr>
        <w:widowControl/>
        <w:kinsoku w:val="0"/>
        <w:autoSpaceDE w:val="0"/>
        <w:autoSpaceDN w:val="0"/>
        <w:spacing w:before="70" w:line="75" w:lineRule="exact"/>
        <w:ind w:left="18"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7"/>
          <w:kern w:val="0"/>
          <w:position w:val="1"/>
          <w:sz w:val="24"/>
          <w:szCs w:val="24"/>
          <w:highlight w:val="none"/>
        </w:rPr>
        <w:t>……</w:t>
      </w:r>
    </w:p>
    <w:p w14:paraId="71874181">
      <w:pPr>
        <w:kinsoku w:val="0"/>
        <w:autoSpaceDE w:val="0"/>
        <w:autoSpaceDN w:val="0"/>
        <w:adjustRightInd w:val="0"/>
        <w:snapToGrid w:val="0"/>
        <w:spacing w:line="254" w:lineRule="auto"/>
        <w:jc w:val="left"/>
        <w:textAlignment w:val="baseline"/>
        <w:rPr>
          <w:rFonts w:ascii="Arial" w:hAnsi="Arial" w:eastAsia="Arial" w:cs="Arial"/>
          <w:snapToGrid w:val="0"/>
          <w:color w:val="auto"/>
          <w:kern w:val="0"/>
          <w:sz w:val="21"/>
          <w:szCs w:val="21"/>
          <w:highlight w:val="none"/>
          <w:lang w:val="en-US" w:eastAsia="en-US" w:bidi="ar-SA"/>
        </w:rPr>
      </w:pPr>
    </w:p>
    <w:p w14:paraId="2BCEF670">
      <w:pPr>
        <w:widowControl/>
        <w:tabs>
          <w:tab w:val="left" w:pos="7099"/>
        </w:tabs>
        <w:kinsoku w:val="0"/>
        <w:autoSpaceDE w:val="0"/>
        <w:autoSpaceDN w:val="0"/>
        <w:spacing w:before="78" w:line="220" w:lineRule="auto"/>
        <w:ind w:left="6259" w:firstLine="0" w:firstLineChars="0"/>
        <w:jc w:val="left"/>
        <w:rPr>
          <w:rFonts w:ascii="宋体" w:hAnsi="宋体" w:eastAsia="宋体" w:cs="宋体"/>
          <w:color w:val="auto"/>
          <w:spacing w:val="-9"/>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9"/>
          <w:kern w:val="0"/>
          <w:sz w:val="24"/>
          <w:szCs w:val="24"/>
          <w:highlight w:val="none"/>
        </w:rPr>
        <w:t>年</w:t>
      </w:r>
      <w:r>
        <w:rPr>
          <w:rFonts w:ascii="宋体" w:hAnsi="宋体" w:eastAsia="宋体" w:cs="宋体"/>
          <w:color w:val="auto"/>
          <w:spacing w:val="-120"/>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9"/>
          <w:kern w:val="0"/>
          <w:sz w:val="24"/>
          <w:szCs w:val="24"/>
          <w:highlight w:val="none"/>
        </w:rPr>
        <w:t>月</w:t>
      </w:r>
      <w:r>
        <w:rPr>
          <w:rFonts w:ascii="宋体" w:hAnsi="宋体" w:eastAsia="宋体" w:cs="宋体"/>
          <w:color w:val="auto"/>
          <w:spacing w:val="-120"/>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70"/>
          <w:kern w:val="0"/>
          <w:sz w:val="24"/>
          <w:szCs w:val="24"/>
          <w:highlight w:val="none"/>
        </w:rPr>
        <w:t xml:space="preserve"> </w:t>
      </w:r>
      <w:r>
        <w:rPr>
          <w:rFonts w:ascii="宋体" w:hAnsi="宋体" w:eastAsia="宋体" w:cs="宋体"/>
          <w:color w:val="auto"/>
          <w:spacing w:val="-9"/>
          <w:kern w:val="0"/>
          <w:sz w:val="24"/>
          <w:szCs w:val="24"/>
          <w:highlight w:val="none"/>
        </w:rPr>
        <w:t>日</w:t>
      </w:r>
    </w:p>
    <w:p w14:paraId="4478C8B5">
      <w:pPr>
        <w:widowControl/>
        <w:tabs>
          <w:tab w:val="left" w:pos="7099"/>
        </w:tabs>
        <w:kinsoku w:val="0"/>
        <w:autoSpaceDE w:val="0"/>
        <w:autoSpaceDN w:val="0"/>
        <w:spacing w:before="78" w:line="220" w:lineRule="auto"/>
        <w:ind w:left="6259" w:firstLine="0" w:firstLineChars="0"/>
        <w:jc w:val="left"/>
        <w:rPr>
          <w:rFonts w:ascii="宋体" w:hAnsi="宋体" w:eastAsia="宋体" w:cs="宋体"/>
          <w:color w:val="auto"/>
          <w:spacing w:val="-9"/>
          <w:kern w:val="0"/>
          <w:sz w:val="24"/>
          <w:szCs w:val="24"/>
          <w:highlight w:val="none"/>
        </w:rPr>
      </w:pPr>
    </w:p>
    <w:p w14:paraId="28F7A7AF">
      <w:pPr>
        <w:kinsoku/>
        <w:spacing w:before="0" w:beforeLines="0" w:afterLines="0"/>
        <w:ind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注：本协议书由委托代理人签字或盖章时，应附法定代表人签字的授权委托书。</w:t>
      </w:r>
    </w:p>
    <w:p w14:paraId="455A888E">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6CB9B351">
      <w:pPr>
        <w:pStyle w:val="3"/>
        <w:kinsoku/>
        <w:spacing w:before="168"/>
        <w:ind w:left="0"/>
        <w:jc w:val="center"/>
        <w:outlineLvl w:val="1"/>
        <w:rPr>
          <w:rFonts w:cs="宋体"/>
          <w:bCs/>
          <w:color w:val="auto"/>
          <w:sz w:val="30"/>
          <w:szCs w:val="30"/>
          <w:highlight w:val="none"/>
          <w:lang w:eastAsia="zh-CN"/>
        </w:rPr>
      </w:pPr>
      <w:bookmarkStart w:id="2438" w:name="_Toc1414"/>
      <w:bookmarkStart w:id="2439" w:name="_Toc2606"/>
      <w:bookmarkStart w:id="2440" w:name="_Toc32562"/>
      <w:bookmarkStart w:id="2441" w:name="_Toc29187"/>
      <w:bookmarkStart w:id="2442" w:name="_Toc920"/>
      <w:bookmarkStart w:id="2443" w:name="_Toc13868"/>
      <w:bookmarkStart w:id="2444" w:name="_Toc18249"/>
      <w:bookmarkStart w:id="2445" w:name="_Toc29802"/>
      <w:bookmarkStart w:id="2446" w:name="_Toc16747"/>
      <w:bookmarkStart w:id="2447" w:name="_Toc971"/>
      <w:bookmarkStart w:id="2448" w:name="_Toc19525"/>
      <w:bookmarkStart w:id="2449" w:name="_Toc5204"/>
      <w:bookmarkStart w:id="2450" w:name="_Toc27156"/>
      <w:bookmarkStart w:id="2451" w:name="_Toc17882"/>
      <w:r>
        <w:rPr>
          <w:rFonts w:hint="eastAsia" w:ascii="宋体" w:cs="宋体"/>
          <w:b/>
          <w:bCs/>
          <w:color w:val="auto"/>
          <w:spacing w:val="0"/>
          <w:sz w:val="30"/>
          <w:szCs w:val="30"/>
          <w:highlight w:val="none"/>
          <w:lang w:eastAsia="zh-CN"/>
        </w:rPr>
        <w:t>五</w:t>
      </w:r>
      <w:r>
        <w:rPr>
          <w:rFonts w:ascii="宋体" w:cs="宋体"/>
          <w:b/>
          <w:bCs/>
          <w:color w:val="auto"/>
          <w:spacing w:val="0"/>
          <w:sz w:val="30"/>
          <w:szCs w:val="30"/>
          <w:highlight w:val="none"/>
          <w:lang w:eastAsia="zh-CN"/>
        </w:rPr>
        <w:t>、投标保证金</w:t>
      </w:r>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p>
    <w:p w14:paraId="4410135E">
      <w:pPr>
        <w:pStyle w:val="7"/>
        <w:kinsoku/>
        <w:spacing w:beforeLines="0" w:afterLines="0"/>
        <w:ind w:firstLine="420"/>
        <w:jc w:val="left"/>
        <w:rPr>
          <w:color w:val="auto"/>
          <w:highlight w:val="none"/>
          <w:lang w:eastAsia="zh-CN"/>
        </w:rPr>
      </w:pPr>
    </w:p>
    <w:p w14:paraId="6A1CA8D4">
      <w:pPr>
        <w:widowControl/>
        <w:tabs>
          <w:tab w:val="left" w:pos="2160"/>
        </w:tabs>
        <w:kinsoku w:val="0"/>
        <w:autoSpaceDE w:val="0"/>
        <w:autoSpaceDN w:val="0"/>
        <w:spacing w:before="78" w:line="220" w:lineRule="auto"/>
        <w:ind w:firstLine="0" w:firstLineChars="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5"/>
          <w:kern w:val="0"/>
          <w:sz w:val="24"/>
          <w:szCs w:val="24"/>
          <w:highlight w:val="none"/>
        </w:rPr>
        <w:t xml:space="preserve"> </w:t>
      </w:r>
      <w:r>
        <w:rPr>
          <w:rFonts w:ascii="宋体" w:hAnsi="宋体" w:eastAsia="宋体" w:cs="宋体"/>
          <w:color w:val="auto"/>
          <w:spacing w:val="-24"/>
          <w:kern w:val="0"/>
          <w:sz w:val="24"/>
          <w:szCs w:val="24"/>
          <w:highlight w:val="none"/>
        </w:rPr>
        <w:t>（招标人名称</w:t>
      </w:r>
      <w:r>
        <w:rPr>
          <w:rFonts w:ascii="宋体" w:hAnsi="宋体" w:eastAsia="宋体" w:cs="宋体"/>
          <w:color w:val="auto"/>
          <w:spacing w:val="-12"/>
          <w:kern w:val="0"/>
          <w:sz w:val="24"/>
          <w:szCs w:val="24"/>
          <w:highlight w:val="none"/>
        </w:rPr>
        <w:t>）：</w:t>
      </w:r>
    </w:p>
    <w:p w14:paraId="37A24C57">
      <w:pPr>
        <w:kinsoku w:val="0"/>
        <w:autoSpaceDE w:val="0"/>
        <w:autoSpaceDN w:val="0"/>
        <w:adjustRightInd w:val="0"/>
        <w:snapToGrid w:val="0"/>
        <w:spacing w:line="257" w:lineRule="auto"/>
        <w:jc w:val="left"/>
        <w:textAlignment w:val="baseline"/>
        <w:rPr>
          <w:rFonts w:ascii="Arial" w:hAnsi="Arial" w:eastAsia="Arial" w:cs="Arial"/>
          <w:snapToGrid w:val="0"/>
          <w:color w:val="auto"/>
          <w:kern w:val="0"/>
          <w:sz w:val="21"/>
          <w:szCs w:val="21"/>
          <w:highlight w:val="none"/>
          <w:lang w:val="en-US" w:eastAsia="en-US" w:bidi="ar-SA"/>
        </w:rPr>
      </w:pPr>
    </w:p>
    <w:p w14:paraId="7F1313A8">
      <w:pPr>
        <w:widowControl/>
        <w:kinsoku/>
        <w:autoSpaceDE w:val="0"/>
        <w:autoSpaceDN w:val="0"/>
        <w:spacing w:before="78" w:line="360" w:lineRule="auto"/>
        <w:ind w:left="6" w:firstLine="482" w:firstLineChars="0"/>
        <w:jc w:val="both"/>
        <w:rPr>
          <w:rFonts w:ascii="宋体" w:hAnsi="宋体" w:eastAsia="宋体" w:cs="宋体"/>
          <w:color w:val="auto"/>
          <w:kern w:val="0"/>
          <w:sz w:val="24"/>
          <w:szCs w:val="24"/>
          <w:highlight w:val="none"/>
        </w:rPr>
      </w:pPr>
      <w:r>
        <w:rPr>
          <w:rFonts w:ascii="宋体" w:hAnsi="宋体" w:eastAsia="宋体" w:cs="宋体"/>
          <w:color w:val="auto"/>
          <w:spacing w:val="-8"/>
          <w:kern w:val="0"/>
          <w:sz w:val="24"/>
          <w:szCs w:val="24"/>
          <w:highlight w:val="none"/>
        </w:rPr>
        <w:t>鉴于</w:t>
      </w:r>
      <w:r>
        <w:rPr>
          <w:rFonts w:ascii="宋体" w:hAnsi="宋体" w:eastAsia="宋体" w:cs="宋体"/>
          <w:color w:val="auto"/>
          <w:spacing w:val="-11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8"/>
          <w:kern w:val="0"/>
          <w:sz w:val="24"/>
          <w:szCs w:val="24"/>
          <w:highlight w:val="none"/>
        </w:rPr>
        <w:t xml:space="preserve"> （投标人名称，以下称“投标人”）已</w:t>
      </w:r>
      <w:r>
        <w:rPr>
          <w:rFonts w:ascii="宋体" w:hAnsi="宋体" w:eastAsia="宋体" w:cs="宋体"/>
          <w:color w:val="auto"/>
          <w:spacing w:val="-9"/>
          <w:kern w:val="0"/>
          <w:sz w:val="24"/>
          <w:szCs w:val="24"/>
          <w:highlight w:val="none"/>
        </w:rPr>
        <w:t>于</w:t>
      </w:r>
      <w:r>
        <w:rPr>
          <w:rFonts w:ascii="宋体" w:hAnsi="宋体" w:eastAsia="宋体" w:cs="宋体"/>
          <w:color w:val="auto"/>
          <w:spacing w:val="-111"/>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8"/>
          <w:kern w:val="0"/>
          <w:sz w:val="24"/>
          <w:szCs w:val="24"/>
          <w:highlight w:val="none"/>
        </w:rPr>
        <w:t xml:space="preserve"> </w:t>
      </w:r>
      <w:r>
        <w:rPr>
          <w:rFonts w:ascii="宋体" w:hAnsi="宋体" w:eastAsia="宋体" w:cs="宋体"/>
          <w:color w:val="auto"/>
          <w:spacing w:val="-9"/>
          <w:kern w:val="0"/>
          <w:sz w:val="24"/>
          <w:szCs w:val="24"/>
          <w:highlight w:val="none"/>
        </w:rPr>
        <w:t>年</w:t>
      </w:r>
      <w:r>
        <w:rPr>
          <w:rFonts w:ascii="宋体" w:hAnsi="宋体" w:eastAsia="宋体" w:cs="宋体"/>
          <w:color w:val="auto"/>
          <w:spacing w:val="-11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3"/>
          <w:kern w:val="0"/>
          <w:sz w:val="24"/>
          <w:szCs w:val="24"/>
          <w:highlight w:val="none"/>
        </w:rPr>
        <w:t xml:space="preserve"> </w:t>
      </w:r>
      <w:r>
        <w:rPr>
          <w:rFonts w:ascii="宋体" w:hAnsi="宋体" w:eastAsia="宋体" w:cs="宋体"/>
          <w:color w:val="auto"/>
          <w:spacing w:val="-9"/>
          <w:kern w:val="0"/>
          <w:sz w:val="24"/>
          <w:szCs w:val="24"/>
          <w:highlight w:val="none"/>
        </w:rPr>
        <w:t>月</w:t>
      </w:r>
      <w:r>
        <w:rPr>
          <w:rFonts w:ascii="宋体" w:hAnsi="宋体" w:eastAsia="宋体" w:cs="宋体"/>
          <w:color w:val="auto"/>
          <w:spacing w:val="-120"/>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68"/>
          <w:kern w:val="0"/>
          <w:sz w:val="24"/>
          <w:szCs w:val="24"/>
          <w:highlight w:val="none"/>
        </w:rPr>
        <w:t xml:space="preserve"> </w:t>
      </w:r>
      <w:r>
        <w:rPr>
          <w:rFonts w:ascii="宋体" w:hAnsi="宋体" w:eastAsia="宋体" w:cs="宋体"/>
          <w:color w:val="auto"/>
          <w:spacing w:val="-9"/>
          <w:kern w:val="0"/>
          <w:sz w:val="24"/>
          <w:szCs w:val="24"/>
          <w:highlight w:val="none"/>
        </w:rPr>
        <w:t>日</w:t>
      </w:r>
      <w:r>
        <w:rPr>
          <w:rFonts w:ascii="宋体" w:hAnsi="宋体" w:eastAsia="宋体" w:cs="宋体"/>
          <w:color w:val="auto"/>
          <w:kern w:val="0"/>
          <w:sz w:val="24"/>
          <w:szCs w:val="24"/>
          <w:highlight w:val="none"/>
        </w:rPr>
        <w:t xml:space="preserve"> </w:t>
      </w:r>
      <w:r>
        <w:rPr>
          <w:rFonts w:ascii="宋体" w:hAnsi="宋体" w:eastAsia="宋体" w:cs="宋体"/>
          <w:color w:val="auto"/>
          <w:spacing w:val="-33"/>
          <w:kern w:val="0"/>
          <w:sz w:val="24"/>
          <w:szCs w:val="24"/>
          <w:highlight w:val="none"/>
        </w:rPr>
        <w:t>参加</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33"/>
          <w:kern w:val="0"/>
          <w:sz w:val="24"/>
          <w:szCs w:val="24"/>
          <w:highlight w:val="none"/>
        </w:rPr>
        <w:t>（项目</w:t>
      </w:r>
      <w:r>
        <w:rPr>
          <w:rFonts w:ascii="宋体" w:hAnsi="宋体" w:eastAsia="宋体" w:cs="宋体"/>
          <w:color w:val="auto"/>
          <w:spacing w:val="-32"/>
          <w:kern w:val="0"/>
          <w:sz w:val="24"/>
          <w:szCs w:val="24"/>
          <w:highlight w:val="none"/>
        </w:rPr>
        <w:t>名称</w:t>
      </w:r>
      <w:r>
        <w:rPr>
          <w:rFonts w:ascii="宋体" w:hAnsi="宋体" w:eastAsia="宋体" w:cs="宋体"/>
          <w:color w:val="auto"/>
          <w:spacing w:val="-15"/>
          <w:kern w:val="0"/>
          <w:sz w:val="24"/>
          <w:szCs w:val="24"/>
          <w:highlight w:val="none"/>
        </w:rPr>
        <w:t>）</w:t>
      </w:r>
      <w:r>
        <w:rPr>
          <w:rFonts w:ascii="宋体" w:hAnsi="宋体" w:eastAsia="宋体" w:cs="宋体"/>
          <w:color w:val="auto"/>
          <w:spacing w:val="-29"/>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21"/>
          <w:kern w:val="0"/>
          <w:sz w:val="24"/>
          <w:szCs w:val="24"/>
          <w:highlight w:val="none"/>
        </w:rPr>
        <w:t xml:space="preserve"> </w:t>
      </w:r>
      <w:r>
        <w:rPr>
          <w:rFonts w:ascii="宋体" w:hAnsi="宋体" w:eastAsia="宋体" w:cs="宋体"/>
          <w:color w:val="auto"/>
          <w:spacing w:val="-15"/>
          <w:kern w:val="0"/>
          <w:sz w:val="24"/>
          <w:szCs w:val="24"/>
          <w:highlight w:val="none"/>
        </w:rPr>
        <w:t>（</w:t>
      </w:r>
      <w:r>
        <w:rPr>
          <w:rFonts w:ascii="宋体" w:hAnsi="宋体" w:eastAsia="宋体" w:cs="宋体"/>
          <w:color w:val="auto"/>
          <w:spacing w:val="-32"/>
          <w:kern w:val="0"/>
          <w:sz w:val="24"/>
          <w:szCs w:val="24"/>
          <w:highlight w:val="none"/>
        </w:rPr>
        <w:t>标段名称）的投标</w:t>
      </w:r>
      <w:r>
        <w:rPr>
          <w:rFonts w:ascii="宋体" w:hAnsi="宋体" w:eastAsia="宋体" w:cs="宋体"/>
          <w:color w:val="auto"/>
          <w:spacing w:val="-15"/>
          <w:kern w:val="0"/>
          <w:sz w:val="24"/>
          <w:szCs w:val="24"/>
          <w:highlight w:val="none"/>
        </w:rPr>
        <w:t>，</w:t>
      </w:r>
      <w:r>
        <w:rPr>
          <w:rFonts w:ascii="宋体" w:hAnsi="宋体" w:eastAsia="宋体" w:cs="宋体"/>
          <w:color w:val="auto"/>
          <w:spacing w:val="5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53"/>
          <w:kern w:val="0"/>
          <w:sz w:val="24"/>
          <w:szCs w:val="24"/>
          <w:highlight w:val="none"/>
        </w:rPr>
        <w:t xml:space="preserve"> </w:t>
      </w:r>
      <w:r>
        <w:rPr>
          <w:rFonts w:ascii="宋体" w:hAnsi="宋体" w:eastAsia="宋体" w:cs="宋体"/>
          <w:color w:val="auto"/>
          <w:spacing w:val="-15"/>
          <w:kern w:val="0"/>
          <w:sz w:val="24"/>
          <w:szCs w:val="24"/>
          <w:highlight w:val="none"/>
        </w:rPr>
        <w:t>（</w:t>
      </w:r>
      <w:r>
        <w:rPr>
          <w:rFonts w:ascii="宋体" w:hAnsi="宋体" w:eastAsia="宋体" w:cs="宋体"/>
          <w:color w:val="auto"/>
          <w:spacing w:val="-27"/>
          <w:kern w:val="0"/>
          <w:sz w:val="24"/>
          <w:szCs w:val="24"/>
          <w:highlight w:val="none"/>
        </w:rPr>
        <w:t>担</w:t>
      </w:r>
      <w:r>
        <w:rPr>
          <w:rFonts w:ascii="宋体" w:hAnsi="宋体" w:eastAsia="宋体" w:cs="宋体"/>
          <w:color w:val="auto"/>
          <w:spacing w:val="-12"/>
          <w:kern w:val="0"/>
          <w:sz w:val="24"/>
          <w:szCs w:val="24"/>
          <w:highlight w:val="none"/>
        </w:rPr>
        <w:t>保人名称，以下简称“我方”）无条件地、不可撤销地保证：投标人在规定的投标文</w:t>
      </w:r>
      <w:r>
        <w:rPr>
          <w:rFonts w:ascii="宋体" w:hAnsi="宋体" w:eastAsia="宋体" w:cs="宋体"/>
          <w:color w:val="auto"/>
          <w:spacing w:val="-7"/>
          <w:kern w:val="0"/>
          <w:sz w:val="24"/>
          <w:szCs w:val="24"/>
          <w:highlight w:val="none"/>
        </w:rPr>
        <w:t>件有效期内补充、修改、替代或撤回其投标文件的，或者投标人在收到中标通知书后</w:t>
      </w:r>
      <w:r>
        <w:rPr>
          <w:rFonts w:ascii="宋体" w:hAnsi="宋体" w:eastAsia="宋体" w:cs="宋体"/>
          <w:color w:val="auto"/>
          <w:spacing w:val="-6"/>
          <w:kern w:val="0"/>
          <w:sz w:val="24"/>
          <w:szCs w:val="24"/>
          <w:highlight w:val="none"/>
        </w:rPr>
        <w:t>无正当理由拒签合同或拒交规定履约担保的，我方承担保证责任。收到你方书面通知</w:t>
      </w:r>
      <w:r>
        <w:rPr>
          <w:rFonts w:ascii="宋体" w:hAnsi="宋体" w:eastAsia="宋体" w:cs="宋体"/>
          <w:color w:val="auto"/>
          <w:kern w:val="0"/>
          <w:sz w:val="24"/>
          <w:szCs w:val="24"/>
          <w:highlight w:val="none"/>
        </w:rPr>
        <w:t>后，在</w:t>
      </w:r>
      <w:r>
        <w:rPr>
          <w:rFonts w:ascii="Times New Roman" w:hAnsi="Times New Roman" w:eastAsia="Times New Roman" w:cs="Times New Roman"/>
          <w:color w:val="auto"/>
          <w:kern w:val="0"/>
          <w:sz w:val="24"/>
          <w:szCs w:val="24"/>
          <w:highlight w:val="none"/>
        </w:rPr>
        <w:t>7</w:t>
      </w:r>
      <w:r>
        <w:rPr>
          <w:rFonts w:ascii="宋体" w:hAnsi="宋体" w:eastAsia="宋体" w:cs="宋体"/>
          <w:color w:val="auto"/>
          <w:kern w:val="0"/>
          <w:sz w:val="24"/>
          <w:szCs w:val="24"/>
          <w:highlight w:val="none"/>
        </w:rPr>
        <w:t xml:space="preserve">日内无条件向你方支付人民币（大写）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7"/>
          <w:kern w:val="0"/>
          <w:sz w:val="24"/>
          <w:szCs w:val="24"/>
          <w:highlight w:val="none"/>
        </w:rPr>
        <w:t xml:space="preserve"> </w:t>
      </w:r>
      <w:r>
        <w:rPr>
          <w:rFonts w:ascii="宋体" w:hAnsi="宋体" w:eastAsia="宋体" w:cs="宋体"/>
          <w:color w:val="auto"/>
          <w:kern w:val="0"/>
          <w:sz w:val="24"/>
          <w:szCs w:val="24"/>
          <w:highlight w:val="none"/>
        </w:rPr>
        <w:t>元(￥</w:t>
      </w:r>
      <w:r>
        <w:rPr>
          <w:rFonts w:ascii="宋体" w:hAnsi="宋体" w:eastAsia="宋体" w:cs="宋体"/>
          <w:color w:val="auto"/>
          <w:spacing w:val="-9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86"/>
          <w:kern w:val="0"/>
          <w:sz w:val="24"/>
          <w:szCs w:val="24"/>
          <w:highlight w:val="none"/>
        </w:rPr>
        <w:t xml:space="preserve"> </w:t>
      </w:r>
      <w:r>
        <w:rPr>
          <w:rFonts w:ascii="宋体" w:hAnsi="宋体" w:eastAsia="宋体" w:cs="宋体"/>
          <w:color w:val="auto"/>
          <w:kern w:val="0"/>
          <w:sz w:val="24"/>
          <w:szCs w:val="24"/>
          <w:highlight w:val="none"/>
        </w:rPr>
        <w:t>)。</w:t>
      </w:r>
    </w:p>
    <w:p w14:paraId="115CA2D3">
      <w:pPr>
        <w:widowControl/>
        <w:kinsoku/>
        <w:autoSpaceDE w:val="0"/>
        <w:autoSpaceDN w:val="0"/>
        <w:spacing w:before="78" w:line="360" w:lineRule="auto"/>
        <w:ind w:left="6" w:firstLine="482" w:firstLineChars="0"/>
        <w:jc w:val="both"/>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本担保在投标有效期内保持有效。要求我方承担保证责任的书面通知应在投标有效期内送达我方。</w:t>
      </w:r>
    </w:p>
    <w:p w14:paraId="2E7EE699">
      <w:pPr>
        <w:kinsoku w:val="0"/>
        <w:autoSpaceDE w:val="0"/>
        <w:autoSpaceDN w:val="0"/>
        <w:adjustRightInd w:val="0"/>
        <w:snapToGrid w:val="0"/>
        <w:spacing w:line="268" w:lineRule="auto"/>
        <w:jc w:val="left"/>
        <w:textAlignment w:val="baseline"/>
        <w:rPr>
          <w:rFonts w:ascii="Arial" w:hAnsi="Arial" w:eastAsia="Arial" w:cs="Arial"/>
          <w:snapToGrid w:val="0"/>
          <w:color w:val="auto"/>
          <w:kern w:val="0"/>
          <w:sz w:val="21"/>
          <w:szCs w:val="21"/>
          <w:highlight w:val="none"/>
          <w:lang w:val="en-US" w:eastAsia="en-US" w:bidi="ar-SA"/>
        </w:rPr>
      </w:pPr>
    </w:p>
    <w:p w14:paraId="627DD52E">
      <w:pPr>
        <w:widowControl/>
        <w:kinsoku w:val="0"/>
        <w:autoSpaceDE/>
        <w:autoSpaceDN/>
        <w:spacing w:before="0" w:line="360" w:lineRule="auto"/>
        <w:ind w:left="0" w:firstLine="2268" w:firstLineChars="0"/>
        <w:jc w:val="left"/>
        <w:rPr>
          <w:rFonts w:ascii="宋体" w:hAnsi="宋体" w:eastAsia="宋体" w:cs="宋体"/>
          <w:color w:val="auto"/>
          <w:spacing w:val="-12"/>
          <w:kern w:val="0"/>
          <w:sz w:val="24"/>
          <w:szCs w:val="24"/>
          <w:highlight w:val="none"/>
        </w:rPr>
      </w:pPr>
      <w:r>
        <w:rPr>
          <w:rFonts w:ascii="宋体" w:hAnsi="宋体" w:eastAsia="宋体" w:cs="宋体"/>
          <w:color w:val="auto"/>
          <w:spacing w:val="-12"/>
          <w:kern w:val="0"/>
          <w:sz w:val="24"/>
          <w:szCs w:val="24"/>
          <w:highlight w:val="none"/>
        </w:rPr>
        <w:t>担  保  人</w:t>
      </w:r>
      <w:r>
        <w:rPr>
          <w:rFonts w:ascii="宋体" w:hAnsi="宋体" w:eastAsia="宋体" w:cs="宋体"/>
          <w:color w:val="auto"/>
          <w:spacing w:val="-11"/>
          <w:kern w:val="0"/>
          <w:sz w:val="24"/>
          <w:szCs w:val="24"/>
          <w:highlight w:val="none"/>
        </w:rPr>
        <w:t>：</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6"/>
          <w:kern w:val="0"/>
          <w:sz w:val="24"/>
          <w:szCs w:val="24"/>
          <w:highlight w:val="none"/>
        </w:rPr>
        <w:t xml:space="preserve"> </w:t>
      </w:r>
      <w:r>
        <w:rPr>
          <w:rFonts w:ascii="宋体" w:hAnsi="宋体" w:eastAsia="宋体" w:cs="宋体"/>
          <w:color w:val="auto"/>
          <w:spacing w:val="-11"/>
          <w:kern w:val="0"/>
          <w:sz w:val="24"/>
          <w:szCs w:val="24"/>
          <w:highlight w:val="none"/>
        </w:rPr>
        <w:t>（</w:t>
      </w:r>
      <w:r>
        <w:rPr>
          <w:rFonts w:ascii="宋体" w:hAnsi="宋体" w:eastAsia="宋体" w:cs="宋体"/>
          <w:color w:val="auto"/>
          <w:spacing w:val="-12"/>
          <w:kern w:val="0"/>
          <w:sz w:val="24"/>
          <w:szCs w:val="24"/>
          <w:highlight w:val="none"/>
        </w:rPr>
        <w:t>盖单位公章）</w:t>
      </w:r>
    </w:p>
    <w:p w14:paraId="6FA295F3">
      <w:pPr>
        <w:widowControl/>
        <w:kinsoku w:val="0"/>
        <w:autoSpaceDE/>
        <w:autoSpaceDN/>
        <w:spacing w:before="0" w:line="360" w:lineRule="auto"/>
        <w:ind w:left="0" w:firstLine="2268" w:firstLineChars="0"/>
        <w:jc w:val="left"/>
        <w:rPr>
          <w:rFonts w:ascii="宋体" w:hAnsi="宋体" w:eastAsia="宋体" w:cs="宋体"/>
          <w:color w:val="auto"/>
          <w:spacing w:val="-12"/>
          <w:kern w:val="0"/>
          <w:sz w:val="24"/>
          <w:szCs w:val="24"/>
          <w:highlight w:val="none"/>
        </w:rPr>
      </w:pPr>
    </w:p>
    <w:p w14:paraId="2ED27D9E">
      <w:pPr>
        <w:widowControl/>
        <w:kinsoku w:val="0"/>
        <w:autoSpaceDE/>
        <w:autoSpaceDN/>
        <w:spacing w:before="0" w:line="360" w:lineRule="auto"/>
        <w:ind w:left="0" w:right="0" w:firstLine="2268" w:firstLineChars="0"/>
        <w:jc w:val="left"/>
        <w:rPr>
          <w:rFonts w:ascii="宋体" w:hAnsi="宋体" w:eastAsia="宋体" w:cs="宋体"/>
          <w:color w:val="auto"/>
          <w:spacing w:val="-20"/>
          <w:kern w:val="0"/>
          <w:sz w:val="24"/>
          <w:szCs w:val="24"/>
          <w:highlight w:val="none"/>
        </w:rPr>
      </w:pPr>
      <w:r>
        <w:rPr>
          <w:rFonts w:ascii="宋体" w:hAnsi="宋体" w:eastAsia="宋体" w:cs="宋体"/>
          <w:color w:val="auto"/>
          <w:spacing w:val="-20"/>
          <w:kern w:val="0"/>
          <w:sz w:val="24"/>
          <w:szCs w:val="24"/>
          <w:highlight w:val="none"/>
        </w:rPr>
        <w:t>法定代表人或其委托代理人</w:t>
      </w:r>
      <w:r>
        <w:rPr>
          <w:rFonts w:ascii="宋体" w:hAnsi="宋体" w:eastAsia="宋体" w:cs="宋体"/>
          <w:color w:val="auto"/>
          <w:spacing w:val="-1"/>
          <w:kern w:val="0"/>
          <w:sz w:val="24"/>
          <w:szCs w:val="24"/>
          <w:highlight w:val="none"/>
        </w:rPr>
        <w:t>：</w:t>
      </w:r>
      <w:r>
        <w:rPr>
          <w:rFonts w:ascii="宋体" w:hAnsi="宋体" w:eastAsia="宋体" w:cs="宋体"/>
          <w:color w:val="auto"/>
          <w:spacing w:val="56"/>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22"/>
          <w:kern w:val="0"/>
          <w:sz w:val="24"/>
          <w:szCs w:val="24"/>
          <w:highlight w:val="none"/>
        </w:rPr>
        <w:t xml:space="preserve"> </w:t>
      </w:r>
      <w:r>
        <w:rPr>
          <w:rFonts w:ascii="宋体" w:hAnsi="宋体" w:eastAsia="宋体" w:cs="宋体"/>
          <w:color w:val="auto"/>
          <w:spacing w:val="-1"/>
          <w:kern w:val="0"/>
          <w:sz w:val="24"/>
          <w:szCs w:val="24"/>
          <w:highlight w:val="none"/>
        </w:rPr>
        <w:t>（</w:t>
      </w:r>
      <w:r>
        <w:rPr>
          <w:rFonts w:ascii="宋体" w:hAnsi="宋体" w:eastAsia="宋体" w:cs="宋体"/>
          <w:color w:val="auto"/>
          <w:spacing w:val="-20"/>
          <w:kern w:val="0"/>
          <w:sz w:val="24"/>
          <w:szCs w:val="24"/>
          <w:highlight w:val="none"/>
        </w:rPr>
        <w:t>签字）</w:t>
      </w:r>
    </w:p>
    <w:p w14:paraId="0D5FCC97">
      <w:pPr>
        <w:widowControl/>
        <w:kinsoku w:val="0"/>
        <w:autoSpaceDE/>
        <w:autoSpaceDN/>
        <w:spacing w:before="0" w:line="360" w:lineRule="auto"/>
        <w:ind w:left="0" w:right="0" w:firstLine="2268" w:firstLineChars="0"/>
        <w:jc w:val="left"/>
        <w:rPr>
          <w:rFonts w:ascii="宋体" w:hAnsi="宋体" w:eastAsia="宋体" w:cs="宋体"/>
          <w:color w:val="auto"/>
          <w:spacing w:val="-20"/>
          <w:kern w:val="0"/>
          <w:sz w:val="24"/>
          <w:szCs w:val="24"/>
          <w:highlight w:val="none"/>
        </w:rPr>
      </w:pPr>
    </w:p>
    <w:p w14:paraId="6E9E2A4A">
      <w:pPr>
        <w:widowControl/>
        <w:kinsoku w:val="0"/>
        <w:autoSpaceDE/>
        <w:autoSpaceDN/>
        <w:spacing w:before="0" w:line="360" w:lineRule="auto"/>
        <w:ind w:left="0" w:right="0" w:firstLine="2268" w:firstLineChars="0"/>
        <w:jc w:val="left"/>
        <w:rPr>
          <w:rFonts w:ascii="宋体" w:hAnsi="宋体" w:eastAsia="宋体" w:cs="宋体"/>
          <w:color w:val="auto"/>
          <w:kern w:val="0"/>
          <w:sz w:val="24"/>
          <w:szCs w:val="24"/>
          <w:highlight w:val="none"/>
          <w:u w:val="single" w:color="auto"/>
        </w:rPr>
      </w:pPr>
      <w:r>
        <w:rPr>
          <w:rFonts w:ascii="宋体" w:hAnsi="宋体" w:eastAsia="宋体" w:cs="宋体"/>
          <w:color w:val="auto"/>
          <w:spacing w:val="-7"/>
          <w:kern w:val="0"/>
          <w:sz w:val="24"/>
          <w:szCs w:val="24"/>
          <w:highlight w:val="none"/>
        </w:rPr>
        <w:t>地</w:t>
      </w:r>
      <w:r>
        <w:rPr>
          <w:rFonts w:ascii="宋体" w:hAnsi="宋体" w:eastAsia="宋体" w:cs="宋体"/>
          <w:color w:val="auto"/>
          <w:spacing w:val="19"/>
          <w:kern w:val="0"/>
          <w:sz w:val="24"/>
          <w:szCs w:val="24"/>
          <w:highlight w:val="none"/>
        </w:rPr>
        <w:t xml:space="preserve">     </w:t>
      </w:r>
      <w:r>
        <w:rPr>
          <w:rFonts w:ascii="宋体" w:hAnsi="宋体" w:eastAsia="宋体" w:cs="宋体"/>
          <w:color w:val="auto"/>
          <w:spacing w:val="-7"/>
          <w:kern w:val="0"/>
          <w:sz w:val="24"/>
          <w:szCs w:val="24"/>
          <w:highlight w:val="none"/>
        </w:rPr>
        <w:t>址：</w:t>
      </w:r>
      <w:r>
        <w:rPr>
          <w:rFonts w:ascii="宋体" w:hAnsi="宋体" w:eastAsia="宋体" w:cs="宋体"/>
          <w:color w:val="auto"/>
          <w:kern w:val="0"/>
          <w:sz w:val="24"/>
          <w:szCs w:val="24"/>
          <w:highlight w:val="none"/>
          <w:u w:val="single" w:color="auto"/>
        </w:rPr>
        <w:t xml:space="preserve">                                     </w:t>
      </w:r>
    </w:p>
    <w:p w14:paraId="38979AFB">
      <w:pPr>
        <w:widowControl/>
        <w:kinsoku w:val="0"/>
        <w:autoSpaceDE/>
        <w:autoSpaceDN/>
        <w:spacing w:before="0" w:line="360" w:lineRule="auto"/>
        <w:ind w:left="0" w:right="0" w:firstLine="2268" w:firstLineChars="0"/>
        <w:jc w:val="left"/>
        <w:rPr>
          <w:rFonts w:ascii="宋体" w:hAnsi="宋体" w:eastAsia="宋体" w:cs="宋体"/>
          <w:color w:val="auto"/>
          <w:kern w:val="0"/>
          <w:sz w:val="24"/>
          <w:szCs w:val="24"/>
          <w:highlight w:val="none"/>
          <w:u w:val="single" w:color="auto"/>
        </w:rPr>
      </w:pPr>
    </w:p>
    <w:p w14:paraId="56EA91DD">
      <w:pPr>
        <w:widowControl/>
        <w:kinsoku w:val="0"/>
        <w:autoSpaceDE/>
        <w:autoSpaceDN/>
        <w:spacing w:line="360" w:lineRule="auto"/>
        <w:ind w:left="0" w:firstLine="2268" w:firstLineChars="0"/>
        <w:jc w:val="left"/>
        <w:rPr>
          <w:rFonts w:ascii="宋体" w:hAnsi="宋体" w:eastAsia="宋体" w:cs="宋体"/>
          <w:color w:val="auto"/>
          <w:kern w:val="0"/>
          <w:sz w:val="24"/>
          <w:szCs w:val="24"/>
          <w:highlight w:val="none"/>
          <w:u w:val="single" w:color="auto"/>
        </w:rPr>
      </w:pPr>
      <w:r>
        <w:rPr>
          <w:rFonts w:ascii="宋体" w:hAnsi="宋体" w:eastAsia="宋体" w:cs="宋体"/>
          <w:color w:val="auto"/>
          <w:spacing w:val="-28"/>
          <w:w w:val="98"/>
          <w:kern w:val="0"/>
          <w:sz w:val="24"/>
          <w:szCs w:val="24"/>
          <w:highlight w:val="none"/>
        </w:rPr>
        <w:t>邮政编码：</w:t>
      </w:r>
      <w:r>
        <w:rPr>
          <w:rFonts w:ascii="宋体" w:hAnsi="宋体" w:eastAsia="宋体" w:cs="宋体"/>
          <w:color w:val="auto"/>
          <w:spacing w:val="15"/>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5265A11F">
      <w:pPr>
        <w:widowControl/>
        <w:kinsoku w:val="0"/>
        <w:autoSpaceDE/>
        <w:autoSpaceDN/>
        <w:spacing w:line="360" w:lineRule="auto"/>
        <w:ind w:left="0" w:firstLine="2268" w:firstLineChars="0"/>
        <w:jc w:val="left"/>
        <w:rPr>
          <w:rFonts w:ascii="宋体" w:hAnsi="宋体" w:eastAsia="宋体" w:cs="宋体"/>
          <w:color w:val="auto"/>
          <w:kern w:val="0"/>
          <w:sz w:val="24"/>
          <w:szCs w:val="24"/>
          <w:highlight w:val="none"/>
          <w:u w:val="single" w:color="auto"/>
        </w:rPr>
      </w:pPr>
    </w:p>
    <w:p w14:paraId="161D1EE1">
      <w:pPr>
        <w:widowControl/>
        <w:kinsoku w:val="0"/>
        <w:autoSpaceDE/>
        <w:autoSpaceDN/>
        <w:spacing w:before="0" w:line="360" w:lineRule="auto"/>
        <w:ind w:left="0" w:firstLine="2268" w:firstLineChars="0"/>
        <w:jc w:val="left"/>
        <w:rPr>
          <w:rFonts w:ascii="宋体" w:hAnsi="宋体" w:eastAsia="宋体" w:cs="宋体"/>
          <w:color w:val="auto"/>
          <w:kern w:val="0"/>
          <w:sz w:val="24"/>
          <w:szCs w:val="24"/>
          <w:highlight w:val="none"/>
        </w:rPr>
      </w:pPr>
      <w:r>
        <w:rPr>
          <w:rFonts w:ascii="宋体" w:hAnsi="宋体" w:eastAsia="宋体" w:cs="宋体"/>
          <w:color w:val="auto"/>
          <w:spacing w:val="-16"/>
          <w:kern w:val="0"/>
          <w:sz w:val="24"/>
          <w:szCs w:val="24"/>
          <w:highlight w:val="none"/>
        </w:rPr>
        <w:t>电</w:t>
      </w:r>
      <w:r>
        <w:rPr>
          <w:rFonts w:ascii="宋体" w:hAnsi="宋体" w:eastAsia="宋体" w:cs="宋体"/>
          <w:color w:val="auto"/>
          <w:spacing w:val="19"/>
          <w:kern w:val="0"/>
          <w:sz w:val="24"/>
          <w:szCs w:val="24"/>
          <w:highlight w:val="none"/>
        </w:rPr>
        <w:t xml:space="preserve">     </w:t>
      </w:r>
      <w:r>
        <w:rPr>
          <w:rFonts w:ascii="宋体" w:hAnsi="宋体" w:eastAsia="宋体" w:cs="宋体"/>
          <w:color w:val="auto"/>
          <w:spacing w:val="-16"/>
          <w:kern w:val="0"/>
          <w:sz w:val="24"/>
          <w:szCs w:val="24"/>
          <w:highlight w:val="none"/>
        </w:rPr>
        <w:t>话：</w:t>
      </w:r>
      <w:r>
        <w:rPr>
          <w:rFonts w:ascii="宋体" w:hAnsi="宋体" w:eastAsia="宋体" w:cs="宋体"/>
          <w:color w:val="auto"/>
          <w:kern w:val="0"/>
          <w:sz w:val="24"/>
          <w:szCs w:val="24"/>
          <w:highlight w:val="none"/>
          <w:u w:val="single" w:color="auto"/>
        </w:rPr>
        <w:t xml:space="preserve">                 </w:t>
      </w:r>
    </w:p>
    <w:p w14:paraId="4DB3964C">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58C18A0">
      <w:pPr>
        <w:widowControl/>
        <w:tabs>
          <w:tab w:val="left" w:pos="7107"/>
        </w:tabs>
        <w:kinsoku w:val="0"/>
        <w:autoSpaceDE w:val="0"/>
        <w:autoSpaceDN w:val="0"/>
        <w:spacing w:before="79" w:line="220" w:lineRule="auto"/>
        <w:ind w:left="6387" w:firstLine="0" w:firstLineChars="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u w:val="single" w:color="auto"/>
        </w:rPr>
        <w:tab/>
      </w:r>
      <w:r>
        <w:rPr>
          <w:rFonts w:ascii="宋体" w:hAnsi="宋体" w:eastAsia="宋体" w:cs="宋体"/>
          <w:color w:val="auto"/>
          <w:spacing w:val="-109"/>
          <w:kern w:val="0"/>
          <w:sz w:val="24"/>
          <w:szCs w:val="24"/>
          <w:highlight w:val="none"/>
        </w:rPr>
        <w:t xml:space="preserve"> </w:t>
      </w:r>
      <w:r>
        <w:rPr>
          <w:rFonts w:ascii="宋体" w:hAnsi="宋体" w:eastAsia="宋体" w:cs="宋体"/>
          <w:color w:val="auto"/>
          <w:spacing w:val="-26"/>
          <w:kern w:val="0"/>
          <w:sz w:val="24"/>
          <w:szCs w:val="24"/>
          <w:highlight w:val="none"/>
        </w:rPr>
        <w:t>年</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105"/>
          <w:kern w:val="0"/>
          <w:sz w:val="24"/>
          <w:szCs w:val="24"/>
          <w:highlight w:val="none"/>
        </w:rPr>
        <w:t xml:space="preserve"> </w:t>
      </w:r>
      <w:r>
        <w:rPr>
          <w:rFonts w:ascii="宋体" w:hAnsi="宋体" w:eastAsia="宋体" w:cs="宋体"/>
          <w:color w:val="auto"/>
          <w:spacing w:val="-26"/>
          <w:kern w:val="0"/>
          <w:sz w:val="24"/>
          <w:szCs w:val="24"/>
          <w:highlight w:val="none"/>
        </w:rPr>
        <w:t>月</w:t>
      </w:r>
      <w:r>
        <w:rPr>
          <w:rFonts w:ascii="宋体" w:hAnsi="宋体" w:eastAsia="宋体" w:cs="宋体"/>
          <w:color w:val="auto"/>
          <w:kern w:val="0"/>
          <w:sz w:val="24"/>
          <w:szCs w:val="24"/>
          <w:highlight w:val="none"/>
          <w:u w:val="single" w:color="auto"/>
        </w:rPr>
        <w:t xml:space="preserve">    </w:t>
      </w:r>
      <w:r>
        <w:rPr>
          <w:rFonts w:ascii="宋体" w:hAnsi="宋体" w:eastAsia="宋体" w:cs="宋体"/>
          <w:color w:val="auto"/>
          <w:spacing w:val="-69"/>
          <w:kern w:val="0"/>
          <w:sz w:val="24"/>
          <w:szCs w:val="24"/>
          <w:highlight w:val="none"/>
        </w:rPr>
        <w:t xml:space="preserve"> </w:t>
      </w:r>
      <w:r>
        <w:rPr>
          <w:rFonts w:ascii="宋体" w:hAnsi="宋体" w:eastAsia="宋体" w:cs="宋体"/>
          <w:color w:val="auto"/>
          <w:spacing w:val="-26"/>
          <w:kern w:val="0"/>
          <w:sz w:val="24"/>
          <w:szCs w:val="24"/>
          <w:highlight w:val="none"/>
        </w:rPr>
        <w:t>日</w:t>
      </w:r>
    </w:p>
    <w:p w14:paraId="6796333C">
      <w:pPr>
        <w:widowControl/>
        <w:kinsoku w:val="0"/>
        <w:autoSpaceDE w:val="0"/>
        <w:autoSpaceDN w:val="0"/>
        <w:spacing w:before="79" w:line="467" w:lineRule="exact"/>
        <w:ind w:right="11" w:firstLine="0" w:firstLineChars="0"/>
        <w:jc w:val="right"/>
        <w:rPr>
          <w:rFonts w:ascii="宋体" w:hAnsi="宋体" w:eastAsia="宋体" w:cs="宋体"/>
          <w:color w:val="auto"/>
          <w:kern w:val="0"/>
          <w:position w:val="17"/>
          <w:sz w:val="24"/>
          <w:szCs w:val="24"/>
          <w:highlight w:val="none"/>
        </w:rPr>
      </w:pPr>
    </w:p>
    <w:p w14:paraId="034F97DB">
      <w:pPr>
        <w:widowControl/>
        <w:kinsoku w:val="0"/>
        <w:autoSpaceDE/>
        <w:autoSpaceDN/>
        <w:spacing w:before="0" w:beforeLines="0" w:afterLines="0" w:line="360" w:lineRule="auto"/>
        <w:ind w:left="630" w:right="0" w:hanging="630" w:hangingChars="300"/>
        <w:jc w:val="left"/>
        <w:rPr>
          <w:rFonts w:hint="eastAsia" w:ascii="宋体" w:hAnsi="宋体" w:eastAsia="宋体" w:cs="宋体"/>
          <w:snapToGrid w:val="0"/>
          <w:color w:val="auto"/>
          <w:sz w:val="21"/>
          <w:szCs w:val="21"/>
          <w:highlight w:val="none"/>
          <w:lang w:val="en-US" w:eastAsia="zh-CN" w:bidi="ar-SA"/>
        </w:rPr>
      </w:pPr>
      <w:r>
        <w:rPr>
          <w:rFonts w:ascii="宋体" w:hAnsi="宋体" w:eastAsia="宋体" w:cs="宋体"/>
          <w:snapToGrid w:val="0"/>
          <w:color w:val="auto"/>
          <w:sz w:val="21"/>
          <w:szCs w:val="21"/>
          <w:highlight w:val="none"/>
          <w:lang w:val="en-US" w:eastAsia="en-US" w:bidi="ar-SA"/>
        </w:rPr>
        <w:t>注1：投标保证金通过电子招标投标交易平台在线缴纳的，应注意与相应标段进</w:t>
      </w:r>
      <w:r>
        <w:rPr>
          <w:rFonts w:hint="eastAsia" w:ascii="宋体" w:hAnsi="宋体" w:eastAsia="宋体" w:cs="宋体"/>
          <w:snapToGrid w:val="0"/>
          <w:color w:val="auto"/>
          <w:sz w:val="21"/>
          <w:szCs w:val="21"/>
          <w:highlight w:val="none"/>
          <w:lang w:val="en-US" w:eastAsia="en-US" w:bidi="ar-SA"/>
        </w:rPr>
        <w:t>行关联，并在投标文件中附已成功关联的截图或凭证</w:t>
      </w:r>
      <w:r>
        <w:rPr>
          <w:rFonts w:hint="eastAsia" w:cs="宋体"/>
          <w:snapToGrid w:val="0"/>
          <w:color w:val="auto"/>
          <w:sz w:val="21"/>
          <w:szCs w:val="21"/>
          <w:highlight w:val="none"/>
          <w:lang w:val="en-US" w:eastAsia="zh-CN" w:bidi="ar-SA"/>
        </w:rPr>
        <w:t>。</w:t>
      </w:r>
    </w:p>
    <w:p w14:paraId="5A642C87">
      <w:pPr>
        <w:kinsoku w:val="0"/>
        <w:autoSpaceDE/>
        <w:autoSpaceDN/>
        <w:adjustRightInd w:val="0"/>
        <w:snapToGrid w:val="0"/>
        <w:spacing w:before="0" w:beforeLines="0" w:afterLines="0" w:line="360" w:lineRule="auto"/>
        <w:ind w:left="630" w:right="0" w:hanging="630" w:hangingChars="300"/>
        <w:jc w:val="left"/>
        <w:textAlignment w:val="baseline"/>
        <w:rPr>
          <w:rFonts w:ascii="宋体" w:hAnsi="宋体" w:eastAsia="宋体" w:cs="宋体"/>
          <w:snapToGrid w:val="0"/>
          <w:color w:val="auto"/>
          <w:sz w:val="21"/>
          <w:szCs w:val="21"/>
          <w:highlight w:val="none"/>
          <w:lang w:val="en-US" w:eastAsia="en-US" w:bidi="ar-SA"/>
        </w:rPr>
      </w:pPr>
      <w:r>
        <w:rPr>
          <w:rFonts w:hint="eastAsia" w:ascii="宋体" w:hAnsi="宋体" w:eastAsia="宋体" w:cs="宋体"/>
          <w:snapToGrid w:val="0"/>
          <w:color w:val="auto"/>
          <w:sz w:val="21"/>
          <w:szCs w:val="21"/>
          <w:highlight w:val="none"/>
          <w:lang w:val="en-US" w:eastAsia="en-US" w:bidi="ar-SA"/>
        </w:rPr>
        <w:t>注2：投标保证金采取电汇、转账形式的，附上述票据或证明的复制件；采取担保的，应采用上述格式。</w:t>
      </w:r>
    </w:p>
    <w:p w14:paraId="4E7B9775">
      <w:pPr>
        <w:widowControl/>
        <w:kinsoku w:val="0"/>
        <w:autoSpaceDE/>
        <w:autoSpaceDN/>
        <w:adjustRightInd w:val="0"/>
        <w:snapToGrid w:val="0"/>
        <w:spacing w:before="0" w:beforeLines="0" w:afterLines="0" w:line="360" w:lineRule="auto"/>
        <w:ind w:left="630" w:hanging="630" w:hangingChars="300"/>
        <w:jc w:val="left"/>
        <w:textAlignment w:val="baseline"/>
        <w:rPr>
          <w:rFonts w:ascii="宋体" w:hAnsi="宋体" w:eastAsia="宋体" w:cs="宋体"/>
          <w:snapToGrid w:val="0"/>
          <w:color w:val="auto"/>
          <w:sz w:val="21"/>
          <w:szCs w:val="21"/>
          <w:highlight w:val="none"/>
          <w:lang w:val="en-US" w:eastAsia="en-US" w:bidi="ar-SA"/>
        </w:rPr>
      </w:pPr>
      <w:r>
        <w:rPr>
          <w:rFonts w:ascii="宋体" w:hAnsi="宋体" w:eastAsia="宋体" w:cs="宋体"/>
          <w:snapToGrid w:val="0"/>
          <w:color w:val="auto"/>
          <w:sz w:val="21"/>
          <w:szCs w:val="21"/>
          <w:highlight w:val="none"/>
          <w:lang w:val="en-US" w:eastAsia="en-US" w:bidi="ar-SA"/>
        </w:rPr>
        <w:t>注3：委托代理人签字的应附授权委托书。</w:t>
      </w:r>
    </w:p>
    <w:p w14:paraId="0BFF73AA">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1925FCE9">
      <w:pPr>
        <w:pStyle w:val="3"/>
        <w:kinsoku/>
        <w:spacing w:before="55"/>
        <w:ind w:left="0"/>
        <w:jc w:val="center"/>
        <w:outlineLvl w:val="1"/>
        <w:rPr>
          <w:rFonts w:cs="宋体"/>
          <w:bCs/>
          <w:color w:val="auto"/>
          <w:sz w:val="30"/>
          <w:szCs w:val="30"/>
          <w:highlight w:val="none"/>
          <w:lang w:eastAsia="zh-CN"/>
        </w:rPr>
      </w:pPr>
      <w:bookmarkStart w:id="2452" w:name="_Toc9286"/>
      <w:bookmarkStart w:id="2453" w:name="_Toc14956"/>
      <w:bookmarkStart w:id="2454" w:name="_Toc5535"/>
      <w:bookmarkStart w:id="2455" w:name="_Toc267"/>
      <w:bookmarkStart w:id="2456" w:name="_Toc25966"/>
      <w:bookmarkStart w:id="2457" w:name="_Toc28430"/>
      <w:bookmarkStart w:id="2458" w:name="_Toc23089"/>
      <w:bookmarkStart w:id="2459" w:name="_Toc25326"/>
      <w:bookmarkStart w:id="2460" w:name="_Toc13178"/>
      <w:bookmarkStart w:id="2461" w:name="_Toc10017"/>
      <w:bookmarkStart w:id="2462" w:name="_Toc16555"/>
      <w:bookmarkStart w:id="2463" w:name="_Toc29101"/>
      <w:bookmarkStart w:id="2464" w:name="_Toc16166"/>
      <w:bookmarkStart w:id="2465" w:name="_Toc26357"/>
      <w:r>
        <w:rPr>
          <w:rFonts w:hint="eastAsia" w:ascii="宋体" w:cs="宋体"/>
          <w:b/>
          <w:bCs/>
          <w:color w:val="auto"/>
          <w:spacing w:val="0"/>
          <w:sz w:val="30"/>
          <w:szCs w:val="30"/>
          <w:highlight w:val="none"/>
          <w:lang w:eastAsia="zh-CN"/>
        </w:rPr>
        <w:t>六</w:t>
      </w:r>
      <w:r>
        <w:rPr>
          <w:rFonts w:ascii="宋体" w:cs="宋体"/>
          <w:b/>
          <w:bCs/>
          <w:color w:val="auto"/>
          <w:spacing w:val="0"/>
          <w:sz w:val="30"/>
          <w:szCs w:val="30"/>
          <w:highlight w:val="none"/>
          <w:lang w:eastAsia="zh-CN"/>
        </w:rPr>
        <w:t>、已标价工程量清单</w:t>
      </w:r>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p>
    <w:p w14:paraId="300C853D">
      <w:pPr>
        <w:pStyle w:val="7"/>
        <w:kinsoku/>
        <w:spacing w:beforeLines="0" w:afterLines="0"/>
        <w:ind w:firstLine="420"/>
        <w:jc w:val="left"/>
        <w:rPr>
          <w:color w:val="auto"/>
          <w:highlight w:val="none"/>
          <w:lang w:eastAsia="zh-CN"/>
        </w:rPr>
      </w:pPr>
    </w:p>
    <w:p w14:paraId="37317CC5">
      <w:pPr>
        <w:pStyle w:val="7"/>
        <w:kinsoku/>
        <w:spacing w:beforeLines="0" w:afterLines="0"/>
        <w:ind w:firstLine="420"/>
        <w:jc w:val="left"/>
        <w:rPr>
          <w:color w:val="auto"/>
          <w:highlight w:val="none"/>
          <w:lang w:eastAsia="zh-CN"/>
        </w:rPr>
      </w:pPr>
    </w:p>
    <w:p w14:paraId="792B8061">
      <w:pPr>
        <w:tabs>
          <w:tab w:val="left" w:pos="3713"/>
        </w:tabs>
        <w:kinsoku/>
        <w:spacing w:before="0" w:beforeLines="0" w:afterLines="0"/>
        <w:ind w:left="0" w:firstLine="420"/>
        <w:jc w:val="center"/>
        <w:rPr>
          <w:rFonts w:cs="宋体"/>
          <w:color w:val="auto"/>
          <w:szCs w:val="24"/>
          <w:highlight w:val="none"/>
          <w:lang w:eastAsia="zh-CN"/>
        </w:rPr>
      </w:pPr>
      <w:r>
        <w:rPr>
          <w:rFonts w:hint="eastAsia" w:cs="宋体"/>
          <w:b w:val="0"/>
          <w:color w:val="auto"/>
          <w:spacing w:val="0"/>
          <w:sz w:val="24"/>
          <w:szCs w:val="24"/>
          <w:highlight w:val="none"/>
          <w:u w:val="single"/>
          <w:lang w:val="en-US" w:eastAsia="zh-CN"/>
        </w:rPr>
        <w:t xml:space="preserve">                           </w:t>
      </w:r>
      <w:r>
        <w:rPr>
          <w:rFonts w:ascii="宋体" w:cs="宋体"/>
          <w:b w:val="0"/>
          <w:color w:val="auto"/>
          <w:spacing w:val="0"/>
          <w:sz w:val="24"/>
          <w:szCs w:val="24"/>
          <w:highlight w:val="none"/>
          <w:u w:val="single"/>
          <w:lang w:eastAsia="zh-CN"/>
        </w:rPr>
        <w:t>（项目名称及标段名称）</w:t>
      </w:r>
    </w:p>
    <w:p w14:paraId="4C8C9F20">
      <w:pPr>
        <w:pStyle w:val="7"/>
        <w:kinsoku/>
        <w:spacing w:beforeLines="0" w:afterLines="0"/>
        <w:ind w:firstLine="420"/>
        <w:jc w:val="left"/>
        <w:rPr>
          <w:color w:val="auto"/>
          <w:highlight w:val="none"/>
          <w:lang w:eastAsia="zh-CN"/>
        </w:rPr>
      </w:pPr>
    </w:p>
    <w:p w14:paraId="7CF61040">
      <w:pPr>
        <w:pStyle w:val="7"/>
        <w:kinsoku/>
        <w:spacing w:beforeLines="0" w:afterLines="0"/>
        <w:ind w:firstLine="420"/>
        <w:jc w:val="left"/>
        <w:rPr>
          <w:color w:val="auto"/>
          <w:highlight w:val="none"/>
          <w:lang w:eastAsia="zh-CN"/>
        </w:rPr>
      </w:pPr>
    </w:p>
    <w:p w14:paraId="66086625">
      <w:pPr>
        <w:pStyle w:val="7"/>
        <w:kinsoku/>
        <w:spacing w:beforeLines="0" w:afterLines="0"/>
        <w:ind w:firstLine="420"/>
        <w:jc w:val="left"/>
        <w:rPr>
          <w:color w:val="auto"/>
          <w:highlight w:val="none"/>
          <w:lang w:eastAsia="zh-CN"/>
        </w:rPr>
      </w:pPr>
    </w:p>
    <w:p w14:paraId="0AA65DFF">
      <w:pPr>
        <w:pStyle w:val="7"/>
        <w:kinsoku/>
        <w:spacing w:beforeLines="0" w:afterLines="0"/>
        <w:ind w:firstLine="420"/>
        <w:jc w:val="left"/>
        <w:rPr>
          <w:color w:val="auto"/>
          <w:highlight w:val="none"/>
          <w:lang w:eastAsia="zh-CN"/>
        </w:rPr>
      </w:pPr>
    </w:p>
    <w:p w14:paraId="15688FD5">
      <w:pPr>
        <w:pStyle w:val="7"/>
        <w:kinsoku/>
        <w:spacing w:beforeLines="0" w:afterLines="0"/>
        <w:ind w:firstLine="420"/>
        <w:jc w:val="left"/>
        <w:rPr>
          <w:color w:val="auto"/>
          <w:highlight w:val="none"/>
          <w:lang w:eastAsia="zh-CN"/>
        </w:rPr>
      </w:pPr>
    </w:p>
    <w:p w14:paraId="0807B071">
      <w:pPr>
        <w:kinsoku/>
        <w:spacing w:before="0" w:beforeLines="0" w:afterLines="0"/>
        <w:ind w:left="0" w:firstLine="0" w:firstLineChars="0"/>
        <w:jc w:val="center"/>
        <w:rPr>
          <w:rFonts w:ascii="黑体" w:hAnsi="黑体" w:eastAsia="黑体" w:cs="黑体"/>
          <w:color w:val="auto"/>
          <w:sz w:val="44"/>
          <w:szCs w:val="44"/>
          <w:highlight w:val="none"/>
          <w:lang w:eastAsia="zh-CN"/>
        </w:rPr>
      </w:pPr>
      <w:r>
        <w:rPr>
          <w:rFonts w:ascii="黑体" w:hAnsi="黑体" w:eastAsia="黑体" w:cs="黑体"/>
          <w:b w:val="0"/>
          <w:color w:val="auto"/>
          <w:spacing w:val="0"/>
          <w:sz w:val="44"/>
          <w:szCs w:val="44"/>
          <w:highlight w:val="none"/>
          <w:lang w:eastAsia="zh-CN"/>
        </w:rPr>
        <w:t>工程量清单报价表</w:t>
      </w:r>
    </w:p>
    <w:p w14:paraId="0D76E468">
      <w:pPr>
        <w:pStyle w:val="7"/>
        <w:kinsoku/>
        <w:spacing w:beforeLines="0" w:afterLines="0"/>
        <w:ind w:firstLine="420"/>
        <w:jc w:val="left"/>
        <w:rPr>
          <w:color w:val="auto"/>
          <w:highlight w:val="none"/>
          <w:lang w:eastAsia="zh-CN"/>
        </w:rPr>
      </w:pPr>
    </w:p>
    <w:p w14:paraId="48DDC3C2">
      <w:pPr>
        <w:pStyle w:val="7"/>
        <w:kinsoku/>
        <w:spacing w:beforeLines="0" w:afterLines="0"/>
        <w:ind w:firstLine="420"/>
        <w:jc w:val="left"/>
        <w:rPr>
          <w:color w:val="auto"/>
          <w:highlight w:val="none"/>
          <w:lang w:eastAsia="zh-CN"/>
        </w:rPr>
      </w:pPr>
    </w:p>
    <w:p w14:paraId="6DC8511B">
      <w:pPr>
        <w:pStyle w:val="7"/>
        <w:kinsoku/>
        <w:spacing w:beforeLines="0" w:afterLines="0"/>
        <w:ind w:firstLine="420"/>
        <w:jc w:val="left"/>
        <w:rPr>
          <w:color w:val="auto"/>
          <w:highlight w:val="none"/>
          <w:lang w:eastAsia="zh-CN"/>
        </w:rPr>
      </w:pPr>
    </w:p>
    <w:p w14:paraId="3E6CE9F5">
      <w:pPr>
        <w:pStyle w:val="7"/>
        <w:kinsoku/>
        <w:spacing w:beforeLines="0" w:afterLines="0"/>
        <w:ind w:firstLine="420"/>
        <w:jc w:val="left"/>
        <w:rPr>
          <w:color w:val="auto"/>
          <w:highlight w:val="none"/>
          <w:lang w:eastAsia="zh-CN"/>
        </w:rPr>
      </w:pPr>
    </w:p>
    <w:p w14:paraId="574D1A37">
      <w:pPr>
        <w:pStyle w:val="7"/>
        <w:kinsoku/>
        <w:spacing w:beforeLines="0" w:afterLines="0"/>
        <w:ind w:firstLine="420"/>
        <w:jc w:val="left"/>
        <w:rPr>
          <w:color w:val="auto"/>
          <w:highlight w:val="none"/>
          <w:lang w:eastAsia="zh-CN"/>
        </w:rPr>
      </w:pPr>
    </w:p>
    <w:p w14:paraId="5BD5F148">
      <w:pPr>
        <w:pStyle w:val="7"/>
        <w:kinsoku/>
        <w:spacing w:beforeLines="0" w:afterLines="0"/>
        <w:ind w:firstLine="420"/>
        <w:jc w:val="left"/>
        <w:rPr>
          <w:color w:val="auto"/>
          <w:highlight w:val="none"/>
          <w:lang w:eastAsia="zh-CN"/>
        </w:rPr>
      </w:pPr>
    </w:p>
    <w:p w14:paraId="1AA02A42">
      <w:pPr>
        <w:pStyle w:val="7"/>
        <w:kinsoku/>
        <w:spacing w:beforeLines="0" w:afterLines="0"/>
        <w:ind w:firstLine="420"/>
        <w:jc w:val="left"/>
        <w:rPr>
          <w:color w:val="auto"/>
          <w:highlight w:val="none"/>
          <w:lang w:eastAsia="zh-CN"/>
        </w:rPr>
      </w:pPr>
    </w:p>
    <w:p w14:paraId="17F3B337">
      <w:pPr>
        <w:pStyle w:val="7"/>
        <w:kinsoku/>
        <w:spacing w:beforeLines="0" w:afterLines="0"/>
        <w:ind w:firstLine="420"/>
        <w:jc w:val="left"/>
        <w:rPr>
          <w:color w:val="auto"/>
          <w:highlight w:val="none"/>
          <w:lang w:eastAsia="zh-CN"/>
        </w:rPr>
      </w:pPr>
    </w:p>
    <w:p w14:paraId="30E0154E">
      <w:pPr>
        <w:pStyle w:val="7"/>
        <w:kinsoku/>
        <w:spacing w:beforeLines="0" w:afterLines="0"/>
        <w:ind w:firstLine="420"/>
        <w:jc w:val="left"/>
        <w:rPr>
          <w:color w:val="auto"/>
          <w:highlight w:val="none"/>
          <w:lang w:eastAsia="zh-CN"/>
        </w:rPr>
      </w:pPr>
    </w:p>
    <w:p w14:paraId="726DC174">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投     标人：</w:t>
      </w:r>
      <w:r>
        <w:rPr>
          <w:rFonts w:ascii="宋体" w:cs="宋体"/>
          <w:b/>
          <w:bCs/>
          <w:color w:val="auto"/>
          <w:spacing w:val="0"/>
          <w:sz w:val="24"/>
          <w:szCs w:val="24"/>
          <w:highlight w:val="none"/>
          <w:lang w:eastAsia="zh-CN"/>
        </w:rPr>
        <w:t>（全称）</w:t>
      </w:r>
      <w:r>
        <w:rPr>
          <w:rFonts w:ascii="宋体" w:cs="宋体"/>
          <w:b w:val="0"/>
          <w:color w:val="auto"/>
          <w:spacing w:val="0"/>
          <w:sz w:val="24"/>
          <w:szCs w:val="24"/>
          <w:highlight w:val="none"/>
          <w:lang w:eastAsia="zh-CN"/>
        </w:rPr>
        <w:t>（盖单位公章）____________</w:t>
      </w:r>
    </w:p>
    <w:p w14:paraId="31BEA084">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法定代表人或委托代理人：（签字或盖章）______________</w:t>
      </w:r>
    </w:p>
    <w:p w14:paraId="2AB0FED9">
      <w:pPr>
        <w:kinsoku/>
        <w:spacing w:before="0" w:beforeLines="0" w:afterLines="0"/>
        <w:ind w:firstLine="420"/>
        <w:jc w:val="left"/>
        <w:rPr>
          <w:color w:val="auto"/>
          <w:highlight w:val="none"/>
          <w:lang w:eastAsia="zh-CN"/>
        </w:rPr>
      </w:pPr>
    </w:p>
    <w:p w14:paraId="3C54CDE9">
      <w:pPr>
        <w:kinsoku/>
        <w:spacing w:before="0" w:beforeLines="0" w:afterLines="0"/>
        <w:ind w:firstLine="420"/>
        <w:jc w:val="left"/>
        <w:rPr>
          <w:color w:val="auto"/>
          <w:highlight w:val="none"/>
          <w:lang w:eastAsia="zh-CN"/>
        </w:rPr>
      </w:pPr>
    </w:p>
    <w:p w14:paraId="79F03F0B">
      <w:pPr>
        <w:kinsoku/>
        <w:adjustRightInd/>
        <w:snapToGrid/>
        <w:spacing w:line="240" w:lineRule="auto"/>
        <w:textAlignment w:val="auto"/>
        <w:rPr>
          <w:color w:val="auto"/>
          <w:highlight w:val="none"/>
          <w:lang w:eastAsia="zh-CN"/>
        </w:rPr>
      </w:pPr>
    </w:p>
    <w:p w14:paraId="767F7A8F">
      <w:pPr>
        <w:kinsoku/>
        <w:spacing w:before="0"/>
        <w:rPr>
          <w:color w:val="auto"/>
          <w:highlight w:val="none"/>
          <w:lang w:eastAsia="zh-CN"/>
        </w:rPr>
      </w:pPr>
      <w:r>
        <w:rPr>
          <w:rFonts w:ascii="宋体"/>
          <w:b w:val="0"/>
          <w:color w:val="auto"/>
          <w:spacing w:val="0"/>
          <w:sz w:val="24"/>
          <w:szCs w:val="24"/>
          <w:highlight w:val="none"/>
          <w:lang w:eastAsia="zh-CN"/>
        </w:rPr>
        <w:t>造价工程师：</w:t>
      </w:r>
      <w:r>
        <w:rPr>
          <w:rFonts w:hint="eastAsia"/>
          <w:color w:val="auto"/>
          <w:highlight w:val="none"/>
          <w:lang w:val="en-US" w:eastAsia="zh-CN"/>
        </w:rPr>
        <w:tab/>
      </w:r>
      <w:r>
        <w:rPr>
          <w:rFonts w:hint="eastAsia"/>
          <w:b w:val="0"/>
          <w:color w:val="auto"/>
          <w:spacing w:val="0"/>
          <w:szCs w:val="20"/>
          <w:highlight w:val="none"/>
          <w:lang w:val="en-US" w:eastAsia="zh-CN"/>
        </w:rPr>
        <w:tab/>
      </w:r>
      <w:r>
        <w:rPr>
          <w:rFonts w:hint="eastAsia"/>
          <w:b w:val="0"/>
          <w:color w:val="auto"/>
          <w:spacing w:val="0"/>
          <w:szCs w:val="20"/>
          <w:highlight w:val="none"/>
          <w:lang w:val="en-US" w:eastAsia="zh-CN"/>
        </w:rPr>
        <w:tab/>
      </w:r>
      <w:r>
        <w:rPr>
          <w:rFonts w:hint="eastAsia"/>
          <w:b w:val="0"/>
          <w:color w:val="auto"/>
          <w:spacing w:val="0"/>
          <w:szCs w:val="20"/>
          <w:highlight w:val="none"/>
          <w:lang w:val="en-US" w:eastAsia="zh-CN"/>
        </w:rPr>
        <w:tab/>
      </w:r>
      <w:r>
        <w:rPr>
          <w:rFonts w:hint="eastAsia"/>
          <w:b w:val="0"/>
          <w:color w:val="auto"/>
          <w:spacing w:val="0"/>
          <w:szCs w:val="20"/>
          <w:highlight w:val="none"/>
          <w:lang w:val="en-US" w:eastAsia="zh-CN"/>
        </w:rPr>
        <w:tab/>
      </w:r>
      <w:r>
        <w:rPr>
          <w:rFonts w:hint="eastAsia"/>
          <w:b w:val="0"/>
          <w:color w:val="auto"/>
          <w:spacing w:val="0"/>
          <w:szCs w:val="20"/>
          <w:highlight w:val="none"/>
          <w:lang w:val="en-US" w:eastAsia="zh-CN"/>
        </w:rPr>
        <w:tab/>
      </w:r>
      <w:r>
        <w:rPr>
          <w:rFonts w:hint="eastAsia"/>
          <w:b w:val="0"/>
          <w:color w:val="auto"/>
          <w:spacing w:val="0"/>
          <w:szCs w:val="20"/>
          <w:highlight w:val="none"/>
          <w:lang w:val="en-US" w:eastAsia="zh-CN"/>
        </w:rPr>
        <w:tab/>
      </w:r>
      <w:r>
        <w:rPr>
          <w:rFonts w:ascii="宋体" w:cs="Arial"/>
          <w:b w:val="0"/>
          <w:color w:val="auto"/>
          <w:spacing w:val="0"/>
          <w:sz w:val="24"/>
          <w:szCs w:val="21"/>
          <w:highlight w:val="none"/>
          <w:lang w:eastAsia="zh-CN"/>
        </w:rPr>
        <w:t>（签字并盖执业专用章）</w:t>
      </w:r>
    </w:p>
    <w:p w14:paraId="627D628C">
      <w:pPr>
        <w:pStyle w:val="7"/>
        <w:kinsoku/>
        <w:spacing w:beforeLines="0" w:afterLines="0"/>
        <w:ind w:firstLine="420"/>
        <w:jc w:val="left"/>
        <w:rPr>
          <w:color w:val="auto"/>
          <w:highlight w:val="none"/>
          <w:lang w:eastAsia="zh-CN"/>
        </w:rPr>
      </w:pPr>
    </w:p>
    <w:p w14:paraId="51DD0DC1">
      <w:pPr>
        <w:pStyle w:val="7"/>
        <w:kinsoku/>
        <w:spacing w:beforeLines="0" w:afterLines="0"/>
        <w:ind w:firstLine="420"/>
        <w:jc w:val="left"/>
        <w:rPr>
          <w:color w:val="auto"/>
          <w:highlight w:val="none"/>
          <w:lang w:eastAsia="zh-CN"/>
        </w:rPr>
      </w:pPr>
    </w:p>
    <w:p w14:paraId="1DA1DCDA">
      <w:pPr>
        <w:kinsoku/>
        <w:spacing w:before="0"/>
        <w:rPr>
          <w:color w:val="auto"/>
          <w:highlight w:val="none"/>
          <w:lang w:eastAsia="zh-CN"/>
        </w:rPr>
      </w:pPr>
      <w:r>
        <w:rPr>
          <w:rFonts w:ascii="宋体" w:cs="Arial"/>
          <w:b w:val="0"/>
          <w:color w:val="auto"/>
          <w:spacing w:val="0"/>
          <w:sz w:val="24"/>
          <w:szCs w:val="24"/>
          <w:highlight w:val="none"/>
          <w:lang w:eastAsia="zh-CN"/>
        </w:rPr>
        <w:t>编制时间：</w:t>
      </w:r>
    </w:p>
    <w:p w14:paraId="211EE7B9">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1E61BBDD">
      <w:pPr>
        <w:kinsoku/>
        <w:rPr>
          <w:color w:val="auto"/>
          <w:highlight w:val="none"/>
          <w:lang w:eastAsia="zh-CN"/>
        </w:rPr>
      </w:pPr>
    </w:p>
    <w:p w14:paraId="21197384">
      <w:pPr>
        <w:kinsoku/>
        <w:rPr>
          <w:color w:val="auto"/>
          <w:highlight w:val="none"/>
          <w:lang w:eastAsia="zh-CN"/>
        </w:rPr>
      </w:pPr>
    </w:p>
    <w:p w14:paraId="31FB8C2D">
      <w:pPr>
        <w:kinsoku/>
        <w:rPr>
          <w:color w:val="auto"/>
          <w:highlight w:val="none"/>
          <w:lang w:eastAsia="zh-CN"/>
        </w:rPr>
      </w:pPr>
    </w:p>
    <w:p w14:paraId="5C084662">
      <w:pPr>
        <w:kinsoku/>
        <w:rPr>
          <w:color w:val="auto"/>
          <w:highlight w:val="none"/>
          <w:lang w:eastAsia="zh-CN"/>
        </w:rPr>
      </w:pPr>
    </w:p>
    <w:p w14:paraId="27C514AF">
      <w:pPr>
        <w:kinsoku/>
        <w:spacing w:before="0" w:beforeLines="0" w:afterLines="0"/>
        <w:ind w:left="0" w:firstLine="0" w:firstLineChars="0"/>
        <w:jc w:val="center"/>
        <w:rPr>
          <w:rFonts w:cs="宋体"/>
          <w:color w:val="auto"/>
          <w:sz w:val="51"/>
          <w:szCs w:val="51"/>
          <w:highlight w:val="none"/>
          <w:lang w:eastAsia="zh-CN"/>
        </w:rPr>
      </w:pPr>
      <w:r>
        <w:rPr>
          <w:rFonts w:ascii="宋体" w:cs="宋体"/>
          <w:b/>
          <w:bCs/>
          <w:color w:val="auto"/>
          <w:spacing w:val="0"/>
          <w:sz w:val="51"/>
          <w:szCs w:val="51"/>
          <w:highlight w:val="none"/>
          <w:lang w:eastAsia="zh-CN"/>
        </w:rPr>
        <w:t>投标总价</w:t>
      </w:r>
    </w:p>
    <w:p w14:paraId="185640FE">
      <w:pPr>
        <w:pStyle w:val="7"/>
        <w:kinsoku/>
        <w:spacing w:beforeLines="0" w:afterLines="0"/>
        <w:ind w:firstLine="420"/>
        <w:jc w:val="left"/>
        <w:rPr>
          <w:color w:val="auto"/>
          <w:highlight w:val="none"/>
          <w:lang w:eastAsia="zh-CN"/>
        </w:rPr>
      </w:pPr>
    </w:p>
    <w:p w14:paraId="67B869CA">
      <w:pPr>
        <w:pStyle w:val="7"/>
        <w:kinsoku/>
        <w:spacing w:beforeLines="0" w:afterLines="0"/>
        <w:ind w:firstLine="420"/>
        <w:jc w:val="left"/>
        <w:rPr>
          <w:color w:val="auto"/>
          <w:highlight w:val="none"/>
          <w:lang w:eastAsia="zh-CN"/>
        </w:rPr>
      </w:pPr>
    </w:p>
    <w:p w14:paraId="4F2ED73E">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工程名称：</w:t>
      </w:r>
      <w:r>
        <w:rPr>
          <w:rFonts w:ascii="宋体" w:cs="宋体"/>
          <w:b w:val="0"/>
          <w:color w:val="auto"/>
          <w:spacing w:val="0"/>
          <w:sz w:val="24"/>
          <w:szCs w:val="24"/>
          <w:highlight w:val="none"/>
          <w:u w:val="single"/>
          <w:lang w:eastAsia="zh-CN"/>
        </w:rPr>
        <w:t>（项目名称及标段名称）</w:t>
      </w:r>
    </w:p>
    <w:p w14:paraId="22105DE1">
      <w:pPr>
        <w:pStyle w:val="7"/>
        <w:kinsoku/>
        <w:spacing w:beforeLines="0" w:afterLines="0"/>
        <w:ind w:firstLine="420"/>
        <w:jc w:val="left"/>
        <w:rPr>
          <w:color w:val="auto"/>
          <w:highlight w:val="none"/>
          <w:lang w:eastAsia="zh-CN"/>
        </w:rPr>
      </w:pPr>
    </w:p>
    <w:p w14:paraId="0E98DFB4">
      <w:pPr>
        <w:pStyle w:val="7"/>
        <w:kinsoku/>
        <w:spacing w:beforeLines="0" w:afterLines="0"/>
        <w:ind w:firstLine="420"/>
        <w:jc w:val="left"/>
        <w:rPr>
          <w:color w:val="auto"/>
          <w:highlight w:val="none"/>
          <w:lang w:eastAsia="zh-CN"/>
        </w:rPr>
      </w:pPr>
    </w:p>
    <w:p w14:paraId="6B21D435">
      <w:pPr>
        <w:kinsoku/>
        <w:spacing w:before="0" w:beforeLines="0" w:afterLines="0"/>
        <w:ind w:left="0" w:firstLine="420"/>
        <w:jc w:val="left"/>
        <w:rPr>
          <w:rFonts w:hint="default" w:cs="宋体"/>
          <w:color w:val="auto"/>
          <w:szCs w:val="24"/>
          <w:highlight w:val="none"/>
          <w:lang w:val="en-US" w:eastAsia="zh-CN"/>
        </w:rPr>
      </w:pPr>
      <w:r>
        <w:rPr>
          <w:rFonts w:ascii="宋体" w:cs="宋体"/>
          <w:b w:val="0"/>
          <w:color w:val="auto"/>
          <w:spacing w:val="0"/>
          <w:sz w:val="24"/>
          <w:szCs w:val="24"/>
          <w:highlight w:val="none"/>
          <w:lang w:eastAsia="zh-CN"/>
        </w:rPr>
        <w:t>投标总价（小写）：</w:t>
      </w:r>
      <w:r>
        <w:rPr>
          <w:rFonts w:hint="eastAsia" w:cs="宋体"/>
          <w:b w:val="0"/>
          <w:color w:val="auto"/>
          <w:spacing w:val="0"/>
          <w:sz w:val="24"/>
          <w:szCs w:val="24"/>
          <w:highlight w:val="none"/>
          <w:u w:val="single"/>
          <w:lang w:val="en-US" w:eastAsia="zh-CN"/>
        </w:rPr>
        <w:t xml:space="preserve">              </w:t>
      </w:r>
    </w:p>
    <w:p w14:paraId="22486C87">
      <w:pPr>
        <w:pStyle w:val="7"/>
        <w:kinsoku/>
        <w:spacing w:beforeLines="0" w:afterLines="0"/>
        <w:ind w:firstLine="420"/>
        <w:jc w:val="left"/>
        <w:rPr>
          <w:color w:val="auto"/>
          <w:highlight w:val="none"/>
          <w:lang w:eastAsia="zh-CN"/>
        </w:rPr>
      </w:pPr>
    </w:p>
    <w:p w14:paraId="74B671B6">
      <w:pPr>
        <w:pStyle w:val="7"/>
        <w:kinsoku/>
        <w:spacing w:beforeLines="0" w:afterLines="0"/>
        <w:ind w:firstLine="420"/>
        <w:jc w:val="left"/>
        <w:rPr>
          <w:color w:val="auto"/>
          <w:highlight w:val="none"/>
          <w:lang w:eastAsia="zh-CN"/>
        </w:rPr>
      </w:pPr>
    </w:p>
    <w:p w14:paraId="7DE55369">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（大写）：</w:t>
      </w:r>
      <w:r>
        <w:rPr>
          <w:rFonts w:hint="eastAsia" w:cs="宋体"/>
          <w:b w:val="0"/>
          <w:color w:val="auto"/>
          <w:spacing w:val="0"/>
          <w:sz w:val="24"/>
          <w:szCs w:val="24"/>
          <w:highlight w:val="none"/>
          <w:u w:val="single"/>
          <w:lang w:val="en-US" w:eastAsia="zh-CN"/>
        </w:rPr>
        <w:t xml:space="preserve">              </w:t>
      </w:r>
    </w:p>
    <w:p w14:paraId="7B03A3EA">
      <w:pPr>
        <w:pStyle w:val="7"/>
        <w:kinsoku/>
        <w:spacing w:beforeLines="0" w:afterLines="0"/>
        <w:ind w:firstLine="420"/>
        <w:jc w:val="left"/>
        <w:rPr>
          <w:color w:val="auto"/>
          <w:highlight w:val="none"/>
          <w:lang w:eastAsia="zh-CN"/>
        </w:rPr>
      </w:pPr>
    </w:p>
    <w:p w14:paraId="21EAE6C7">
      <w:pPr>
        <w:pStyle w:val="7"/>
        <w:kinsoku/>
        <w:spacing w:beforeLines="0" w:afterLines="0"/>
        <w:ind w:firstLine="420"/>
        <w:jc w:val="left"/>
        <w:rPr>
          <w:color w:val="auto"/>
          <w:highlight w:val="none"/>
          <w:lang w:eastAsia="zh-CN"/>
        </w:rPr>
      </w:pPr>
    </w:p>
    <w:p w14:paraId="6FA5BA61">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w w:val="100"/>
          <w:sz w:val="24"/>
          <w:szCs w:val="24"/>
          <w:highlight w:val="none"/>
          <w:lang w:eastAsia="zh-CN"/>
        </w:rPr>
        <w:t>投标人：</w:t>
      </w:r>
      <w:r>
        <w:rPr>
          <w:rFonts w:hint="eastAsia" w:cs="宋体"/>
          <w:b w:val="0"/>
          <w:color w:val="auto"/>
          <w:spacing w:val="0"/>
          <w:sz w:val="24"/>
          <w:szCs w:val="24"/>
          <w:highlight w:val="none"/>
          <w:u w:val="single"/>
          <w:lang w:val="en-US" w:eastAsia="zh-CN"/>
        </w:rPr>
        <w:t xml:space="preserve">              </w:t>
      </w:r>
      <w:r>
        <w:rPr>
          <w:rFonts w:ascii="宋体" w:cs="宋体"/>
          <w:b w:val="0"/>
          <w:color w:val="auto"/>
          <w:spacing w:val="0"/>
          <w:sz w:val="24"/>
          <w:szCs w:val="24"/>
          <w:highlight w:val="none"/>
          <w:u w:val="single"/>
          <w:lang w:eastAsia="zh-CN"/>
        </w:rPr>
        <w:t>（全称）</w:t>
      </w:r>
      <w:r>
        <w:rPr>
          <w:rFonts w:ascii="宋体" w:cs="宋体"/>
          <w:b w:val="0"/>
          <w:color w:val="auto"/>
          <w:spacing w:val="0"/>
          <w:sz w:val="24"/>
          <w:szCs w:val="24"/>
          <w:highlight w:val="none"/>
          <w:lang w:eastAsia="zh-CN"/>
        </w:rPr>
        <w:t>（盖单位公章）</w:t>
      </w:r>
    </w:p>
    <w:p w14:paraId="53BF6B83">
      <w:pPr>
        <w:pStyle w:val="7"/>
        <w:kinsoku/>
        <w:spacing w:beforeLines="0" w:afterLines="0"/>
        <w:ind w:firstLine="420"/>
        <w:jc w:val="left"/>
        <w:rPr>
          <w:color w:val="auto"/>
          <w:highlight w:val="none"/>
          <w:lang w:eastAsia="zh-CN"/>
        </w:rPr>
      </w:pPr>
    </w:p>
    <w:p w14:paraId="4D776A25">
      <w:pPr>
        <w:pStyle w:val="7"/>
        <w:kinsoku/>
        <w:spacing w:beforeLines="0" w:afterLines="0"/>
        <w:ind w:firstLine="420"/>
        <w:jc w:val="left"/>
        <w:rPr>
          <w:color w:val="auto"/>
          <w:highlight w:val="none"/>
          <w:lang w:eastAsia="zh-CN"/>
        </w:rPr>
      </w:pPr>
    </w:p>
    <w:p w14:paraId="2360B6AA">
      <w:pPr>
        <w:kinsoku/>
        <w:spacing w:before="0" w:beforeLines="0" w:afterLines="0"/>
        <w:ind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法定代表人或委托代理人：</w:t>
      </w:r>
      <w:r>
        <w:rPr>
          <w:rFonts w:hint="eastAsia" w:cs="宋体"/>
          <w:b w:val="0"/>
          <w:color w:val="auto"/>
          <w:spacing w:val="0"/>
          <w:sz w:val="24"/>
          <w:szCs w:val="24"/>
          <w:highlight w:val="none"/>
          <w:u w:val="single"/>
          <w:lang w:val="en-US" w:eastAsia="zh-CN"/>
        </w:rPr>
        <w:t xml:space="preserve">              </w:t>
      </w:r>
      <w:r>
        <w:rPr>
          <w:rFonts w:ascii="宋体" w:cs="宋体"/>
          <w:b w:val="0"/>
          <w:color w:val="auto"/>
          <w:spacing w:val="0"/>
          <w:sz w:val="24"/>
          <w:szCs w:val="24"/>
          <w:highlight w:val="none"/>
          <w:lang w:eastAsia="zh-CN"/>
        </w:rPr>
        <w:t>（签字或盖章）</w:t>
      </w:r>
    </w:p>
    <w:p w14:paraId="3CCF10C8">
      <w:pPr>
        <w:pStyle w:val="7"/>
        <w:kinsoku/>
        <w:spacing w:beforeLines="0" w:afterLines="0"/>
        <w:ind w:firstLine="420"/>
        <w:jc w:val="left"/>
        <w:rPr>
          <w:color w:val="auto"/>
          <w:highlight w:val="none"/>
          <w:lang w:eastAsia="zh-CN"/>
        </w:rPr>
      </w:pPr>
    </w:p>
    <w:p w14:paraId="14A23F15">
      <w:pPr>
        <w:pStyle w:val="7"/>
        <w:kinsoku/>
        <w:spacing w:beforeLines="0" w:afterLines="0"/>
        <w:ind w:firstLine="420"/>
        <w:jc w:val="left"/>
        <w:rPr>
          <w:color w:val="auto"/>
          <w:highlight w:val="none"/>
          <w:lang w:eastAsia="zh-CN"/>
        </w:rPr>
      </w:pPr>
    </w:p>
    <w:p w14:paraId="1E7A71D4">
      <w:pPr>
        <w:kinsoku/>
        <w:spacing w:before="0" w:beforeLines="0" w:afterLines="0"/>
        <w:ind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编制时间：</w:t>
      </w:r>
      <w:r>
        <w:rPr>
          <w:rFonts w:hint="eastAsia" w:cs="宋体"/>
          <w:b w:val="0"/>
          <w:color w:val="auto"/>
          <w:spacing w:val="0"/>
          <w:sz w:val="24"/>
          <w:szCs w:val="24"/>
          <w:highlight w:val="none"/>
          <w:u w:val="single"/>
          <w:lang w:val="en-US" w:eastAsia="zh-CN"/>
        </w:rPr>
        <w:t xml:space="preserve">              </w:t>
      </w:r>
    </w:p>
    <w:p w14:paraId="156D0503">
      <w:pPr>
        <w:kinsoku/>
        <w:spacing w:beforeLines="0" w:afterLines="0"/>
        <w:ind w:firstLine="420"/>
        <w:jc w:val="left"/>
        <w:rPr>
          <w:rFonts w:cs="宋体"/>
          <w:color w:val="auto"/>
          <w:szCs w:val="24"/>
          <w:highlight w:val="none"/>
          <w:lang w:eastAsia="zh-CN"/>
        </w:rPr>
      </w:pPr>
    </w:p>
    <w:p w14:paraId="12BE7D3B">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4BA1B048">
      <w:pPr>
        <w:pStyle w:val="4"/>
        <w:kinsoku/>
        <w:spacing w:before="0" w:beforeLines="0" w:afterLines="0"/>
        <w:ind w:left="0"/>
        <w:jc w:val="center"/>
        <w:rPr>
          <w:rFonts w:hint="eastAsia" w:cs="宋体"/>
          <w:bCs/>
          <w:color w:val="auto"/>
          <w:szCs w:val="24"/>
          <w:highlight w:val="none"/>
          <w:lang w:eastAsia="zh-CN"/>
        </w:rPr>
      </w:pPr>
      <w:bookmarkStart w:id="2466" w:name="_Toc30133"/>
      <w:bookmarkStart w:id="2467" w:name="_Toc21160"/>
      <w:bookmarkStart w:id="2468" w:name="_Toc3442"/>
      <w:r>
        <w:rPr>
          <w:rFonts w:hint="eastAsia" w:ascii="宋体" w:cs="宋体"/>
          <w:b/>
          <w:bCs/>
          <w:color w:val="auto"/>
          <w:spacing w:val="0"/>
          <w:sz w:val="24"/>
          <w:szCs w:val="24"/>
          <w:highlight w:val="none"/>
          <w:lang w:eastAsia="zh-CN"/>
        </w:rPr>
        <w:t>工程量清单计价汇总表</w:t>
      </w:r>
      <w:bookmarkEnd w:id="2466"/>
      <w:bookmarkEnd w:id="2467"/>
      <w:bookmarkEnd w:id="2468"/>
    </w:p>
    <w:p w14:paraId="232E3823">
      <w:pPr>
        <w:pStyle w:val="7"/>
        <w:kinsoku/>
        <w:spacing w:beforeLines="0" w:afterLines="0"/>
        <w:ind w:firstLine="420"/>
        <w:jc w:val="left"/>
        <w:rPr>
          <w:color w:val="auto"/>
          <w:highlight w:val="none"/>
          <w:lang w:eastAsia="zh-CN"/>
        </w:rPr>
      </w:pPr>
    </w:p>
    <w:p w14:paraId="535B6710">
      <w:pPr>
        <w:pStyle w:val="7"/>
        <w:kinsoku/>
        <w:spacing w:beforeLines="0" w:afterLines="0"/>
        <w:ind w:firstLine="420"/>
        <w:jc w:val="left"/>
        <w:rPr>
          <w:color w:val="auto"/>
          <w:highlight w:val="none"/>
          <w:lang w:eastAsia="zh-CN"/>
        </w:rPr>
      </w:pPr>
    </w:p>
    <w:p w14:paraId="3D0A2953">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项目及标段名称：</w:t>
      </w:r>
      <w:r>
        <w:rPr>
          <w:rFonts w:hint="eastAsia" w:cs="宋体"/>
          <w:b w:val="0"/>
          <w:color w:val="auto"/>
          <w:spacing w:val="0"/>
          <w:sz w:val="24"/>
          <w:szCs w:val="24"/>
          <w:highlight w:val="none"/>
          <w:u w:val="single"/>
          <w:lang w:val="en-US" w:eastAsia="zh-CN"/>
        </w:rPr>
        <w:t xml:space="preserve">              </w:t>
      </w:r>
      <w:r>
        <w:rPr>
          <w:rFonts w:hint="eastAsia" w:cs="宋体"/>
          <w:b w:val="0"/>
          <w:color w:val="auto"/>
          <w:spacing w:val="0"/>
          <w:sz w:val="24"/>
          <w:szCs w:val="24"/>
          <w:highlight w:val="none"/>
          <w:lang w:val="en-US" w:eastAsia="zh-CN"/>
        </w:rPr>
        <w:t xml:space="preserve">             </w:t>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ascii="宋体" w:cs="宋体"/>
          <w:b w:val="0"/>
          <w:color w:val="auto"/>
          <w:spacing w:val="0"/>
          <w:sz w:val="24"/>
          <w:szCs w:val="24"/>
          <w:highlight w:val="none"/>
          <w:lang w:eastAsia="zh-CN"/>
        </w:rPr>
        <w:t>第</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共</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p>
    <w:p w14:paraId="498AE70E">
      <w:pPr>
        <w:kinsoku/>
        <w:spacing w:beforeLines="0" w:afterLines="0"/>
        <w:ind w:firstLine="420"/>
        <w:jc w:val="left"/>
        <w:rPr>
          <w:color w:val="auto"/>
          <w:highlight w:val="none"/>
          <w:lang w:eastAsia="zh-CN"/>
        </w:rPr>
      </w:pPr>
    </w:p>
    <w:tbl>
      <w:tblPr>
        <w:tblStyle w:val="24"/>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73"/>
        <w:gridCol w:w="4710"/>
        <w:gridCol w:w="2529"/>
      </w:tblGrid>
      <w:tr w14:paraId="584F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573" w:type="dxa"/>
            <w:tcBorders>
              <w:tl2br w:val="nil"/>
              <w:tr2bl w:val="nil"/>
            </w:tcBorders>
            <w:vAlign w:val="center"/>
          </w:tcPr>
          <w:p w14:paraId="5AEFCF3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4710" w:type="dxa"/>
            <w:tcBorders>
              <w:tl2br w:val="nil"/>
              <w:tr2bl w:val="nil"/>
            </w:tcBorders>
            <w:vAlign w:val="center"/>
          </w:tcPr>
          <w:p w14:paraId="77A69D2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工程项目名称</w:t>
            </w:r>
          </w:p>
        </w:tc>
        <w:tc>
          <w:tcPr>
            <w:tcW w:w="2529" w:type="dxa"/>
            <w:tcBorders>
              <w:tl2br w:val="nil"/>
              <w:tr2bl w:val="nil"/>
            </w:tcBorders>
            <w:vAlign w:val="center"/>
          </w:tcPr>
          <w:p w14:paraId="30D829E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金额（元）</w:t>
            </w:r>
          </w:p>
        </w:tc>
      </w:tr>
      <w:tr w14:paraId="0A21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06323075">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1904B745">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16FFF86C">
            <w:pPr>
              <w:kinsoku/>
              <w:spacing w:beforeLines="0" w:afterLines="0" w:line="0" w:lineRule="atLeast"/>
              <w:ind w:firstLine="0" w:firstLineChars="0"/>
              <w:jc w:val="center"/>
              <w:rPr>
                <w:color w:val="auto"/>
                <w:sz w:val="21"/>
                <w:highlight w:val="none"/>
              </w:rPr>
            </w:pPr>
          </w:p>
        </w:tc>
      </w:tr>
      <w:tr w14:paraId="4DF6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5FD9988C">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322387C5">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5C0C8991">
            <w:pPr>
              <w:kinsoku/>
              <w:spacing w:beforeLines="0" w:afterLines="0" w:line="0" w:lineRule="atLeast"/>
              <w:ind w:firstLine="0" w:firstLineChars="0"/>
              <w:jc w:val="center"/>
              <w:rPr>
                <w:color w:val="auto"/>
                <w:sz w:val="21"/>
                <w:highlight w:val="none"/>
              </w:rPr>
            </w:pPr>
          </w:p>
        </w:tc>
      </w:tr>
      <w:tr w14:paraId="30488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1D30977B">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66C73AA1">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11C4CF61">
            <w:pPr>
              <w:kinsoku/>
              <w:spacing w:beforeLines="0" w:afterLines="0" w:line="0" w:lineRule="atLeast"/>
              <w:ind w:firstLine="0" w:firstLineChars="0"/>
              <w:jc w:val="center"/>
              <w:rPr>
                <w:color w:val="auto"/>
                <w:sz w:val="21"/>
                <w:highlight w:val="none"/>
              </w:rPr>
            </w:pPr>
          </w:p>
        </w:tc>
      </w:tr>
      <w:tr w14:paraId="41D7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71507266">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11D6CFA9">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3DE652F9">
            <w:pPr>
              <w:kinsoku/>
              <w:spacing w:beforeLines="0" w:afterLines="0" w:line="0" w:lineRule="atLeast"/>
              <w:ind w:firstLine="0" w:firstLineChars="0"/>
              <w:jc w:val="center"/>
              <w:rPr>
                <w:color w:val="auto"/>
                <w:sz w:val="21"/>
                <w:highlight w:val="none"/>
              </w:rPr>
            </w:pPr>
          </w:p>
        </w:tc>
      </w:tr>
      <w:tr w14:paraId="5B3E4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4EB61FA3">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7A795459">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5C8A942B">
            <w:pPr>
              <w:kinsoku/>
              <w:spacing w:beforeLines="0" w:afterLines="0" w:line="0" w:lineRule="atLeast"/>
              <w:ind w:firstLine="0" w:firstLineChars="0"/>
              <w:jc w:val="center"/>
              <w:rPr>
                <w:color w:val="auto"/>
                <w:sz w:val="21"/>
                <w:highlight w:val="none"/>
              </w:rPr>
            </w:pPr>
          </w:p>
        </w:tc>
      </w:tr>
      <w:tr w14:paraId="1286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1D40137A">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3C420F3D">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1A6DCA3C">
            <w:pPr>
              <w:kinsoku/>
              <w:spacing w:beforeLines="0" w:afterLines="0" w:line="0" w:lineRule="atLeast"/>
              <w:ind w:firstLine="0" w:firstLineChars="0"/>
              <w:jc w:val="center"/>
              <w:rPr>
                <w:color w:val="auto"/>
                <w:sz w:val="21"/>
                <w:highlight w:val="none"/>
              </w:rPr>
            </w:pPr>
          </w:p>
        </w:tc>
      </w:tr>
      <w:tr w14:paraId="47881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507AD5F2">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16A862EE">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316A2E9F">
            <w:pPr>
              <w:kinsoku/>
              <w:spacing w:beforeLines="0" w:afterLines="0" w:line="0" w:lineRule="atLeast"/>
              <w:ind w:firstLine="0" w:firstLineChars="0"/>
              <w:jc w:val="center"/>
              <w:rPr>
                <w:color w:val="auto"/>
                <w:sz w:val="21"/>
                <w:highlight w:val="none"/>
              </w:rPr>
            </w:pPr>
          </w:p>
        </w:tc>
      </w:tr>
      <w:tr w14:paraId="1A93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65396AB2">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095FC191">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69BC3C3E">
            <w:pPr>
              <w:kinsoku/>
              <w:spacing w:beforeLines="0" w:afterLines="0" w:line="0" w:lineRule="atLeast"/>
              <w:ind w:firstLine="0" w:firstLineChars="0"/>
              <w:jc w:val="center"/>
              <w:rPr>
                <w:color w:val="auto"/>
                <w:sz w:val="21"/>
                <w:highlight w:val="none"/>
              </w:rPr>
            </w:pPr>
          </w:p>
        </w:tc>
      </w:tr>
      <w:tr w14:paraId="23AD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553C551B">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49ED3529">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33E866ED">
            <w:pPr>
              <w:kinsoku/>
              <w:spacing w:beforeLines="0" w:afterLines="0" w:line="0" w:lineRule="atLeast"/>
              <w:ind w:firstLine="0" w:firstLineChars="0"/>
              <w:jc w:val="center"/>
              <w:rPr>
                <w:color w:val="auto"/>
                <w:sz w:val="21"/>
                <w:highlight w:val="none"/>
              </w:rPr>
            </w:pPr>
          </w:p>
        </w:tc>
      </w:tr>
      <w:tr w14:paraId="79AB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06451CEC">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51D436D6">
            <w:pPr>
              <w:kinsoku/>
              <w:spacing w:beforeLines="0" w:afterLines="0" w:line="0" w:lineRule="atLeast"/>
              <w:ind w:firstLine="0" w:firstLineChars="0"/>
              <w:jc w:val="center"/>
              <w:rPr>
                <w:color w:val="auto"/>
                <w:sz w:val="21"/>
                <w:highlight w:val="none"/>
              </w:rPr>
            </w:pPr>
          </w:p>
        </w:tc>
        <w:tc>
          <w:tcPr>
            <w:tcW w:w="2529" w:type="dxa"/>
            <w:tcBorders>
              <w:tl2br w:val="nil"/>
              <w:tr2bl w:val="nil"/>
            </w:tcBorders>
            <w:vAlign w:val="center"/>
          </w:tcPr>
          <w:p w14:paraId="5DCEDD04">
            <w:pPr>
              <w:kinsoku/>
              <w:spacing w:beforeLines="0" w:afterLines="0" w:line="0" w:lineRule="atLeast"/>
              <w:ind w:firstLine="0" w:firstLineChars="0"/>
              <w:jc w:val="center"/>
              <w:rPr>
                <w:color w:val="auto"/>
                <w:sz w:val="21"/>
                <w:highlight w:val="none"/>
              </w:rPr>
            </w:pPr>
          </w:p>
        </w:tc>
      </w:tr>
      <w:tr w14:paraId="573E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73" w:type="dxa"/>
            <w:tcBorders>
              <w:tl2br w:val="nil"/>
              <w:tr2bl w:val="nil"/>
            </w:tcBorders>
            <w:vAlign w:val="center"/>
          </w:tcPr>
          <w:p w14:paraId="65608308">
            <w:pPr>
              <w:kinsoku/>
              <w:spacing w:beforeLines="0" w:afterLines="0" w:line="0" w:lineRule="atLeast"/>
              <w:ind w:firstLine="0" w:firstLineChars="0"/>
              <w:jc w:val="center"/>
              <w:rPr>
                <w:color w:val="auto"/>
                <w:sz w:val="21"/>
                <w:highlight w:val="none"/>
              </w:rPr>
            </w:pPr>
          </w:p>
        </w:tc>
        <w:tc>
          <w:tcPr>
            <w:tcW w:w="4710" w:type="dxa"/>
            <w:tcBorders>
              <w:tl2br w:val="nil"/>
              <w:tr2bl w:val="nil"/>
            </w:tcBorders>
            <w:vAlign w:val="center"/>
          </w:tcPr>
          <w:p w14:paraId="3819353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合计</w:t>
            </w:r>
          </w:p>
        </w:tc>
        <w:tc>
          <w:tcPr>
            <w:tcW w:w="2529" w:type="dxa"/>
            <w:tcBorders>
              <w:tl2br w:val="nil"/>
              <w:tr2bl w:val="nil"/>
            </w:tcBorders>
            <w:vAlign w:val="center"/>
          </w:tcPr>
          <w:p w14:paraId="1C3B24C9">
            <w:pPr>
              <w:kinsoku/>
              <w:spacing w:beforeLines="0" w:afterLines="0" w:line="0" w:lineRule="atLeast"/>
              <w:ind w:firstLine="0" w:firstLineChars="0"/>
              <w:jc w:val="center"/>
              <w:rPr>
                <w:color w:val="auto"/>
                <w:sz w:val="21"/>
                <w:highlight w:val="none"/>
              </w:rPr>
            </w:pPr>
          </w:p>
        </w:tc>
      </w:tr>
    </w:tbl>
    <w:p w14:paraId="15B2C379">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注：不允许在工程量清单计价汇总表中增加优惠一栏，应在单价中优惠。</w:t>
      </w:r>
    </w:p>
    <w:p w14:paraId="6DE500C4">
      <w:pPr>
        <w:pStyle w:val="7"/>
        <w:kinsoku/>
        <w:spacing w:beforeLines="0" w:afterLines="0"/>
        <w:ind w:firstLine="420"/>
        <w:jc w:val="left"/>
        <w:rPr>
          <w:color w:val="auto"/>
          <w:highlight w:val="none"/>
          <w:lang w:eastAsia="zh-CN"/>
        </w:rPr>
      </w:pPr>
    </w:p>
    <w:p w14:paraId="381D37CA">
      <w:pPr>
        <w:pStyle w:val="7"/>
        <w:kinsoku/>
        <w:spacing w:beforeLines="0" w:afterLines="0"/>
        <w:ind w:firstLine="420"/>
        <w:jc w:val="left"/>
        <w:rPr>
          <w:color w:val="auto"/>
          <w:highlight w:val="none"/>
          <w:lang w:eastAsia="zh-CN"/>
        </w:rPr>
      </w:pPr>
    </w:p>
    <w:p w14:paraId="0F139E9F">
      <w:pPr>
        <w:pStyle w:val="7"/>
        <w:kinsoku/>
        <w:spacing w:beforeLines="0" w:afterLines="0"/>
        <w:ind w:firstLine="420"/>
        <w:jc w:val="left"/>
        <w:rPr>
          <w:color w:val="auto"/>
          <w:highlight w:val="none"/>
          <w:lang w:eastAsia="zh-CN"/>
        </w:rPr>
      </w:pPr>
    </w:p>
    <w:p w14:paraId="4A365E7E">
      <w:pPr>
        <w:pStyle w:val="7"/>
        <w:kinsoku/>
        <w:spacing w:beforeLines="0" w:afterLines="0"/>
        <w:ind w:firstLine="420"/>
        <w:jc w:val="left"/>
        <w:rPr>
          <w:color w:val="auto"/>
          <w:highlight w:val="none"/>
          <w:lang w:eastAsia="zh-CN"/>
        </w:rPr>
      </w:pPr>
    </w:p>
    <w:p w14:paraId="5EEFC74F">
      <w:pPr>
        <w:pStyle w:val="7"/>
        <w:kinsoku/>
        <w:spacing w:beforeLines="0" w:afterLines="0"/>
        <w:ind w:firstLine="420"/>
        <w:jc w:val="left"/>
        <w:rPr>
          <w:color w:val="auto"/>
          <w:highlight w:val="none"/>
          <w:lang w:eastAsia="zh-CN"/>
        </w:rPr>
      </w:pPr>
    </w:p>
    <w:p w14:paraId="0BE73A45">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法定代表人或委托代理人：</w:t>
      </w:r>
      <w:r>
        <w:rPr>
          <w:rFonts w:hint="eastAsia" w:cs="宋体"/>
          <w:b w:val="0"/>
          <w:color w:val="auto"/>
          <w:spacing w:val="0"/>
          <w:sz w:val="24"/>
          <w:szCs w:val="24"/>
          <w:highlight w:val="none"/>
          <w:u w:val="single"/>
          <w:lang w:val="en-US" w:eastAsia="zh-CN"/>
        </w:rPr>
        <w:t xml:space="preserve">              </w:t>
      </w:r>
      <w:r>
        <w:rPr>
          <w:rFonts w:ascii="宋体" w:cs="宋体"/>
          <w:b w:val="0"/>
          <w:color w:val="auto"/>
          <w:spacing w:val="0"/>
          <w:sz w:val="24"/>
          <w:szCs w:val="24"/>
          <w:highlight w:val="none"/>
          <w:u w:val="single"/>
          <w:lang w:eastAsia="zh-CN"/>
        </w:rPr>
        <w:t>（签字或盖章）</w:t>
      </w:r>
    </w:p>
    <w:p w14:paraId="0B794ED7">
      <w:pPr>
        <w:kinsoku/>
        <w:adjustRightInd/>
        <w:snapToGrid/>
        <w:spacing w:beforeLines="0" w:afterLines="0" w:line="240" w:lineRule="auto"/>
        <w:ind w:firstLine="420"/>
        <w:jc w:val="left"/>
        <w:textAlignment w:val="auto"/>
        <w:rPr>
          <w:rFonts w:cs="宋体"/>
          <w:color w:val="auto"/>
          <w:szCs w:val="24"/>
          <w:highlight w:val="none"/>
          <w:lang w:eastAsia="zh-CN"/>
        </w:rPr>
      </w:pPr>
    </w:p>
    <w:p w14:paraId="27721121">
      <w:pPr>
        <w:kinsoku/>
        <w:spacing w:before="0" w:beforeLines="0" w:afterLines="0"/>
        <w:ind w:left="0" w:firstLine="542"/>
        <w:jc w:val="left"/>
        <w:rPr>
          <w:rFonts w:hint="eastAsia" w:ascii="宋体" w:cs="宋体"/>
          <w:b/>
          <w:bCs/>
          <w:color w:val="auto"/>
          <w:spacing w:val="0"/>
          <w:sz w:val="27"/>
          <w:szCs w:val="27"/>
          <w:highlight w:val="none"/>
          <w:lang w:eastAsia="zh-CN"/>
        </w:rPr>
        <w:sectPr>
          <w:pgSz w:w="11905" w:h="16840"/>
          <w:pgMar w:top="1616" w:right="1418" w:bottom="1616" w:left="1418" w:header="851" w:footer="1304" w:gutter="0"/>
          <w:pgNumType w:fmt="decimal"/>
          <w:cols w:space="720" w:num="1"/>
          <w:docGrid w:linePitch="381" w:charSpace="0"/>
        </w:sectPr>
      </w:pPr>
    </w:p>
    <w:p w14:paraId="2BFABEB1">
      <w:pPr>
        <w:widowControl/>
        <w:kinsoku w:val="0"/>
        <w:autoSpaceDE w:val="0"/>
        <w:autoSpaceDN w:val="0"/>
        <w:spacing w:before="88" w:line="225" w:lineRule="auto"/>
        <w:ind w:left="4796" w:firstLine="0" w:firstLineChars="0"/>
        <w:jc w:val="left"/>
        <w:rPr>
          <w:rFonts w:ascii="宋体" w:hAnsi="宋体" w:eastAsia="宋体" w:cs="宋体"/>
          <w:color w:val="auto"/>
          <w:kern w:val="0"/>
          <w:sz w:val="27"/>
          <w:szCs w:val="27"/>
          <w:highlight w:val="none"/>
        </w:rPr>
      </w:pPr>
      <w:bookmarkStart w:id="2469" w:name="_Toc21581"/>
      <w:bookmarkStart w:id="2470" w:name="_Toc30392"/>
      <w:bookmarkStart w:id="2471" w:name="_Toc22329"/>
      <w:r>
        <w:rPr>
          <w:rFonts w:ascii="宋体" w:hAnsi="宋体" w:eastAsia="宋体" w:cs="宋体"/>
          <w:b/>
          <w:bCs/>
          <w:color w:val="auto"/>
          <w:spacing w:val="7"/>
          <w:kern w:val="0"/>
          <w:sz w:val="27"/>
          <w:szCs w:val="27"/>
          <w:highlight w:val="none"/>
        </w:rPr>
        <w:t>分类分项工程量清单计价表</w:t>
      </w:r>
    </w:p>
    <w:p w14:paraId="5DC9FB10">
      <w:pPr>
        <w:widowControl/>
        <w:kinsoku w:val="0"/>
        <w:autoSpaceDE w:val="0"/>
        <w:autoSpaceDN w:val="0"/>
        <w:spacing w:line="162" w:lineRule="exact"/>
        <w:ind w:firstLine="0" w:firstLineChars="0"/>
        <w:jc w:val="left"/>
        <w:rPr>
          <w:rFonts w:ascii="Arial" w:hAnsi="Arial" w:eastAsia="Arial"/>
          <w:color w:val="auto"/>
          <w:kern w:val="0"/>
          <w:sz w:val="21"/>
          <w:highlight w:val="none"/>
        </w:rPr>
      </w:pPr>
    </w:p>
    <w:p w14:paraId="260264C9">
      <w:pPr>
        <w:spacing w:line="162" w:lineRule="exact"/>
        <w:rPr>
          <w:color w:val="auto"/>
          <w:highlight w:val="none"/>
        </w:rPr>
        <w:sectPr>
          <w:footerReference r:id="rId12" w:type="default"/>
          <w:pgSz w:w="16840" w:h="11905"/>
          <w:pgMar w:top="1011" w:right="1388" w:bottom="1256" w:left="1388" w:header="0" w:footer="1094" w:gutter="0"/>
          <w:pgNumType w:fmt="decimal"/>
          <w:cols w:equalWidth="0" w:num="1">
            <w:col w:w="14063"/>
          </w:cols>
        </w:sectPr>
      </w:pPr>
    </w:p>
    <w:p w14:paraId="3F6B222F">
      <w:pPr>
        <w:widowControl/>
        <w:kinsoku w:val="0"/>
        <w:autoSpaceDE w:val="0"/>
        <w:autoSpaceDN w:val="0"/>
        <w:spacing w:before="47" w:line="185" w:lineRule="auto"/>
        <w:ind w:left="64"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24"/>
          <w:kern w:val="0"/>
          <w:sz w:val="24"/>
          <w:szCs w:val="24"/>
          <w:highlight w:val="none"/>
        </w:rPr>
        <w:t>项目及标段名称：</w:t>
      </w:r>
      <w:r>
        <w:rPr>
          <w:rFonts w:ascii="宋体" w:hAnsi="宋体" w:eastAsia="宋体" w:cs="宋体"/>
          <w:color w:val="auto"/>
          <w:spacing w:val="57"/>
          <w:kern w:val="0"/>
          <w:sz w:val="24"/>
          <w:szCs w:val="24"/>
          <w:highlight w:val="none"/>
        </w:rPr>
        <w:t xml:space="preserve"> </w:t>
      </w:r>
      <w:r>
        <w:rPr>
          <w:rFonts w:ascii="宋体" w:hAnsi="宋体" w:eastAsia="宋体" w:cs="宋体"/>
          <w:color w:val="auto"/>
          <w:kern w:val="0"/>
          <w:sz w:val="24"/>
          <w:szCs w:val="24"/>
          <w:highlight w:val="none"/>
          <w:u w:val="single" w:color="auto"/>
        </w:rPr>
        <w:t xml:space="preserve">                        </w:t>
      </w:r>
    </w:p>
    <w:p w14:paraId="2FBBF2E0">
      <w:pPr>
        <w:kinsoku w:val="0"/>
        <w:autoSpaceDE w:val="0"/>
        <w:autoSpaceDN w:val="0"/>
        <w:adjustRightInd w:val="0"/>
        <w:snapToGrid w:val="0"/>
        <w:spacing w:line="14" w:lineRule="auto"/>
        <w:jc w:val="left"/>
        <w:textAlignment w:val="baseline"/>
        <w:rPr>
          <w:rFonts w:ascii="Arial" w:hAnsi="Arial" w:eastAsia="Arial" w:cs="Arial"/>
          <w:snapToGrid w:val="0"/>
          <w:color w:val="auto"/>
          <w:kern w:val="0"/>
          <w:sz w:val="2"/>
          <w:szCs w:val="21"/>
          <w:highlight w:val="none"/>
          <w:lang w:val="en-US" w:eastAsia="en-US" w:bidi="ar-SA"/>
        </w:rPr>
      </w:pPr>
      <w:r>
        <w:rPr>
          <w:rFonts w:ascii="Arial" w:hAnsi="Arial" w:eastAsia="Arial" w:cs="Arial"/>
          <w:snapToGrid w:val="0"/>
          <w:color w:val="auto"/>
          <w:kern w:val="0"/>
          <w:sz w:val="2"/>
          <w:szCs w:val="2"/>
          <w:highlight w:val="none"/>
          <w:lang w:val="en-US" w:eastAsia="en-US" w:bidi="ar-SA"/>
        </w:rPr>
        <w:br w:type="column"/>
      </w:r>
    </w:p>
    <w:p w14:paraId="0D2DE910">
      <w:pPr>
        <w:widowControl/>
        <w:kinsoku w:val="0"/>
        <w:autoSpaceDE w:val="0"/>
        <w:autoSpaceDN w:val="0"/>
        <w:spacing w:before="46" w:line="185" w:lineRule="auto"/>
        <w:ind w:firstLine="0" w:firstLineChars="0"/>
        <w:jc w:val="left"/>
        <w:rPr>
          <w:rFonts w:ascii="宋体" w:hAnsi="宋体" w:eastAsia="宋体" w:cs="宋体"/>
          <w:color w:val="auto"/>
          <w:kern w:val="0"/>
          <w:sz w:val="24"/>
          <w:szCs w:val="24"/>
          <w:highlight w:val="none"/>
        </w:rPr>
      </w:pPr>
      <w:r>
        <w:rPr>
          <w:rFonts w:ascii="宋体" w:hAnsi="宋体" w:eastAsia="宋体" w:cs="宋体"/>
          <w:color w:val="auto"/>
          <w:spacing w:val="-7"/>
          <w:kern w:val="0"/>
          <w:sz w:val="24"/>
          <w:szCs w:val="24"/>
          <w:highlight w:val="none"/>
        </w:rPr>
        <w:t>第</w:t>
      </w:r>
      <w:r>
        <w:rPr>
          <w:rFonts w:ascii="宋体" w:hAnsi="宋体" w:eastAsia="宋体" w:cs="宋体"/>
          <w:color w:val="auto"/>
          <w:spacing w:val="8"/>
          <w:kern w:val="0"/>
          <w:sz w:val="24"/>
          <w:szCs w:val="24"/>
          <w:highlight w:val="none"/>
        </w:rPr>
        <w:t xml:space="preserve">  </w:t>
      </w:r>
      <w:r>
        <w:rPr>
          <w:rFonts w:ascii="宋体" w:hAnsi="宋体" w:eastAsia="宋体" w:cs="宋体"/>
          <w:color w:val="auto"/>
          <w:spacing w:val="-7"/>
          <w:kern w:val="0"/>
          <w:sz w:val="24"/>
          <w:szCs w:val="24"/>
          <w:highlight w:val="none"/>
        </w:rPr>
        <w:t>页共</w:t>
      </w:r>
      <w:r>
        <w:rPr>
          <w:rFonts w:ascii="宋体" w:hAnsi="宋体" w:eastAsia="宋体" w:cs="宋体"/>
          <w:color w:val="auto"/>
          <w:spacing w:val="8"/>
          <w:kern w:val="0"/>
          <w:sz w:val="24"/>
          <w:szCs w:val="24"/>
          <w:highlight w:val="none"/>
        </w:rPr>
        <w:t xml:space="preserve">  </w:t>
      </w:r>
      <w:r>
        <w:rPr>
          <w:rFonts w:ascii="宋体" w:hAnsi="宋体" w:eastAsia="宋体" w:cs="宋体"/>
          <w:color w:val="auto"/>
          <w:spacing w:val="-7"/>
          <w:kern w:val="0"/>
          <w:sz w:val="24"/>
          <w:szCs w:val="24"/>
          <w:highlight w:val="none"/>
        </w:rPr>
        <w:t>页</w:t>
      </w:r>
    </w:p>
    <w:p w14:paraId="456C2F8C">
      <w:pPr>
        <w:spacing w:line="185" w:lineRule="auto"/>
        <w:rPr>
          <w:rFonts w:ascii="宋体" w:hAnsi="宋体" w:eastAsia="宋体" w:cs="宋体"/>
          <w:color w:val="auto"/>
          <w:sz w:val="24"/>
          <w:szCs w:val="24"/>
          <w:highlight w:val="none"/>
        </w:rPr>
        <w:sectPr>
          <w:type w:val="continuous"/>
          <w:pgSz w:w="16840" w:h="11905"/>
          <w:pgMar w:top="1011" w:right="1388" w:bottom="1256" w:left="1388" w:header="0" w:footer="1094" w:gutter="0"/>
          <w:pgNumType w:fmt="decimal"/>
          <w:cols w:equalWidth="0" w:num="2">
            <w:col w:w="12321" w:space="100"/>
            <w:col w:w="1642"/>
          </w:cols>
        </w:sectPr>
      </w:pPr>
    </w:p>
    <w:p w14:paraId="6BC3CA4D">
      <w:pPr>
        <w:widowControl/>
        <w:kinsoku w:val="0"/>
        <w:autoSpaceDE w:val="0"/>
        <w:autoSpaceDN w:val="0"/>
        <w:spacing w:line="36" w:lineRule="exact"/>
        <w:ind w:firstLine="0" w:firstLineChars="0"/>
        <w:jc w:val="left"/>
        <w:rPr>
          <w:rFonts w:ascii="Arial" w:hAnsi="Arial" w:eastAsia="Arial"/>
          <w:color w:val="auto"/>
          <w:kern w:val="0"/>
          <w:sz w:val="21"/>
          <w:highlight w:val="none"/>
        </w:rPr>
      </w:pPr>
    </w:p>
    <w:tbl>
      <w:tblPr>
        <w:tblStyle w:val="24"/>
        <w:tblW w:w="140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3"/>
        <w:gridCol w:w="849"/>
        <w:gridCol w:w="991"/>
        <w:gridCol w:w="991"/>
        <w:gridCol w:w="1133"/>
        <w:gridCol w:w="1274"/>
        <w:gridCol w:w="968"/>
      </w:tblGrid>
      <w:tr w14:paraId="4A96B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760" w:type="dxa"/>
            <w:tcBorders>
              <w:top w:val="single" w:color="000000" w:sz="6" w:space="0"/>
              <w:left w:val="single" w:color="000000" w:sz="6" w:space="0"/>
            </w:tcBorders>
            <w:vAlign w:val="top"/>
          </w:tcPr>
          <w:p w14:paraId="42F2BD31">
            <w:pPr>
              <w:kinsoku w:val="0"/>
              <w:autoSpaceDE w:val="0"/>
              <w:autoSpaceDN w:val="0"/>
              <w:adjustRightInd w:val="0"/>
              <w:snapToGrid w:val="0"/>
              <w:spacing w:before="268" w:line="221" w:lineRule="auto"/>
              <w:ind w:left="139"/>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序号</w:t>
            </w:r>
          </w:p>
        </w:tc>
        <w:tc>
          <w:tcPr>
            <w:tcW w:w="1841" w:type="dxa"/>
            <w:tcBorders>
              <w:top w:val="single" w:color="000000" w:sz="6" w:space="0"/>
            </w:tcBorders>
            <w:vAlign w:val="top"/>
          </w:tcPr>
          <w:p w14:paraId="6D9222A1">
            <w:pPr>
              <w:kinsoku w:val="0"/>
              <w:autoSpaceDE w:val="0"/>
              <w:autoSpaceDN w:val="0"/>
              <w:adjustRightInd w:val="0"/>
              <w:snapToGrid w:val="0"/>
              <w:spacing w:before="267" w:line="220" w:lineRule="auto"/>
              <w:ind w:left="44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项目编码</w:t>
            </w:r>
          </w:p>
        </w:tc>
        <w:tc>
          <w:tcPr>
            <w:tcW w:w="2407" w:type="dxa"/>
            <w:tcBorders>
              <w:top w:val="single" w:color="000000" w:sz="6" w:space="0"/>
            </w:tcBorders>
            <w:vAlign w:val="top"/>
          </w:tcPr>
          <w:p w14:paraId="49398909">
            <w:pPr>
              <w:kinsoku w:val="0"/>
              <w:autoSpaceDE w:val="0"/>
              <w:autoSpaceDN w:val="0"/>
              <w:adjustRightInd w:val="0"/>
              <w:snapToGrid w:val="0"/>
              <w:spacing w:before="268" w:line="220" w:lineRule="auto"/>
              <w:ind w:left="730"/>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项目名称</w:t>
            </w:r>
          </w:p>
        </w:tc>
        <w:tc>
          <w:tcPr>
            <w:tcW w:w="2833" w:type="dxa"/>
            <w:tcBorders>
              <w:top w:val="single" w:color="000000" w:sz="6" w:space="0"/>
            </w:tcBorders>
            <w:vAlign w:val="top"/>
          </w:tcPr>
          <w:p w14:paraId="109F7DD0">
            <w:pPr>
              <w:kinsoku w:val="0"/>
              <w:autoSpaceDE w:val="0"/>
              <w:autoSpaceDN w:val="0"/>
              <w:adjustRightInd w:val="0"/>
              <w:snapToGrid w:val="0"/>
              <w:spacing w:before="112" w:line="239" w:lineRule="auto"/>
              <w:ind w:left="945"/>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项目主要</w:t>
            </w:r>
          </w:p>
          <w:p w14:paraId="1CC020F1">
            <w:pPr>
              <w:kinsoku w:val="0"/>
              <w:autoSpaceDE w:val="0"/>
              <w:autoSpaceDN w:val="0"/>
              <w:adjustRightInd w:val="0"/>
              <w:snapToGrid w:val="0"/>
              <w:spacing w:line="219" w:lineRule="auto"/>
              <w:ind w:left="942"/>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5"/>
                <w:kern w:val="0"/>
                <w:sz w:val="24"/>
                <w:szCs w:val="24"/>
                <w:highlight w:val="none"/>
                <w:lang w:val="en-US" w:eastAsia="en-US" w:bidi="ar-SA"/>
              </w:rPr>
              <w:t>特</w:t>
            </w:r>
            <w:r>
              <w:rPr>
                <w:rFonts w:ascii="宋体" w:hAnsi="宋体" w:eastAsia="宋体" w:cs="宋体"/>
                <w:snapToGrid w:val="0"/>
                <w:color w:val="auto"/>
                <w:spacing w:val="3"/>
                <w:kern w:val="0"/>
                <w:sz w:val="24"/>
                <w:szCs w:val="24"/>
                <w:highlight w:val="none"/>
                <w:lang w:val="en-US" w:eastAsia="en-US" w:bidi="ar-SA"/>
              </w:rPr>
              <w:t xml:space="preserve">    </w:t>
            </w:r>
            <w:r>
              <w:rPr>
                <w:rFonts w:ascii="宋体" w:hAnsi="宋体" w:eastAsia="宋体" w:cs="宋体"/>
                <w:snapToGrid w:val="0"/>
                <w:color w:val="auto"/>
                <w:spacing w:val="-5"/>
                <w:kern w:val="0"/>
                <w:sz w:val="24"/>
                <w:szCs w:val="24"/>
                <w:highlight w:val="none"/>
                <w:lang w:val="en-US" w:eastAsia="en-US" w:bidi="ar-SA"/>
              </w:rPr>
              <w:t>征</w:t>
            </w:r>
          </w:p>
        </w:tc>
        <w:tc>
          <w:tcPr>
            <w:tcW w:w="849" w:type="dxa"/>
            <w:tcBorders>
              <w:top w:val="single" w:color="000000" w:sz="6" w:space="0"/>
            </w:tcBorders>
            <w:vAlign w:val="top"/>
          </w:tcPr>
          <w:p w14:paraId="47655614">
            <w:pPr>
              <w:kinsoku w:val="0"/>
              <w:autoSpaceDE w:val="0"/>
              <w:autoSpaceDN w:val="0"/>
              <w:adjustRightInd w:val="0"/>
              <w:snapToGrid w:val="0"/>
              <w:spacing w:before="112" w:line="239" w:lineRule="auto"/>
              <w:ind w:left="192"/>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计量</w:t>
            </w:r>
          </w:p>
          <w:p w14:paraId="7DB1CA0F">
            <w:pPr>
              <w:kinsoku w:val="0"/>
              <w:autoSpaceDE w:val="0"/>
              <w:autoSpaceDN w:val="0"/>
              <w:adjustRightInd w:val="0"/>
              <w:snapToGrid w:val="0"/>
              <w:spacing w:line="220" w:lineRule="auto"/>
              <w:ind w:left="19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单位</w:t>
            </w:r>
          </w:p>
        </w:tc>
        <w:tc>
          <w:tcPr>
            <w:tcW w:w="991" w:type="dxa"/>
            <w:tcBorders>
              <w:top w:val="single" w:color="000000" w:sz="6" w:space="0"/>
            </w:tcBorders>
            <w:vAlign w:val="top"/>
          </w:tcPr>
          <w:p w14:paraId="4040705A">
            <w:pPr>
              <w:kinsoku w:val="0"/>
              <w:autoSpaceDE w:val="0"/>
              <w:autoSpaceDN w:val="0"/>
              <w:adjustRightInd w:val="0"/>
              <w:snapToGrid w:val="0"/>
              <w:spacing w:before="112" w:line="239" w:lineRule="auto"/>
              <w:ind w:left="266"/>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4"/>
                <w:kern w:val="0"/>
                <w:sz w:val="24"/>
                <w:szCs w:val="24"/>
                <w:highlight w:val="none"/>
                <w:lang w:val="en-US" w:eastAsia="en-US" w:bidi="ar-SA"/>
              </w:rPr>
              <w:t>工程</w:t>
            </w:r>
          </w:p>
          <w:p w14:paraId="53CAE9E5">
            <w:pPr>
              <w:kinsoku w:val="0"/>
              <w:autoSpaceDE w:val="0"/>
              <w:autoSpaceDN w:val="0"/>
              <w:adjustRightInd w:val="0"/>
              <w:snapToGrid w:val="0"/>
              <w:spacing w:line="219" w:lineRule="auto"/>
              <w:ind w:left="265"/>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数量</w:t>
            </w:r>
          </w:p>
        </w:tc>
        <w:tc>
          <w:tcPr>
            <w:tcW w:w="991" w:type="dxa"/>
            <w:tcBorders>
              <w:top w:val="single" w:color="000000" w:sz="6" w:space="0"/>
            </w:tcBorders>
            <w:vAlign w:val="top"/>
          </w:tcPr>
          <w:p w14:paraId="0CB79BEB">
            <w:pPr>
              <w:kinsoku w:val="0"/>
              <w:autoSpaceDE w:val="0"/>
              <w:autoSpaceDN w:val="0"/>
              <w:adjustRightInd w:val="0"/>
              <w:snapToGrid w:val="0"/>
              <w:spacing w:before="111" w:line="230" w:lineRule="auto"/>
              <w:ind w:left="151" w:right="146" w:firstLine="115"/>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6"/>
                <w:kern w:val="0"/>
                <w:sz w:val="24"/>
                <w:szCs w:val="24"/>
                <w:highlight w:val="none"/>
                <w:lang w:val="en-US" w:eastAsia="en-US" w:bidi="ar-SA"/>
              </w:rPr>
              <w:t>单价</w:t>
            </w:r>
            <w:r>
              <w:rPr>
                <w:rFonts w:ascii="宋体" w:hAnsi="宋体" w:eastAsia="宋体" w:cs="宋体"/>
                <w:snapToGrid w:val="0"/>
                <w:color w:val="auto"/>
                <w:kern w:val="0"/>
                <w:sz w:val="24"/>
                <w:szCs w:val="24"/>
                <w:highlight w:val="none"/>
                <w:lang w:val="en-US" w:eastAsia="en-US" w:bidi="ar-SA"/>
              </w:rPr>
              <w:t xml:space="preserve">  </w:t>
            </w:r>
            <w:r>
              <w:rPr>
                <w:rFonts w:ascii="宋体" w:hAnsi="宋体" w:eastAsia="宋体" w:cs="宋体"/>
                <w:snapToGrid w:val="0"/>
                <w:color w:val="auto"/>
                <w:spacing w:val="-11"/>
                <w:kern w:val="0"/>
                <w:sz w:val="24"/>
                <w:szCs w:val="24"/>
                <w:highlight w:val="none"/>
                <w:lang w:val="en-US" w:eastAsia="en-US" w:bidi="ar-SA"/>
              </w:rPr>
              <w:t>（元）</w:t>
            </w:r>
          </w:p>
        </w:tc>
        <w:tc>
          <w:tcPr>
            <w:tcW w:w="1133" w:type="dxa"/>
            <w:tcBorders>
              <w:top w:val="single" w:color="000000" w:sz="6" w:space="0"/>
            </w:tcBorders>
            <w:vAlign w:val="top"/>
          </w:tcPr>
          <w:p w14:paraId="39E4314E">
            <w:pPr>
              <w:kinsoku w:val="0"/>
              <w:autoSpaceDE w:val="0"/>
              <w:autoSpaceDN w:val="0"/>
              <w:adjustRightInd w:val="0"/>
              <w:snapToGrid w:val="0"/>
              <w:spacing w:before="111" w:line="230" w:lineRule="auto"/>
              <w:ind w:left="223" w:right="215" w:firstLine="11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6"/>
                <w:kern w:val="0"/>
                <w:sz w:val="24"/>
                <w:szCs w:val="24"/>
                <w:highlight w:val="none"/>
                <w:lang w:val="en-US" w:eastAsia="en-US" w:bidi="ar-SA"/>
              </w:rPr>
              <w:t>合价</w:t>
            </w:r>
            <w:r>
              <w:rPr>
                <w:rFonts w:ascii="宋体" w:hAnsi="宋体" w:eastAsia="宋体" w:cs="宋体"/>
                <w:snapToGrid w:val="0"/>
                <w:color w:val="auto"/>
                <w:kern w:val="0"/>
                <w:sz w:val="24"/>
                <w:szCs w:val="24"/>
                <w:highlight w:val="none"/>
                <w:lang w:val="en-US" w:eastAsia="en-US" w:bidi="ar-SA"/>
              </w:rPr>
              <w:t xml:space="preserve">  </w:t>
            </w:r>
            <w:r>
              <w:rPr>
                <w:rFonts w:ascii="宋体" w:hAnsi="宋体" w:eastAsia="宋体" w:cs="宋体"/>
                <w:snapToGrid w:val="0"/>
                <w:color w:val="auto"/>
                <w:spacing w:val="-11"/>
                <w:kern w:val="0"/>
                <w:sz w:val="24"/>
                <w:szCs w:val="24"/>
                <w:highlight w:val="none"/>
                <w:lang w:val="en-US" w:eastAsia="en-US" w:bidi="ar-SA"/>
              </w:rPr>
              <w:t>（元）</w:t>
            </w:r>
          </w:p>
        </w:tc>
        <w:tc>
          <w:tcPr>
            <w:tcW w:w="1274" w:type="dxa"/>
            <w:tcBorders>
              <w:top w:val="single" w:color="000000" w:sz="6" w:space="0"/>
            </w:tcBorders>
            <w:vAlign w:val="top"/>
          </w:tcPr>
          <w:p w14:paraId="1A225027">
            <w:pPr>
              <w:kinsoku w:val="0"/>
              <w:autoSpaceDE w:val="0"/>
              <w:autoSpaceDN w:val="0"/>
              <w:adjustRightInd w:val="0"/>
              <w:snapToGrid w:val="0"/>
              <w:spacing w:before="113" w:line="229" w:lineRule="auto"/>
              <w:ind w:left="171" w:right="149"/>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3"/>
                <w:kern w:val="0"/>
                <w:sz w:val="24"/>
                <w:szCs w:val="24"/>
                <w:highlight w:val="none"/>
                <w:lang w:val="en-US" w:eastAsia="en-US" w:bidi="ar-SA"/>
              </w:rPr>
              <w:t>主要技术</w:t>
            </w:r>
            <w:r>
              <w:rPr>
                <w:rFonts w:ascii="宋体" w:hAnsi="宋体" w:eastAsia="宋体" w:cs="宋体"/>
                <w:snapToGrid w:val="0"/>
                <w:color w:val="auto"/>
                <w:kern w:val="0"/>
                <w:sz w:val="24"/>
                <w:szCs w:val="24"/>
                <w:highlight w:val="none"/>
                <w:lang w:val="en-US" w:eastAsia="en-US" w:bidi="ar-SA"/>
              </w:rPr>
              <w:t xml:space="preserve"> </w:t>
            </w:r>
            <w:r>
              <w:rPr>
                <w:rFonts w:ascii="宋体" w:hAnsi="宋体" w:eastAsia="宋体" w:cs="宋体"/>
                <w:snapToGrid w:val="0"/>
                <w:color w:val="auto"/>
                <w:spacing w:val="-3"/>
                <w:kern w:val="0"/>
                <w:sz w:val="24"/>
                <w:szCs w:val="24"/>
                <w:highlight w:val="none"/>
                <w:lang w:val="en-US" w:eastAsia="en-US" w:bidi="ar-SA"/>
              </w:rPr>
              <w:t>条款编码</w:t>
            </w:r>
          </w:p>
        </w:tc>
        <w:tc>
          <w:tcPr>
            <w:tcW w:w="968" w:type="dxa"/>
            <w:tcBorders>
              <w:top w:val="single" w:color="000000" w:sz="6" w:space="0"/>
              <w:right w:val="single" w:color="000000" w:sz="6" w:space="0"/>
            </w:tcBorders>
            <w:vAlign w:val="top"/>
          </w:tcPr>
          <w:p w14:paraId="6B3E4A32">
            <w:pPr>
              <w:kinsoku w:val="0"/>
              <w:autoSpaceDE w:val="0"/>
              <w:autoSpaceDN w:val="0"/>
              <w:adjustRightInd w:val="0"/>
              <w:snapToGrid w:val="0"/>
              <w:spacing w:before="268" w:line="221" w:lineRule="auto"/>
              <w:ind w:left="25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4"/>
                <w:kern w:val="0"/>
                <w:sz w:val="24"/>
                <w:szCs w:val="24"/>
                <w:highlight w:val="none"/>
                <w:lang w:val="en-US" w:eastAsia="en-US" w:bidi="ar-SA"/>
              </w:rPr>
              <w:t>备注</w:t>
            </w:r>
          </w:p>
        </w:tc>
      </w:tr>
      <w:tr w14:paraId="1EB22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D6B4D6A">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53CB7F1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5E7131B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3F61697E">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46CD454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21A6DAB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3317688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4D8F5F0C">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261E6C0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3EFB3693">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05461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0145A59">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27693B6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7E7BFB1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5A48888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241450E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268FCBE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42E5C65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3E564D9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756EC519">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3EB408F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2B437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221A2F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19DAEE9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414587A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13C7A001">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30F8F64E">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3E4E58D7">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15919BA0">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1195D6B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7D3E9A5F">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7DA00AEE">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36BE0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7180C84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1F4708B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0BD8FDB3">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4CC20C1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1672452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4A86225A">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168A0377">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1048578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52C4BE06">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6376CF6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16218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7A3AAF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29075D2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3C9B01F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54A7A78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4BAA522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4C8B0AF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6E91F1EA">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475B831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6BD241B9">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42079CC1">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5E150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1AABD8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57B45BB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47E069F7">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21D364AF">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25E0D4D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0DCF304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05758EA6">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306273D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4BD11D20">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6FBE9916">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50DCF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BBC0B6A">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vAlign w:val="top"/>
          </w:tcPr>
          <w:p w14:paraId="09D9FD2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vAlign w:val="top"/>
          </w:tcPr>
          <w:p w14:paraId="00F47E3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833" w:type="dxa"/>
            <w:vAlign w:val="top"/>
          </w:tcPr>
          <w:p w14:paraId="0C93FCCF">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vAlign w:val="top"/>
          </w:tcPr>
          <w:p w14:paraId="30B6CEE2">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5E88699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vAlign w:val="top"/>
          </w:tcPr>
          <w:p w14:paraId="384B4B7E">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vAlign w:val="top"/>
          </w:tcPr>
          <w:p w14:paraId="60D5E6C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vAlign w:val="top"/>
          </w:tcPr>
          <w:p w14:paraId="375ABB3E">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right w:val="single" w:color="000000" w:sz="6" w:space="0"/>
            </w:tcBorders>
            <w:vAlign w:val="top"/>
          </w:tcPr>
          <w:p w14:paraId="0B53C93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673DF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760" w:type="dxa"/>
            <w:tcBorders>
              <w:left w:val="single" w:color="000000" w:sz="6" w:space="0"/>
              <w:bottom w:val="single" w:color="000000" w:sz="6" w:space="0"/>
            </w:tcBorders>
            <w:vAlign w:val="top"/>
          </w:tcPr>
          <w:p w14:paraId="6F68DAF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841" w:type="dxa"/>
            <w:tcBorders>
              <w:bottom w:val="single" w:color="000000" w:sz="6" w:space="0"/>
            </w:tcBorders>
            <w:vAlign w:val="top"/>
          </w:tcPr>
          <w:p w14:paraId="634B70CE">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2407" w:type="dxa"/>
            <w:tcBorders>
              <w:bottom w:val="single" w:color="000000" w:sz="6" w:space="0"/>
            </w:tcBorders>
            <w:vAlign w:val="top"/>
          </w:tcPr>
          <w:p w14:paraId="3562AB70">
            <w:pPr>
              <w:kinsoku w:val="0"/>
              <w:autoSpaceDE w:val="0"/>
              <w:autoSpaceDN w:val="0"/>
              <w:adjustRightInd w:val="0"/>
              <w:snapToGrid w:val="0"/>
              <w:spacing w:before="173" w:line="221" w:lineRule="auto"/>
              <w:ind w:left="848"/>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6"/>
                <w:kern w:val="0"/>
                <w:sz w:val="24"/>
                <w:szCs w:val="24"/>
                <w:highlight w:val="none"/>
                <w:lang w:val="en-US" w:eastAsia="en-US" w:bidi="ar-SA"/>
              </w:rPr>
              <w:t>合</w:t>
            </w:r>
            <w:r>
              <w:rPr>
                <w:rFonts w:ascii="宋体" w:hAnsi="宋体" w:eastAsia="宋体" w:cs="宋体"/>
                <w:snapToGrid w:val="0"/>
                <w:color w:val="auto"/>
                <w:spacing w:val="5"/>
                <w:kern w:val="0"/>
                <w:sz w:val="24"/>
                <w:szCs w:val="24"/>
                <w:highlight w:val="none"/>
                <w:lang w:val="en-US" w:eastAsia="en-US" w:bidi="ar-SA"/>
              </w:rPr>
              <w:t xml:space="preserve">  </w:t>
            </w:r>
            <w:r>
              <w:rPr>
                <w:rFonts w:ascii="宋体" w:hAnsi="宋体" w:eastAsia="宋体" w:cs="宋体"/>
                <w:snapToGrid w:val="0"/>
                <w:color w:val="auto"/>
                <w:spacing w:val="-6"/>
                <w:kern w:val="0"/>
                <w:sz w:val="24"/>
                <w:szCs w:val="24"/>
                <w:highlight w:val="none"/>
                <w:lang w:val="en-US" w:eastAsia="en-US" w:bidi="ar-SA"/>
              </w:rPr>
              <w:t>计</w:t>
            </w:r>
          </w:p>
        </w:tc>
        <w:tc>
          <w:tcPr>
            <w:tcW w:w="2833" w:type="dxa"/>
            <w:tcBorders>
              <w:bottom w:val="single" w:color="000000" w:sz="6" w:space="0"/>
            </w:tcBorders>
            <w:vAlign w:val="top"/>
          </w:tcPr>
          <w:p w14:paraId="76C41C94">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849" w:type="dxa"/>
            <w:tcBorders>
              <w:bottom w:val="single" w:color="000000" w:sz="6" w:space="0"/>
            </w:tcBorders>
            <w:vAlign w:val="top"/>
          </w:tcPr>
          <w:p w14:paraId="1726DE59">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tcBorders>
              <w:bottom w:val="single" w:color="000000" w:sz="6" w:space="0"/>
            </w:tcBorders>
            <w:vAlign w:val="top"/>
          </w:tcPr>
          <w:p w14:paraId="4704BE1A">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91" w:type="dxa"/>
            <w:tcBorders>
              <w:bottom w:val="single" w:color="000000" w:sz="6" w:space="0"/>
            </w:tcBorders>
            <w:vAlign w:val="top"/>
          </w:tcPr>
          <w:p w14:paraId="0C0051A7">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133" w:type="dxa"/>
            <w:tcBorders>
              <w:bottom w:val="single" w:color="000000" w:sz="6" w:space="0"/>
            </w:tcBorders>
            <w:vAlign w:val="top"/>
          </w:tcPr>
          <w:p w14:paraId="4231363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1274" w:type="dxa"/>
            <w:tcBorders>
              <w:bottom w:val="single" w:color="000000" w:sz="6" w:space="0"/>
            </w:tcBorders>
            <w:vAlign w:val="top"/>
          </w:tcPr>
          <w:p w14:paraId="04DD7E00">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c>
          <w:tcPr>
            <w:tcW w:w="968" w:type="dxa"/>
            <w:tcBorders>
              <w:bottom w:val="single" w:color="000000" w:sz="6" w:space="0"/>
              <w:right w:val="single" w:color="000000" w:sz="6" w:space="0"/>
            </w:tcBorders>
            <w:vAlign w:val="top"/>
          </w:tcPr>
          <w:p w14:paraId="262243FC">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bl>
    <w:p w14:paraId="685BB210">
      <w:pPr>
        <w:keepNext/>
        <w:keepLines/>
        <w:tabs>
          <w:tab w:val="left" w:pos="3229"/>
        </w:tabs>
        <w:kinsoku/>
        <w:spacing w:before="0" w:beforeLines="0" w:afterLines="0"/>
        <w:ind w:left="0"/>
        <w:jc w:val="center"/>
        <w:outlineLvl w:val="9"/>
        <w:rPr>
          <w:rFonts w:ascii="宋体" w:hAnsi="宋体" w:eastAsia="宋体" w:cs="宋体"/>
          <w:color w:val="auto"/>
          <w:kern w:val="0"/>
          <w:sz w:val="24"/>
          <w:szCs w:val="24"/>
          <w:highlight w:val="none"/>
          <w:u w:val="single" w:color="auto"/>
        </w:rPr>
      </w:pPr>
      <w:r>
        <w:rPr>
          <w:rFonts w:ascii="宋体" w:hAnsi="宋体" w:eastAsia="宋体" w:cs="宋体"/>
          <w:color w:val="auto"/>
          <w:spacing w:val="-21"/>
          <w:kern w:val="0"/>
          <w:sz w:val="24"/>
          <w:szCs w:val="24"/>
          <w:highlight w:val="none"/>
        </w:rPr>
        <w:t>法定代表人或委托代理人</w:t>
      </w:r>
      <w:r>
        <w:rPr>
          <w:rFonts w:ascii="宋体" w:hAnsi="宋体" w:eastAsia="宋体" w:cs="宋体"/>
          <w:color w:val="auto"/>
          <w:spacing w:val="-1"/>
          <w:kern w:val="0"/>
          <w:sz w:val="24"/>
          <w:szCs w:val="24"/>
          <w:highlight w:val="none"/>
        </w:rPr>
        <w:t>：</w:t>
      </w:r>
      <w:r>
        <w:rPr>
          <w:rFonts w:ascii="宋体" w:hAnsi="宋体" w:eastAsia="宋体" w:cs="宋体"/>
          <w:color w:val="auto"/>
          <w:spacing w:val="55"/>
          <w:kern w:val="0"/>
          <w:sz w:val="24"/>
          <w:szCs w:val="24"/>
          <w:highlight w:val="none"/>
        </w:rPr>
        <w:t xml:space="preserve"> </w:t>
      </w:r>
      <w:r>
        <w:rPr>
          <w:rFonts w:ascii="宋体" w:hAnsi="宋体" w:eastAsia="宋体" w:cs="宋体"/>
          <w:color w:val="auto"/>
          <w:spacing w:val="19"/>
          <w:kern w:val="0"/>
          <w:sz w:val="24"/>
          <w:szCs w:val="24"/>
          <w:highlight w:val="none"/>
          <w:u w:val="single" w:color="auto"/>
        </w:rPr>
        <w:t xml:space="preserve">     </w:t>
      </w:r>
      <w:r>
        <w:rPr>
          <w:rFonts w:ascii="宋体" w:hAnsi="宋体" w:eastAsia="宋体" w:cs="宋体"/>
          <w:color w:val="auto"/>
          <w:spacing w:val="-1"/>
          <w:kern w:val="0"/>
          <w:sz w:val="24"/>
          <w:szCs w:val="24"/>
          <w:highlight w:val="none"/>
          <w:u w:val="single" w:color="auto"/>
        </w:rPr>
        <w:t>（</w:t>
      </w:r>
      <w:r>
        <w:rPr>
          <w:rFonts w:ascii="宋体" w:hAnsi="宋体" w:eastAsia="宋体" w:cs="宋体"/>
          <w:color w:val="auto"/>
          <w:spacing w:val="-21"/>
          <w:kern w:val="0"/>
          <w:sz w:val="24"/>
          <w:szCs w:val="24"/>
          <w:highlight w:val="none"/>
          <w:u w:val="single" w:color="auto"/>
        </w:rPr>
        <w:t>签字或盖章）</w:t>
      </w:r>
      <w:r>
        <w:rPr>
          <w:rFonts w:ascii="宋体" w:hAnsi="宋体" w:eastAsia="宋体" w:cs="宋体"/>
          <w:color w:val="auto"/>
          <w:kern w:val="0"/>
          <w:sz w:val="24"/>
          <w:szCs w:val="24"/>
          <w:highlight w:val="none"/>
          <w:u w:val="single" w:color="auto"/>
        </w:rPr>
        <w:t xml:space="preserve">      </w:t>
      </w:r>
    </w:p>
    <w:p w14:paraId="54BE49FA">
      <w:pPr>
        <w:keepNext/>
        <w:keepLines/>
        <w:tabs>
          <w:tab w:val="left" w:pos="3229"/>
        </w:tabs>
        <w:kinsoku/>
        <w:spacing w:before="0" w:beforeLines="0" w:afterLines="0"/>
        <w:ind w:left="0"/>
        <w:jc w:val="center"/>
        <w:outlineLvl w:val="9"/>
        <w:rPr>
          <w:rFonts w:ascii="宋体" w:hAnsi="宋体" w:eastAsia="宋体" w:cs="宋体"/>
          <w:color w:val="auto"/>
          <w:kern w:val="0"/>
          <w:sz w:val="24"/>
          <w:szCs w:val="24"/>
          <w:highlight w:val="none"/>
          <w:u w:val="single" w:color="auto"/>
        </w:rPr>
      </w:pPr>
    </w:p>
    <w:p w14:paraId="490838D2">
      <w:pPr>
        <w:keepNext/>
        <w:keepLines/>
        <w:tabs>
          <w:tab w:val="left" w:pos="3229"/>
        </w:tabs>
        <w:kinsoku/>
        <w:spacing w:before="0" w:beforeLines="0" w:afterLines="0"/>
        <w:ind w:left="0"/>
        <w:jc w:val="center"/>
        <w:outlineLvl w:val="9"/>
        <w:rPr>
          <w:rFonts w:ascii="宋体" w:hAnsi="宋体" w:eastAsia="宋体" w:cs="宋体"/>
          <w:color w:val="auto"/>
          <w:kern w:val="0"/>
          <w:sz w:val="24"/>
          <w:szCs w:val="24"/>
          <w:highlight w:val="none"/>
          <w:u w:val="single" w:color="auto"/>
        </w:rPr>
      </w:pPr>
    </w:p>
    <w:p w14:paraId="694BCAF4">
      <w:pPr>
        <w:keepNext/>
        <w:keepLines/>
        <w:tabs>
          <w:tab w:val="left" w:pos="3229"/>
        </w:tabs>
        <w:kinsoku/>
        <w:spacing w:before="0" w:beforeLines="0" w:afterLines="0"/>
        <w:ind w:left="0"/>
        <w:jc w:val="center"/>
        <w:outlineLvl w:val="9"/>
        <w:rPr>
          <w:rFonts w:ascii="宋体" w:hAnsi="宋体" w:eastAsia="宋体" w:cs="宋体"/>
          <w:color w:val="auto"/>
          <w:kern w:val="0"/>
          <w:sz w:val="24"/>
          <w:szCs w:val="24"/>
          <w:highlight w:val="none"/>
          <w:u w:val="single" w:color="auto"/>
        </w:rPr>
      </w:pPr>
    </w:p>
    <w:p w14:paraId="2F2D33DF">
      <w:pPr>
        <w:kinsoku/>
        <w:spacing w:before="88"/>
        <w:ind w:left="4510"/>
        <w:rPr>
          <w:rFonts w:hint="eastAsia" w:ascii="宋体" w:cs="宋体"/>
          <w:b/>
          <w:bCs/>
          <w:color w:val="auto"/>
          <w:spacing w:val="0"/>
          <w:sz w:val="24"/>
          <w:szCs w:val="24"/>
          <w:highlight w:val="none"/>
          <w:lang w:eastAsia="zh-CN"/>
        </w:rPr>
      </w:pPr>
      <w:r>
        <w:rPr>
          <w:rFonts w:hint="eastAsia" w:ascii="宋体" w:cs="宋体"/>
          <w:b/>
          <w:bCs/>
          <w:color w:val="auto"/>
          <w:spacing w:val="0"/>
          <w:sz w:val="24"/>
          <w:szCs w:val="24"/>
          <w:highlight w:val="none"/>
          <w:lang w:eastAsia="zh-CN"/>
        </w:rPr>
        <w:br w:type="page"/>
      </w:r>
    </w:p>
    <w:p w14:paraId="72CADDE2">
      <w:pPr>
        <w:widowControl/>
        <w:kinsoku w:val="0"/>
        <w:autoSpaceDE w:val="0"/>
        <w:autoSpaceDN w:val="0"/>
        <w:adjustRightInd w:val="0"/>
        <w:snapToGrid w:val="0"/>
        <w:spacing w:before="88" w:line="225" w:lineRule="auto"/>
        <w:ind w:left="4796"/>
        <w:jc w:val="left"/>
        <w:textAlignment w:val="baseline"/>
        <w:rPr>
          <w:rFonts w:ascii="Arial" w:hAnsi="Arial" w:eastAsia="宋体" w:cs="宋体"/>
          <w:b/>
          <w:bCs/>
          <w:snapToGrid w:val="0"/>
          <w:color w:val="auto"/>
          <w:spacing w:val="7"/>
          <w:sz w:val="27"/>
          <w:szCs w:val="27"/>
          <w:highlight w:val="none"/>
          <w:lang w:val="en-US" w:eastAsia="zh-CN" w:bidi="ar-SA"/>
        </w:rPr>
      </w:pPr>
      <w:r>
        <w:rPr>
          <w:rFonts w:hint="eastAsia" w:ascii="宋体" w:hAnsi="Arial" w:eastAsia="宋体" w:cs="宋体"/>
          <w:b/>
          <w:bCs/>
          <w:snapToGrid w:val="0"/>
          <w:color w:val="auto"/>
          <w:spacing w:val="7"/>
          <w:sz w:val="27"/>
          <w:szCs w:val="27"/>
          <w:highlight w:val="none"/>
          <w:lang w:val="en-US" w:eastAsia="zh-CN" w:bidi="ar-SA"/>
        </w:rPr>
        <w:t>措施项目</w:t>
      </w:r>
      <w:r>
        <w:rPr>
          <w:rFonts w:ascii="宋体" w:hAnsi="Arial" w:eastAsia="宋体" w:cs="宋体"/>
          <w:b/>
          <w:bCs/>
          <w:snapToGrid w:val="0"/>
          <w:color w:val="auto"/>
          <w:spacing w:val="7"/>
          <w:sz w:val="27"/>
          <w:szCs w:val="27"/>
          <w:highlight w:val="none"/>
          <w:lang w:val="en-US" w:eastAsia="zh-CN" w:bidi="ar-SA"/>
        </w:rPr>
        <w:t>清单计价表</w:t>
      </w:r>
      <w:bookmarkEnd w:id="2469"/>
      <w:bookmarkEnd w:id="2470"/>
      <w:bookmarkEnd w:id="2471"/>
    </w:p>
    <w:p w14:paraId="26543AAC">
      <w:pPr>
        <w:kinsoku/>
        <w:spacing w:beforeLines="0" w:afterLines="0"/>
        <w:ind w:firstLine="420"/>
        <w:jc w:val="left"/>
        <w:rPr>
          <w:color w:val="auto"/>
          <w:highlight w:val="none"/>
          <w:lang w:eastAsia="zh-CN"/>
        </w:rPr>
      </w:pPr>
    </w:p>
    <w:p w14:paraId="7FC16FD7">
      <w:pPr>
        <w:kinsoku/>
        <w:adjustRightInd/>
        <w:snapToGrid/>
        <w:spacing w:line="240" w:lineRule="auto"/>
        <w:textAlignment w:val="auto"/>
        <w:rPr>
          <w:color w:val="auto"/>
          <w:highlight w:val="none"/>
          <w:lang w:eastAsia="zh-CN"/>
        </w:rPr>
      </w:pPr>
      <w:r>
        <w:rPr>
          <w:rFonts w:hint="eastAsia"/>
          <w:color w:val="auto"/>
          <w:highlight w:val="none"/>
          <w:lang w:eastAsia="zh-CN"/>
        </w:rPr>
        <w:t>项目及标段名称：</w:t>
      </w:r>
      <w:r>
        <w:rPr>
          <w:rFonts w:hint="eastAsia" w:cs="宋体"/>
          <w:b w:val="0"/>
          <w:color w:val="auto"/>
          <w:spacing w:val="0"/>
          <w:sz w:val="24"/>
          <w:szCs w:val="24"/>
          <w:highlight w:val="none"/>
          <w:u w:val="single"/>
          <w:lang w:val="en-US" w:eastAsia="zh-CN"/>
        </w:rPr>
        <w:t xml:space="preserve">                                          </w:t>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eastAsia="zh-CN"/>
        </w:rPr>
        <w:t>第</w:t>
      </w:r>
      <w:r>
        <w:rPr>
          <w:rFonts w:hint="eastAsia"/>
          <w:color w:val="auto"/>
          <w:highlight w:val="none"/>
          <w:lang w:val="en-US" w:eastAsia="zh-CN"/>
        </w:rPr>
        <w:t xml:space="preserve">   </w:t>
      </w:r>
      <w:r>
        <w:rPr>
          <w:rFonts w:hint="eastAsia"/>
          <w:color w:val="auto"/>
          <w:highlight w:val="none"/>
          <w:lang w:eastAsia="zh-CN"/>
        </w:rPr>
        <w:t>页</w:t>
      </w:r>
      <w:r>
        <w:rPr>
          <w:rFonts w:hint="eastAsia"/>
          <w:color w:val="auto"/>
          <w:highlight w:val="none"/>
          <w:lang w:val="en-US" w:eastAsia="zh-CN"/>
        </w:rPr>
        <w:t xml:space="preserve"> </w:t>
      </w:r>
      <w:r>
        <w:rPr>
          <w:rFonts w:hint="eastAsia"/>
          <w:color w:val="auto"/>
          <w:highlight w:val="none"/>
          <w:lang w:eastAsia="zh-CN"/>
        </w:rPr>
        <w:t>共</w:t>
      </w:r>
      <w:r>
        <w:rPr>
          <w:rFonts w:hint="eastAsia"/>
          <w:color w:val="auto"/>
          <w:highlight w:val="none"/>
          <w:lang w:val="en-US" w:eastAsia="zh-CN"/>
        </w:rPr>
        <w:t xml:space="preserve">   </w:t>
      </w:r>
      <w:r>
        <w:rPr>
          <w:rFonts w:hint="eastAsia"/>
          <w:color w:val="auto"/>
          <w:highlight w:val="none"/>
          <w:lang w:eastAsia="zh-CN"/>
        </w:rPr>
        <w:t>页</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38"/>
        <w:gridCol w:w="1790"/>
        <w:gridCol w:w="2343"/>
        <w:gridCol w:w="2755"/>
        <w:gridCol w:w="825"/>
        <w:gridCol w:w="962"/>
        <w:gridCol w:w="962"/>
        <w:gridCol w:w="1102"/>
        <w:gridCol w:w="1238"/>
        <w:gridCol w:w="941"/>
      </w:tblGrid>
      <w:tr w14:paraId="2AB9C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2D34A2B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655" w:type="pct"/>
            <w:tcBorders>
              <w:tl2br w:val="nil"/>
              <w:tr2bl w:val="nil"/>
            </w:tcBorders>
            <w:vAlign w:val="center"/>
          </w:tcPr>
          <w:p w14:paraId="6A6F349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项目编码</w:t>
            </w:r>
          </w:p>
        </w:tc>
        <w:tc>
          <w:tcPr>
            <w:tcW w:w="857" w:type="pct"/>
            <w:tcBorders>
              <w:tl2br w:val="nil"/>
              <w:tr2bl w:val="nil"/>
            </w:tcBorders>
            <w:vAlign w:val="center"/>
          </w:tcPr>
          <w:p w14:paraId="69D4908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项目名称</w:t>
            </w:r>
          </w:p>
        </w:tc>
        <w:tc>
          <w:tcPr>
            <w:tcW w:w="1008" w:type="pct"/>
            <w:tcBorders>
              <w:tl2br w:val="nil"/>
              <w:tr2bl w:val="nil"/>
            </w:tcBorders>
            <w:vAlign w:val="center"/>
          </w:tcPr>
          <w:p w14:paraId="7E65D79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项目主要</w:t>
            </w:r>
          </w:p>
          <w:p w14:paraId="0555204D">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特征</w:t>
            </w:r>
          </w:p>
        </w:tc>
        <w:tc>
          <w:tcPr>
            <w:tcW w:w="302" w:type="pct"/>
            <w:tcBorders>
              <w:tl2br w:val="nil"/>
              <w:tr2bl w:val="nil"/>
            </w:tcBorders>
            <w:vAlign w:val="center"/>
          </w:tcPr>
          <w:p w14:paraId="02E563E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计量</w:t>
            </w:r>
          </w:p>
          <w:p w14:paraId="0BC615C3">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单位</w:t>
            </w:r>
          </w:p>
        </w:tc>
        <w:tc>
          <w:tcPr>
            <w:tcW w:w="352" w:type="pct"/>
            <w:tcBorders>
              <w:tl2br w:val="nil"/>
              <w:tr2bl w:val="nil"/>
            </w:tcBorders>
            <w:vAlign w:val="center"/>
          </w:tcPr>
          <w:p w14:paraId="327DEBD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工程</w:t>
            </w:r>
          </w:p>
          <w:p w14:paraId="0A9E21BC">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数量</w:t>
            </w:r>
          </w:p>
        </w:tc>
        <w:tc>
          <w:tcPr>
            <w:tcW w:w="352" w:type="pct"/>
            <w:tcBorders>
              <w:tl2br w:val="nil"/>
              <w:tr2bl w:val="nil"/>
            </w:tcBorders>
            <w:vAlign w:val="center"/>
          </w:tcPr>
          <w:p w14:paraId="7F18F104">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单价（元）</w:t>
            </w:r>
          </w:p>
        </w:tc>
        <w:tc>
          <w:tcPr>
            <w:tcW w:w="403" w:type="pct"/>
            <w:tcBorders>
              <w:tl2br w:val="nil"/>
              <w:tr2bl w:val="nil"/>
            </w:tcBorders>
            <w:vAlign w:val="center"/>
          </w:tcPr>
          <w:p w14:paraId="19E942A5">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合价（元）</w:t>
            </w:r>
          </w:p>
        </w:tc>
        <w:tc>
          <w:tcPr>
            <w:tcW w:w="453" w:type="pct"/>
            <w:tcBorders>
              <w:tl2br w:val="nil"/>
              <w:tr2bl w:val="nil"/>
            </w:tcBorders>
            <w:vAlign w:val="center"/>
          </w:tcPr>
          <w:p w14:paraId="06F30522">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主要技术条款编码</w:t>
            </w:r>
          </w:p>
        </w:tc>
        <w:tc>
          <w:tcPr>
            <w:tcW w:w="344" w:type="pct"/>
            <w:tcBorders>
              <w:tl2br w:val="nil"/>
              <w:tr2bl w:val="nil"/>
            </w:tcBorders>
            <w:vAlign w:val="center"/>
          </w:tcPr>
          <w:p w14:paraId="6F900AC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3BA7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1BD5706A">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2683808C">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50F13A8D">
            <w:pPr>
              <w:kinsoku/>
              <w:spacing w:beforeLines="0" w:afterLines="0" w:line="0" w:lineRule="atLeast"/>
              <w:ind w:firstLine="0" w:firstLineChars="0"/>
              <w:jc w:val="center"/>
              <w:rPr>
                <w:color w:val="auto"/>
                <w:sz w:val="21"/>
                <w:highlight w:val="none"/>
              </w:rPr>
            </w:pPr>
          </w:p>
        </w:tc>
        <w:tc>
          <w:tcPr>
            <w:tcW w:w="1008" w:type="pct"/>
            <w:tcBorders>
              <w:tl2br w:val="nil"/>
              <w:tr2bl w:val="nil"/>
            </w:tcBorders>
            <w:vAlign w:val="center"/>
          </w:tcPr>
          <w:p w14:paraId="398ECFAF">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5CE4B0C2">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6E0801D3">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1E05C986">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6B40E9A">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58D85B6E">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12242AF7">
            <w:pPr>
              <w:kinsoku/>
              <w:spacing w:beforeLines="0" w:afterLines="0" w:line="0" w:lineRule="atLeast"/>
              <w:ind w:firstLine="0" w:firstLineChars="0"/>
              <w:jc w:val="center"/>
              <w:rPr>
                <w:color w:val="auto"/>
                <w:sz w:val="21"/>
                <w:highlight w:val="none"/>
              </w:rPr>
            </w:pPr>
          </w:p>
        </w:tc>
      </w:tr>
      <w:tr w14:paraId="131C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329F68C3">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251EA055">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441E6713">
            <w:pPr>
              <w:kinsoku/>
              <w:spacing w:beforeLines="0" w:afterLines="0" w:line="0" w:lineRule="atLeast"/>
              <w:ind w:firstLine="0" w:firstLineChars="0"/>
              <w:jc w:val="center"/>
              <w:rPr>
                <w:color w:val="auto"/>
                <w:sz w:val="21"/>
                <w:highlight w:val="none"/>
              </w:rPr>
            </w:pPr>
          </w:p>
        </w:tc>
        <w:tc>
          <w:tcPr>
            <w:tcW w:w="1008" w:type="pct"/>
            <w:tcBorders>
              <w:tl2br w:val="nil"/>
              <w:tr2bl w:val="nil"/>
            </w:tcBorders>
            <w:vAlign w:val="center"/>
          </w:tcPr>
          <w:p w14:paraId="2D750E57">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22DF4FAD">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612117DA">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3F207ED0">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E22C930">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28C1BBB4">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17AF78B2">
            <w:pPr>
              <w:kinsoku/>
              <w:spacing w:beforeLines="0" w:afterLines="0" w:line="0" w:lineRule="atLeast"/>
              <w:ind w:firstLine="0" w:firstLineChars="0"/>
              <w:jc w:val="center"/>
              <w:rPr>
                <w:color w:val="auto"/>
                <w:sz w:val="21"/>
                <w:highlight w:val="none"/>
              </w:rPr>
            </w:pPr>
          </w:p>
        </w:tc>
      </w:tr>
      <w:tr w14:paraId="6745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18F6A705">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62E46389">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09787298">
            <w:pPr>
              <w:kinsoku/>
              <w:spacing w:beforeLines="0" w:afterLines="0" w:line="0" w:lineRule="atLeast"/>
              <w:ind w:firstLine="0" w:firstLineChars="0"/>
              <w:jc w:val="center"/>
              <w:rPr>
                <w:color w:val="auto"/>
                <w:sz w:val="21"/>
                <w:highlight w:val="none"/>
              </w:rPr>
            </w:pPr>
          </w:p>
        </w:tc>
        <w:tc>
          <w:tcPr>
            <w:tcW w:w="1008" w:type="pct"/>
            <w:tcBorders>
              <w:tl2br w:val="nil"/>
              <w:tr2bl w:val="nil"/>
            </w:tcBorders>
            <w:vAlign w:val="center"/>
          </w:tcPr>
          <w:p w14:paraId="55005ABB">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33D5A4B6">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0FD23A18">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6012685A">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A3B8C7A">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25F2BFF6">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47557E89">
            <w:pPr>
              <w:kinsoku/>
              <w:spacing w:beforeLines="0" w:afterLines="0" w:line="0" w:lineRule="atLeast"/>
              <w:ind w:firstLine="0" w:firstLineChars="0"/>
              <w:jc w:val="center"/>
              <w:rPr>
                <w:color w:val="auto"/>
                <w:sz w:val="21"/>
                <w:highlight w:val="none"/>
              </w:rPr>
            </w:pPr>
          </w:p>
        </w:tc>
      </w:tr>
      <w:tr w14:paraId="60B4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3460E273">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005BBA6C">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081B4F24">
            <w:pPr>
              <w:kinsoku/>
              <w:spacing w:beforeLines="0" w:afterLines="0" w:line="0" w:lineRule="atLeast"/>
              <w:ind w:firstLine="0" w:firstLineChars="0"/>
              <w:jc w:val="center"/>
              <w:rPr>
                <w:color w:val="auto"/>
                <w:sz w:val="21"/>
                <w:highlight w:val="none"/>
              </w:rPr>
            </w:pPr>
          </w:p>
        </w:tc>
        <w:tc>
          <w:tcPr>
            <w:tcW w:w="1008" w:type="pct"/>
            <w:tcBorders>
              <w:tl2br w:val="nil"/>
              <w:tr2bl w:val="nil"/>
            </w:tcBorders>
            <w:vAlign w:val="center"/>
          </w:tcPr>
          <w:p w14:paraId="4D1A670E">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5AB18BB5">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4D951EED">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1BAF9494">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68A3AB18">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301FCA4B">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72760550">
            <w:pPr>
              <w:kinsoku/>
              <w:spacing w:beforeLines="0" w:afterLines="0" w:line="0" w:lineRule="atLeast"/>
              <w:ind w:firstLine="0" w:firstLineChars="0"/>
              <w:jc w:val="center"/>
              <w:rPr>
                <w:color w:val="auto"/>
                <w:sz w:val="21"/>
                <w:highlight w:val="none"/>
              </w:rPr>
            </w:pPr>
          </w:p>
        </w:tc>
      </w:tr>
      <w:tr w14:paraId="1B61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02FD4D1F">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13A85493">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01051FFD">
            <w:pPr>
              <w:kinsoku/>
              <w:spacing w:beforeLines="0" w:afterLines="0" w:line="0" w:lineRule="atLeast"/>
              <w:ind w:firstLine="0" w:firstLineChars="0"/>
              <w:jc w:val="center"/>
              <w:rPr>
                <w:color w:val="auto"/>
                <w:sz w:val="21"/>
                <w:highlight w:val="none"/>
              </w:rPr>
            </w:pPr>
          </w:p>
        </w:tc>
        <w:tc>
          <w:tcPr>
            <w:tcW w:w="1008" w:type="pct"/>
            <w:tcBorders>
              <w:tl2br w:val="nil"/>
              <w:tr2bl w:val="nil"/>
            </w:tcBorders>
            <w:vAlign w:val="center"/>
          </w:tcPr>
          <w:p w14:paraId="46A56A27">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3F70B499">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50DCFD1F">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36C72910">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3DAF34BE">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44CDEE08">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09600280">
            <w:pPr>
              <w:kinsoku/>
              <w:spacing w:beforeLines="0" w:afterLines="0" w:line="0" w:lineRule="atLeast"/>
              <w:ind w:firstLine="0" w:firstLineChars="0"/>
              <w:jc w:val="center"/>
              <w:rPr>
                <w:color w:val="auto"/>
                <w:sz w:val="21"/>
                <w:highlight w:val="none"/>
              </w:rPr>
            </w:pPr>
          </w:p>
        </w:tc>
      </w:tr>
      <w:tr w14:paraId="72B6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18D706E1">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6EE84669">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00BA4AE8">
            <w:pPr>
              <w:kinsoku/>
              <w:spacing w:beforeLines="0" w:afterLines="0" w:line="0" w:lineRule="atLeast"/>
              <w:ind w:firstLine="0" w:firstLineChars="0"/>
              <w:jc w:val="center"/>
              <w:rPr>
                <w:color w:val="auto"/>
                <w:sz w:val="21"/>
                <w:highlight w:val="none"/>
              </w:rPr>
            </w:pPr>
          </w:p>
        </w:tc>
        <w:tc>
          <w:tcPr>
            <w:tcW w:w="1008" w:type="pct"/>
            <w:tcBorders>
              <w:tl2br w:val="nil"/>
              <w:tr2bl w:val="nil"/>
            </w:tcBorders>
            <w:vAlign w:val="center"/>
          </w:tcPr>
          <w:p w14:paraId="126C7C33">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075714C1">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57D55FB4">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1CD76B76">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4A41B567">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04A2E357">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77A05C80">
            <w:pPr>
              <w:kinsoku/>
              <w:spacing w:beforeLines="0" w:afterLines="0" w:line="0" w:lineRule="atLeast"/>
              <w:ind w:firstLine="0" w:firstLineChars="0"/>
              <w:jc w:val="center"/>
              <w:rPr>
                <w:color w:val="auto"/>
                <w:sz w:val="21"/>
                <w:highlight w:val="none"/>
              </w:rPr>
            </w:pPr>
          </w:p>
        </w:tc>
      </w:tr>
      <w:tr w14:paraId="2626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70" w:type="pct"/>
            <w:tcBorders>
              <w:tl2br w:val="nil"/>
              <w:tr2bl w:val="nil"/>
            </w:tcBorders>
            <w:vAlign w:val="center"/>
          </w:tcPr>
          <w:p w14:paraId="71CF65E1">
            <w:pPr>
              <w:kinsoku/>
              <w:spacing w:beforeLines="0" w:afterLines="0" w:line="0" w:lineRule="atLeast"/>
              <w:ind w:firstLine="0" w:firstLineChars="0"/>
              <w:jc w:val="center"/>
              <w:rPr>
                <w:color w:val="auto"/>
                <w:sz w:val="21"/>
                <w:highlight w:val="none"/>
              </w:rPr>
            </w:pPr>
          </w:p>
        </w:tc>
        <w:tc>
          <w:tcPr>
            <w:tcW w:w="655" w:type="pct"/>
            <w:tcBorders>
              <w:tl2br w:val="nil"/>
              <w:tr2bl w:val="nil"/>
            </w:tcBorders>
            <w:vAlign w:val="center"/>
          </w:tcPr>
          <w:p w14:paraId="0C0A3A2A">
            <w:pPr>
              <w:kinsoku/>
              <w:spacing w:beforeLines="0" w:afterLines="0" w:line="0" w:lineRule="atLeast"/>
              <w:ind w:firstLine="0" w:firstLineChars="0"/>
              <w:jc w:val="center"/>
              <w:rPr>
                <w:color w:val="auto"/>
                <w:sz w:val="21"/>
                <w:highlight w:val="none"/>
              </w:rPr>
            </w:pPr>
          </w:p>
        </w:tc>
        <w:tc>
          <w:tcPr>
            <w:tcW w:w="857" w:type="pct"/>
            <w:tcBorders>
              <w:tl2br w:val="nil"/>
              <w:tr2bl w:val="nil"/>
            </w:tcBorders>
            <w:vAlign w:val="center"/>
          </w:tcPr>
          <w:p w14:paraId="434CEE3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合计</w:t>
            </w:r>
          </w:p>
        </w:tc>
        <w:tc>
          <w:tcPr>
            <w:tcW w:w="1008" w:type="pct"/>
            <w:tcBorders>
              <w:tl2br w:val="nil"/>
              <w:tr2bl w:val="nil"/>
            </w:tcBorders>
            <w:vAlign w:val="center"/>
          </w:tcPr>
          <w:p w14:paraId="53F7915A">
            <w:pPr>
              <w:kinsoku/>
              <w:spacing w:beforeLines="0" w:afterLines="0" w:line="0" w:lineRule="atLeast"/>
              <w:ind w:firstLine="0" w:firstLineChars="0"/>
              <w:jc w:val="center"/>
              <w:rPr>
                <w:color w:val="auto"/>
                <w:sz w:val="21"/>
                <w:highlight w:val="none"/>
              </w:rPr>
            </w:pPr>
          </w:p>
        </w:tc>
        <w:tc>
          <w:tcPr>
            <w:tcW w:w="302" w:type="pct"/>
            <w:tcBorders>
              <w:tl2br w:val="nil"/>
              <w:tr2bl w:val="nil"/>
            </w:tcBorders>
            <w:vAlign w:val="center"/>
          </w:tcPr>
          <w:p w14:paraId="50D6AC0E">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3023C4A9">
            <w:pPr>
              <w:kinsoku/>
              <w:spacing w:beforeLines="0" w:afterLines="0" w:line="0" w:lineRule="atLeast"/>
              <w:ind w:firstLine="0" w:firstLineChars="0"/>
              <w:jc w:val="center"/>
              <w:rPr>
                <w:color w:val="auto"/>
                <w:sz w:val="21"/>
                <w:highlight w:val="none"/>
              </w:rPr>
            </w:pPr>
          </w:p>
        </w:tc>
        <w:tc>
          <w:tcPr>
            <w:tcW w:w="352" w:type="pct"/>
            <w:tcBorders>
              <w:tl2br w:val="nil"/>
              <w:tr2bl w:val="nil"/>
            </w:tcBorders>
            <w:vAlign w:val="center"/>
          </w:tcPr>
          <w:p w14:paraId="78C9FBDA">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7BE4DD2E">
            <w:pPr>
              <w:kinsoku/>
              <w:spacing w:beforeLines="0" w:afterLines="0" w:line="0" w:lineRule="atLeast"/>
              <w:ind w:firstLine="0" w:firstLineChars="0"/>
              <w:jc w:val="center"/>
              <w:rPr>
                <w:color w:val="auto"/>
                <w:sz w:val="21"/>
                <w:highlight w:val="none"/>
              </w:rPr>
            </w:pPr>
          </w:p>
        </w:tc>
        <w:tc>
          <w:tcPr>
            <w:tcW w:w="453" w:type="pct"/>
            <w:tcBorders>
              <w:tl2br w:val="nil"/>
              <w:tr2bl w:val="nil"/>
            </w:tcBorders>
            <w:vAlign w:val="center"/>
          </w:tcPr>
          <w:p w14:paraId="0DC2304E">
            <w:pPr>
              <w:kinsoku/>
              <w:spacing w:beforeLines="0" w:afterLines="0" w:line="0" w:lineRule="atLeast"/>
              <w:ind w:firstLine="0" w:firstLineChars="0"/>
              <w:jc w:val="center"/>
              <w:rPr>
                <w:color w:val="auto"/>
                <w:sz w:val="21"/>
                <w:highlight w:val="none"/>
              </w:rPr>
            </w:pPr>
          </w:p>
        </w:tc>
        <w:tc>
          <w:tcPr>
            <w:tcW w:w="344" w:type="pct"/>
            <w:tcBorders>
              <w:tl2br w:val="nil"/>
              <w:tr2bl w:val="nil"/>
            </w:tcBorders>
            <w:vAlign w:val="center"/>
          </w:tcPr>
          <w:p w14:paraId="7D7287C4">
            <w:pPr>
              <w:kinsoku/>
              <w:spacing w:beforeLines="0" w:afterLines="0" w:line="0" w:lineRule="atLeast"/>
              <w:ind w:firstLine="0" w:firstLineChars="0"/>
              <w:jc w:val="center"/>
              <w:rPr>
                <w:color w:val="auto"/>
                <w:sz w:val="21"/>
                <w:highlight w:val="none"/>
              </w:rPr>
            </w:pPr>
          </w:p>
        </w:tc>
      </w:tr>
    </w:tbl>
    <w:p w14:paraId="454103A2">
      <w:pPr>
        <w:kinsoku/>
        <w:spacing w:before="0"/>
        <w:ind w:left="0"/>
        <w:rPr>
          <w:rFonts w:cs="宋体"/>
          <w:color w:val="auto"/>
          <w:szCs w:val="24"/>
          <w:highlight w:val="none"/>
          <w:lang w:eastAsia="zh-CN"/>
        </w:rPr>
      </w:pPr>
      <w:r>
        <w:rPr>
          <w:rFonts w:ascii="宋体" w:cs="宋体"/>
          <w:b w:val="0"/>
          <w:color w:val="auto"/>
          <w:spacing w:val="0"/>
          <w:sz w:val="24"/>
          <w:szCs w:val="24"/>
          <w:highlight w:val="none"/>
          <w:lang w:eastAsia="zh-CN"/>
        </w:rPr>
        <w:t>法定代表人或委托代理人：</w:t>
      </w:r>
      <w:r>
        <w:rPr>
          <w:rFonts w:hint="eastAsia" w:cs="宋体"/>
          <w:b w:val="0"/>
          <w:color w:val="auto"/>
          <w:spacing w:val="0"/>
          <w:sz w:val="24"/>
          <w:szCs w:val="24"/>
          <w:highlight w:val="none"/>
          <w:u w:val="single"/>
          <w:lang w:val="en-US" w:eastAsia="zh-CN"/>
        </w:rPr>
        <w:t xml:space="preserve">              </w:t>
      </w:r>
      <w:r>
        <w:rPr>
          <w:rFonts w:ascii="宋体" w:cs="宋体"/>
          <w:b w:val="0"/>
          <w:color w:val="auto"/>
          <w:spacing w:val="0"/>
          <w:sz w:val="24"/>
          <w:szCs w:val="24"/>
          <w:highlight w:val="none"/>
          <w:u w:val="single"/>
          <w:lang w:eastAsia="zh-CN"/>
        </w:rPr>
        <w:t>（签字或盖章）</w:t>
      </w:r>
    </w:p>
    <w:p w14:paraId="0CD34C97">
      <w:pPr>
        <w:kinsoku/>
        <w:adjustRightInd/>
        <w:snapToGrid/>
        <w:spacing w:beforeLines="0" w:afterLines="0" w:line="240" w:lineRule="auto"/>
        <w:ind w:firstLine="420"/>
        <w:jc w:val="left"/>
        <w:textAlignment w:val="auto"/>
        <w:rPr>
          <w:rFonts w:cs="宋体"/>
          <w:color w:val="auto"/>
          <w:szCs w:val="24"/>
          <w:highlight w:val="none"/>
          <w:lang w:eastAsia="zh-CN"/>
        </w:rPr>
      </w:pPr>
    </w:p>
    <w:p w14:paraId="4A5A2DFF">
      <w:pPr>
        <w:kinsoku/>
        <w:adjustRightInd/>
        <w:snapToGrid/>
        <w:spacing w:beforeLines="0" w:afterLines="0" w:line="240" w:lineRule="auto"/>
        <w:ind w:firstLine="420"/>
        <w:jc w:val="left"/>
        <w:textAlignment w:val="auto"/>
        <w:rPr>
          <w:rFonts w:cs="宋体"/>
          <w:color w:val="auto"/>
          <w:szCs w:val="24"/>
          <w:highlight w:val="none"/>
          <w:lang w:eastAsia="zh-CN"/>
        </w:rPr>
        <w:sectPr>
          <w:pgSz w:w="16840" w:h="11905" w:orient="landscape"/>
          <w:pgMar w:top="1418" w:right="1616" w:bottom="1418" w:left="1616" w:header="851" w:footer="1304" w:gutter="0"/>
          <w:pgNumType w:fmt="decimal"/>
          <w:cols w:space="720" w:num="1"/>
          <w:docGrid w:linePitch="381" w:charSpace="0"/>
        </w:sectPr>
      </w:pPr>
    </w:p>
    <w:p w14:paraId="0769EBCB">
      <w:pPr>
        <w:pStyle w:val="4"/>
        <w:kinsoku/>
        <w:spacing w:before="0" w:beforeLines="0" w:afterLines="0"/>
        <w:ind w:left="0"/>
        <w:jc w:val="center"/>
        <w:rPr>
          <w:rFonts w:hint="eastAsia" w:cs="宋体"/>
          <w:bCs/>
          <w:color w:val="auto"/>
          <w:szCs w:val="24"/>
          <w:highlight w:val="none"/>
          <w:lang w:eastAsia="zh-CN"/>
        </w:rPr>
      </w:pPr>
      <w:bookmarkStart w:id="2472" w:name="_Toc16823"/>
      <w:bookmarkStart w:id="2473" w:name="_Toc29592"/>
      <w:bookmarkStart w:id="2474" w:name="_Toc4601"/>
      <w:r>
        <w:rPr>
          <w:rFonts w:hint="eastAsia" w:ascii="宋体" w:cs="宋体"/>
          <w:b/>
          <w:bCs/>
          <w:color w:val="auto"/>
          <w:spacing w:val="0"/>
          <w:sz w:val="24"/>
          <w:szCs w:val="24"/>
          <w:highlight w:val="none"/>
          <w:lang w:eastAsia="zh-CN"/>
        </w:rPr>
        <w:t>其他项目清单计价表</w:t>
      </w:r>
      <w:bookmarkEnd w:id="2472"/>
      <w:bookmarkEnd w:id="2473"/>
      <w:bookmarkEnd w:id="2474"/>
    </w:p>
    <w:p w14:paraId="03EFAD09">
      <w:pPr>
        <w:kinsoku/>
        <w:spacing w:beforeLines="0" w:afterLines="0"/>
        <w:ind w:firstLine="420"/>
        <w:jc w:val="left"/>
        <w:rPr>
          <w:color w:val="auto"/>
          <w:highlight w:val="none"/>
          <w:lang w:eastAsia="zh-CN"/>
        </w:rPr>
      </w:pPr>
      <w:r>
        <w:rPr>
          <w:rFonts w:ascii="宋体" w:cs="宋体"/>
          <w:b w:val="0"/>
          <w:color w:val="auto"/>
          <w:spacing w:val="0"/>
          <w:sz w:val="24"/>
          <w:szCs w:val="24"/>
          <w:highlight w:val="none"/>
          <w:lang w:eastAsia="zh-CN"/>
        </w:rPr>
        <w:t>项目及标段名称：</w:t>
      </w:r>
      <w:r>
        <w:rPr>
          <w:rFonts w:hint="eastAsia" w:cs="宋体"/>
          <w:b w:val="0"/>
          <w:color w:val="auto"/>
          <w:spacing w:val="0"/>
          <w:sz w:val="24"/>
          <w:szCs w:val="24"/>
          <w:highlight w:val="none"/>
          <w:lang w:val="en-US" w:eastAsia="zh-CN"/>
        </w:rPr>
        <w:tab/>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ascii="宋体" w:hAnsi="宋体" w:eastAsia="宋体" w:cs="宋体"/>
          <w:color w:val="auto"/>
          <w:spacing w:val="19"/>
          <w:sz w:val="24"/>
          <w:szCs w:val="24"/>
          <w:highlight w:val="none"/>
          <w:u w:val="single" w:color="auto"/>
        </w:rPr>
        <w:t xml:space="preserve"> </w:t>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ascii="宋体" w:cs="宋体"/>
          <w:b w:val="0"/>
          <w:color w:val="auto"/>
          <w:spacing w:val="0"/>
          <w:sz w:val="24"/>
          <w:szCs w:val="24"/>
          <w:highlight w:val="none"/>
          <w:lang w:eastAsia="zh-CN"/>
        </w:rPr>
        <w:t>第</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共</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p>
    <w:tbl>
      <w:tblPr>
        <w:tblStyle w:val="24"/>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69"/>
        <w:gridCol w:w="2756"/>
        <w:gridCol w:w="1505"/>
        <w:gridCol w:w="2004"/>
        <w:gridCol w:w="1771"/>
      </w:tblGrid>
      <w:tr w14:paraId="20CA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06A3B80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2756" w:type="dxa"/>
            <w:tcBorders>
              <w:tl2br w:val="nil"/>
              <w:tr2bl w:val="nil"/>
            </w:tcBorders>
            <w:vAlign w:val="center"/>
          </w:tcPr>
          <w:p w14:paraId="0952DB4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项目名称</w:t>
            </w:r>
          </w:p>
        </w:tc>
        <w:tc>
          <w:tcPr>
            <w:tcW w:w="1505" w:type="dxa"/>
            <w:tcBorders>
              <w:tl2br w:val="nil"/>
              <w:tr2bl w:val="nil"/>
            </w:tcBorders>
            <w:vAlign w:val="center"/>
          </w:tcPr>
          <w:p w14:paraId="5939496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计量单位</w:t>
            </w:r>
          </w:p>
        </w:tc>
        <w:tc>
          <w:tcPr>
            <w:tcW w:w="2004" w:type="dxa"/>
            <w:tcBorders>
              <w:tl2br w:val="nil"/>
              <w:tr2bl w:val="nil"/>
            </w:tcBorders>
            <w:vAlign w:val="center"/>
          </w:tcPr>
          <w:p w14:paraId="206F808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金额（元）</w:t>
            </w:r>
          </w:p>
        </w:tc>
        <w:tc>
          <w:tcPr>
            <w:tcW w:w="1771" w:type="dxa"/>
            <w:tcBorders>
              <w:tl2br w:val="nil"/>
              <w:tr2bl w:val="nil"/>
            </w:tcBorders>
            <w:vAlign w:val="center"/>
          </w:tcPr>
          <w:p w14:paraId="08CA325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6803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46997E37">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315D7225">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516DC9B6">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139563C3">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25CBC29C">
            <w:pPr>
              <w:kinsoku/>
              <w:spacing w:beforeLines="0" w:afterLines="0" w:line="0" w:lineRule="atLeast"/>
              <w:ind w:firstLine="0" w:firstLineChars="0"/>
              <w:jc w:val="center"/>
              <w:rPr>
                <w:color w:val="auto"/>
                <w:sz w:val="21"/>
                <w:highlight w:val="none"/>
              </w:rPr>
            </w:pPr>
          </w:p>
        </w:tc>
      </w:tr>
      <w:tr w14:paraId="5C8F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075219D9">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7DF954DE">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3F1DB4F1">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01BD7400">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7C1F19C8">
            <w:pPr>
              <w:kinsoku/>
              <w:spacing w:beforeLines="0" w:afterLines="0" w:line="0" w:lineRule="atLeast"/>
              <w:ind w:firstLine="0" w:firstLineChars="0"/>
              <w:jc w:val="center"/>
              <w:rPr>
                <w:color w:val="auto"/>
                <w:sz w:val="21"/>
                <w:highlight w:val="none"/>
              </w:rPr>
            </w:pPr>
          </w:p>
        </w:tc>
      </w:tr>
      <w:tr w14:paraId="7522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418B4A48">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534E6B5D">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779C3BDE">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5B911426">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12EBA562">
            <w:pPr>
              <w:kinsoku/>
              <w:spacing w:beforeLines="0" w:afterLines="0" w:line="0" w:lineRule="atLeast"/>
              <w:ind w:firstLine="0" w:firstLineChars="0"/>
              <w:jc w:val="center"/>
              <w:rPr>
                <w:color w:val="auto"/>
                <w:sz w:val="21"/>
                <w:highlight w:val="none"/>
              </w:rPr>
            </w:pPr>
          </w:p>
        </w:tc>
      </w:tr>
      <w:tr w14:paraId="7B278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3A3E4D89">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7659CA14">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69FC9B4A">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58CA949A">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03993E9F">
            <w:pPr>
              <w:kinsoku/>
              <w:spacing w:beforeLines="0" w:afterLines="0" w:line="0" w:lineRule="atLeast"/>
              <w:ind w:firstLine="0" w:firstLineChars="0"/>
              <w:jc w:val="center"/>
              <w:rPr>
                <w:color w:val="auto"/>
                <w:sz w:val="21"/>
                <w:highlight w:val="none"/>
              </w:rPr>
            </w:pPr>
          </w:p>
        </w:tc>
      </w:tr>
      <w:tr w14:paraId="1C07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4FBDD639">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39EB76C8">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1E86F40D">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0FD4DC64">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26391D12">
            <w:pPr>
              <w:kinsoku/>
              <w:spacing w:beforeLines="0" w:afterLines="0" w:line="0" w:lineRule="atLeast"/>
              <w:ind w:firstLine="0" w:firstLineChars="0"/>
              <w:jc w:val="center"/>
              <w:rPr>
                <w:color w:val="auto"/>
                <w:sz w:val="21"/>
                <w:highlight w:val="none"/>
              </w:rPr>
            </w:pPr>
          </w:p>
        </w:tc>
      </w:tr>
      <w:tr w14:paraId="5A061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21217B73">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62D26E75">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5D86AF0C">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0308963A">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7C5D8696">
            <w:pPr>
              <w:kinsoku/>
              <w:spacing w:beforeLines="0" w:afterLines="0" w:line="0" w:lineRule="atLeast"/>
              <w:ind w:firstLine="0" w:firstLineChars="0"/>
              <w:jc w:val="center"/>
              <w:rPr>
                <w:color w:val="auto"/>
                <w:sz w:val="21"/>
                <w:highlight w:val="none"/>
              </w:rPr>
            </w:pPr>
          </w:p>
        </w:tc>
      </w:tr>
      <w:tr w14:paraId="21F6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7CE6E5EC">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71ABCEF7">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0000A5E1">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168C6E3A">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20CCEFF5">
            <w:pPr>
              <w:kinsoku/>
              <w:spacing w:beforeLines="0" w:afterLines="0" w:line="0" w:lineRule="atLeast"/>
              <w:ind w:firstLine="0" w:firstLineChars="0"/>
              <w:jc w:val="center"/>
              <w:rPr>
                <w:color w:val="auto"/>
                <w:sz w:val="21"/>
                <w:highlight w:val="none"/>
              </w:rPr>
            </w:pPr>
          </w:p>
        </w:tc>
      </w:tr>
      <w:tr w14:paraId="41A0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15AF3A39">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31D5B2D4">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23245CCF">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20323E88">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49F0E8A9">
            <w:pPr>
              <w:kinsoku/>
              <w:spacing w:beforeLines="0" w:afterLines="0" w:line="0" w:lineRule="atLeast"/>
              <w:ind w:firstLine="0" w:firstLineChars="0"/>
              <w:jc w:val="center"/>
              <w:rPr>
                <w:color w:val="auto"/>
                <w:sz w:val="21"/>
                <w:highlight w:val="none"/>
              </w:rPr>
            </w:pPr>
          </w:p>
        </w:tc>
      </w:tr>
      <w:tr w14:paraId="36D09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57BD91AF">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4E0B3BEB">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4C8C56CA">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0522D21A">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0C492A4F">
            <w:pPr>
              <w:kinsoku/>
              <w:spacing w:beforeLines="0" w:afterLines="0" w:line="0" w:lineRule="atLeast"/>
              <w:ind w:firstLine="0" w:firstLineChars="0"/>
              <w:jc w:val="center"/>
              <w:rPr>
                <w:color w:val="auto"/>
                <w:sz w:val="21"/>
                <w:highlight w:val="none"/>
              </w:rPr>
            </w:pPr>
          </w:p>
        </w:tc>
      </w:tr>
      <w:tr w14:paraId="12FA1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02017782">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713CF61A">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1AFCD068">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2E5F6033">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2FA73C88">
            <w:pPr>
              <w:kinsoku/>
              <w:spacing w:beforeLines="0" w:afterLines="0" w:line="0" w:lineRule="atLeast"/>
              <w:ind w:firstLine="0" w:firstLineChars="0"/>
              <w:jc w:val="center"/>
              <w:rPr>
                <w:color w:val="auto"/>
                <w:sz w:val="21"/>
                <w:highlight w:val="none"/>
              </w:rPr>
            </w:pPr>
          </w:p>
        </w:tc>
      </w:tr>
      <w:tr w14:paraId="70F8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398CCA34">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29BF721F">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4C586E35">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7831F727">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58A3102E">
            <w:pPr>
              <w:kinsoku/>
              <w:spacing w:beforeLines="0" w:afterLines="0" w:line="0" w:lineRule="atLeast"/>
              <w:ind w:firstLine="0" w:firstLineChars="0"/>
              <w:jc w:val="center"/>
              <w:rPr>
                <w:color w:val="auto"/>
                <w:sz w:val="21"/>
                <w:highlight w:val="none"/>
              </w:rPr>
            </w:pPr>
          </w:p>
        </w:tc>
      </w:tr>
      <w:tr w14:paraId="42E7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4EF37A52">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21CDD29F">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32E5ACBE">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553347C5">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55A5CD75">
            <w:pPr>
              <w:kinsoku/>
              <w:spacing w:beforeLines="0" w:afterLines="0" w:line="0" w:lineRule="atLeast"/>
              <w:ind w:firstLine="0" w:firstLineChars="0"/>
              <w:jc w:val="center"/>
              <w:rPr>
                <w:color w:val="auto"/>
                <w:sz w:val="21"/>
                <w:highlight w:val="none"/>
              </w:rPr>
            </w:pPr>
          </w:p>
        </w:tc>
      </w:tr>
      <w:tr w14:paraId="4C1C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344C915F">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68C3DA7B">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3721B540">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2A2E807B">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074A7D18">
            <w:pPr>
              <w:kinsoku/>
              <w:spacing w:beforeLines="0" w:afterLines="0" w:line="0" w:lineRule="atLeast"/>
              <w:ind w:firstLine="0" w:firstLineChars="0"/>
              <w:jc w:val="center"/>
              <w:rPr>
                <w:color w:val="auto"/>
                <w:sz w:val="21"/>
                <w:highlight w:val="none"/>
              </w:rPr>
            </w:pPr>
          </w:p>
        </w:tc>
      </w:tr>
      <w:tr w14:paraId="38B1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3EB93303">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2C821F58">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6944FA3F">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0267A8AA">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41280CAC">
            <w:pPr>
              <w:kinsoku/>
              <w:spacing w:beforeLines="0" w:afterLines="0" w:line="0" w:lineRule="atLeast"/>
              <w:ind w:firstLine="0" w:firstLineChars="0"/>
              <w:jc w:val="center"/>
              <w:rPr>
                <w:color w:val="auto"/>
                <w:sz w:val="21"/>
                <w:highlight w:val="none"/>
              </w:rPr>
            </w:pPr>
          </w:p>
        </w:tc>
      </w:tr>
      <w:tr w14:paraId="25B8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26CAD54E">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3888BEB4">
            <w:pPr>
              <w:kinsoku/>
              <w:spacing w:beforeLines="0" w:afterLines="0" w:line="0" w:lineRule="atLeast"/>
              <w:ind w:firstLine="0" w:firstLineChars="0"/>
              <w:jc w:val="center"/>
              <w:rPr>
                <w:color w:val="auto"/>
                <w:sz w:val="21"/>
                <w:highlight w:val="none"/>
              </w:rPr>
            </w:pPr>
          </w:p>
        </w:tc>
        <w:tc>
          <w:tcPr>
            <w:tcW w:w="1505" w:type="dxa"/>
            <w:tcBorders>
              <w:tl2br w:val="nil"/>
              <w:tr2bl w:val="nil"/>
            </w:tcBorders>
            <w:vAlign w:val="center"/>
          </w:tcPr>
          <w:p w14:paraId="48D55A63">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58667042">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7EF98C70">
            <w:pPr>
              <w:kinsoku/>
              <w:spacing w:beforeLines="0" w:afterLines="0" w:line="0" w:lineRule="atLeast"/>
              <w:ind w:firstLine="0" w:firstLineChars="0"/>
              <w:jc w:val="center"/>
              <w:rPr>
                <w:color w:val="auto"/>
                <w:sz w:val="21"/>
                <w:highlight w:val="none"/>
              </w:rPr>
            </w:pPr>
          </w:p>
        </w:tc>
      </w:tr>
      <w:tr w14:paraId="3E8C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69" w:type="dxa"/>
            <w:tcBorders>
              <w:tl2br w:val="nil"/>
              <w:tr2bl w:val="nil"/>
            </w:tcBorders>
            <w:vAlign w:val="center"/>
          </w:tcPr>
          <w:p w14:paraId="3E47339D">
            <w:pPr>
              <w:kinsoku/>
              <w:spacing w:beforeLines="0" w:afterLines="0" w:line="0" w:lineRule="atLeast"/>
              <w:ind w:firstLine="0" w:firstLineChars="0"/>
              <w:jc w:val="center"/>
              <w:rPr>
                <w:color w:val="auto"/>
                <w:sz w:val="21"/>
                <w:highlight w:val="none"/>
              </w:rPr>
            </w:pPr>
          </w:p>
        </w:tc>
        <w:tc>
          <w:tcPr>
            <w:tcW w:w="2756" w:type="dxa"/>
            <w:tcBorders>
              <w:tl2br w:val="nil"/>
              <w:tr2bl w:val="nil"/>
            </w:tcBorders>
            <w:vAlign w:val="center"/>
          </w:tcPr>
          <w:p w14:paraId="4DC8B86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合计</w:t>
            </w:r>
          </w:p>
        </w:tc>
        <w:tc>
          <w:tcPr>
            <w:tcW w:w="1505" w:type="dxa"/>
            <w:tcBorders>
              <w:tl2br w:val="nil"/>
              <w:tr2bl w:val="nil"/>
            </w:tcBorders>
            <w:vAlign w:val="center"/>
          </w:tcPr>
          <w:p w14:paraId="18B19400">
            <w:pPr>
              <w:kinsoku/>
              <w:spacing w:beforeLines="0" w:afterLines="0" w:line="0" w:lineRule="atLeast"/>
              <w:ind w:firstLine="0" w:firstLineChars="0"/>
              <w:jc w:val="center"/>
              <w:rPr>
                <w:color w:val="auto"/>
                <w:sz w:val="21"/>
                <w:highlight w:val="none"/>
              </w:rPr>
            </w:pPr>
          </w:p>
        </w:tc>
        <w:tc>
          <w:tcPr>
            <w:tcW w:w="2004" w:type="dxa"/>
            <w:tcBorders>
              <w:tl2br w:val="nil"/>
              <w:tr2bl w:val="nil"/>
            </w:tcBorders>
            <w:vAlign w:val="center"/>
          </w:tcPr>
          <w:p w14:paraId="35BC980C">
            <w:pPr>
              <w:kinsoku/>
              <w:spacing w:beforeLines="0" w:afterLines="0" w:line="0" w:lineRule="atLeast"/>
              <w:ind w:firstLine="0" w:firstLineChars="0"/>
              <w:jc w:val="center"/>
              <w:rPr>
                <w:color w:val="auto"/>
                <w:sz w:val="21"/>
                <w:highlight w:val="none"/>
              </w:rPr>
            </w:pPr>
          </w:p>
        </w:tc>
        <w:tc>
          <w:tcPr>
            <w:tcW w:w="1771" w:type="dxa"/>
            <w:tcBorders>
              <w:tl2br w:val="nil"/>
              <w:tr2bl w:val="nil"/>
            </w:tcBorders>
            <w:vAlign w:val="center"/>
          </w:tcPr>
          <w:p w14:paraId="06512E5E">
            <w:pPr>
              <w:kinsoku/>
              <w:spacing w:beforeLines="0" w:afterLines="0" w:line="0" w:lineRule="atLeast"/>
              <w:ind w:firstLine="0" w:firstLineChars="0"/>
              <w:jc w:val="center"/>
              <w:rPr>
                <w:color w:val="auto"/>
                <w:sz w:val="21"/>
                <w:highlight w:val="none"/>
              </w:rPr>
            </w:pPr>
          </w:p>
        </w:tc>
      </w:tr>
    </w:tbl>
    <w:p w14:paraId="25C3FB44">
      <w:pPr>
        <w:pStyle w:val="7"/>
        <w:kinsoku/>
        <w:spacing w:beforeLines="0" w:afterLines="0"/>
        <w:ind w:firstLine="420"/>
        <w:jc w:val="left"/>
        <w:rPr>
          <w:color w:val="auto"/>
          <w:highlight w:val="none"/>
        </w:rPr>
      </w:pPr>
    </w:p>
    <w:p w14:paraId="0BCC1A5B">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法定代表人或委托代理人：</w:t>
      </w:r>
      <w:r>
        <w:rPr>
          <w:rFonts w:ascii="宋体" w:cs="宋体"/>
          <w:b w:val="0"/>
          <w:color w:val="auto"/>
          <w:spacing w:val="0"/>
          <w:sz w:val="24"/>
          <w:szCs w:val="24"/>
          <w:highlight w:val="none"/>
          <w:u w:val="single"/>
          <w:lang w:eastAsia="zh-CN"/>
        </w:rPr>
        <w:t>（签字或盖章）</w:t>
      </w:r>
    </w:p>
    <w:p w14:paraId="67CFA37F">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535392E8">
      <w:pPr>
        <w:kinsoku/>
        <w:spacing w:beforeLines="0" w:afterLines="0"/>
        <w:ind w:firstLine="420"/>
        <w:jc w:val="left"/>
        <w:rPr>
          <w:rFonts w:cs="宋体"/>
          <w:color w:val="auto"/>
          <w:szCs w:val="24"/>
          <w:highlight w:val="none"/>
          <w:lang w:eastAsia="zh-CN"/>
        </w:rPr>
        <w:sectPr>
          <w:pgSz w:w="11905" w:h="16840"/>
          <w:pgMar w:top="1616" w:right="1418" w:bottom="1616" w:left="1418" w:header="851" w:footer="1304" w:gutter="0"/>
          <w:pgNumType w:fmt="decimal"/>
          <w:cols w:space="720" w:num="1"/>
          <w:docGrid w:linePitch="381" w:charSpace="0"/>
        </w:sectPr>
      </w:pPr>
    </w:p>
    <w:p w14:paraId="01CD8B99">
      <w:pPr>
        <w:pStyle w:val="4"/>
        <w:kinsoku/>
        <w:spacing w:before="0" w:beforeLines="0" w:afterLines="0"/>
        <w:ind w:left="0"/>
        <w:jc w:val="center"/>
        <w:rPr>
          <w:rFonts w:hint="eastAsia" w:cs="宋体"/>
          <w:bCs/>
          <w:color w:val="auto"/>
          <w:szCs w:val="24"/>
          <w:highlight w:val="none"/>
          <w:lang w:eastAsia="zh-CN"/>
        </w:rPr>
      </w:pPr>
      <w:bookmarkStart w:id="2475" w:name="_Toc30067"/>
      <w:bookmarkStart w:id="2476" w:name="_Toc27672"/>
      <w:bookmarkStart w:id="2477" w:name="_Toc26223"/>
      <w:r>
        <w:rPr>
          <w:rFonts w:hint="eastAsia" w:ascii="宋体" w:cs="宋体"/>
          <w:b/>
          <w:bCs/>
          <w:color w:val="auto"/>
          <w:spacing w:val="0"/>
          <w:sz w:val="24"/>
          <w:szCs w:val="24"/>
          <w:highlight w:val="none"/>
          <w:lang w:eastAsia="zh-CN"/>
        </w:rPr>
        <w:t>零星工作项目计价表</w:t>
      </w:r>
      <w:bookmarkEnd w:id="2475"/>
      <w:bookmarkEnd w:id="2476"/>
      <w:bookmarkEnd w:id="2477"/>
    </w:p>
    <w:p w14:paraId="2CD73AB0">
      <w:pPr>
        <w:kinsoku/>
        <w:spacing w:beforeLines="0" w:afterLines="0"/>
        <w:ind w:firstLine="420"/>
        <w:jc w:val="left"/>
        <w:rPr>
          <w:color w:val="auto"/>
          <w:highlight w:val="none"/>
          <w:lang w:eastAsia="zh-CN"/>
        </w:rPr>
      </w:pPr>
      <w:r>
        <w:rPr>
          <w:rFonts w:ascii="宋体" w:cs="宋体"/>
          <w:b w:val="0"/>
          <w:color w:val="auto"/>
          <w:spacing w:val="0"/>
          <w:sz w:val="24"/>
          <w:szCs w:val="24"/>
          <w:highlight w:val="none"/>
          <w:lang w:eastAsia="zh-CN"/>
        </w:rPr>
        <w:t>项目及标段名称：</w:t>
      </w:r>
      <w:r>
        <w:rPr>
          <w:rFonts w:hint="eastAsia" w:cs="宋体"/>
          <w:b w:val="0"/>
          <w:color w:val="auto"/>
          <w:spacing w:val="0"/>
          <w:sz w:val="24"/>
          <w:szCs w:val="24"/>
          <w:highlight w:val="none"/>
          <w:lang w:val="en-US" w:eastAsia="zh-CN"/>
        </w:rPr>
        <w:tab/>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hint="eastAsia" w:cs="宋体"/>
          <w:b w:val="0"/>
          <w:color w:val="auto"/>
          <w:spacing w:val="0"/>
          <w:sz w:val="24"/>
          <w:szCs w:val="24"/>
          <w:highlight w:val="none"/>
          <w:lang w:val="en-US" w:eastAsia="zh-CN"/>
        </w:rPr>
        <w:tab/>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ascii="宋体" w:cs="宋体"/>
          <w:b w:val="0"/>
          <w:color w:val="auto"/>
          <w:spacing w:val="0"/>
          <w:sz w:val="24"/>
          <w:szCs w:val="24"/>
          <w:highlight w:val="none"/>
          <w:lang w:eastAsia="zh-CN"/>
        </w:rPr>
        <w:t>第</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共</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p>
    <w:tbl>
      <w:tblPr>
        <w:tblStyle w:val="2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54"/>
        <w:gridCol w:w="2564"/>
        <w:gridCol w:w="1370"/>
        <w:gridCol w:w="1369"/>
        <w:gridCol w:w="1369"/>
        <w:gridCol w:w="1381"/>
      </w:tblGrid>
      <w:tr w14:paraId="37D85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69F9F07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2564" w:type="dxa"/>
            <w:tcBorders>
              <w:tl2br w:val="nil"/>
              <w:tr2bl w:val="nil"/>
            </w:tcBorders>
            <w:vAlign w:val="center"/>
          </w:tcPr>
          <w:p w14:paraId="01DA5B0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名称</w:t>
            </w:r>
          </w:p>
        </w:tc>
        <w:tc>
          <w:tcPr>
            <w:tcW w:w="1370" w:type="dxa"/>
            <w:tcBorders>
              <w:tl2br w:val="nil"/>
              <w:tr2bl w:val="nil"/>
            </w:tcBorders>
            <w:vAlign w:val="center"/>
          </w:tcPr>
          <w:p w14:paraId="32ED12E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型号规格</w:t>
            </w:r>
          </w:p>
        </w:tc>
        <w:tc>
          <w:tcPr>
            <w:tcW w:w="1369" w:type="dxa"/>
            <w:tcBorders>
              <w:tl2br w:val="nil"/>
              <w:tr2bl w:val="nil"/>
            </w:tcBorders>
            <w:vAlign w:val="center"/>
          </w:tcPr>
          <w:p w14:paraId="4282C10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计量单位</w:t>
            </w:r>
          </w:p>
        </w:tc>
        <w:tc>
          <w:tcPr>
            <w:tcW w:w="1369" w:type="dxa"/>
            <w:tcBorders>
              <w:tl2br w:val="nil"/>
              <w:tr2bl w:val="nil"/>
            </w:tcBorders>
            <w:vAlign w:val="center"/>
          </w:tcPr>
          <w:p w14:paraId="651E9D0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单价（元）</w:t>
            </w:r>
          </w:p>
        </w:tc>
        <w:tc>
          <w:tcPr>
            <w:tcW w:w="1381" w:type="dxa"/>
            <w:tcBorders>
              <w:tl2br w:val="nil"/>
              <w:tr2bl w:val="nil"/>
            </w:tcBorders>
            <w:vAlign w:val="center"/>
          </w:tcPr>
          <w:p w14:paraId="49EDA95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404BF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104A92D0">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1</w:t>
            </w:r>
          </w:p>
        </w:tc>
        <w:tc>
          <w:tcPr>
            <w:tcW w:w="2564" w:type="dxa"/>
            <w:tcBorders>
              <w:tl2br w:val="nil"/>
              <w:tr2bl w:val="nil"/>
            </w:tcBorders>
            <w:vAlign w:val="center"/>
          </w:tcPr>
          <w:p w14:paraId="3CEA065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人工</w:t>
            </w:r>
          </w:p>
        </w:tc>
        <w:tc>
          <w:tcPr>
            <w:tcW w:w="1370" w:type="dxa"/>
            <w:tcBorders>
              <w:tl2br w:val="nil"/>
              <w:tr2bl w:val="nil"/>
            </w:tcBorders>
            <w:vAlign w:val="center"/>
          </w:tcPr>
          <w:p w14:paraId="4AC308C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476FE56F">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67ACF165">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500AF8E0">
            <w:pPr>
              <w:kinsoku/>
              <w:spacing w:beforeLines="0" w:afterLines="0" w:line="0" w:lineRule="atLeast"/>
              <w:ind w:firstLine="0" w:firstLineChars="0"/>
              <w:jc w:val="center"/>
              <w:rPr>
                <w:color w:val="auto"/>
                <w:sz w:val="21"/>
                <w:highlight w:val="none"/>
              </w:rPr>
            </w:pPr>
          </w:p>
        </w:tc>
      </w:tr>
      <w:tr w14:paraId="42A6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7EB06D29">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1B93E9C4">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63BAA069">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199425F">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5CB09D36">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29CEA5FB">
            <w:pPr>
              <w:kinsoku/>
              <w:spacing w:beforeLines="0" w:afterLines="0" w:line="0" w:lineRule="atLeast"/>
              <w:ind w:firstLine="0" w:firstLineChars="0"/>
              <w:jc w:val="center"/>
              <w:rPr>
                <w:color w:val="auto"/>
                <w:sz w:val="21"/>
                <w:highlight w:val="none"/>
              </w:rPr>
            </w:pPr>
          </w:p>
        </w:tc>
      </w:tr>
      <w:tr w14:paraId="019B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62274924">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38880056">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681CC7E5">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5EC1DB48">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25F06BCD">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441470F9">
            <w:pPr>
              <w:kinsoku/>
              <w:spacing w:beforeLines="0" w:afterLines="0" w:line="0" w:lineRule="atLeast"/>
              <w:ind w:firstLine="0" w:firstLineChars="0"/>
              <w:jc w:val="center"/>
              <w:rPr>
                <w:color w:val="auto"/>
                <w:sz w:val="21"/>
                <w:highlight w:val="none"/>
              </w:rPr>
            </w:pPr>
          </w:p>
        </w:tc>
      </w:tr>
      <w:tr w14:paraId="2AAB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13175F70">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058BD1FA">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0505799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23D33820">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6D5B13A">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2309024B">
            <w:pPr>
              <w:kinsoku/>
              <w:spacing w:beforeLines="0" w:afterLines="0" w:line="0" w:lineRule="atLeast"/>
              <w:ind w:firstLine="0" w:firstLineChars="0"/>
              <w:jc w:val="center"/>
              <w:rPr>
                <w:color w:val="auto"/>
                <w:sz w:val="21"/>
                <w:highlight w:val="none"/>
              </w:rPr>
            </w:pPr>
          </w:p>
        </w:tc>
      </w:tr>
      <w:tr w14:paraId="1DCC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52137A54">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63BA0D9A">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56EA30C5">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EC57F28">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1BD8F854">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1E46740A">
            <w:pPr>
              <w:kinsoku/>
              <w:spacing w:beforeLines="0" w:afterLines="0" w:line="0" w:lineRule="atLeast"/>
              <w:ind w:firstLine="0" w:firstLineChars="0"/>
              <w:jc w:val="center"/>
              <w:rPr>
                <w:color w:val="auto"/>
                <w:sz w:val="21"/>
                <w:highlight w:val="none"/>
              </w:rPr>
            </w:pPr>
          </w:p>
        </w:tc>
      </w:tr>
      <w:tr w14:paraId="48A7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2EEB8AB1">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48546904">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301F1D7E">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664A8CE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54DEE0AF">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7C3BBF15">
            <w:pPr>
              <w:kinsoku/>
              <w:spacing w:beforeLines="0" w:afterLines="0" w:line="0" w:lineRule="atLeast"/>
              <w:ind w:firstLine="0" w:firstLineChars="0"/>
              <w:jc w:val="center"/>
              <w:rPr>
                <w:color w:val="auto"/>
                <w:sz w:val="21"/>
                <w:highlight w:val="none"/>
              </w:rPr>
            </w:pPr>
          </w:p>
        </w:tc>
      </w:tr>
      <w:tr w14:paraId="3433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0461E32E">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69C5C6C3">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119B1FA7">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5726E3E">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2317A82">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3B4EBC30">
            <w:pPr>
              <w:kinsoku/>
              <w:spacing w:beforeLines="0" w:afterLines="0" w:line="0" w:lineRule="atLeast"/>
              <w:ind w:firstLine="0" w:firstLineChars="0"/>
              <w:jc w:val="center"/>
              <w:rPr>
                <w:color w:val="auto"/>
                <w:sz w:val="21"/>
                <w:highlight w:val="none"/>
              </w:rPr>
            </w:pPr>
          </w:p>
        </w:tc>
      </w:tr>
      <w:tr w14:paraId="4DC3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3E3CE949">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2</w:t>
            </w:r>
          </w:p>
        </w:tc>
        <w:tc>
          <w:tcPr>
            <w:tcW w:w="2564" w:type="dxa"/>
            <w:tcBorders>
              <w:tl2br w:val="nil"/>
              <w:tr2bl w:val="nil"/>
            </w:tcBorders>
            <w:vAlign w:val="center"/>
          </w:tcPr>
          <w:p w14:paraId="036E08B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材料</w:t>
            </w:r>
          </w:p>
        </w:tc>
        <w:tc>
          <w:tcPr>
            <w:tcW w:w="1370" w:type="dxa"/>
            <w:tcBorders>
              <w:tl2br w:val="nil"/>
              <w:tr2bl w:val="nil"/>
            </w:tcBorders>
            <w:vAlign w:val="center"/>
          </w:tcPr>
          <w:p w14:paraId="1740704B">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1C6A330">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698DFBE2">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02E93479">
            <w:pPr>
              <w:kinsoku/>
              <w:spacing w:beforeLines="0" w:afterLines="0" w:line="0" w:lineRule="atLeast"/>
              <w:ind w:firstLine="0" w:firstLineChars="0"/>
              <w:jc w:val="center"/>
              <w:rPr>
                <w:color w:val="auto"/>
                <w:sz w:val="21"/>
                <w:highlight w:val="none"/>
              </w:rPr>
            </w:pPr>
          </w:p>
        </w:tc>
      </w:tr>
      <w:tr w14:paraId="1508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0D075CD6">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0E89F545">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2E6591B5">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D97795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1979787">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3087F6A5">
            <w:pPr>
              <w:kinsoku/>
              <w:spacing w:beforeLines="0" w:afterLines="0" w:line="0" w:lineRule="atLeast"/>
              <w:ind w:firstLine="0" w:firstLineChars="0"/>
              <w:jc w:val="center"/>
              <w:rPr>
                <w:color w:val="auto"/>
                <w:sz w:val="21"/>
                <w:highlight w:val="none"/>
              </w:rPr>
            </w:pPr>
          </w:p>
        </w:tc>
      </w:tr>
      <w:tr w14:paraId="36302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60D1613A">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2BF4EBAE">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4D69F977">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551C3611">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49E6A7C9">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63B669E1">
            <w:pPr>
              <w:kinsoku/>
              <w:spacing w:beforeLines="0" w:afterLines="0" w:line="0" w:lineRule="atLeast"/>
              <w:ind w:firstLine="0" w:firstLineChars="0"/>
              <w:jc w:val="center"/>
              <w:rPr>
                <w:color w:val="auto"/>
                <w:sz w:val="21"/>
                <w:highlight w:val="none"/>
              </w:rPr>
            </w:pPr>
          </w:p>
        </w:tc>
      </w:tr>
      <w:tr w14:paraId="73D0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76FFB485">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7EA2D9A8">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56B3A6B5">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242CBAE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215C1535">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012B1FB9">
            <w:pPr>
              <w:kinsoku/>
              <w:spacing w:beforeLines="0" w:afterLines="0" w:line="0" w:lineRule="atLeast"/>
              <w:ind w:firstLine="0" w:firstLineChars="0"/>
              <w:jc w:val="center"/>
              <w:rPr>
                <w:color w:val="auto"/>
                <w:sz w:val="21"/>
                <w:highlight w:val="none"/>
              </w:rPr>
            </w:pPr>
          </w:p>
        </w:tc>
      </w:tr>
      <w:tr w14:paraId="0A6C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33836340">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53CB5C83">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0AAFE364">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9B8B5D3">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41575732">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07AC1684">
            <w:pPr>
              <w:kinsoku/>
              <w:spacing w:beforeLines="0" w:afterLines="0" w:line="0" w:lineRule="atLeast"/>
              <w:ind w:firstLine="0" w:firstLineChars="0"/>
              <w:jc w:val="center"/>
              <w:rPr>
                <w:color w:val="auto"/>
                <w:sz w:val="21"/>
                <w:highlight w:val="none"/>
              </w:rPr>
            </w:pPr>
          </w:p>
        </w:tc>
      </w:tr>
      <w:tr w14:paraId="10C4D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4926EBA7">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5D088C6A">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379106B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79E3550A">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238A451C">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04C799A7">
            <w:pPr>
              <w:kinsoku/>
              <w:spacing w:beforeLines="0" w:afterLines="0" w:line="0" w:lineRule="atLeast"/>
              <w:ind w:firstLine="0" w:firstLineChars="0"/>
              <w:jc w:val="center"/>
              <w:rPr>
                <w:color w:val="auto"/>
                <w:sz w:val="21"/>
                <w:highlight w:val="none"/>
              </w:rPr>
            </w:pPr>
          </w:p>
        </w:tc>
      </w:tr>
      <w:tr w14:paraId="7E0C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74598D25">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632DBF8F">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5690860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753F04AA">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4F61776A">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352565D3">
            <w:pPr>
              <w:kinsoku/>
              <w:spacing w:beforeLines="0" w:afterLines="0" w:line="0" w:lineRule="atLeast"/>
              <w:ind w:firstLine="0" w:firstLineChars="0"/>
              <w:jc w:val="center"/>
              <w:rPr>
                <w:color w:val="auto"/>
                <w:sz w:val="21"/>
                <w:highlight w:val="none"/>
              </w:rPr>
            </w:pPr>
          </w:p>
        </w:tc>
      </w:tr>
      <w:tr w14:paraId="3D023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6768FB6C">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z w:val="21"/>
                <w:szCs w:val="21"/>
                <w:highlight w:val="none"/>
                <w:lang w:eastAsia="en-US"/>
              </w:rPr>
              <w:t>3</w:t>
            </w:r>
          </w:p>
        </w:tc>
        <w:tc>
          <w:tcPr>
            <w:tcW w:w="2564" w:type="dxa"/>
            <w:tcBorders>
              <w:tl2br w:val="nil"/>
              <w:tr2bl w:val="nil"/>
            </w:tcBorders>
            <w:vAlign w:val="center"/>
          </w:tcPr>
          <w:p w14:paraId="5E7362F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机械</w:t>
            </w:r>
          </w:p>
        </w:tc>
        <w:tc>
          <w:tcPr>
            <w:tcW w:w="1370" w:type="dxa"/>
            <w:tcBorders>
              <w:tl2br w:val="nil"/>
              <w:tr2bl w:val="nil"/>
            </w:tcBorders>
            <w:vAlign w:val="center"/>
          </w:tcPr>
          <w:p w14:paraId="42494DE7">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C295161">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684672C6">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21B5F21C">
            <w:pPr>
              <w:kinsoku/>
              <w:spacing w:beforeLines="0" w:afterLines="0" w:line="0" w:lineRule="atLeast"/>
              <w:ind w:firstLine="0" w:firstLineChars="0"/>
              <w:jc w:val="center"/>
              <w:rPr>
                <w:color w:val="auto"/>
                <w:sz w:val="21"/>
                <w:highlight w:val="none"/>
              </w:rPr>
            </w:pPr>
          </w:p>
        </w:tc>
      </w:tr>
      <w:tr w14:paraId="7B276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433E109E">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0F9A2034">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36FDB3C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1DD481B8">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454A3222">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4AF658B0">
            <w:pPr>
              <w:kinsoku/>
              <w:spacing w:beforeLines="0" w:afterLines="0" w:line="0" w:lineRule="atLeast"/>
              <w:ind w:firstLine="0" w:firstLineChars="0"/>
              <w:jc w:val="center"/>
              <w:rPr>
                <w:color w:val="auto"/>
                <w:sz w:val="21"/>
                <w:highlight w:val="none"/>
              </w:rPr>
            </w:pPr>
          </w:p>
        </w:tc>
      </w:tr>
      <w:tr w14:paraId="161D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4319AD77">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2AC4DABE">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52FEED03">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8B15BC8">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1D629C56">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3D48C323">
            <w:pPr>
              <w:kinsoku/>
              <w:spacing w:beforeLines="0" w:afterLines="0" w:line="0" w:lineRule="atLeast"/>
              <w:ind w:firstLine="0" w:firstLineChars="0"/>
              <w:jc w:val="center"/>
              <w:rPr>
                <w:color w:val="auto"/>
                <w:sz w:val="21"/>
                <w:highlight w:val="none"/>
              </w:rPr>
            </w:pPr>
          </w:p>
        </w:tc>
      </w:tr>
      <w:tr w14:paraId="5BFD8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288684C6">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1E7ABA72">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7E32097B">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1E7B731D">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5D993E09">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1C0EDC1D">
            <w:pPr>
              <w:kinsoku/>
              <w:spacing w:beforeLines="0" w:afterLines="0" w:line="0" w:lineRule="atLeast"/>
              <w:ind w:firstLine="0" w:firstLineChars="0"/>
              <w:jc w:val="center"/>
              <w:rPr>
                <w:color w:val="auto"/>
                <w:sz w:val="21"/>
                <w:highlight w:val="none"/>
              </w:rPr>
            </w:pPr>
          </w:p>
        </w:tc>
      </w:tr>
      <w:tr w14:paraId="4B6B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3E80BC3E">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3E5C9988">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0146C60F">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31C7DBC">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7940B0FE">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4A95EA30">
            <w:pPr>
              <w:kinsoku/>
              <w:spacing w:beforeLines="0" w:afterLines="0" w:line="0" w:lineRule="atLeast"/>
              <w:ind w:firstLine="0" w:firstLineChars="0"/>
              <w:jc w:val="center"/>
              <w:rPr>
                <w:color w:val="auto"/>
                <w:sz w:val="21"/>
                <w:highlight w:val="none"/>
              </w:rPr>
            </w:pPr>
          </w:p>
        </w:tc>
      </w:tr>
      <w:tr w14:paraId="6A24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553B7811">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0D1C87B9">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4A3D1370">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F86E95B">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046C153">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74366D14">
            <w:pPr>
              <w:kinsoku/>
              <w:spacing w:beforeLines="0" w:afterLines="0" w:line="0" w:lineRule="atLeast"/>
              <w:ind w:firstLine="0" w:firstLineChars="0"/>
              <w:jc w:val="center"/>
              <w:rPr>
                <w:color w:val="auto"/>
                <w:sz w:val="21"/>
                <w:highlight w:val="none"/>
              </w:rPr>
            </w:pPr>
          </w:p>
        </w:tc>
      </w:tr>
      <w:tr w14:paraId="6A74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366DB68A">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36416401">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72E06F93">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3CE3A1F6">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6FCBF0B7">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433FC477">
            <w:pPr>
              <w:kinsoku/>
              <w:spacing w:beforeLines="0" w:afterLines="0" w:line="0" w:lineRule="atLeast"/>
              <w:ind w:firstLine="0" w:firstLineChars="0"/>
              <w:jc w:val="center"/>
              <w:rPr>
                <w:color w:val="auto"/>
                <w:sz w:val="21"/>
                <w:highlight w:val="none"/>
              </w:rPr>
            </w:pPr>
          </w:p>
        </w:tc>
      </w:tr>
      <w:tr w14:paraId="44F7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2F632AFA">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5B08AF0D">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38617244">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2FBE02B5">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09D3DFB0">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74FE1763">
            <w:pPr>
              <w:kinsoku/>
              <w:spacing w:beforeLines="0" w:afterLines="0" w:line="0" w:lineRule="atLeast"/>
              <w:ind w:firstLine="0" w:firstLineChars="0"/>
              <w:jc w:val="center"/>
              <w:rPr>
                <w:color w:val="auto"/>
                <w:sz w:val="21"/>
                <w:highlight w:val="none"/>
              </w:rPr>
            </w:pPr>
          </w:p>
        </w:tc>
      </w:tr>
      <w:tr w14:paraId="1ACED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954" w:type="dxa"/>
            <w:tcBorders>
              <w:tl2br w:val="nil"/>
              <w:tr2bl w:val="nil"/>
            </w:tcBorders>
            <w:vAlign w:val="center"/>
          </w:tcPr>
          <w:p w14:paraId="2DB07C96">
            <w:pPr>
              <w:kinsoku/>
              <w:spacing w:beforeLines="0" w:afterLines="0" w:line="0" w:lineRule="atLeast"/>
              <w:ind w:firstLine="0" w:firstLineChars="0"/>
              <w:jc w:val="center"/>
              <w:rPr>
                <w:color w:val="auto"/>
                <w:sz w:val="21"/>
                <w:highlight w:val="none"/>
              </w:rPr>
            </w:pPr>
          </w:p>
        </w:tc>
        <w:tc>
          <w:tcPr>
            <w:tcW w:w="2564" w:type="dxa"/>
            <w:tcBorders>
              <w:tl2br w:val="nil"/>
              <w:tr2bl w:val="nil"/>
            </w:tcBorders>
            <w:vAlign w:val="center"/>
          </w:tcPr>
          <w:p w14:paraId="30584E98">
            <w:pPr>
              <w:kinsoku/>
              <w:spacing w:beforeLines="0" w:afterLines="0" w:line="0" w:lineRule="atLeast"/>
              <w:ind w:firstLine="0" w:firstLineChars="0"/>
              <w:jc w:val="center"/>
              <w:rPr>
                <w:color w:val="auto"/>
                <w:sz w:val="21"/>
                <w:highlight w:val="none"/>
              </w:rPr>
            </w:pPr>
          </w:p>
        </w:tc>
        <w:tc>
          <w:tcPr>
            <w:tcW w:w="1370" w:type="dxa"/>
            <w:tcBorders>
              <w:tl2br w:val="nil"/>
              <w:tr2bl w:val="nil"/>
            </w:tcBorders>
            <w:vAlign w:val="center"/>
          </w:tcPr>
          <w:p w14:paraId="65C5C23D">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4023440B">
            <w:pPr>
              <w:kinsoku/>
              <w:spacing w:beforeLines="0" w:afterLines="0" w:line="0" w:lineRule="atLeast"/>
              <w:ind w:firstLine="0" w:firstLineChars="0"/>
              <w:jc w:val="center"/>
              <w:rPr>
                <w:color w:val="auto"/>
                <w:sz w:val="21"/>
                <w:highlight w:val="none"/>
              </w:rPr>
            </w:pPr>
          </w:p>
        </w:tc>
        <w:tc>
          <w:tcPr>
            <w:tcW w:w="1369" w:type="dxa"/>
            <w:tcBorders>
              <w:tl2br w:val="nil"/>
              <w:tr2bl w:val="nil"/>
            </w:tcBorders>
            <w:vAlign w:val="center"/>
          </w:tcPr>
          <w:p w14:paraId="7AE3FB12">
            <w:pPr>
              <w:kinsoku/>
              <w:spacing w:beforeLines="0" w:afterLines="0" w:line="0" w:lineRule="atLeast"/>
              <w:ind w:firstLine="0" w:firstLineChars="0"/>
              <w:jc w:val="center"/>
              <w:rPr>
                <w:color w:val="auto"/>
                <w:sz w:val="21"/>
                <w:highlight w:val="none"/>
              </w:rPr>
            </w:pPr>
          </w:p>
        </w:tc>
        <w:tc>
          <w:tcPr>
            <w:tcW w:w="1381" w:type="dxa"/>
            <w:tcBorders>
              <w:tl2br w:val="nil"/>
              <w:tr2bl w:val="nil"/>
            </w:tcBorders>
            <w:vAlign w:val="center"/>
          </w:tcPr>
          <w:p w14:paraId="2541C2B3">
            <w:pPr>
              <w:kinsoku/>
              <w:spacing w:beforeLines="0" w:afterLines="0" w:line="0" w:lineRule="atLeast"/>
              <w:ind w:firstLine="0" w:firstLineChars="0"/>
              <w:jc w:val="center"/>
              <w:rPr>
                <w:color w:val="auto"/>
                <w:sz w:val="21"/>
                <w:highlight w:val="none"/>
              </w:rPr>
            </w:pPr>
          </w:p>
        </w:tc>
      </w:tr>
    </w:tbl>
    <w:p w14:paraId="372337C0">
      <w:pPr>
        <w:pStyle w:val="7"/>
        <w:kinsoku/>
        <w:spacing w:beforeLines="0" w:afterLines="0"/>
        <w:ind w:firstLine="420"/>
        <w:jc w:val="left"/>
        <w:rPr>
          <w:color w:val="auto"/>
          <w:highlight w:val="none"/>
        </w:rPr>
      </w:pPr>
    </w:p>
    <w:p w14:paraId="178DE270">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法定代表人或委托代理人：</w:t>
      </w:r>
      <w:r>
        <w:rPr>
          <w:rFonts w:ascii="宋体" w:cs="宋体"/>
          <w:b w:val="0"/>
          <w:color w:val="auto"/>
          <w:spacing w:val="0"/>
          <w:sz w:val="24"/>
          <w:szCs w:val="24"/>
          <w:highlight w:val="none"/>
          <w:u w:val="single"/>
          <w:lang w:eastAsia="zh-CN"/>
        </w:rPr>
        <w:t>（签字或盖章）</w:t>
      </w:r>
    </w:p>
    <w:p w14:paraId="567ABA69">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16283154">
      <w:pPr>
        <w:kinsoku/>
        <w:spacing w:beforeLines="0" w:afterLines="0"/>
        <w:ind w:firstLine="420"/>
        <w:jc w:val="left"/>
        <w:rPr>
          <w:rFonts w:cs="宋体"/>
          <w:color w:val="auto"/>
          <w:szCs w:val="24"/>
          <w:highlight w:val="none"/>
          <w:lang w:eastAsia="zh-CN"/>
        </w:rPr>
        <w:sectPr>
          <w:pgSz w:w="11905" w:h="16840"/>
          <w:pgMar w:top="1616" w:right="1418" w:bottom="1616" w:left="1418" w:header="851" w:footer="1304" w:gutter="0"/>
          <w:pgNumType w:fmt="decimal"/>
          <w:cols w:space="720" w:num="1"/>
          <w:docGrid w:linePitch="381" w:charSpace="0"/>
        </w:sectPr>
      </w:pPr>
    </w:p>
    <w:p w14:paraId="54F6B3D4">
      <w:pPr>
        <w:pStyle w:val="4"/>
        <w:kinsoku/>
        <w:spacing w:before="0" w:beforeLines="0" w:afterLines="0"/>
        <w:ind w:left="0"/>
        <w:jc w:val="center"/>
        <w:rPr>
          <w:rFonts w:hint="eastAsia" w:cs="宋体"/>
          <w:bCs/>
          <w:color w:val="auto"/>
          <w:szCs w:val="24"/>
          <w:highlight w:val="none"/>
          <w:lang w:eastAsia="zh-CN"/>
        </w:rPr>
      </w:pPr>
      <w:bookmarkStart w:id="2478" w:name="_Toc6311"/>
      <w:bookmarkStart w:id="2479" w:name="_Toc580"/>
      <w:bookmarkStart w:id="2480" w:name="_Toc25064"/>
      <w:r>
        <w:rPr>
          <w:rFonts w:hint="eastAsia" w:ascii="宋体" w:cs="宋体"/>
          <w:b/>
          <w:bCs/>
          <w:color w:val="auto"/>
          <w:spacing w:val="0"/>
          <w:sz w:val="24"/>
          <w:szCs w:val="24"/>
          <w:highlight w:val="none"/>
          <w:lang w:eastAsia="zh-CN"/>
        </w:rPr>
        <w:t>电、风、水、砂石基础单价汇总表</w:t>
      </w:r>
      <w:bookmarkEnd w:id="2478"/>
      <w:bookmarkEnd w:id="2479"/>
      <w:bookmarkEnd w:id="2480"/>
    </w:p>
    <w:p w14:paraId="5A555275">
      <w:pPr>
        <w:kinsoku/>
        <w:spacing w:beforeLines="0" w:afterLines="0"/>
        <w:ind w:firstLine="420"/>
        <w:jc w:val="left"/>
        <w:rPr>
          <w:color w:val="auto"/>
          <w:highlight w:val="none"/>
          <w:lang w:eastAsia="zh-CN"/>
        </w:rPr>
      </w:pPr>
      <w:r>
        <w:rPr>
          <w:rFonts w:ascii="宋体" w:cs="宋体"/>
          <w:b w:val="0"/>
          <w:color w:val="auto"/>
          <w:spacing w:val="0"/>
          <w:sz w:val="24"/>
          <w:szCs w:val="24"/>
          <w:highlight w:val="none"/>
          <w:lang w:eastAsia="zh-CN"/>
        </w:rPr>
        <w:t>项目及标段名称：</w:t>
      </w:r>
      <w:r>
        <w:rPr>
          <w:rFonts w:hint="eastAsia" w:cs="宋体"/>
          <w:b w:val="0"/>
          <w:color w:val="auto"/>
          <w:spacing w:val="0"/>
          <w:sz w:val="24"/>
          <w:szCs w:val="24"/>
          <w:highlight w:val="none"/>
          <w:lang w:val="en-US" w:eastAsia="zh-CN"/>
        </w:rPr>
        <w:tab/>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hint="eastAsia" w:cs="宋体"/>
          <w:color w:val="auto"/>
          <w:spacing w:val="19"/>
          <w:sz w:val="24"/>
          <w:szCs w:val="24"/>
          <w:highlight w:val="none"/>
          <w:u w:val="single" w:color="auto"/>
          <w:lang w:val="en-US" w:eastAsia="zh-CN"/>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ascii="宋体" w:cs="宋体"/>
          <w:b w:val="0"/>
          <w:color w:val="auto"/>
          <w:spacing w:val="0"/>
          <w:sz w:val="24"/>
          <w:szCs w:val="24"/>
          <w:highlight w:val="none"/>
          <w:lang w:eastAsia="zh-CN"/>
        </w:rPr>
        <w:t>第</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共</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p>
    <w:tbl>
      <w:tblPr>
        <w:tblStyle w:val="2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07"/>
        <w:gridCol w:w="3127"/>
        <w:gridCol w:w="1078"/>
        <w:gridCol w:w="1893"/>
        <w:gridCol w:w="1902"/>
      </w:tblGrid>
      <w:tr w14:paraId="1BC4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699774F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3127" w:type="dxa"/>
            <w:tcBorders>
              <w:tl2br w:val="nil"/>
              <w:tr2bl w:val="nil"/>
            </w:tcBorders>
            <w:vAlign w:val="center"/>
          </w:tcPr>
          <w:p w14:paraId="44B050A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名称</w:t>
            </w:r>
          </w:p>
        </w:tc>
        <w:tc>
          <w:tcPr>
            <w:tcW w:w="1078" w:type="dxa"/>
            <w:tcBorders>
              <w:tl2br w:val="nil"/>
              <w:tr2bl w:val="nil"/>
            </w:tcBorders>
            <w:vAlign w:val="center"/>
          </w:tcPr>
          <w:p w14:paraId="5184638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计量</w:t>
            </w:r>
          </w:p>
          <w:p w14:paraId="7EDEBED2">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单位</w:t>
            </w:r>
          </w:p>
        </w:tc>
        <w:tc>
          <w:tcPr>
            <w:tcW w:w="1893" w:type="dxa"/>
            <w:tcBorders>
              <w:tl2br w:val="nil"/>
              <w:tr2bl w:val="nil"/>
            </w:tcBorders>
            <w:vAlign w:val="center"/>
          </w:tcPr>
          <w:p w14:paraId="1F4D125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单价（元）</w:t>
            </w:r>
          </w:p>
        </w:tc>
        <w:tc>
          <w:tcPr>
            <w:tcW w:w="1902" w:type="dxa"/>
            <w:tcBorders>
              <w:tl2br w:val="nil"/>
              <w:tr2bl w:val="nil"/>
            </w:tcBorders>
            <w:vAlign w:val="center"/>
          </w:tcPr>
          <w:p w14:paraId="478D1CD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4FDA3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6AD173E5">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17D92D01">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556BFF07">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14434B0A">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37789C78">
            <w:pPr>
              <w:kinsoku/>
              <w:spacing w:beforeLines="0" w:afterLines="0" w:line="0" w:lineRule="atLeast"/>
              <w:ind w:firstLine="0" w:firstLineChars="0"/>
              <w:jc w:val="center"/>
              <w:rPr>
                <w:color w:val="auto"/>
                <w:sz w:val="21"/>
                <w:highlight w:val="none"/>
              </w:rPr>
            </w:pPr>
          </w:p>
        </w:tc>
      </w:tr>
      <w:tr w14:paraId="5029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4BECF1C8">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6FBC7AB8">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43A51109">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03991B7D">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3203A79E">
            <w:pPr>
              <w:kinsoku/>
              <w:spacing w:beforeLines="0" w:afterLines="0" w:line="0" w:lineRule="atLeast"/>
              <w:ind w:firstLine="0" w:firstLineChars="0"/>
              <w:jc w:val="center"/>
              <w:rPr>
                <w:color w:val="auto"/>
                <w:sz w:val="21"/>
                <w:highlight w:val="none"/>
              </w:rPr>
            </w:pPr>
          </w:p>
        </w:tc>
      </w:tr>
      <w:tr w14:paraId="51B8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0138FA84">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0758BB41">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4791A541">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198C7CC5">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5A8B1AE1">
            <w:pPr>
              <w:kinsoku/>
              <w:spacing w:beforeLines="0" w:afterLines="0" w:line="0" w:lineRule="atLeast"/>
              <w:ind w:firstLine="0" w:firstLineChars="0"/>
              <w:jc w:val="center"/>
              <w:rPr>
                <w:color w:val="auto"/>
                <w:sz w:val="21"/>
                <w:highlight w:val="none"/>
              </w:rPr>
            </w:pPr>
          </w:p>
        </w:tc>
      </w:tr>
      <w:tr w14:paraId="7EBF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4CB2EDD2">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14E973A4">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29BEA4D9">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2DC72ED1">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27A6C2AB">
            <w:pPr>
              <w:kinsoku/>
              <w:spacing w:beforeLines="0" w:afterLines="0" w:line="0" w:lineRule="atLeast"/>
              <w:ind w:firstLine="0" w:firstLineChars="0"/>
              <w:jc w:val="center"/>
              <w:rPr>
                <w:color w:val="auto"/>
                <w:sz w:val="21"/>
                <w:highlight w:val="none"/>
              </w:rPr>
            </w:pPr>
          </w:p>
        </w:tc>
      </w:tr>
      <w:tr w14:paraId="5415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6BB906BD">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2FD26920">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0FEA5476">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3AA5E976">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75C7EC5F">
            <w:pPr>
              <w:kinsoku/>
              <w:spacing w:beforeLines="0" w:afterLines="0" w:line="0" w:lineRule="atLeast"/>
              <w:ind w:firstLine="0" w:firstLineChars="0"/>
              <w:jc w:val="center"/>
              <w:rPr>
                <w:color w:val="auto"/>
                <w:sz w:val="21"/>
                <w:highlight w:val="none"/>
              </w:rPr>
            </w:pPr>
          </w:p>
        </w:tc>
      </w:tr>
      <w:tr w14:paraId="2D42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4A08C705">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11407EDF">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16963B15">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71502A87">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2AD1444E">
            <w:pPr>
              <w:kinsoku/>
              <w:spacing w:beforeLines="0" w:afterLines="0" w:line="0" w:lineRule="atLeast"/>
              <w:ind w:firstLine="0" w:firstLineChars="0"/>
              <w:jc w:val="center"/>
              <w:rPr>
                <w:color w:val="auto"/>
                <w:sz w:val="21"/>
                <w:highlight w:val="none"/>
              </w:rPr>
            </w:pPr>
          </w:p>
        </w:tc>
      </w:tr>
      <w:tr w14:paraId="3764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3F15F9BD">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38AB1E0C">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2035500D">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74952ECB">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30EAC0F1">
            <w:pPr>
              <w:kinsoku/>
              <w:spacing w:beforeLines="0" w:afterLines="0" w:line="0" w:lineRule="atLeast"/>
              <w:ind w:firstLine="0" w:firstLineChars="0"/>
              <w:jc w:val="center"/>
              <w:rPr>
                <w:color w:val="auto"/>
                <w:sz w:val="21"/>
                <w:highlight w:val="none"/>
              </w:rPr>
            </w:pPr>
          </w:p>
        </w:tc>
      </w:tr>
      <w:tr w14:paraId="31AD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4F21F349">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10173FC6">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54F659F5">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66836B98">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3086D80C">
            <w:pPr>
              <w:kinsoku/>
              <w:spacing w:beforeLines="0" w:afterLines="0" w:line="0" w:lineRule="atLeast"/>
              <w:ind w:firstLine="0" w:firstLineChars="0"/>
              <w:jc w:val="center"/>
              <w:rPr>
                <w:color w:val="auto"/>
                <w:sz w:val="21"/>
                <w:highlight w:val="none"/>
              </w:rPr>
            </w:pPr>
          </w:p>
        </w:tc>
      </w:tr>
      <w:tr w14:paraId="7958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3979D9D2">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1D35D9CB">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4ECBBFB8">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7591F297">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13552690">
            <w:pPr>
              <w:kinsoku/>
              <w:spacing w:beforeLines="0" w:afterLines="0" w:line="0" w:lineRule="atLeast"/>
              <w:ind w:firstLine="0" w:firstLineChars="0"/>
              <w:jc w:val="center"/>
              <w:rPr>
                <w:color w:val="auto"/>
                <w:sz w:val="21"/>
                <w:highlight w:val="none"/>
              </w:rPr>
            </w:pPr>
          </w:p>
        </w:tc>
      </w:tr>
      <w:tr w14:paraId="5E69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5C983AE5">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002644F1">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73EE32B4">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0F48A776">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60910AF3">
            <w:pPr>
              <w:kinsoku/>
              <w:spacing w:beforeLines="0" w:afterLines="0" w:line="0" w:lineRule="atLeast"/>
              <w:ind w:firstLine="0" w:firstLineChars="0"/>
              <w:jc w:val="center"/>
              <w:rPr>
                <w:color w:val="auto"/>
                <w:sz w:val="21"/>
                <w:highlight w:val="none"/>
              </w:rPr>
            </w:pPr>
          </w:p>
        </w:tc>
      </w:tr>
      <w:tr w14:paraId="57B1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43FD2E98">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005FEAD7">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2F38E5DC">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712DA513">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422B8EB6">
            <w:pPr>
              <w:kinsoku/>
              <w:spacing w:beforeLines="0" w:afterLines="0" w:line="0" w:lineRule="atLeast"/>
              <w:ind w:firstLine="0" w:firstLineChars="0"/>
              <w:jc w:val="center"/>
              <w:rPr>
                <w:color w:val="auto"/>
                <w:sz w:val="21"/>
                <w:highlight w:val="none"/>
              </w:rPr>
            </w:pPr>
          </w:p>
        </w:tc>
      </w:tr>
      <w:tr w14:paraId="0EBC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19EFC1E7">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7C65573B">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5379AF24">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40B23362">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2D30DA69">
            <w:pPr>
              <w:kinsoku/>
              <w:spacing w:beforeLines="0" w:afterLines="0" w:line="0" w:lineRule="atLeast"/>
              <w:ind w:firstLine="0" w:firstLineChars="0"/>
              <w:jc w:val="center"/>
              <w:rPr>
                <w:color w:val="auto"/>
                <w:sz w:val="21"/>
                <w:highlight w:val="none"/>
              </w:rPr>
            </w:pPr>
          </w:p>
        </w:tc>
      </w:tr>
      <w:tr w14:paraId="6078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6AD4DB42">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3CE00493">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66EBA4FA">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3FC1ED0D">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050C8C3A">
            <w:pPr>
              <w:kinsoku/>
              <w:spacing w:beforeLines="0" w:afterLines="0" w:line="0" w:lineRule="atLeast"/>
              <w:ind w:firstLine="0" w:firstLineChars="0"/>
              <w:jc w:val="center"/>
              <w:rPr>
                <w:color w:val="auto"/>
                <w:sz w:val="21"/>
                <w:highlight w:val="none"/>
              </w:rPr>
            </w:pPr>
          </w:p>
        </w:tc>
      </w:tr>
      <w:tr w14:paraId="7438B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279E3837">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258B1DA0">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29920D1B">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11737A7A">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211C4EFE">
            <w:pPr>
              <w:kinsoku/>
              <w:spacing w:beforeLines="0" w:afterLines="0" w:line="0" w:lineRule="atLeast"/>
              <w:ind w:firstLine="0" w:firstLineChars="0"/>
              <w:jc w:val="center"/>
              <w:rPr>
                <w:color w:val="auto"/>
                <w:sz w:val="21"/>
                <w:highlight w:val="none"/>
              </w:rPr>
            </w:pPr>
          </w:p>
        </w:tc>
      </w:tr>
      <w:tr w14:paraId="74877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7B4BEEF7">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0F6DC663">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254FBD36">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3052B141">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16952580">
            <w:pPr>
              <w:kinsoku/>
              <w:spacing w:beforeLines="0" w:afterLines="0" w:line="0" w:lineRule="atLeast"/>
              <w:ind w:firstLine="0" w:firstLineChars="0"/>
              <w:jc w:val="center"/>
              <w:rPr>
                <w:color w:val="auto"/>
                <w:sz w:val="21"/>
                <w:highlight w:val="none"/>
              </w:rPr>
            </w:pPr>
          </w:p>
        </w:tc>
      </w:tr>
      <w:tr w14:paraId="6B0A9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0188B99E">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305D805B">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42032CFD">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1D6DC22B">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6CE60A92">
            <w:pPr>
              <w:kinsoku/>
              <w:spacing w:beforeLines="0" w:afterLines="0" w:line="0" w:lineRule="atLeast"/>
              <w:ind w:firstLine="0" w:firstLineChars="0"/>
              <w:jc w:val="center"/>
              <w:rPr>
                <w:color w:val="auto"/>
                <w:sz w:val="21"/>
                <w:highlight w:val="none"/>
              </w:rPr>
            </w:pPr>
          </w:p>
        </w:tc>
      </w:tr>
      <w:tr w14:paraId="4CEB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007" w:type="dxa"/>
            <w:tcBorders>
              <w:tl2br w:val="nil"/>
              <w:tr2bl w:val="nil"/>
            </w:tcBorders>
            <w:vAlign w:val="center"/>
          </w:tcPr>
          <w:p w14:paraId="7E861CE3">
            <w:pPr>
              <w:kinsoku/>
              <w:spacing w:beforeLines="0" w:afterLines="0" w:line="0" w:lineRule="atLeast"/>
              <w:ind w:firstLine="0" w:firstLineChars="0"/>
              <w:jc w:val="center"/>
              <w:rPr>
                <w:color w:val="auto"/>
                <w:sz w:val="21"/>
                <w:highlight w:val="none"/>
              </w:rPr>
            </w:pPr>
          </w:p>
        </w:tc>
        <w:tc>
          <w:tcPr>
            <w:tcW w:w="3127" w:type="dxa"/>
            <w:tcBorders>
              <w:tl2br w:val="nil"/>
              <w:tr2bl w:val="nil"/>
            </w:tcBorders>
            <w:vAlign w:val="center"/>
          </w:tcPr>
          <w:p w14:paraId="5750EB39">
            <w:pPr>
              <w:kinsoku/>
              <w:spacing w:beforeLines="0" w:afterLines="0" w:line="0" w:lineRule="atLeast"/>
              <w:ind w:firstLine="0" w:firstLineChars="0"/>
              <w:jc w:val="center"/>
              <w:rPr>
                <w:color w:val="auto"/>
                <w:sz w:val="21"/>
                <w:highlight w:val="none"/>
              </w:rPr>
            </w:pPr>
          </w:p>
        </w:tc>
        <w:tc>
          <w:tcPr>
            <w:tcW w:w="1078" w:type="dxa"/>
            <w:tcBorders>
              <w:tl2br w:val="nil"/>
              <w:tr2bl w:val="nil"/>
            </w:tcBorders>
            <w:vAlign w:val="center"/>
          </w:tcPr>
          <w:p w14:paraId="3619C08E">
            <w:pPr>
              <w:kinsoku/>
              <w:spacing w:beforeLines="0" w:afterLines="0" w:line="0" w:lineRule="atLeast"/>
              <w:ind w:firstLine="0" w:firstLineChars="0"/>
              <w:jc w:val="center"/>
              <w:rPr>
                <w:color w:val="auto"/>
                <w:sz w:val="21"/>
                <w:highlight w:val="none"/>
              </w:rPr>
            </w:pPr>
          </w:p>
        </w:tc>
        <w:tc>
          <w:tcPr>
            <w:tcW w:w="1893" w:type="dxa"/>
            <w:tcBorders>
              <w:tl2br w:val="nil"/>
              <w:tr2bl w:val="nil"/>
            </w:tcBorders>
            <w:vAlign w:val="center"/>
          </w:tcPr>
          <w:p w14:paraId="5C5C3A38">
            <w:pPr>
              <w:kinsoku/>
              <w:spacing w:beforeLines="0" w:afterLines="0" w:line="0" w:lineRule="atLeast"/>
              <w:ind w:firstLine="0" w:firstLineChars="0"/>
              <w:jc w:val="center"/>
              <w:rPr>
                <w:color w:val="auto"/>
                <w:sz w:val="21"/>
                <w:highlight w:val="none"/>
              </w:rPr>
            </w:pPr>
          </w:p>
        </w:tc>
        <w:tc>
          <w:tcPr>
            <w:tcW w:w="1902" w:type="dxa"/>
            <w:tcBorders>
              <w:tl2br w:val="nil"/>
              <w:tr2bl w:val="nil"/>
            </w:tcBorders>
            <w:vAlign w:val="center"/>
          </w:tcPr>
          <w:p w14:paraId="5CA65F1C">
            <w:pPr>
              <w:kinsoku/>
              <w:spacing w:beforeLines="0" w:afterLines="0" w:line="0" w:lineRule="atLeast"/>
              <w:ind w:firstLine="0" w:firstLineChars="0"/>
              <w:jc w:val="center"/>
              <w:rPr>
                <w:color w:val="auto"/>
                <w:sz w:val="21"/>
                <w:highlight w:val="none"/>
              </w:rPr>
            </w:pPr>
          </w:p>
        </w:tc>
      </w:tr>
    </w:tbl>
    <w:p w14:paraId="31B4ED55">
      <w:pPr>
        <w:pStyle w:val="7"/>
        <w:kinsoku/>
        <w:spacing w:beforeLines="0" w:afterLines="0"/>
        <w:ind w:firstLine="420"/>
        <w:jc w:val="left"/>
        <w:rPr>
          <w:color w:val="auto"/>
          <w:highlight w:val="none"/>
        </w:rPr>
      </w:pPr>
    </w:p>
    <w:p w14:paraId="26C8E2CC">
      <w:pPr>
        <w:kinsoku/>
        <w:spacing w:beforeLines="0" w:afterLines="0"/>
        <w:ind w:firstLine="420"/>
        <w:jc w:val="left"/>
        <w:rPr>
          <w:color w:val="auto"/>
          <w:highlight w:val="none"/>
        </w:rPr>
        <w:sectPr>
          <w:pgSz w:w="11905" w:h="16840"/>
          <w:pgMar w:top="1616" w:right="1418" w:bottom="1616" w:left="1418" w:header="851" w:footer="1304" w:gutter="0"/>
          <w:pgNumType w:fmt="decimal"/>
          <w:cols w:space="720" w:num="1"/>
          <w:docGrid w:linePitch="381" w:charSpace="0"/>
        </w:sectPr>
      </w:pPr>
    </w:p>
    <w:p w14:paraId="225F6E32">
      <w:pPr>
        <w:pStyle w:val="4"/>
        <w:kinsoku/>
        <w:spacing w:before="0" w:beforeLines="0" w:afterLines="0"/>
        <w:ind w:left="0"/>
        <w:jc w:val="center"/>
        <w:rPr>
          <w:rFonts w:hint="eastAsia" w:cs="宋体"/>
          <w:bCs/>
          <w:color w:val="auto"/>
          <w:szCs w:val="24"/>
          <w:highlight w:val="none"/>
          <w:lang w:eastAsia="zh-CN"/>
        </w:rPr>
      </w:pPr>
      <w:bookmarkStart w:id="2481" w:name="_Toc23497"/>
      <w:bookmarkStart w:id="2482" w:name="_Toc30590"/>
      <w:bookmarkStart w:id="2483" w:name="_Toc30742"/>
      <w:r>
        <w:rPr>
          <w:rFonts w:hint="eastAsia" w:ascii="宋体" w:cs="宋体"/>
          <w:b/>
          <w:bCs/>
          <w:color w:val="auto"/>
          <w:spacing w:val="0"/>
          <w:sz w:val="24"/>
          <w:szCs w:val="24"/>
          <w:highlight w:val="none"/>
          <w:lang w:eastAsia="zh-CN"/>
        </w:rPr>
        <w:t>混凝土（砂浆）配合比材料费表</w:t>
      </w:r>
      <w:bookmarkEnd w:id="2481"/>
      <w:bookmarkEnd w:id="2482"/>
      <w:bookmarkEnd w:id="2483"/>
    </w:p>
    <w:p w14:paraId="7EFFE8AF">
      <w:pPr>
        <w:kinsoku/>
        <w:rPr>
          <w:color w:val="auto"/>
          <w:highlight w:val="none"/>
          <w:lang w:eastAsia="zh-CN"/>
        </w:rPr>
      </w:pPr>
      <w:r>
        <w:rPr>
          <w:rFonts w:hint="eastAsia"/>
          <w:color w:val="auto"/>
          <w:highlight w:val="none"/>
          <w:lang w:eastAsia="zh-CN"/>
        </w:rPr>
        <w:t>项目及标段名称：</w:t>
      </w:r>
      <w:r>
        <w:rPr>
          <w:rFonts w:hint="eastAsia" w:cs="宋体"/>
          <w:b w:val="0"/>
          <w:color w:val="auto"/>
          <w:spacing w:val="0"/>
          <w:sz w:val="24"/>
          <w:szCs w:val="24"/>
          <w:highlight w:val="none"/>
          <w:lang w:val="en-US" w:eastAsia="zh-CN"/>
        </w:rPr>
        <w:tab/>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hint="eastAsia" w:cs="宋体"/>
          <w:color w:val="auto"/>
          <w:spacing w:val="19"/>
          <w:sz w:val="24"/>
          <w:szCs w:val="24"/>
          <w:highlight w:val="none"/>
          <w:u w:val="single" w:color="auto"/>
          <w:lang w:val="en-US" w:eastAsia="zh-CN"/>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9"/>
          <w:sz w:val="24"/>
          <w:szCs w:val="24"/>
          <w:highlight w:val="none"/>
          <w:u w:val="single" w:color="auto"/>
          <w:lang w:val="en-US" w:eastAsia="zh-CN"/>
        </w:rPr>
        <w:t xml:space="preserve"> </w:t>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val="en-US" w:eastAsia="zh-CN"/>
        </w:rPr>
        <w:tab/>
      </w:r>
      <w:r>
        <w:rPr>
          <w:rFonts w:hint="eastAsia"/>
          <w:color w:val="auto"/>
          <w:highlight w:val="none"/>
          <w:lang w:eastAsia="zh-CN"/>
        </w:rPr>
        <w:t>第</w:t>
      </w:r>
      <w:r>
        <w:rPr>
          <w:rFonts w:hint="eastAsia"/>
          <w:color w:val="auto"/>
          <w:highlight w:val="none"/>
          <w:lang w:val="en-US" w:eastAsia="zh-CN"/>
        </w:rPr>
        <w:t xml:space="preserve">   </w:t>
      </w:r>
      <w:r>
        <w:rPr>
          <w:rFonts w:hint="eastAsia"/>
          <w:color w:val="auto"/>
          <w:highlight w:val="none"/>
          <w:lang w:eastAsia="zh-CN"/>
        </w:rPr>
        <w:t>页</w:t>
      </w:r>
      <w:r>
        <w:rPr>
          <w:rFonts w:hint="eastAsia"/>
          <w:color w:val="auto"/>
          <w:highlight w:val="none"/>
          <w:lang w:val="en-US" w:eastAsia="zh-CN"/>
        </w:rPr>
        <w:t xml:space="preserve"> </w:t>
      </w:r>
      <w:r>
        <w:rPr>
          <w:rFonts w:hint="eastAsia"/>
          <w:color w:val="auto"/>
          <w:highlight w:val="none"/>
          <w:lang w:eastAsia="zh-CN"/>
        </w:rPr>
        <w:t>共</w:t>
      </w:r>
      <w:r>
        <w:rPr>
          <w:rFonts w:hint="eastAsia"/>
          <w:color w:val="auto"/>
          <w:highlight w:val="none"/>
          <w:lang w:val="en-US" w:eastAsia="zh-CN"/>
        </w:rPr>
        <w:t xml:space="preserve">   </w:t>
      </w:r>
      <w:r>
        <w:rPr>
          <w:rFonts w:hint="eastAsia"/>
          <w:color w:val="auto"/>
          <w:highlight w:val="none"/>
          <w:lang w:eastAsia="zh-CN"/>
        </w:rPr>
        <w:t>页</w:t>
      </w:r>
    </w:p>
    <w:tbl>
      <w:tblPr>
        <w:tblStyle w:val="18"/>
        <w:tblW w:w="14084" w:type="dxa"/>
        <w:jc w:val="center"/>
        <w:tblLayout w:type="fixed"/>
        <w:tblCellMar>
          <w:top w:w="0" w:type="dxa"/>
          <w:left w:w="108" w:type="dxa"/>
          <w:bottom w:w="0" w:type="dxa"/>
          <w:right w:w="108" w:type="dxa"/>
        </w:tblCellMar>
      </w:tblPr>
      <w:tblGrid>
        <w:gridCol w:w="731"/>
        <w:gridCol w:w="1063"/>
        <w:gridCol w:w="1542"/>
        <w:gridCol w:w="967"/>
        <w:gridCol w:w="778"/>
        <w:gridCol w:w="1010"/>
        <w:gridCol w:w="816"/>
        <w:gridCol w:w="816"/>
        <w:gridCol w:w="816"/>
        <w:gridCol w:w="816"/>
        <w:gridCol w:w="756"/>
        <w:gridCol w:w="756"/>
        <w:gridCol w:w="1041"/>
        <w:gridCol w:w="2174"/>
      </w:tblGrid>
      <w:tr w14:paraId="072A5859">
        <w:tblPrEx>
          <w:tblCellMar>
            <w:top w:w="0" w:type="dxa"/>
            <w:left w:w="108" w:type="dxa"/>
            <w:bottom w:w="0" w:type="dxa"/>
            <w:right w:w="108" w:type="dxa"/>
          </w:tblCellMar>
        </w:tblPrEx>
        <w:trPr>
          <w:trHeight w:val="644" w:hRule="atLeast"/>
          <w:jc w:val="center"/>
        </w:trPr>
        <w:tc>
          <w:tcPr>
            <w:tcW w:w="731" w:type="dxa"/>
            <w:vMerge w:val="restart"/>
            <w:tcBorders>
              <w:top w:val="single" w:color="auto" w:sz="4" w:space="0"/>
              <w:left w:val="single" w:color="auto" w:sz="4" w:space="0"/>
              <w:right w:val="single" w:color="auto" w:sz="4" w:space="0"/>
            </w:tcBorders>
            <w:noWrap w:val="0"/>
            <w:vAlign w:val="center"/>
          </w:tcPr>
          <w:p w14:paraId="4D5DC766">
            <w:pPr>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84" w:name="_Toc221951555"/>
            <w:r>
              <w:rPr>
                <w:rFonts w:hint="eastAsia" w:ascii="宋体" w:hAnsi="宋体" w:eastAsia="宋体" w:cs="宋体"/>
                <w:snapToGrid/>
                <w:color w:val="auto"/>
                <w:kern w:val="0"/>
                <w:sz w:val="21"/>
                <w:szCs w:val="21"/>
                <w:highlight w:val="none"/>
                <w:lang w:eastAsia="zh-CN"/>
              </w:rPr>
              <w:t>序号</w:t>
            </w:r>
            <w:bookmarkEnd w:id="2484"/>
          </w:p>
        </w:tc>
        <w:tc>
          <w:tcPr>
            <w:tcW w:w="1063" w:type="dxa"/>
            <w:vMerge w:val="restart"/>
            <w:tcBorders>
              <w:top w:val="single" w:color="auto" w:sz="4" w:space="0"/>
              <w:left w:val="nil"/>
              <w:right w:val="single" w:color="auto" w:sz="4" w:space="0"/>
            </w:tcBorders>
            <w:noWrap w:val="0"/>
            <w:vAlign w:val="center"/>
          </w:tcPr>
          <w:p w14:paraId="38E1D804">
            <w:pPr>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85" w:name="_Toc221951556"/>
            <w:r>
              <w:rPr>
                <w:rFonts w:hint="eastAsia" w:ascii="宋体" w:hAnsi="宋体" w:eastAsia="宋体" w:cs="宋体"/>
                <w:snapToGrid/>
                <w:color w:val="auto"/>
                <w:kern w:val="0"/>
                <w:sz w:val="21"/>
                <w:szCs w:val="21"/>
                <w:highlight w:val="none"/>
                <w:lang w:eastAsia="zh-CN"/>
              </w:rPr>
              <w:t>工程部位</w:t>
            </w:r>
            <w:bookmarkEnd w:id="2485"/>
          </w:p>
        </w:tc>
        <w:tc>
          <w:tcPr>
            <w:tcW w:w="1542" w:type="dxa"/>
            <w:vMerge w:val="restart"/>
            <w:tcBorders>
              <w:top w:val="single" w:color="auto" w:sz="4" w:space="0"/>
              <w:left w:val="nil"/>
              <w:right w:val="single" w:color="auto" w:sz="4" w:space="0"/>
            </w:tcBorders>
            <w:noWrap w:val="0"/>
            <w:vAlign w:val="center"/>
          </w:tcPr>
          <w:p w14:paraId="2B5B40A1">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86" w:name="_Toc221951557"/>
            <w:r>
              <w:rPr>
                <w:rFonts w:hint="eastAsia" w:ascii="宋体" w:hAnsi="宋体" w:eastAsia="宋体" w:cs="宋体"/>
                <w:snapToGrid/>
                <w:color w:val="auto"/>
                <w:kern w:val="0"/>
                <w:sz w:val="21"/>
                <w:szCs w:val="21"/>
                <w:highlight w:val="none"/>
                <w:lang w:eastAsia="zh-CN"/>
              </w:rPr>
              <w:t>混凝土</w:t>
            </w:r>
            <w:bookmarkEnd w:id="2486"/>
            <w:bookmarkStart w:id="2487" w:name="_Toc221951558"/>
            <w:r>
              <w:rPr>
                <w:rFonts w:hint="eastAsia" w:ascii="宋体" w:hAnsi="宋体" w:eastAsia="宋体" w:cs="宋体"/>
                <w:snapToGrid/>
                <w:color w:val="auto"/>
                <w:kern w:val="0"/>
                <w:sz w:val="21"/>
                <w:szCs w:val="21"/>
                <w:highlight w:val="none"/>
                <w:lang w:eastAsia="zh-CN"/>
              </w:rPr>
              <w:t>强度等级</w:t>
            </w:r>
            <w:bookmarkEnd w:id="2487"/>
            <w:r>
              <w:rPr>
                <w:rFonts w:hint="eastAsia" w:ascii="宋体" w:hAnsi="宋体" w:eastAsia="宋体" w:cs="宋体"/>
                <w:snapToGrid/>
                <w:color w:val="auto"/>
                <w:kern w:val="0"/>
                <w:sz w:val="21"/>
                <w:szCs w:val="21"/>
                <w:highlight w:val="none"/>
                <w:lang w:eastAsia="zh-CN"/>
              </w:rPr>
              <w:t>、</w:t>
            </w:r>
            <w:r>
              <w:rPr>
                <w:rFonts w:hint="eastAsia" w:ascii="宋体" w:hAnsi="宋体" w:eastAsia="宋体" w:cs="宋体"/>
                <w:snapToGrid/>
                <w:color w:val="auto"/>
                <w:kern w:val="0"/>
                <w:sz w:val="21"/>
                <w:szCs w:val="21"/>
                <w:highlight w:val="none"/>
                <w:lang w:val="en-US" w:eastAsia="zh-CN"/>
              </w:rPr>
              <w:t>抗冻抗渗等级</w:t>
            </w:r>
          </w:p>
        </w:tc>
        <w:tc>
          <w:tcPr>
            <w:tcW w:w="967" w:type="dxa"/>
            <w:vMerge w:val="restart"/>
            <w:tcBorders>
              <w:top w:val="single" w:color="auto" w:sz="4" w:space="0"/>
              <w:left w:val="nil"/>
              <w:right w:val="single" w:color="auto" w:sz="4" w:space="0"/>
            </w:tcBorders>
            <w:noWrap w:val="0"/>
            <w:vAlign w:val="center"/>
          </w:tcPr>
          <w:p w14:paraId="0C806540">
            <w:pPr>
              <w:widowControl/>
              <w:kinsoku/>
              <w:adjustRightInd/>
              <w:snapToGrid/>
              <w:spacing w:line="400" w:lineRule="exact"/>
              <w:ind w:firstLine="0" w:firstLineChars="0"/>
              <w:jc w:val="center"/>
              <w:textAlignment w:val="auto"/>
              <w:rPr>
                <w:rFonts w:hint="eastAsia" w:ascii="宋体" w:hAnsi="宋体" w:eastAsia="宋体" w:cs="宋体"/>
                <w:snapToGrid/>
                <w:color w:val="auto"/>
                <w:kern w:val="0"/>
                <w:sz w:val="21"/>
                <w:szCs w:val="21"/>
                <w:highlight w:val="none"/>
                <w:lang w:eastAsia="zh-CN"/>
              </w:rPr>
            </w:pPr>
            <w:bookmarkStart w:id="2488" w:name="_Toc221951559"/>
            <w:r>
              <w:rPr>
                <w:rFonts w:hint="eastAsia" w:ascii="宋体" w:hAnsi="宋体" w:eastAsia="宋体" w:cs="宋体"/>
                <w:snapToGrid/>
                <w:color w:val="auto"/>
                <w:kern w:val="0"/>
                <w:sz w:val="21"/>
                <w:szCs w:val="21"/>
                <w:highlight w:val="none"/>
                <w:lang w:eastAsia="zh-CN"/>
              </w:rPr>
              <w:t>水泥</w:t>
            </w:r>
            <w:bookmarkEnd w:id="2488"/>
          </w:p>
          <w:p w14:paraId="1120A99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89" w:name="_Toc221951560"/>
            <w:r>
              <w:rPr>
                <w:rFonts w:hint="eastAsia" w:ascii="宋体" w:hAnsi="宋体" w:eastAsia="宋体" w:cs="宋体"/>
                <w:snapToGrid/>
                <w:color w:val="auto"/>
                <w:kern w:val="0"/>
                <w:sz w:val="21"/>
                <w:szCs w:val="21"/>
                <w:highlight w:val="none"/>
                <w:lang w:eastAsia="zh-CN"/>
              </w:rPr>
              <w:t>强度等级</w:t>
            </w:r>
            <w:bookmarkEnd w:id="2489"/>
          </w:p>
        </w:tc>
        <w:tc>
          <w:tcPr>
            <w:tcW w:w="778" w:type="dxa"/>
            <w:vMerge w:val="restart"/>
            <w:tcBorders>
              <w:top w:val="single" w:color="auto" w:sz="4" w:space="0"/>
              <w:left w:val="nil"/>
              <w:right w:val="single" w:color="auto" w:sz="4" w:space="0"/>
            </w:tcBorders>
            <w:noWrap w:val="0"/>
            <w:vAlign w:val="center"/>
          </w:tcPr>
          <w:p w14:paraId="132AFF45">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eastAsia="zh-CN"/>
              </w:rPr>
              <w:t>级配</w:t>
            </w:r>
          </w:p>
        </w:tc>
        <w:tc>
          <w:tcPr>
            <w:tcW w:w="1010" w:type="dxa"/>
            <w:vMerge w:val="restart"/>
            <w:tcBorders>
              <w:top w:val="single" w:color="auto" w:sz="4" w:space="0"/>
              <w:left w:val="nil"/>
              <w:right w:val="single" w:color="auto" w:sz="4" w:space="0"/>
            </w:tcBorders>
            <w:noWrap w:val="0"/>
            <w:vAlign w:val="center"/>
          </w:tcPr>
          <w:p w14:paraId="57E7854D">
            <w:pPr>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90" w:name="_Toc221951563"/>
            <w:r>
              <w:rPr>
                <w:rFonts w:hint="eastAsia" w:ascii="宋体" w:hAnsi="宋体" w:eastAsia="宋体" w:cs="宋体"/>
                <w:snapToGrid/>
                <w:color w:val="auto"/>
                <w:kern w:val="0"/>
                <w:sz w:val="21"/>
                <w:szCs w:val="21"/>
                <w:highlight w:val="none"/>
                <w:lang w:eastAsia="zh-CN"/>
              </w:rPr>
              <w:t>水</w:t>
            </w:r>
            <w:bookmarkEnd w:id="2490"/>
            <w:bookmarkStart w:id="2491" w:name="_Toc221951564"/>
            <w:r>
              <w:rPr>
                <w:rFonts w:hint="eastAsia" w:ascii="宋体" w:hAnsi="宋体" w:eastAsia="宋体" w:cs="宋体"/>
                <w:snapToGrid/>
                <w:color w:val="auto"/>
                <w:kern w:val="0"/>
                <w:sz w:val="21"/>
                <w:szCs w:val="21"/>
                <w:highlight w:val="none"/>
                <w:lang w:eastAsia="zh-CN"/>
              </w:rPr>
              <w:t>灰</w:t>
            </w:r>
            <w:bookmarkEnd w:id="2491"/>
            <w:bookmarkStart w:id="2492" w:name="_Toc221951565"/>
            <w:r>
              <w:rPr>
                <w:rFonts w:hint="eastAsia" w:ascii="宋体" w:hAnsi="宋体" w:eastAsia="宋体" w:cs="宋体"/>
                <w:snapToGrid/>
                <w:color w:val="auto"/>
                <w:kern w:val="0"/>
                <w:sz w:val="21"/>
                <w:szCs w:val="21"/>
                <w:highlight w:val="none"/>
                <w:lang w:eastAsia="zh-CN"/>
              </w:rPr>
              <w:t>比</w:t>
            </w:r>
            <w:bookmarkEnd w:id="2492"/>
          </w:p>
        </w:tc>
        <w:tc>
          <w:tcPr>
            <w:tcW w:w="4776" w:type="dxa"/>
            <w:gridSpan w:val="6"/>
            <w:tcBorders>
              <w:top w:val="single" w:color="auto" w:sz="4" w:space="0"/>
              <w:left w:val="nil"/>
              <w:bottom w:val="single" w:color="auto" w:sz="4" w:space="0"/>
              <w:right w:val="single" w:color="auto" w:sz="4" w:space="0"/>
            </w:tcBorders>
            <w:noWrap w:val="0"/>
            <w:vAlign w:val="center"/>
          </w:tcPr>
          <w:p w14:paraId="38CC871A">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93" w:name="_Toc221951569"/>
            <w:r>
              <w:rPr>
                <w:rFonts w:hint="eastAsia" w:ascii="宋体" w:hAnsi="宋体" w:eastAsia="宋体" w:cs="宋体"/>
                <w:snapToGrid/>
                <w:color w:val="auto"/>
                <w:kern w:val="0"/>
                <w:sz w:val="21"/>
                <w:szCs w:val="21"/>
                <w:highlight w:val="none"/>
                <w:lang w:eastAsia="zh-CN"/>
              </w:rPr>
              <w:t>材料</w:t>
            </w:r>
            <w:r>
              <w:rPr>
                <w:rFonts w:hint="eastAsia" w:ascii="宋体" w:hAnsi="宋体" w:eastAsia="宋体" w:cs="宋体"/>
                <w:snapToGrid/>
                <w:color w:val="auto"/>
                <w:kern w:val="0"/>
                <w:sz w:val="21"/>
                <w:szCs w:val="21"/>
                <w:highlight w:val="none"/>
                <w:lang w:val="en-US" w:eastAsia="zh-CN"/>
              </w:rPr>
              <w:t>用</w:t>
            </w:r>
            <w:r>
              <w:rPr>
                <w:rFonts w:hint="eastAsia" w:ascii="宋体" w:hAnsi="宋体" w:eastAsia="宋体" w:cs="宋体"/>
                <w:snapToGrid/>
                <w:color w:val="auto"/>
                <w:kern w:val="0"/>
                <w:sz w:val="21"/>
                <w:szCs w:val="21"/>
                <w:highlight w:val="none"/>
                <w:lang w:eastAsia="zh-CN"/>
              </w:rPr>
              <w:t>量(kg/m</w:t>
            </w:r>
            <w:r>
              <w:rPr>
                <w:rFonts w:hint="eastAsia" w:ascii="宋体" w:hAnsi="宋体" w:eastAsia="宋体" w:cs="宋体"/>
                <w:snapToGrid/>
                <w:color w:val="auto"/>
                <w:kern w:val="0"/>
                <w:sz w:val="21"/>
                <w:szCs w:val="21"/>
                <w:highlight w:val="none"/>
                <w:vertAlign w:val="superscript"/>
                <w:lang w:eastAsia="zh-CN"/>
              </w:rPr>
              <w:t>3</w:t>
            </w:r>
            <w:r>
              <w:rPr>
                <w:rFonts w:hint="eastAsia" w:ascii="宋体" w:hAnsi="宋体" w:eastAsia="宋体" w:cs="宋体"/>
                <w:snapToGrid/>
                <w:color w:val="auto"/>
                <w:kern w:val="0"/>
                <w:sz w:val="21"/>
                <w:szCs w:val="21"/>
                <w:highlight w:val="none"/>
                <w:lang w:eastAsia="zh-CN"/>
              </w:rPr>
              <w:t>)</w:t>
            </w:r>
            <w:bookmarkEnd w:id="2493"/>
          </w:p>
        </w:tc>
        <w:tc>
          <w:tcPr>
            <w:tcW w:w="1041" w:type="dxa"/>
            <w:tcBorders>
              <w:top w:val="single" w:color="auto" w:sz="4" w:space="0"/>
              <w:left w:val="nil"/>
              <w:bottom w:val="single" w:color="auto" w:sz="4" w:space="0"/>
              <w:right w:val="single" w:color="auto" w:sz="4" w:space="0"/>
            </w:tcBorders>
            <w:noWrap w:val="0"/>
            <w:vAlign w:val="center"/>
          </w:tcPr>
          <w:p w14:paraId="64E6A835">
            <w:pPr>
              <w:widowControl/>
              <w:kinsoku/>
              <w:adjustRightInd/>
              <w:snapToGrid/>
              <w:spacing w:line="400" w:lineRule="exact"/>
              <w:ind w:firstLine="0" w:firstLineChars="0"/>
              <w:jc w:val="center"/>
              <w:textAlignment w:val="auto"/>
              <w:rPr>
                <w:rFonts w:hint="eastAsia" w:ascii="宋体" w:hAnsi="宋体" w:eastAsia="宋体" w:cs="宋体"/>
                <w:snapToGrid/>
                <w:color w:val="auto"/>
                <w:kern w:val="0"/>
                <w:sz w:val="21"/>
                <w:szCs w:val="21"/>
                <w:highlight w:val="none"/>
                <w:lang w:eastAsia="zh-CN"/>
              </w:rPr>
            </w:pPr>
            <w:bookmarkStart w:id="2494" w:name="_Toc221951570"/>
            <w:r>
              <w:rPr>
                <w:rFonts w:hint="eastAsia" w:ascii="宋体" w:hAnsi="宋体" w:eastAsia="宋体" w:cs="宋体"/>
                <w:snapToGrid/>
                <w:color w:val="auto"/>
                <w:kern w:val="0"/>
                <w:sz w:val="21"/>
                <w:szCs w:val="21"/>
                <w:highlight w:val="none"/>
                <w:lang w:eastAsia="zh-CN"/>
              </w:rPr>
              <w:t>单 价</w:t>
            </w:r>
            <w:bookmarkEnd w:id="2494"/>
          </w:p>
          <w:p w14:paraId="33669071">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95" w:name="_Toc221951571"/>
            <w:r>
              <w:rPr>
                <w:rFonts w:hint="eastAsia" w:ascii="宋体" w:hAnsi="宋体" w:eastAsia="宋体" w:cs="宋体"/>
                <w:snapToGrid/>
                <w:color w:val="auto"/>
                <w:kern w:val="0"/>
                <w:sz w:val="21"/>
                <w:szCs w:val="21"/>
                <w:highlight w:val="none"/>
                <w:lang w:eastAsia="zh-CN"/>
              </w:rPr>
              <w:t>(元/m</w:t>
            </w:r>
            <w:r>
              <w:rPr>
                <w:rFonts w:hint="eastAsia" w:ascii="宋体" w:hAnsi="宋体" w:eastAsia="宋体" w:cs="宋体"/>
                <w:snapToGrid/>
                <w:color w:val="auto"/>
                <w:kern w:val="0"/>
                <w:sz w:val="21"/>
                <w:szCs w:val="21"/>
                <w:highlight w:val="none"/>
                <w:vertAlign w:val="superscript"/>
                <w:lang w:eastAsia="zh-CN"/>
              </w:rPr>
              <w:t>3</w:t>
            </w:r>
            <w:r>
              <w:rPr>
                <w:rFonts w:hint="eastAsia" w:ascii="宋体" w:hAnsi="宋体" w:eastAsia="宋体" w:cs="宋体"/>
                <w:snapToGrid/>
                <w:color w:val="auto"/>
                <w:kern w:val="0"/>
                <w:sz w:val="21"/>
                <w:szCs w:val="21"/>
                <w:highlight w:val="none"/>
                <w:lang w:eastAsia="zh-CN"/>
              </w:rPr>
              <w:t>)</w:t>
            </w:r>
            <w:bookmarkEnd w:id="2495"/>
          </w:p>
        </w:tc>
        <w:tc>
          <w:tcPr>
            <w:tcW w:w="2174" w:type="dxa"/>
            <w:tcBorders>
              <w:top w:val="single" w:color="auto" w:sz="4" w:space="0"/>
              <w:left w:val="single" w:color="auto" w:sz="4" w:space="0"/>
              <w:right w:val="single" w:color="auto" w:sz="4" w:space="0"/>
            </w:tcBorders>
            <w:noWrap w:val="0"/>
            <w:vAlign w:val="center"/>
          </w:tcPr>
          <w:p w14:paraId="25365DD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bookmarkStart w:id="2496" w:name="_Toc221951572"/>
            <w:r>
              <w:rPr>
                <w:rFonts w:hint="eastAsia" w:ascii="宋体" w:hAnsi="宋体" w:eastAsia="宋体" w:cs="宋体"/>
                <w:snapToGrid/>
                <w:color w:val="auto"/>
                <w:kern w:val="0"/>
                <w:sz w:val="21"/>
                <w:szCs w:val="21"/>
                <w:highlight w:val="none"/>
                <w:lang w:eastAsia="zh-CN"/>
              </w:rPr>
              <w:t>备注</w:t>
            </w:r>
            <w:bookmarkEnd w:id="2496"/>
          </w:p>
        </w:tc>
      </w:tr>
      <w:tr w14:paraId="2F11D20F">
        <w:tblPrEx>
          <w:tblCellMar>
            <w:top w:w="0" w:type="dxa"/>
            <w:left w:w="108" w:type="dxa"/>
            <w:bottom w:w="0" w:type="dxa"/>
            <w:right w:w="108" w:type="dxa"/>
          </w:tblCellMar>
        </w:tblPrEx>
        <w:trPr>
          <w:trHeight w:val="567" w:hRule="atLeast"/>
          <w:jc w:val="center"/>
        </w:trPr>
        <w:tc>
          <w:tcPr>
            <w:tcW w:w="731" w:type="dxa"/>
            <w:vMerge w:val="continue"/>
            <w:tcBorders>
              <w:left w:val="single" w:color="auto" w:sz="4" w:space="0"/>
              <w:bottom w:val="single" w:color="auto" w:sz="4" w:space="0"/>
              <w:right w:val="single" w:color="auto" w:sz="4" w:space="0"/>
            </w:tcBorders>
            <w:noWrap w:val="0"/>
            <w:vAlign w:val="center"/>
          </w:tcPr>
          <w:p w14:paraId="55FFF460">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vMerge w:val="continue"/>
            <w:tcBorders>
              <w:left w:val="nil"/>
              <w:bottom w:val="single" w:color="auto" w:sz="4" w:space="0"/>
              <w:right w:val="single" w:color="auto" w:sz="4" w:space="0"/>
            </w:tcBorders>
            <w:noWrap w:val="0"/>
            <w:vAlign w:val="center"/>
          </w:tcPr>
          <w:p w14:paraId="21A5694A">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vMerge w:val="continue"/>
            <w:tcBorders>
              <w:left w:val="nil"/>
              <w:bottom w:val="single" w:color="auto" w:sz="4" w:space="0"/>
              <w:right w:val="single" w:color="auto" w:sz="4" w:space="0"/>
            </w:tcBorders>
            <w:noWrap w:val="0"/>
            <w:vAlign w:val="center"/>
          </w:tcPr>
          <w:p w14:paraId="7253401F">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vMerge w:val="continue"/>
            <w:tcBorders>
              <w:left w:val="nil"/>
              <w:bottom w:val="single" w:color="auto" w:sz="4" w:space="0"/>
              <w:right w:val="single" w:color="auto" w:sz="4" w:space="0"/>
            </w:tcBorders>
            <w:noWrap w:val="0"/>
            <w:vAlign w:val="center"/>
          </w:tcPr>
          <w:p w14:paraId="0A44FF12">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vMerge w:val="continue"/>
            <w:tcBorders>
              <w:left w:val="nil"/>
              <w:bottom w:val="single" w:color="auto" w:sz="4" w:space="0"/>
              <w:right w:val="single" w:color="auto" w:sz="4" w:space="0"/>
            </w:tcBorders>
            <w:noWrap w:val="0"/>
            <w:vAlign w:val="center"/>
          </w:tcPr>
          <w:p w14:paraId="07A6673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vMerge w:val="continue"/>
            <w:tcBorders>
              <w:left w:val="nil"/>
              <w:bottom w:val="single" w:color="auto" w:sz="4" w:space="0"/>
              <w:right w:val="single" w:color="auto" w:sz="4" w:space="0"/>
            </w:tcBorders>
            <w:noWrap w:val="0"/>
            <w:vAlign w:val="center"/>
          </w:tcPr>
          <w:p w14:paraId="766D217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single" w:color="auto" w:sz="4" w:space="0"/>
              <w:left w:val="nil"/>
              <w:bottom w:val="single" w:color="auto" w:sz="4" w:space="0"/>
              <w:right w:val="single" w:color="auto" w:sz="4" w:space="0"/>
            </w:tcBorders>
            <w:noWrap w:val="0"/>
            <w:vAlign w:val="center"/>
          </w:tcPr>
          <w:p w14:paraId="61E5F95F">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ascii="宋体" w:hAnsi="宋体" w:eastAsia="宋体" w:cs="宋体"/>
                <w:snapToGrid/>
                <w:color w:val="auto"/>
                <w:kern w:val="0"/>
                <w:sz w:val="21"/>
                <w:szCs w:val="21"/>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水泥（kg）</w:t>
            </w:r>
          </w:p>
        </w:tc>
        <w:tc>
          <w:tcPr>
            <w:tcW w:w="816" w:type="dxa"/>
            <w:tcBorders>
              <w:top w:val="single" w:color="auto" w:sz="4" w:space="0"/>
              <w:left w:val="nil"/>
              <w:bottom w:val="single" w:color="auto" w:sz="4" w:space="0"/>
              <w:right w:val="single" w:color="auto" w:sz="4" w:space="0"/>
            </w:tcBorders>
            <w:noWrap w:val="0"/>
            <w:vAlign w:val="center"/>
          </w:tcPr>
          <w:p w14:paraId="70532523">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ascii="宋体" w:hAnsi="宋体" w:eastAsia="宋体" w:cs="宋体"/>
                <w:snapToGrid/>
                <w:color w:val="auto"/>
                <w:kern w:val="0"/>
                <w:sz w:val="21"/>
                <w:szCs w:val="21"/>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砂（kg）</w:t>
            </w:r>
          </w:p>
        </w:tc>
        <w:tc>
          <w:tcPr>
            <w:tcW w:w="816" w:type="dxa"/>
            <w:tcBorders>
              <w:top w:val="single" w:color="auto" w:sz="4" w:space="0"/>
              <w:left w:val="nil"/>
              <w:bottom w:val="single" w:color="auto" w:sz="4" w:space="0"/>
              <w:right w:val="single" w:color="auto" w:sz="4" w:space="0"/>
            </w:tcBorders>
            <w:noWrap w:val="0"/>
            <w:vAlign w:val="center"/>
          </w:tcPr>
          <w:p w14:paraId="5EE78AF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ascii="宋体" w:hAnsi="宋体" w:eastAsia="宋体" w:cs="宋体"/>
                <w:snapToGrid/>
                <w:color w:val="auto"/>
                <w:kern w:val="0"/>
                <w:sz w:val="21"/>
                <w:szCs w:val="21"/>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石（kg）</w:t>
            </w:r>
          </w:p>
        </w:tc>
        <w:tc>
          <w:tcPr>
            <w:tcW w:w="816" w:type="dxa"/>
            <w:tcBorders>
              <w:top w:val="single" w:color="auto" w:sz="4" w:space="0"/>
              <w:left w:val="nil"/>
              <w:bottom w:val="single" w:color="auto" w:sz="4" w:space="0"/>
              <w:right w:val="single" w:color="auto" w:sz="4" w:space="0"/>
            </w:tcBorders>
            <w:noWrap w:val="0"/>
            <w:vAlign w:val="center"/>
          </w:tcPr>
          <w:p w14:paraId="39F1C7B0">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ascii="宋体" w:hAnsi="宋体" w:eastAsia="宋体" w:cs="宋体"/>
                <w:snapToGrid/>
                <w:color w:val="auto"/>
                <w:kern w:val="0"/>
                <w:sz w:val="21"/>
                <w:szCs w:val="21"/>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水（kg）</w:t>
            </w:r>
          </w:p>
        </w:tc>
        <w:tc>
          <w:tcPr>
            <w:tcW w:w="756" w:type="dxa"/>
            <w:tcBorders>
              <w:top w:val="single" w:color="auto" w:sz="4" w:space="0"/>
              <w:left w:val="nil"/>
              <w:bottom w:val="single" w:color="auto" w:sz="4" w:space="0"/>
              <w:right w:val="single" w:color="auto" w:sz="4" w:space="0"/>
            </w:tcBorders>
            <w:noWrap w:val="0"/>
            <w:vAlign w:val="center"/>
          </w:tcPr>
          <w:p w14:paraId="6067CE0D">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single" w:color="auto" w:sz="4" w:space="0"/>
              <w:left w:val="nil"/>
              <w:bottom w:val="single" w:color="auto" w:sz="4" w:space="0"/>
              <w:right w:val="single" w:color="auto" w:sz="4" w:space="0"/>
            </w:tcBorders>
            <w:noWrap w:val="0"/>
            <w:vAlign w:val="center"/>
          </w:tcPr>
          <w:p w14:paraId="6A96DA2C">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single" w:color="auto" w:sz="4" w:space="0"/>
              <w:left w:val="nil"/>
              <w:bottom w:val="single" w:color="auto" w:sz="4" w:space="0"/>
              <w:right w:val="single" w:color="auto" w:sz="4" w:space="0"/>
            </w:tcBorders>
            <w:noWrap w:val="0"/>
            <w:vAlign w:val="center"/>
          </w:tcPr>
          <w:p w14:paraId="31F37DCA">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single" w:color="auto" w:sz="4" w:space="0"/>
              <w:left w:val="nil"/>
              <w:bottom w:val="single" w:color="auto" w:sz="4" w:space="0"/>
              <w:right w:val="single" w:color="auto" w:sz="4" w:space="0"/>
            </w:tcBorders>
            <w:noWrap w:val="0"/>
            <w:vAlign w:val="center"/>
          </w:tcPr>
          <w:p w14:paraId="3CEEE12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6797D716">
        <w:tblPrEx>
          <w:tblCellMar>
            <w:top w:w="0" w:type="dxa"/>
            <w:left w:w="108" w:type="dxa"/>
            <w:bottom w:w="0" w:type="dxa"/>
            <w:right w:w="108" w:type="dxa"/>
          </w:tblCellMar>
        </w:tblPrEx>
        <w:trPr>
          <w:trHeight w:val="567" w:hRule="atLeast"/>
          <w:jc w:val="center"/>
        </w:trPr>
        <w:tc>
          <w:tcPr>
            <w:tcW w:w="731" w:type="dxa"/>
            <w:tcBorders>
              <w:top w:val="nil"/>
              <w:left w:val="single" w:color="auto" w:sz="4" w:space="0"/>
              <w:bottom w:val="single" w:color="auto" w:sz="4" w:space="0"/>
              <w:right w:val="single" w:color="auto" w:sz="4" w:space="0"/>
            </w:tcBorders>
            <w:noWrap w:val="0"/>
            <w:vAlign w:val="center"/>
          </w:tcPr>
          <w:p w14:paraId="720A924A">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nil"/>
              <w:left w:val="nil"/>
              <w:bottom w:val="single" w:color="auto" w:sz="4" w:space="0"/>
              <w:right w:val="single" w:color="auto" w:sz="4" w:space="0"/>
            </w:tcBorders>
            <w:noWrap w:val="0"/>
            <w:vAlign w:val="center"/>
          </w:tcPr>
          <w:p w14:paraId="441D9007">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nil"/>
              <w:left w:val="nil"/>
              <w:bottom w:val="single" w:color="auto" w:sz="4" w:space="0"/>
              <w:right w:val="single" w:color="auto" w:sz="4" w:space="0"/>
            </w:tcBorders>
            <w:noWrap w:val="0"/>
            <w:vAlign w:val="center"/>
          </w:tcPr>
          <w:p w14:paraId="77843763">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nil"/>
              <w:left w:val="nil"/>
              <w:bottom w:val="single" w:color="auto" w:sz="4" w:space="0"/>
              <w:right w:val="single" w:color="auto" w:sz="4" w:space="0"/>
            </w:tcBorders>
            <w:noWrap w:val="0"/>
            <w:vAlign w:val="center"/>
          </w:tcPr>
          <w:p w14:paraId="24F52411">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nil"/>
              <w:left w:val="nil"/>
              <w:bottom w:val="single" w:color="auto" w:sz="4" w:space="0"/>
              <w:right w:val="single" w:color="auto" w:sz="4" w:space="0"/>
            </w:tcBorders>
            <w:noWrap w:val="0"/>
            <w:vAlign w:val="center"/>
          </w:tcPr>
          <w:p w14:paraId="278244B0">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nil"/>
              <w:left w:val="nil"/>
              <w:bottom w:val="single" w:color="auto" w:sz="4" w:space="0"/>
              <w:right w:val="single" w:color="auto" w:sz="4" w:space="0"/>
            </w:tcBorders>
            <w:noWrap w:val="0"/>
            <w:vAlign w:val="center"/>
          </w:tcPr>
          <w:p w14:paraId="0FF55AA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26F634B1">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6DDDA670">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19281BB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34F8F53D">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5C9C233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5DFC8C95">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nil"/>
              <w:left w:val="nil"/>
              <w:bottom w:val="single" w:color="auto" w:sz="4" w:space="0"/>
              <w:right w:val="single" w:color="auto" w:sz="4" w:space="0"/>
            </w:tcBorders>
            <w:noWrap w:val="0"/>
            <w:vAlign w:val="center"/>
          </w:tcPr>
          <w:p w14:paraId="6ECCE48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nil"/>
              <w:left w:val="nil"/>
              <w:bottom w:val="single" w:color="auto" w:sz="4" w:space="0"/>
              <w:right w:val="single" w:color="auto" w:sz="4" w:space="0"/>
            </w:tcBorders>
            <w:noWrap w:val="0"/>
            <w:vAlign w:val="center"/>
          </w:tcPr>
          <w:p w14:paraId="2D738923">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7B1F9C75">
        <w:tblPrEx>
          <w:tblCellMar>
            <w:top w:w="0" w:type="dxa"/>
            <w:left w:w="108" w:type="dxa"/>
            <w:bottom w:w="0" w:type="dxa"/>
            <w:right w:w="108" w:type="dxa"/>
          </w:tblCellMar>
        </w:tblPrEx>
        <w:trPr>
          <w:trHeight w:val="567" w:hRule="atLeast"/>
          <w:jc w:val="center"/>
        </w:trPr>
        <w:tc>
          <w:tcPr>
            <w:tcW w:w="731" w:type="dxa"/>
            <w:tcBorders>
              <w:top w:val="nil"/>
              <w:left w:val="single" w:color="auto" w:sz="4" w:space="0"/>
              <w:bottom w:val="single" w:color="auto" w:sz="4" w:space="0"/>
              <w:right w:val="single" w:color="auto" w:sz="4" w:space="0"/>
            </w:tcBorders>
            <w:noWrap w:val="0"/>
            <w:vAlign w:val="center"/>
          </w:tcPr>
          <w:p w14:paraId="6186A84E">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nil"/>
              <w:left w:val="nil"/>
              <w:bottom w:val="single" w:color="auto" w:sz="4" w:space="0"/>
              <w:right w:val="single" w:color="auto" w:sz="4" w:space="0"/>
            </w:tcBorders>
            <w:noWrap w:val="0"/>
            <w:vAlign w:val="center"/>
          </w:tcPr>
          <w:p w14:paraId="46021A5E">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nil"/>
              <w:left w:val="nil"/>
              <w:bottom w:val="single" w:color="auto" w:sz="4" w:space="0"/>
              <w:right w:val="single" w:color="auto" w:sz="4" w:space="0"/>
            </w:tcBorders>
            <w:noWrap w:val="0"/>
            <w:vAlign w:val="center"/>
          </w:tcPr>
          <w:p w14:paraId="1260BD4B">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nil"/>
              <w:left w:val="nil"/>
              <w:bottom w:val="single" w:color="auto" w:sz="4" w:space="0"/>
              <w:right w:val="single" w:color="auto" w:sz="4" w:space="0"/>
            </w:tcBorders>
            <w:noWrap w:val="0"/>
            <w:vAlign w:val="center"/>
          </w:tcPr>
          <w:p w14:paraId="45EB34B5">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nil"/>
              <w:left w:val="nil"/>
              <w:bottom w:val="single" w:color="auto" w:sz="4" w:space="0"/>
              <w:right w:val="single" w:color="auto" w:sz="4" w:space="0"/>
            </w:tcBorders>
            <w:noWrap w:val="0"/>
            <w:vAlign w:val="center"/>
          </w:tcPr>
          <w:p w14:paraId="5439A46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nil"/>
              <w:left w:val="nil"/>
              <w:bottom w:val="single" w:color="auto" w:sz="4" w:space="0"/>
              <w:right w:val="single" w:color="auto" w:sz="4" w:space="0"/>
            </w:tcBorders>
            <w:noWrap w:val="0"/>
            <w:vAlign w:val="center"/>
          </w:tcPr>
          <w:p w14:paraId="5582078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2B2D43CF">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636706BD">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204C92AC">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516657BC">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62CBADA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7D0B2E4B">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nil"/>
              <w:left w:val="nil"/>
              <w:bottom w:val="single" w:color="auto" w:sz="4" w:space="0"/>
              <w:right w:val="single" w:color="auto" w:sz="4" w:space="0"/>
            </w:tcBorders>
            <w:noWrap w:val="0"/>
            <w:vAlign w:val="center"/>
          </w:tcPr>
          <w:p w14:paraId="3F7FCDCF">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nil"/>
              <w:left w:val="nil"/>
              <w:bottom w:val="single" w:color="auto" w:sz="4" w:space="0"/>
              <w:right w:val="single" w:color="auto" w:sz="4" w:space="0"/>
            </w:tcBorders>
            <w:noWrap w:val="0"/>
            <w:vAlign w:val="center"/>
          </w:tcPr>
          <w:p w14:paraId="2ABB0D0D">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137D9B7A">
        <w:tblPrEx>
          <w:tblCellMar>
            <w:top w:w="0" w:type="dxa"/>
            <w:left w:w="108" w:type="dxa"/>
            <w:bottom w:w="0" w:type="dxa"/>
            <w:right w:w="108" w:type="dxa"/>
          </w:tblCellMar>
        </w:tblPrEx>
        <w:trPr>
          <w:trHeight w:val="567" w:hRule="atLeast"/>
          <w:jc w:val="center"/>
        </w:trPr>
        <w:tc>
          <w:tcPr>
            <w:tcW w:w="731" w:type="dxa"/>
            <w:tcBorders>
              <w:top w:val="nil"/>
              <w:left w:val="single" w:color="auto" w:sz="4" w:space="0"/>
              <w:bottom w:val="single" w:color="auto" w:sz="4" w:space="0"/>
              <w:right w:val="single" w:color="auto" w:sz="4" w:space="0"/>
            </w:tcBorders>
            <w:noWrap w:val="0"/>
            <w:vAlign w:val="center"/>
          </w:tcPr>
          <w:p w14:paraId="3151431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nil"/>
              <w:left w:val="nil"/>
              <w:bottom w:val="single" w:color="auto" w:sz="4" w:space="0"/>
              <w:right w:val="single" w:color="auto" w:sz="4" w:space="0"/>
            </w:tcBorders>
            <w:noWrap w:val="0"/>
            <w:vAlign w:val="center"/>
          </w:tcPr>
          <w:p w14:paraId="7624A414">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nil"/>
              <w:left w:val="nil"/>
              <w:bottom w:val="single" w:color="auto" w:sz="4" w:space="0"/>
              <w:right w:val="single" w:color="auto" w:sz="4" w:space="0"/>
            </w:tcBorders>
            <w:noWrap w:val="0"/>
            <w:vAlign w:val="center"/>
          </w:tcPr>
          <w:p w14:paraId="11D85A68">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nil"/>
              <w:left w:val="nil"/>
              <w:bottom w:val="single" w:color="auto" w:sz="4" w:space="0"/>
              <w:right w:val="single" w:color="auto" w:sz="4" w:space="0"/>
            </w:tcBorders>
            <w:noWrap w:val="0"/>
            <w:vAlign w:val="center"/>
          </w:tcPr>
          <w:p w14:paraId="058C382B">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nil"/>
              <w:left w:val="nil"/>
              <w:bottom w:val="single" w:color="auto" w:sz="4" w:space="0"/>
              <w:right w:val="single" w:color="auto" w:sz="4" w:space="0"/>
            </w:tcBorders>
            <w:noWrap w:val="0"/>
            <w:vAlign w:val="center"/>
          </w:tcPr>
          <w:p w14:paraId="782A9EBE">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nil"/>
              <w:left w:val="nil"/>
              <w:bottom w:val="single" w:color="auto" w:sz="4" w:space="0"/>
              <w:right w:val="single" w:color="auto" w:sz="4" w:space="0"/>
            </w:tcBorders>
            <w:noWrap w:val="0"/>
            <w:vAlign w:val="center"/>
          </w:tcPr>
          <w:p w14:paraId="5CBD731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6D78311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088F6C80">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5B045F0F">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3D40E9E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153A397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4FCBDD7E">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nil"/>
              <w:left w:val="nil"/>
              <w:bottom w:val="single" w:color="auto" w:sz="4" w:space="0"/>
              <w:right w:val="single" w:color="auto" w:sz="4" w:space="0"/>
            </w:tcBorders>
            <w:noWrap w:val="0"/>
            <w:vAlign w:val="center"/>
          </w:tcPr>
          <w:p w14:paraId="587DDBE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nil"/>
              <w:left w:val="nil"/>
              <w:bottom w:val="single" w:color="auto" w:sz="4" w:space="0"/>
              <w:right w:val="single" w:color="auto" w:sz="4" w:space="0"/>
            </w:tcBorders>
            <w:noWrap w:val="0"/>
            <w:vAlign w:val="center"/>
          </w:tcPr>
          <w:p w14:paraId="2845F7D0">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0825B1B1">
        <w:tblPrEx>
          <w:tblCellMar>
            <w:top w:w="0" w:type="dxa"/>
            <w:left w:w="108" w:type="dxa"/>
            <w:bottom w:w="0" w:type="dxa"/>
            <w:right w:w="108" w:type="dxa"/>
          </w:tblCellMar>
        </w:tblPrEx>
        <w:trPr>
          <w:trHeight w:val="567" w:hRule="atLeast"/>
          <w:jc w:val="center"/>
        </w:trPr>
        <w:tc>
          <w:tcPr>
            <w:tcW w:w="731" w:type="dxa"/>
            <w:tcBorders>
              <w:top w:val="nil"/>
              <w:left w:val="single" w:color="auto" w:sz="4" w:space="0"/>
              <w:bottom w:val="single" w:color="auto" w:sz="4" w:space="0"/>
              <w:right w:val="single" w:color="auto" w:sz="4" w:space="0"/>
            </w:tcBorders>
            <w:noWrap w:val="0"/>
            <w:vAlign w:val="center"/>
          </w:tcPr>
          <w:p w14:paraId="4F1764E5">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nil"/>
              <w:left w:val="nil"/>
              <w:bottom w:val="single" w:color="auto" w:sz="4" w:space="0"/>
              <w:right w:val="single" w:color="auto" w:sz="4" w:space="0"/>
            </w:tcBorders>
            <w:noWrap w:val="0"/>
            <w:vAlign w:val="center"/>
          </w:tcPr>
          <w:p w14:paraId="765D7D0F">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nil"/>
              <w:left w:val="nil"/>
              <w:bottom w:val="single" w:color="auto" w:sz="4" w:space="0"/>
              <w:right w:val="single" w:color="auto" w:sz="4" w:space="0"/>
            </w:tcBorders>
            <w:noWrap w:val="0"/>
            <w:vAlign w:val="center"/>
          </w:tcPr>
          <w:p w14:paraId="0B896963">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nil"/>
              <w:left w:val="nil"/>
              <w:bottom w:val="single" w:color="auto" w:sz="4" w:space="0"/>
              <w:right w:val="single" w:color="auto" w:sz="4" w:space="0"/>
            </w:tcBorders>
            <w:noWrap w:val="0"/>
            <w:vAlign w:val="center"/>
          </w:tcPr>
          <w:p w14:paraId="3E26A83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nil"/>
              <w:left w:val="nil"/>
              <w:bottom w:val="single" w:color="auto" w:sz="4" w:space="0"/>
              <w:right w:val="single" w:color="auto" w:sz="4" w:space="0"/>
            </w:tcBorders>
            <w:noWrap w:val="0"/>
            <w:vAlign w:val="center"/>
          </w:tcPr>
          <w:p w14:paraId="539B6C6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nil"/>
              <w:left w:val="nil"/>
              <w:bottom w:val="single" w:color="auto" w:sz="4" w:space="0"/>
              <w:right w:val="single" w:color="auto" w:sz="4" w:space="0"/>
            </w:tcBorders>
            <w:noWrap w:val="0"/>
            <w:vAlign w:val="center"/>
          </w:tcPr>
          <w:p w14:paraId="0E72695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4D55D9B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3CDE341C">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511B4A23">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3D60A84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225BDA2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615BB60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nil"/>
              <w:left w:val="nil"/>
              <w:bottom w:val="single" w:color="auto" w:sz="4" w:space="0"/>
              <w:right w:val="single" w:color="auto" w:sz="4" w:space="0"/>
            </w:tcBorders>
            <w:noWrap w:val="0"/>
            <w:vAlign w:val="center"/>
          </w:tcPr>
          <w:p w14:paraId="045C297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nil"/>
              <w:left w:val="nil"/>
              <w:bottom w:val="single" w:color="auto" w:sz="4" w:space="0"/>
              <w:right w:val="single" w:color="auto" w:sz="4" w:space="0"/>
            </w:tcBorders>
            <w:noWrap w:val="0"/>
            <w:vAlign w:val="center"/>
          </w:tcPr>
          <w:p w14:paraId="77E7CB6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5BCEB513">
        <w:tblPrEx>
          <w:tblCellMar>
            <w:top w:w="0" w:type="dxa"/>
            <w:left w:w="108" w:type="dxa"/>
            <w:bottom w:w="0" w:type="dxa"/>
            <w:right w:w="108" w:type="dxa"/>
          </w:tblCellMar>
        </w:tblPrEx>
        <w:trPr>
          <w:trHeight w:val="567" w:hRule="atLeast"/>
          <w:jc w:val="center"/>
        </w:trPr>
        <w:tc>
          <w:tcPr>
            <w:tcW w:w="731" w:type="dxa"/>
            <w:tcBorders>
              <w:top w:val="nil"/>
              <w:left w:val="single" w:color="auto" w:sz="4" w:space="0"/>
              <w:bottom w:val="single" w:color="auto" w:sz="4" w:space="0"/>
              <w:right w:val="single" w:color="auto" w:sz="4" w:space="0"/>
            </w:tcBorders>
            <w:noWrap w:val="0"/>
            <w:vAlign w:val="center"/>
          </w:tcPr>
          <w:p w14:paraId="39F1A2B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nil"/>
              <w:left w:val="nil"/>
              <w:bottom w:val="single" w:color="auto" w:sz="4" w:space="0"/>
              <w:right w:val="single" w:color="auto" w:sz="4" w:space="0"/>
            </w:tcBorders>
            <w:noWrap w:val="0"/>
            <w:vAlign w:val="center"/>
          </w:tcPr>
          <w:p w14:paraId="75117CF0">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nil"/>
              <w:left w:val="nil"/>
              <w:bottom w:val="single" w:color="auto" w:sz="4" w:space="0"/>
              <w:right w:val="single" w:color="auto" w:sz="4" w:space="0"/>
            </w:tcBorders>
            <w:noWrap w:val="0"/>
            <w:vAlign w:val="center"/>
          </w:tcPr>
          <w:p w14:paraId="48EE4AE1">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nil"/>
              <w:left w:val="nil"/>
              <w:bottom w:val="single" w:color="auto" w:sz="4" w:space="0"/>
              <w:right w:val="single" w:color="auto" w:sz="4" w:space="0"/>
            </w:tcBorders>
            <w:noWrap w:val="0"/>
            <w:vAlign w:val="center"/>
          </w:tcPr>
          <w:p w14:paraId="30F71D3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nil"/>
              <w:left w:val="nil"/>
              <w:bottom w:val="single" w:color="auto" w:sz="4" w:space="0"/>
              <w:right w:val="single" w:color="auto" w:sz="4" w:space="0"/>
            </w:tcBorders>
            <w:noWrap w:val="0"/>
            <w:vAlign w:val="center"/>
          </w:tcPr>
          <w:p w14:paraId="48274D50">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nil"/>
              <w:left w:val="nil"/>
              <w:bottom w:val="single" w:color="auto" w:sz="4" w:space="0"/>
              <w:right w:val="single" w:color="auto" w:sz="4" w:space="0"/>
            </w:tcBorders>
            <w:noWrap w:val="0"/>
            <w:vAlign w:val="center"/>
          </w:tcPr>
          <w:p w14:paraId="59B3A452">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3587EE7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46AE4E8A">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49F8525E">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6F029B1F">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71046C62">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398340FF">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nil"/>
              <w:left w:val="nil"/>
              <w:bottom w:val="single" w:color="auto" w:sz="4" w:space="0"/>
              <w:right w:val="single" w:color="auto" w:sz="4" w:space="0"/>
            </w:tcBorders>
            <w:noWrap w:val="0"/>
            <w:vAlign w:val="center"/>
          </w:tcPr>
          <w:p w14:paraId="2C4DAD32">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nil"/>
              <w:left w:val="nil"/>
              <w:bottom w:val="single" w:color="auto" w:sz="4" w:space="0"/>
              <w:right w:val="single" w:color="auto" w:sz="4" w:space="0"/>
            </w:tcBorders>
            <w:noWrap w:val="0"/>
            <w:vAlign w:val="center"/>
          </w:tcPr>
          <w:p w14:paraId="6E44C623">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254AE418">
        <w:tblPrEx>
          <w:tblCellMar>
            <w:top w:w="0" w:type="dxa"/>
            <w:left w:w="108" w:type="dxa"/>
            <w:bottom w:w="0" w:type="dxa"/>
            <w:right w:w="108" w:type="dxa"/>
          </w:tblCellMar>
        </w:tblPrEx>
        <w:trPr>
          <w:trHeight w:val="567" w:hRule="atLeast"/>
          <w:jc w:val="center"/>
        </w:trPr>
        <w:tc>
          <w:tcPr>
            <w:tcW w:w="731" w:type="dxa"/>
            <w:tcBorders>
              <w:top w:val="nil"/>
              <w:left w:val="single" w:color="auto" w:sz="4" w:space="0"/>
              <w:bottom w:val="single" w:color="auto" w:sz="4" w:space="0"/>
              <w:right w:val="single" w:color="auto" w:sz="4" w:space="0"/>
            </w:tcBorders>
            <w:noWrap w:val="0"/>
            <w:vAlign w:val="center"/>
          </w:tcPr>
          <w:p w14:paraId="5109AC0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nil"/>
              <w:left w:val="nil"/>
              <w:bottom w:val="single" w:color="auto" w:sz="4" w:space="0"/>
              <w:right w:val="single" w:color="auto" w:sz="4" w:space="0"/>
            </w:tcBorders>
            <w:noWrap w:val="0"/>
            <w:vAlign w:val="center"/>
          </w:tcPr>
          <w:p w14:paraId="40302949">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nil"/>
              <w:left w:val="nil"/>
              <w:bottom w:val="single" w:color="auto" w:sz="4" w:space="0"/>
              <w:right w:val="single" w:color="auto" w:sz="4" w:space="0"/>
            </w:tcBorders>
            <w:noWrap w:val="0"/>
            <w:vAlign w:val="center"/>
          </w:tcPr>
          <w:p w14:paraId="2DAAEA0A">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nil"/>
              <w:left w:val="nil"/>
              <w:bottom w:val="single" w:color="auto" w:sz="4" w:space="0"/>
              <w:right w:val="single" w:color="auto" w:sz="4" w:space="0"/>
            </w:tcBorders>
            <w:noWrap w:val="0"/>
            <w:vAlign w:val="center"/>
          </w:tcPr>
          <w:p w14:paraId="5454961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nil"/>
              <w:left w:val="nil"/>
              <w:bottom w:val="single" w:color="auto" w:sz="4" w:space="0"/>
              <w:right w:val="single" w:color="auto" w:sz="4" w:space="0"/>
            </w:tcBorders>
            <w:noWrap w:val="0"/>
            <w:vAlign w:val="center"/>
          </w:tcPr>
          <w:p w14:paraId="783FFA91">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nil"/>
              <w:left w:val="nil"/>
              <w:bottom w:val="single" w:color="auto" w:sz="4" w:space="0"/>
              <w:right w:val="single" w:color="auto" w:sz="4" w:space="0"/>
            </w:tcBorders>
            <w:noWrap w:val="0"/>
            <w:vAlign w:val="center"/>
          </w:tcPr>
          <w:p w14:paraId="157F7DB2">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1070438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61303528">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3986D05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nil"/>
              <w:left w:val="nil"/>
              <w:bottom w:val="single" w:color="auto" w:sz="4" w:space="0"/>
              <w:right w:val="single" w:color="auto" w:sz="4" w:space="0"/>
            </w:tcBorders>
            <w:noWrap w:val="0"/>
            <w:vAlign w:val="center"/>
          </w:tcPr>
          <w:p w14:paraId="6440512E">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0E07EF5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nil"/>
              <w:left w:val="nil"/>
              <w:bottom w:val="single" w:color="auto" w:sz="4" w:space="0"/>
              <w:right w:val="single" w:color="auto" w:sz="4" w:space="0"/>
            </w:tcBorders>
            <w:noWrap w:val="0"/>
            <w:vAlign w:val="center"/>
          </w:tcPr>
          <w:p w14:paraId="25A0640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nil"/>
              <w:left w:val="nil"/>
              <w:bottom w:val="single" w:color="auto" w:sz="4" w:space="0"/>
              <w:right w:val="single" w:color="auto" w:sz="4" w:space="0"/>
            </w:tcBorders>
            <w:noWrap w:val="0"/>
            <w:vAlign w:val="center"/>
          </w:tcPr>
          <w:p w14:paraId="02F793C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nil"/>
              <w:left w:val="nil"/>
              <w:bottom w:val="single" w:color="auto" w:sz="4" w:space="0"/>
              <w:right w:val="single" w:color="auto" w:sz="4" w:space="0"/>
            </w:tcBorders>
            <w:noWrap w:val="0"/>
            <w:vAlign w:val="center"/>
          </w:tcPr>
          <w:p w14:paraId="69E745BA">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r w14:paraId="6EFF4910">
        <w:tblPrEx>
          <w:tblCellMar>
            <w:top w:w="0" w:type="dxa"/>
            <w:left w:w="108" w:type="dxa"/>
            <w:bottom w:w="0" w:type="dxa"/>
            <w:right w:w="108" w:type="dxa"/>
          </w:tblCellMar>
        </w:tblPrEx>
        <w:trPr>
          <w:trHeight w:val="567" w:hRule="atLeast"/>
          <w:jc w:val="center"/>
        </w:trPr>
        <w:tc>
          <w:tcPr>
            <w:tcW w:w="731" w:type="dxa"/>
            <w:tcBorders>
              <w:top w:val="single" w:color="auto" w:sz="4" w:space="0"/>
              <w:left w:val="single" w:color="auto" w:sz="4" w:space="0"/>
              <w:bottom w:val="single" w:color="auto" w:sz="4" w:space="0"/>
              <w:right w:val="single" w:color="auto" w:sz="4" w:space="0"/>
            </w:tcBorders>
            <w:noWrap w:val="0"/>
            <w:vAlign w:val="center"/>
          </w:tcPr>
          <w:p w14:paraId="664F8A7A">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63" w:type="dxa"/>
            <w:tcBorders>
              <w:top w:val="single" w:color="auto" w:sz="4" w:space="0"/>
              <w:left w:val="nil"/>
              <w:bottom w:val="single" w:color="auto" w:sz="4" w:space="0"/>
              <w:right w:val="single" w:color="auto" w:sz="4" w:space="0"/>
            </w:tcBorders>
            <w:noWrap w:val="0"/>
            <w:vAlign w:val="center"/>
          </w:tcPr>
          <w:p w14:paraId="33BA91DB">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1542" w:type="dxa"/>
            <w:tcBorders>
              <w:top w:val="single" w:color="auto" w:sz="4" w:space="0"/>
              <w:left w:val="nil"/>
              <w:bottom w:val="single" w:color="auto" w:sz="4" w:space="0"/>
              <w:right w:val="single" w:color="auto" w:sz="4" w:space="0"/>
            </w:tcBorders>
            <w:noWrap w:val="0"/>
            <w:vAlign w:val="center"/>
          </w:tcPr>
          <w:p w14:paraId="1B4D24EC">
            <w:pPr>
              <w:widowControl/>
              <w:kinsoku/>
              <w:adjustRightInd/>
              <w:snapToGrid/>
              <w:spacing w:line="400" w:lineRule="exact"/>
              <w:ind w:firstLine="0" w:firstLineChars="0"/>
              <w:textAlignment w:val="auto"/>
              <w:rPr>
                <w:rFonts w:ascii="宋体" w:hAnsi="宋体" w:eastAsia="宋体" w:cs="宋体"/>
                <w:snapToGrid/>
                <w:color w:val="auto"/>
                <w:kern w:val="0"/>
                <w:sz w:val="21"/>
                <w:szCs w:val="21"/>
                <w:highlight w:val="none"/>
                <w:lang w:eastAsia="zh-CN"/>
              </w:rPr>
            </w:pPr>
          </w:p>
        </w:tc>
        <w:tc>
          <w:tcPr>
            <w:tcW w:w="967" w:type="dxa"/>
            <w:tcBorders>
              <w:top w:val="single" w:color="auto" w:sz="4" w:space="0"/>
              <w:left w:val="nil"/>
              <w:bottom w:val="single" w:color="auto" w:sz="4" w:space="0"/>
              <w:right w:val="single" w:color="auto" w:sz="4" w:space="0"/>
            </w:tcBorders>
            <w:noWrap w:val="0"/>
            <w:vAlign w:val="center"/>
          </w:tcPr>
          <w:p w14:paraId="196E7CFB">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78" w:type="dxa"/>
            <w:tcBorders>
              <w:top w:val="single" w:color="auto" w:sz="4" w:space="0"/>
              <w:left w:val="nil"/>
              <w:bottom w:val="single" w:color="auto" w:sz="4" w:space="0"/>
              <w:right w:val="single" w:color="auto" w:sz="4" w:space="0"/>
            </w:tcBorders>
            <w:noWrap w:val="0"/>
            <w:vAlign w:val="center"/>
          </w:tcPr>
          <w:p w14:paraId="7476250E">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10" w:type="dxa"/>
            <w:tcBorders>
              <w:top w:val="single" w:color="auto" w:sz="4" w:space="0"/>
              <w:left w:val="nil"/>
              <w:bottom w:val="single" w:color="auto" w:sz="4" w:space="0"/>
              <w:right w:val="single" w:color="auto" w:sz="4" w:space="0"/>
            </w:tcBorders>
            <w:noWrap w:val="0"/>
            <w:vAlign w:val="center"/>
          </w:tcPr>
          <w:p w14:paraId="72DF514B">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single" w:color="auto" w:sz="4" w:space="0"/>
              <w:left w:val="nil"/>
              <w:bottom w:val="single" w:color="auto" w:sz="4" w:space="0"/>
              <w:right w:val="single" w:color="auto" w:sz="4" w:space="0"/>
            </w:tcBorders>
            <w:noWrap w:val="0"/>
            <w:vAlign w:val="center"/>
          </w:tcPr>
          <w:p w14:paraId="10C8CD3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single" w:color="auto" w:sz="4" w:space="0"/>
              <w:left w:val="nil"/>
              <w:bottom w:val="single" w:color="auto" w:sz="4" w:space="0"/>
              <w:right w:val="single" w:color="auto" w:sz="4" w:space="0"/>
            </w:tcBorders>
            <w:noWrap w:val="0"/>
            <w:vAlign w:val="center"/>
          </w:tcPr>
          <w:p w14:paraId="0722E384">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single" w:color="auto" w:sz="4" w:space="0"/>
              <w:left w:val="nil"/>
              <w:bottom w:val="single" w:color="auto" w:sz="4" w:space="0"/>
              <w:right w:val="single" w:color="auto" w:sz="4" w:space="0"/>
            </w:tcBorders>
            <w:noWrap w:val="0"/>
            <w:vAlign w:val="center"/>
          </w:tcPr>
          <w:p w14:paraId="19ACB279">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816" w:type="dxa"/>
            <w:tcBorders>
              <w:top w:val="single" w:color="auto" w:sz="4" w:space="0"/>
              <w:left w:val="nil"/>
              <w:bottom w:val="single" w:color="auto" w:sz="4" w:space="0"/>
              <w:right w:val="single" w:color="auto" w:sz="4" w:space="0"/>
            </w:tcBorders>
            <w:noWrap w:val="0"/>
            <w:vAlign w:val="center"/>
          </w:tcPr>
          <w:p w14:paraId="43AF6711">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single" w:color="auto" w:sz="4" w:space="0"/>
              <w:left w:val="nil"/>
              <w:bottom w:val="single" w:color="auto" w:sz="4" w:space="0"/>
              <w:right w:val="single" w:color="auto" w:sz="4" w:space="0"/>
            </w:tcBorders>
            <w:noWrap w:val="0"/>
            <w:vAlign w:val="center"/>
          </w:tcPr>
          <w:p w14:paraId="3B42CF1D">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756" w:type="dxa"/>
            <w:tcBorders>
              <w:top w:val="single" w:color="auto" w:sz="4" w:space="0"/>
              <w:left w:val="nil"/>
              <w:bottom w:val="single" w:color="auto" w:sz="4" w:space="0"/>
              <w:right w:val="single" w:color="auto" w:sz="4" w:space="0"/>
            </w:tcBorders>
            <w:noWrap w:val="0"/>
            <w:vAlign w:val="center"/>
          </w:tcPr>
          <w:p w14:paraId="2C8FED46">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1041" w:type="dxa"/>
            <w:tcBorders>
              <w:top w:val="single" w:color="auto" w:sz="4" w:space="0"/>
              <w:left w:val="nil"/>
              <w:bottom w:val="single" w:color="auto" w:sz="4" w:space="0"/>
              <w:right w:val="single" w:color="auto" w:sz="4" w:space="0"/>
            </w:tcBorders>
            <w:noWrap w:val="0"/>
            <w:vAlign w:val="center"/>
          </w:tcPr>
          <w:p w14:paraId="2989A142">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c>
          <w:tcPr>
            <w:tcW w:w="2174" w:type="dxa"/>
            <w:tcBorders>
              <w:top w:val="single" w:color="auto" w:sz="4" w:space="0"/>
              <w:left w:val="nil"/>
              <w:bottom w:val="single" w:color="auto" w:sz="4" w:space="0"/>
              <w:right w:val="single" w:color="auto" w:sz="4" w:space="0"/>
            </w:tcBorders>
            <w:noWrap w:val="0"/>
            <w:vAlign w:val="center"/>
          </w:tcPr>
          <w:p w14:paraId="08BF45B7">
            <w:pPr>
              <w:widowControl/>
              <w:kinsoku/>
              <w:adjustRightInd/>
              <w:snapToGrid/>
              <w:spacing w:line="400" w:lineRule="exact"/>
              <w:ind w:firstLine="0" w:firstLineChars="0"/>
              <w:jc w:val="center"/>
              <w:textAlignment w:val="auto"/>
              <w:rPr>
                <w:rFonts w:ascii="宋体" w:hAnsi="宋体" w:eastAsia="宋体" w:cs="宋体"/>
                <w:snapToGrid/>
                <w:color w:val="auto"/>
                <w:kern w:val="0"/>
                <w:sz w:val="21"/>
                <w:szCs w:val="21"/>
                <w:highlight w:val="none"/>
                <w:lang w:eastAsia="zh-CN"/>
              </w:rPr>
            </w:pPr>
          </w:p>
        </w:tc>
      </w:tr>
    </w:tbl>
    <w:p w14:paraId="48C4D5F4">
      <w:pPr>
        <w:pStyle w:val="7"/>
        <w:kinsoku/>
        <w:spacing w:beforeLines="0" w:afterLines="0"/>
        <w:ind w:firstLine="40"/>
        <w:jc w:val="left"/>
        <w:rPr>
          <w:color w:val="auto"/>
          <w:sz w:val="24"/>
          <w:szCs w:val="24"/>
          <w:highlight w:val="none"/>
        </w:rPr>
      </w:pPr>
    </w:p>
    <w:p w14:paraId="4A0EE4BA">
      <w:pPr>
        <w:kinsoku/>
        <w:spacing w:beforeLines="0" w:afterLines="0"/>
        <w:ind w:firstLine="40"/>
        <w:jc w:val="left"/>
        <w:rPr>
          <w:color w:val="auto"/>
          <w:sz w:val="24"/>
          <w:szCs w:val="24"/>
          <w:highlight w:val="none"/>
        </w:rPr>
        <w:sectPr>
          <w:pgSz w:w="16840" w:h="11905" w:orient="landscape"/>
          <w:pgMar w:top="1418" w:right="1616" w:bottom="1418" w:left="1616" w:header="851" w:footer="1304" w:gutter="0"/>
          <w:pgNumType w:fmt="decimal"/>
          <w:cols w:space="720" w:num="1"/>
          <w:docGrid w:linePitch="381" w:charSpace="0"/>
        </w:sectPr>
      </w:pPr>
    </w:p>
    <w:p w14:paraId="06C16BE2">
      <w:pPr>
        <w:pStyle w:val="4"/>
        <w:kinsoku/>
        <w:spacing w:before="0" w:beforeLines="0" w:afterLines="0"/>
        <w:ind w:left="0"/>
        <w:jc w:val="center"/>
        <w:rPr>
          <w:rFonts w:hint="eastAsia" w:cs="宋体"/>
          <w:bCs/>
          <w:color w:val="auto"/>
          <w:szCs w:val="24"/>
          <w:highlight w:val="none"/>
        </w:rPr>
      </w:pPr>
      <w:bookmarkStart w:id="2497" w:name="_Toc11989"/>
      <w:bookmarkStart w:id="2498" w:name="_Toc31978"/>
      <w:bookmarkStart w:id="2499" w:name="_Toc7197"/>
      <w:r>
        <w:rPr>
          <w:rFonts w:hint="eastAsia" w:ascii="宋体" w:cs="宋体"/>
          <w:b/>
          <w:bCs/>
          <w:color w:val="auto"/>
          <w:spacing w:val="0"/>
          <w:sz w:val="24"/>
          <w:szCs w:val="24"/>
          <w:highlight w:val="none"/>
          <w:lang w:eastAsia="en-US"/>
        </w:rPr>
        <w:t>招标人供应材料价格表</w:t>
      </w:r>
      <w:bookmarkEnd w:id="2497"/>
      <w:bookmarkEnd w:id="2498"/>
      <w:bookmarkEnd w:id="2499"/>
    </w:p>
    <w:p w14:paraId="0AAB978E">
      <w:pPr>
        <w:kinsoku/>
        <w:spacing w:beforeLines="0" w:afterLines="0"/>
        <w:ind w:firstLine="420"/>
        <w:jc w:val="left"/>
        <w:rPr>
          <w:color w:val="auto"/>
          <w:highlight w:val="none"/>
          <w:lang w:eastAsia="zh-CN"/>
        </w:rPr>
      </w:pPr>
    </w:p>
    <w:p w14:paraId="17485F69">
      <w:pPr>
        <w:pStyle w:val="7"/>
        <w:kinsoku/>
        <w:spacing w:beforeLines="0" w:afterLines="0"/>
        <w:ind w:firstLine="420"/>
        <w:jc w:val="left"/>
        <w:rPr>
          <w:rFonts w:hint="eastAsia" w:ascii="Arial" w:hAnsi="Arial" w:eastAsia="宋体" w:cs="Arial"/>
          <w:snapToGrid w:val="0"/>
          <w:color w:val="auto"/>
          <w:sz w:val="21"/>
          <w:szCs w:val="21"/>
          <w:highlight w:val="none"/>
          <w:lang w:val="en-US" w:eastAsia="en-US" w:bidi="ar-SA"/>
        </w:rPr>
      </w:pPr>
      <w:r>
        <w:rPr>
          <w:rFonts w:ascii="Arial" w:hAnsi="Arial" w:eastAsia="宋体" w:cs="Arial"/>
          <w:b w:val="0"/>
          <w:bCs w:val="0"/>
          <w:snapToGrid w:val="0"/>
          <w:color w:val="auto"/>
          <w:sz w:val="21"/>
          <w:szCs w:val="21"/>
          <w:highlight w:val="none"/>
          <w:lang w:val="en-US" w:eastAsia="zh-CN" w:bidi="ar-SA"/>
        </w:rPr>
        <w:t>招标人供应材料</w:t>
      </w:r>
      <w:r>
        <w:rPr>
          <w:rFonts w:ascii="Arial" w:hAnsi="Arial" w:eastAsia="宋体" w:cs="Arial"/>
          <w:b w:val="0"/>
          <w:bCs w:val="0"/>
          <w:snapToGrid w:val="0"/>
          <w:color w:val="auto"/>
          <w:sz w:val="21"/>
          <w:szCs w:val="21"/>
          <w:highlight w:val="none"/>
          <w:lang w:val="en-US" w:eastAsia="en-US" w:bidi="ar-SA"/>
        </w:rPr>
        <w:t>：</w:t>
      </w:r>
      <w:r>
        <w:rPr>
          <w:rFonts w:ascii="Arial" w:hAnsi="Arial" w:eastAsia="宋体" w:cs="Arial"/>
          <w:snapToGrid w:val="0"/>
          <w:color w:val="auto"/>
          <w:sz w:val="21"/>
          <w:szCs w:val="21"/>
          <w:highlight w:val="none"/>
          <w:lang w:val="en-US" w:eastAsia="en-US" w:bidi="ar-SA"/>
        </w:rPr>
        <w:t>无。</w:t>
      </w:r>
    </w:p>
    <w:p w14:paraId="115CD385">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55908978">
      <w:pPr>
        <w:pStyle w:val="4"/>
        <w:kinsoku/>
        <w:spacing w:before="0" w:beforeLines="0" w:afterLines="0"/>
        <w:ind w:left="0"/>
        <w:jc w:val="center"/>
        <w:rPr>
          <w:rFonts w:hint="eastAsia" w:cs="宋体"/>
          <w:bCs/>
          <w:color w:val="auto"/>
          <w:szCs w:val="24"/>
          <w:highlight w:val="none"/>
          <w:lang w:eastAsia="zh-CN"/>
        </w:rPr>
      </w:pPr>
      <w:bookmarkStart w:id="2500" w:name="_Toc3308"/>
      <w:bookmarkStart w:id="2501" w:name="_Toc15000"/>
      <w:bookmarkStart w:id="2502" w:name="_Toc15847"/>
      <w:r>
        <w:rPr>
          <w:rFonts w:hint="eastAsia" w:ascii="宋体" w:cs="宋体"/>
          <w:b/>
          <w:bCs/>
          <w:color w:val="auto"/>
          <w:spacing w:val="0"/>
          <w:sz w:val="24"/>
          <w:szCs w:val="24"/>
          <w:highlight w:val="none"/>
          <w:lang w:eastAsia="zh-CN"/>
        </w:rPr>
        <w:t>主要材料用量及预算价格汇总表</w:t>
      </w:r>
      <w:bookmarkEnd w:id="2500"/>
      <w:bookmarkEnd w:id="2501"/>
      <w:bookmarkEnd w:id="2502"/>
    </w:p>
    <w:p w14:paraId="4B8F53A6">
      <w:pPr>
        <w:kinsoku/>
        <w:spacing w:beforeLines="0" w:afterLines="0"/>
        <w:ind w:firstLine="420"/>
        <w:jc w:val="left"/>
        <w:rPr>
          <w:color w:val="auto"/>
          <w:highlight w:val="none"/>
          <w:lang w:eastAsia="zh-CN"/>
        </w:rPr>
      </w:pPr>
      <w:r>
        <w:rPr>
          <w:rFonts w:ascii="宋体" w:cs="宋体"/>
          <w:b w:val="0"/>
          <w:color w:val="auto"/>
          <w:spacing w:val="0"/>
          <w:sz w:val="24"/>
          <w:szCs w:val="24"/>
          <w:highlight w:val="none"/>
          <w:lang w:eastAsia="zh-CN"/>
        </w:rPr>
        <w:t>项目及标段名称：</w:t>
      </w:r>
      <w:r>
        <w:rPr>
          <w:rFonts w:hint="eastAsia" w:cs="宋体"/>
          <w:b w:val="0"/>
          <w:color w:val="auto"/>
          <w:spacing w:val="0"/>
          <w:sz w:val="24"/>
          <w:szCs w:val="24"/>
          <w:highlight w:val="none"/>
          <w:u w:val="single"/>
          <w:lang w:val="en-US" w:eastAsia="zh-CN"/>
        </w:rPr>
        <w:t xml:space="preserve">                        </w:t>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ascii="宋体" w:cs="宋体"/>
          <w:b w:val="0"/>
          <w:color w:val="auto"/>
          <w:spacing w:val="0"/>
          <w:sz w:val="24"/>
          <w:szCs w:val="24"/>
          <w:highlight w:val="none"/>
          <w:lang w:eastAsia="zh-CN"/>
        </w:rPr>
        <w:t>第</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共</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p>
    <w:tbl>
      <w:tblPr>
        <w:tblStyle w:val="24"/>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74"/>
        <w:gridCol w:w="1608"/>
        <w:gridCol w:w="1557"/>
        <w:gridCol w:w="848"/>
        <w:gridCol w:w="991"/>
        <w:gridCol w:w="1306"/>
        <w:gridCol w:w="1273"/>
        <w:gridCol w:w="717"/>
      </w:tblGrid>
      <w:tr w14:paraId="5360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531F8AF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1608" w:type="dxa"/>
            <w:tcBorders>
              <w:tl2br w:val="nil"/>
              <w:tr2bl w:val="nil"/>
            </w:tcBorders>
            <w:vAlign w:val="center"/>
          </w:tcPr>
          <w:p w14:paraId="449A960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材料名称</w:t>
            </w:r>
          </w:p>
        </w:tc>
        <w:tc>
          <w:tcPr>
            <w:tcW w:w="1557" w:type="dxa"/>
            <w:tcBorders>
              <w:tl2br w:val="nil"/>
              <w:tr2bl w:val="nil"/>
            </w:tcBorders>
            <w:vAlign w:val="center"/>
          </w:tcPr>
          <w:p w14:paraId="6AD08A0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型号规格</w:t>
            </w:r>
          </w:p>
        </w:tc>
        <w:tc>
          <w:tcPr>
            <w:tcW w:w="848" w:type="dxa"/>
            <w:tcBorders>
              <w:tl2br w:val="nil"/>
              <w:tr2bl w:val="nil"/>
            </w:tcBorders>
            <w:vAlign w:val="center"/>
          </w:tcPr>
          <w:p w14:paraId="3606D83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计量</w:t>
            </w:r>
          </w:p>
          <w:p w14:paraId="7EB00314">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单位</w:t>
            </w:r>
          </w:p>
        </w:tc>
        <w:tc>
          <w:tcPr>
            <w:tcW w:w="991" w:type="dxa"/>
            <w:tcBorders>
              <w:tl2br w:val="nil"/>
              <w:tr2bl w:val="nil"/>
            </w:tcBorders>
            <w:vAlign w:val="center"/>
          </w:tcPr>
          <w:p w14:paraId="4AD2A48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数量</w:t>
            </w:r>
          </w:p>
        </w:tc>
        <w:tc>
          <w:tcPr>
            <w:tcW w:w="1306" w:type="dxa"/>
            <w:tcBorders>
              <w:tl2br w:val="nil"/>
              <w:tr2bl w:val="nil"/>
            </w:tcBorders>
            <w:vAlign w:val="center"/>
          </w:tcPr>
          <w:p w14:paraId="6C9C969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预算价</w:t>
            </w:r>
          </w:p>
          <w:p w14:paraId="2CF652E0">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（元）</w:t>
            </w:r>
          </w:p>
        </w:tc>
        <w:tc>
          <w:tcPr>
            <w:tcW w:w="1273" w:type="dxa"/>
            <w:tcBorders>
              <w:tl2br w:val="nil"/>
              <w:tr2bl w:val="nil"/>
            </w:tcBorders>
            <w:vAlign w:val="center"/>
          </w:tcPr>
          <w:p w14:paraId="53E16DE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材料补差</w:t>
            </w:r>
          </w:p>
          <w:p w14:paraId="756A4030">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（元）</w:t>
            </w:r>
          </w:p>
        </w:tc>
        <w:tc>
          <w:tcPr>
            <w:tcW w:w="717" w:type="dxa"/>
            <w:tcBorders>
              <w:tl2br w:val="nil"/>
              <w:tr2bl w:val="nil"/>
            </w:tcBorders>
            <w:vAlign w:val="center"/>
          </w:tcPr>
          <w:p w14:paraId="2D0A7DB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439F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4FC375AC">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01C2A321">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5A5E01F7">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128AF684">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58302F60">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5AA1381A">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22C64028">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36FB02E1">
            <w:pPr>
              <w:kinsoku/>
              <w:spacing w:beforeLines="0" w:afterLines="0" w:line="0" w:lineRule="atLeast"/>
              <w:ind w:firstLine="0" w:firstLineChars="0"/>
              <w:jc w:val="center"/>
              <w:rPr>
                <w:color w:val="auto"/>
                <w:sz w:val="21"/>
                <w:highlight w:val="none"/>
              </w:rPr>
            </w:pPr>
          </w:p>
        </w:tc>
      </w:tr>
      <w:tr w14:paraId="7123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07D1748B">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667DA75B">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615A7684">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19564CDE">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64352D9B">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349260D1">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79AA88FF">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16C95D2F">
            <w:pPr>
              <w:kinsoku/>
              <w:spacing w:beforeLines="0" w:afterLines="0" w:line="0" w:lineRule="atLeast"/>
              <w:ind w:firstLine="0" w:firstLineChars="0"/>
              <w:jc w:val="center"/>
              <w:rPr>
                <w:color w:val="auto"/>
                <w:sz w:val="21"/>
                <w:highlight w:val="none"/>
              </w:rPr>
            </w:pPr>
          </w:p>
        </w:tc>
      </w:tr>
      <w:tr w14:paraId="0D926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711AD55D">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2181B90E">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0A7CF620">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3B03D0D2">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0882658D">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3F9402B5">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29BFADB2">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50742EA8">
            <w:pPr>
              <w:kinsoku/>
              <w:spacing w:beforeLines="0" w:afterLines="0" w:line="0" w:lineRule="atLeast"/>
              <w:ind w:firstLine="0" w:firstLineChars="0"/>
              <w:jc w:val="center"/>
              <w:rPr>
                <w:color w:val="auto"/>
                <w:sz w:val="21"/>
                <w:highlight w:val="none"/>
              </w:rPr>
            </w:pPr>
          </w:p>
        </w:tc>
      </w:tr>
      <w:tr w14:paraId="744A2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207BA781">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0C781637">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5750C351">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10842B97">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348A9063">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4338CFC0">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1538488A">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7405DFC6">
            <w:pPr>
              <w:kinsoku/>
              <w:spacing w:beforeLines="0" w:afterLines="0" w:line="0" w:lineRule="atLeast"/>
              <w:ind w:firstLine="0" w:firstLineChars="0"/>
              <w:jc w:val="center"/>
              <w:rPr>
                <w:color w:val="auto"/>
                <w:sz w:val="21"/>
                <w:highlight w:val="none"/>
              </w:rPr>
            </w:pPr>
          </w:p>
        </w:tc>
      </w:tr>
      <w:tr w14:paraId="5778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0D08BC12">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2E3C53B3">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04C03DCC">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34C2DE97">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795F05CA">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6AB1C7EC">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5B33C1BF">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1493AE95">
            <w:pPr>
              <w:kinsoku/>
              <w:spacing w:beforeLines="0" w:afterLines="0" w:line="0" w:lineRule="atLeast"/>
              <w:ind w:firstLine="0" w:firstLineChars="0"/>
              <w:jc w:val="center"/>
              <w:rPr>
                <w:color w:val="auto"/>
                <w:sz w:val="21"/>
                <w:highlight w:val="none"/>
              </w:rPr>
            </w:pPr>
          </w:p>
        </w:tc>
      </w:tr>
      <w:tr w14:paraId="5ECB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093DBE9A">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465229DA">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7168E4D1">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0FC72C13">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73A87082">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1EF48D5F">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1FF3FAAA">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714356A6">
            <w:pPr>
              <w:kinsoku/>
              <w:spacing w:beforeLines="0" w:afterLines="0" w:line="0" w:lineRule="atLeast"/>
              <w:ind w:firstLine="0" w:firstLineChars="0"/>
              <w:jc w:val="center"/>
              <w:rPr>
                <w:color w:val="auto"/>
                <w:sz w:val="21"/>
                <w:highlight w:val="none"/>
              </w:rPr>
            </w:pPr>
          </w:p>
        </w:tc>
      </w:tr>
      <w:tr w14:paraId="4522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5507CAF4">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7DD1D7B6">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7C2D7F5D">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452B097F">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323F02D1">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50A16840">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5BE0F278">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41FB9F74">
            <w:pPr>
              <w:kinsoku/>
              <w:spacing w:beforeLines="0" w:afterLines="0" w:line="0" w:lineRule="atLeast"/>
              <w:ind w:firstLine="0" w:firstLineChars="0"/>
              <w:jc w:val="center"/>
              <w:rPr>
                <w:color w:val="auto"/>
                <w:sz w:val="21"/>
                <w:highlight w:val="none"/>
              </w:rPr>
            </w:pPr>
          </w:p>
        </w:tc>
      </w:tr>
      <w:tr w14:paraId="228D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1E15D5A0">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53F25F80">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1C2F8507">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39B3AD82">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067568B5">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06FF1A7B">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7D8DD0DF">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0E17648E">
            <w:pPr>
              <w:kinsoku/>
              <w:spacing w:beforeLines="0" w:afterLines="0" w:line="0" w:lineRule="atLeast"/>
              <w:ind w:firstLine="0" w:firstLineChars="0"/>
              <w:jc w:val="center"/>
              <w:rPr>
                <w:color w:val="auto"/>
                <w:sz w:val="21"/>
                <w:highlight w:val="none"/>
              </w:rPr>
            </w:pPr>
          </w:p>
        </w:tc>
      </w:tr>
      <w:tr w14:paraId="5DB1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3DB78E56">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2C263FB9">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6487CED7">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428344EE">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1FCB671B">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2172B556">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3022A21D">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7B4ACAAA">
            <w:pPr>
              <w:kinsoku/>
              <w:spacing w:beforeLines="0" w:afterLines="0" w:line="0" w:lineRule="atLeast"/>
              <w:ind w:firstLine="0" w:firstLineChars="0"/>
              <w:jc w:val="center"/>
              <w:rPr>
                <w:color w:val="auto"/>
                <w:sz w:val="21"/>
                <w:highlight w:val="none"/>
              </w:rPr>
            </w:pPr>
          </w:p>
        </w:tc>
      </w:tr>
      <w:tr w14:paraId="1D41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5912E159">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11AF8672">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0B1ACC79">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615C9547">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654EBE9C">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5C65A9E1">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58B96252">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2BAA4A00">
            <w:pPr>
              <w:kinsoku/>
              <w:spacing w:beforeLines="0" w:afterLines="0" w:line="0" w:lineRule="atLeast"/>
              <w:ind w:firstLine="0" w:firstLineChars="0"/>
              <w:jc w:val="center"/>
              <w:rPr>
                <w:color w:val="auto"/>
                <w:sz w:val="21"/>
                <w:highlight w:val="none"/>
              </w:rPr>
            </w:pPr>
          </w:p>
        </w:tc>
      </w:tr>
      <w:tr w14:paraId="314A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6F81CBBC">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34E5F972">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0526D2BE">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000A5ACC">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5E742CB9">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331EADA4">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62DF9673">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5B64EFC4">
            <w:pPr>
              <w:kinsoku/>
              <w:spacing w:beforeLines="0" w:afterLines="0" w:line="0" w:lineRule="atLeast"/>
              <w:ind w:firstLine="0" w:firstLineChars="0"/>
              <w:jc w:val="center"/>
              <w:rPr>
                <w:color w:val="auto"/>
                <w:sz w:val="21"/>
                <w:highlight w:val="none"/>
              </w:rPr>
            </w:pPr>
          </w:p>
        </w:tc>
      </w:tr>
      <w:tr w14:paraId="3124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11D98347">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61BB73DA">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4362B17A">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66F344D1">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75C82D39">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7178D676">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01629EA4">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51AB8105">
            <w:pPr>
              <w:kinsoku/>
              <w:spacing w:beforeLines="0" w:afterLines="0" w:line="0" w:lineRule="atLeast"/>
              <w:ind w:firstLine="0" w:firstLineChars="0"/>
              <w:jc w:val="center"/>
              <w:rPr>
                <w:color w:val="auto"/>
                <w:sz w:val="21"/>
                <w:highlight w:val="none"/>
              </w:rPr>
            </w:pPr>
          </w:p>
        </w:tc>
      </w:tr>
      <w:tr w14:paraId="6837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6F583AE8">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2C3E1936">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6EECEA76">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176B8D7F">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04EC88E8">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3FB3CDC5">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5D7DC9C3">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37D27A0B">
            <w:pPr>
              <w:kinsoku/>
              <w:spacing w:beforeLines="0" w:afterLines="0" w:line="0" w:lineRule="atLeast"/>
              <w:ind w:firstLine="0" w:firstLineChars="0"/>
              <w:jc w:val="center"/>
              <w:rPr>
                <w:color w:val="auto"/>
                <w:sz w:val="21"/>
                <w:highlight w:val="none"/>
              </w:rPr>
            </w:pPr>
          </w:p>
        </w:tc>
      </w:tr>
      <w:tr w14:paraId="1703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33B149D2">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0E673267">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6C090D3B">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64ACBE0F">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5AF3EF91">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0D022995">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0DCA5E26">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0E0EAF1E">
            <w:pPr>
              <w:kinsoku/>
              <w:spacing w:beforeLines="0" w:afterLines="0" w:line="0" w:lineRule="atLeast"/>
              <w:ind w:firstLine="0" w:firstLineChars="0"/>
              <w:jc w:val="center"/>
              <w:rPr>
                <w:color w:val="auto"/>
                <w:sz w:val="21"/>
                <w:highlight w:val="none"/>
              </w:rPr>
            </w:pPr>
          </w:p>
        </w:tc>
      </w:tr>
      <w:tr w14:paraId="6F03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74" w:type="dxa"/>
            <w:tcBorders>
              <w:tl2br w:val="nil"/>
              <w:tr2bl w:val="nil"/>
            </w:tcBorders>
            <w:vAlign w:val="center"/>
          </w:tcPr>
          <w:p w14:paraId="614BA73D">
            <w:pPr>
              <w:kinsoku/>
              <w:spacing w:beforeLines="0" w:afterLines="0" w:line="0" w:lineRule="atLeast"/>
              <w:ind w:firstLine="0" w:firstLineChars="0"/>
              <w:jc w:val="center"/>
              <w:rPr>
                <w:color w:val="auto"/>
                <w:sz w:val="21"/>
                <w:highlight w:val="none"/>
              </w:rPr>
            </w:pPr>
          </w:p>
        </w:tc>
        <w:tc>
          <w:tcPr>
            <w:tcW w:w="1608" w:type="dxa"/>
            <w:tcBorders>
              <w:tl2br w:val="nil"/>
              <w:tr2bl w:val="nil"/>
            </w:tcBorders>
            <w:vAlign w:val="center"/>
          </w:tcPr>
          <w:p w14:paraId="6B070D3D">
            <w:pPr>
              <w:kinsoku/>
              <w:spacing w:beforeLines="0" w:afterLines="0" w:line="0" w:lineRule="atLeast"/>
              <w:ind w:firstLine="0" w:firstLineChars="0"/>
              <w:jc w:val="center"/>
              <w:rPr>
                <w:color w:val="auto"/>
                <w:sz w:val="21"/>
                <w:highlight w:val="none"/>
              </w:rPr>
            </w:pPr>
          </w:p>
        </w:tc>
        <w:tc>
          <w:tcPr>
            <w:tcW w:w="1557" w:type="dxa"/>
            <w:tcBorders>
              <w:tl2br w:val="nil"/>
              <w:tr2bl w:val="nil"/>
            </w:tcBorders>
            <w:vAlign w:val="center"/>
          </w:tcPr>
          <w:p w14:paraId="27D9443A">
            <w:pPr>
              <w:kinsoku/>
              <w:spacing w:beforeLines="0" w:afterLines="0" w:line="0" w:lineRule="atLeast"/>
              <w:ind w:firstLine="0" w:firstLineChars="0"/>
              <w:jc w:val="center"/>
              <w:rPr>
                <w:color w:val="auto"/>
                <w:sz w:val="21"/>
                <w:highlight w:val="none"/>
              </w:rPr>
            </w:pPr>
          </w:p>
        </w:tc>
        <w:tc>
          <w:tcPr>
            <w:tcW w:w="848" w:type="dxa"/>
            <w:tcBorders>
              <w:tl2br w:val="nil"/>
              <w:tr2bl w:val="nil"/>
            </w:tcBorders>
            <w:vAlign w:val="center"/>
          </w:tcPr>
          <w:p w14:paraId="62C9215D">
            <w:pPr>
              <w:kinsoku/>
              <w:spacing w:beforeLines="0" w:afterLines="0" w:line="0" w:lineRule="atLeast"/>
              <w:ind w:firstLine="0" w:firstLineChars="0"/>
              <w:jc w:val="center"/>
              <w:rPr>
                <w:color w:val="auto"/>
                <w:sz w:val="21"/>
                <w:highlight w:val="none"/>
              </w:rPr>
            </w:pPr>
          </w:p>
        </w:tc>
        <w:tc>
          <w:tcPr>
            <w:tcW w:w="991" w:type="dxa"/>
            <w:tcBorders>
              <w:tl2br w:val="nil"/>
              <w:tr2bl w:val="nil"/>
            </w:tcBorders>
            <w:vAlign w:val="center"/>
          </w:tcPr>
          <w:p w14:paraId="6383F7F7">
            <w:pPr>
              <w:kinsoku/>
              <w:spacing w:beforeLines="0" w:afterLines="0" w:line="0" w:lineRule="atLeast"/>
              <w:ind w:firstLine="0" w:firstLineChars="0"/>
              <w:jc w:val="center"/>
              <w:rPr>
                <w:color w:val="auto"/>
                <w:sz w:val="21"/>
                <w:highlight w:val="none"/>
              </w:rPr>
            </w:pPr>
          </w:p>
        </w:tc>
        <w:tc>
          <w:tcPr>
            <w:tcW w:w="1306" w:type="dxa"/>
            <w:tcBorders>
              <w:tl2br w:val="nil"/>
              <w:tr2bl w:val="nil"/>
            </w:tcBorders>
            <w:vAlign w:val="center"/>
          </w:tcPr>
          <w:p w14:paraId="2F17260B">
            <w:pPr>
              <w:kinsoku/>
              <w:spacing w:beforeLines="0" w:afterLines="0" w:line="0" w:lineRule="atLeast"/>
              <w:ind w:firstLine="0" w:firstLineChars="0"/>
              <w:jc w:val="center"/>
              <w:rPr>
                <w:color w:val="auto"/>
                <w:sz w:val="21"/>
                <w:highlight w:val="none"/>
              </w:rPr>
            </w:pPr>
          </w:p>
        </w:tc>
        <w:tc>
          <w:tcPr>
            <w:tcW w:w="1273" w:type="dxa"/>
            <w:tcBorders>
              <w:tl2br w:val="nil"/>
              <w:tr2bl w:val="nil"/>
            </w:tcBorders>
            <w:vAlign w:val="center"/>
          </w:tcPr>
          <w:p w14:paraId="7C3BA1CD">
            <w:pPr>
              <w:kinsoku/>
              <w:spacing w:beforeLines="0" w:afterLines="0" w:line="0" w:lineRule="atLeast"/>
              <w:ind w:firstLine="0" w:firstLineChars="0"/>
              <w:jc w:val="center"/>
              <w:rPr>
                <w:color w:val="auto"/>
                <w:sz w:val="21"/>
                <w:highlight w:val="none"/>
              </w:rPr>
            </w:pPr>
          </w:p>
        </w:tc>
        <w:tc>
          <w:tcPr>
            <w:tcW w:w="717" w:type="dxa"/>
            <w:tcBorders>
              <w:tl2br w:val="nil"/>
              <w:tr2bl w:val="nil"/>
            </w:tcBorders>
            <w:vAlign w:val="center"/>
          </w:tcPr>
          <w:p w14:paraId="6CF8888D">
            <w:pPr>
              <w:kinsoku/>
              <w:spacing w:beforeLines="0" w:afterLines="0" w:line="0" w:lineRule="atLeast"/>
              <w:ind w:firstLine="0" w:firstLineChars="0"/>
              <w:jc w:val="center"/>
              <w:rPr>
                <w:color w:val="auto"/>
                <w:sz w:val="21"/>
                <w:highlight w:val="none"/>
              </w:rPr>
            </w:pPr>
          </w:p>
        </w:tc>
      </w:tr>
    </w:tbl>
    <w:p w14:paraId="7CC96BB5">
      <w:pPr>
        <w:pStyle w:val="7"/>
        <w:kinsoku/>
        <w:spacing w:beforeLines="0" w:afterLines="0"/>
        <w:ind w:firstLine="420"/>
        <w:jc w:val="left"/>
        <w:rPr>
          <w:color w:val="auto"/>
          <w:highlight w:val="none"/>
        </w:rPr>
      </w:pPr>
    </w:p>
    <w:p w14:paraId="013CA2F2">
      <w:pPr>
        <w:kinsoku/>
        <w:adjustRightInd/>
        <w:snapToGrid/>
        <w:spacing w:beforeLines="0" w:afterLines="0" w:line="240" w:lineRule="auto"/>
        <w:ind w:firstLine="420"/>
        <w:jc w:val="left"/>
        <w:textAlignment w:val="auto"/>
        <w:rPr>
          <w:color w:val="auto"/>
          <w:highlight w:val="none"/>
        </w:rPr>
        <w:sectPr>
          <w:headerReference r:id="rId13" w:type="default"/>
          <w:footerReference r:id="rId14" w:type="default"/>
          <w:pgSz w:w="11905" w:h="16840"/>
          <w:pgMar w:top="1616" w:right="1418" w:bottom="1616" w:left="1418" w:header="851" w:footer="1304" w:gutter="0"/>
          <w:pgNumType w:fmt="decimal"/>
          <w:cols w:space="720" w:num="1"/>
          <w:docGrid w:linePitch="381" w:charSpace="0"/>
        </w:sectPr>
      </w:pPr>
    </w:p>
    <w:p w14:paraId="2CB4B9D0">
      <w:pPr>
        <w:kinsoku/>
        <w:adjustRightInd/>
        <w:snapToGrid/>
        <w:spacing w:beforeLines="0" w:afterLines="0" w:line="240" w:lineRule="auto"/>
        <w:ind w:firstLine="420"/>
        <w:jc w:val="left"/>
        <w:textAlignment w:val="auto"/>
        <w:rPr>
          <w:color w:val="auto"/>
          <w:highlight w:val="none"/>
        </w:rPr>
      </w:pPr>
    </w:p>
    <w:p w14:paraId="409470B4">
      <w:pPr>
        <w:pStyle w:val="4"/>
        <w:kinsoku/>
        <w:spacing w:before="0" w:beforeLines="0" w:afterLines="0"/>
        <w:ind w:left="0"/>
        <w:jc w:val="center"/>
        <w:rPr>
          <w:rFonts w:hint="eastAsia" w:cs="宋体"/>
          <w:bCs/>
          <w:color w:val="auto"/>
          <w:szCs w:val="24"/>
          <w:highlight w:val="none"/>
          <w:lang w:eastAsia="zh-CN"/>
        </w:rPr>
      </w:pPr>
      <w:bookmarkStart w:id="2503" w:name="_Toc5097"/>
      <w:bookmarkStart w:id="2504" w:name="_Toc10053"/>
      <w:bookmarkStart w:id="2505" w:name="_Toc16379"/>
      <w:r>
        <w:rPr>
          <w:rFonts w:hint="eastAsia" w:ascii="宋体" w:cs="宋体"/>
          <w:b/>
          <w:bCs/>
          <w:color w:val="auto"/>
          <w:spacing w:val="0"/>
          <w:sz w:val="24"/>
          <w:szCs w:val="24"/>
          <w:highlight w:val="none"/>
          <w:lang w:eastAsia="zh-CN"/>
        </w:rPr>
        <w:t>施工机械台</w:t>
      </w:r>
      <w:r>
        <w:rPr>
          <w:rFonts w:hint="eastAsia" w:cs="宋体"/>
          <w:b/>
          <w:bCs/>
          <w:color w:val="auto"/>
          <w:spacing w:val="0"/>
          <w:sz w:val="24"/>
          <w:szCs w:val="24"/>
          <w:highlight w:val="none"/>
          <w:lang w:val="en-US" w:eastAsia="zh-CN"/>
        </w:rPr>
        <w:t>时</w:t>
      </w:r>
      <w:r>
        <w:rPr>
          <w:rFonts w:hint="eastAsia" w:ascii="宋体" w:cs="宋体"/>
          <w:b/>
          <w:bCs/>
          <w:strike/>
          <w:color w:val="auto"/>
          <w:spacing w:val="0"/>
          <w:sz w:val="24"/>
          <w:szCs w:val="24"/>
          <w:highlight w:val="none"/>
          <w:lang w:eastAsia="zh-CN"/>
        </w:rPr>
        <w:t>班</w:t>
      </w:r>
      <w:r>
        <w:rPr>
          <w:rFonts w:hint="eastAsia" w:ascii="宋体" w:cs="宋体"/>
          <w:b/>
          <w:bCs/>
          <w:color w:val="auto"/>
          <w:spacing w:val="0"/>
          <w:sz w:val="24"/>
          <w:szCs w:val="24"/>
          <w:highlight w:val="none"/>
          <w:lang w:eastAsia="zh-CN"/>
        </w:rPr>
        <w:t>费汇总表</w:t>
      </w:r>
      <w:bookmarkEnd w:id="2503"/>
      <w:bookmarkEnd w:id="2504"/>
      <w:bookmarkEnd w:id="2505"/>
    </w:p>
    <w:p w14:paraId="1E6D16F7">
      <w:pPr>
        <w:kinsoku/>
        <w:spacing w:beforeLines="0" w:afterLines="0"/>
        <w:ind w:firstLine="420"/>
        <w:jc w:val="left"/>
        <w:rPr>
          <w:color w:val="auto"/>
          <w:highlight w:val="none"/>
          <w:lang w:eastAsia="zh-CN"/>
        </w:rPr>
      </w:pPr>
      <w:r>
        <w:rPr>
          <w:rFonts w:ascii="宋体" w:cs="宋体"/>
          <w:b w:val="0"/>
          <w:color w:val="auto"/>
          <w:spacing w:val="0"/>
          <w:sz w:val="24"/>
          <w:szCs w:val="24"/>
          <w:highlight w:val="none"/>
          <w:lang w:eastAsia="zh-CN"/>
        </w:rPr>
        <w:t>项目及标段名称：</w:t>
      </w:r>
      <w:r>
        <w:rPr>
          <w:rFonts w:hint="eastAsia" w:cs="宋体"/>
          <w:b w:val="0"/>
          <w:color w:val="auto"/>
          <w:spacing w:val="0"/>
          <w:sz w:val="24"/>
          <w:szCs w:val="24"/>
          <w:highlight w:val="none"/>
          <w:u w:val="single"/>
          <w:lang w:val="en-US" w:eastAsia="zh-CN"/>
        </w:rPr>
        <w:t xml:space="preserve">                                         </w:t>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hint="eastAsia" w:cs="宋体"/>
          <w:b w:val="0"/>
          <w:color w:val="auto"/>
          <w:spacing w:val="0"/>
          <w:sz w:val="24"/>
          <w:szCs w:val="24"/>
          <w:highlight w:val="none"/>
          <w:lang w:val="en-US" w:eastAsia="zh-CN"/>
        </w:rPr>
        <w:tab/>
      </w:r>
      <w:r>
        <w:rPr>
          <w:rFonts w:ascii="宋体" w:cs="宋体"/>
          <w:b w:val="0"/>
          <w:color w:val="auto"/>
          <w:spacing w:val="0"/>
          <w:sz w:val="24"/>
          <w:szCs w:val="24"/>
          <w:highlight w:val="none"/>
          <w:lang w:eastAsia="zh-CN"/>
        </w:rPr>
        <w:t>第</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共</w:t>
      </w:r>
      <w:r>
        <w:rPr>
          <w:rFonts w:hint="eastAsia" w:cs="宋体"/>
          <w:b w:val="0"/>
          <w:color w:val="auto"/>
          <w:spacing w:val="0"/>
          <w:sz w:val="24"/>
          <w:szCs w:val="24"/>
          <w:highlight w:val="none"/>
          <w:lang w:val="en-US" w:eastAsia="zh-CN"/>
        </w:rPr>
        <w:t xml:space="preserve">    </w:t>
      </w:r>
      <w:r>
        <w:rPr>
          <w:rFonts w:ascii="宋体" w:cs="宋体"/>
          <w:b w:val="0"/>
          <w:color w:val="auto"/>
          <w:spacing w:val="0"/>
          <w:sz w:val="24"/>
          <w:szCs w:val="24"/>
          <w:highlight w:val="none"/>
          <w:lang w:eastAsia="zh-CN"/>
        </w:rPr>
        <w:t>页</w:t>
      </w:r>
    </w:p>
    <w:tbl>
      <w:tblPr>
        <w:tblStyle w:val="18"/>
        <w:tblW w:w="51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2029"/>
        <w:gridCol w:w="1074"/>
        <w:gridCol w:w="855"/>
        <w:gridCol w:w="856"/>
        <w:gridCol w:w="856"/>
        <w:gridCol w:w="856"/>
        <w:gridCol w:w="856"/>
        <w:gridCol w:w="856"/>
        <w:gridCol w:w="856"/>
        <w:gridCol w:w="856"/>
        <w:gridCol w:w="856"/>
        <w:gridCol w:w="856"/>
        <w:gridCol w:w="859"/>
        <w:gridCol w:w="1001"/>
      </w:tblGrid>
      <w:tr w14:paraId="56B8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vMerge w:val="restart"/>
            <w:noWrap w:val="0"/>
            <w:vAlign w:val="center"/>
          </w:tcPr>
          <w:p w14:paraId="6E65EDA6">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bookmarkStart w:id="2506" w:name="_Toc221951613"/>
            <w:r>
              <w:rPr>
                <w:rFonts w:hint="eastAsia" w:ascii="宋体" w:hAnsi="宋体" w:eastAsia="宋体" w:cs="Times New Roman"/>
                <w:bCs/>
                <w:snapToGrid/>
                <w:color w:val="auto"/>
                <w:kern w:val="2"/>
                <w:sz w:val="21"/>
                <w:szCs w:val="21"/>
                <w:highlight w:val="none"/>
                <w:lang w:eastAsia="zh-CN"/>
              </w:rPr>
              <w:t>序号</w:t>
            </w:r>
            <w:bookmarkEnd w:id="2506"/>
          </w:p>
        </w:tc>
        <w:tc>
          <w:tcPr>
            <w:tcW w:w="714" w:type="pct"/>
            <w:vMerge w:val="restart"/>
            <w:noWrap w:val="0"/>
            <w:vAlign w:val="center"/>
          </w:tcPr>
          <w:p w14:paraId="61325483">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bookmarkStart w:id="2507" w:name="_Toc221951614"/>
            <w:r>
              <w:rPr>
                <w:rFonts w:hint="eastAsia" w:ascii="宋体" w:hAnsi="宋体" w:eastAsia="宋体" w:cs="Times New Roman"/>
                <w:bCs/>
                <w:snapToGrid/>
                <w:color w:val="auto"/>
                <w:kern w:val="2"/>
                <w:sz w:val="21"/>
                <w:szCs w:val="21"/>
                <w:highlight w:val="none"/>
                <w:lang w:eastAsia="zh-CN"/>
              </w:rPr>
              <w:t>机械名称</w:t>
            </w:r>
            <w:bookmarkEnd w:id="2507"/>
          </w:p>
        </w:tc>
        <w:tc>
          <w:tcPr>
            <w:tcW w:w="378" w:type="pct"/>
            <w:vMerge w:val="restart"/>
            <w:noWrap w:val="0"/>
            <w:vAlign w:val="center"/>
          </w:tcPr>
          <w:p w14:paraId="2C917925">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bookmarkStart w:id="2508" w:name="_Toc221951615"/>
            <w:r>
              <w:rPr>
                <w:rFonts w:hint="eastAsia" w:ascii="宋体" w:hAnsi="宋体" w:eastAsia="宋体" w:cs="Times New Roman"/>
                <w:bCs/>
                <w:snapToGrid/>
                <w:color w:val="auto"/>
                <w:kern w:val="2"/>
                <w:sz w:val="21"/>
                <w:szCs w:val="21"/>
                <w:highlight w:val="none"/>
                <w:lang w:eastAsia="zh-CN"/>
              </w:rPr>
              <w:t>规格型号</w:t>
            </w:r>
            <w:bookmarkEnd w:id="2508"/>
          </w:p>
        </w:tc>
        <w:tc>
          <w:tcPr>
            <w:tcW w:w="1204" w:type="pct"/>
            <w:gridSpan w:val="4"/>
            <w:noWrap w:val="0"/>
            <w:vAlign w:val="center"/>
          </w:tcPr>
          <w:p w14:paraId="76A5C83D">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bookmarkStart w:id="2509" w:name="_Toc221951616"/>
            <w:r>
              <w:rPr>
                <w:rFonts w:hint="eastAsia" w:ascii="宋体" w:hAnsi="宋体" w:eastAsia="宋体" w:cs="Times New Roman"/>
                <w:bCs/>
                <w:snapToGrid/>
                <w:color w:val="auto"/>
                <w:kern w:val="2"/>
                <w:sz w:val="21"/>
                <w:szCs w:val="21"/>
                <w:highlight w:val="none"/>
                <w:lang w:eastAsia="zh-CN"/>
              </w:rPr>
              <w:t>一类费用</w:t>
            </w:r>
            <w:bookmarkEnd w:id="2509"/>
          </w:p>
        </w:tc>
        <w:tc>
          <w:tcPr>
            <w:tcW w:w="2108" w:type="pct"/>
            <w:gridSpan w:val="7"/>
            <w:noWrap w:val="0"/>
            <w:vAlign w:val="center"/>
          </w:tcPr>
          <w:p w14:paraId="7FE9154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bookmarkStart w:id="2510" w:name="_Toc221951617"/>
            <w:r>
              <w:rPr>
                <w:rFonts w:hint="eastAsia" w:ascii="宋体" w:hAnsi="宋体" w:eastAsia="宋体" w:cs="Times New Roman"/>
                <w:bCs/>
                <w:snapToGrid/>
                <w:color w:val="auto"/>
                <w:kern w:val="2"/>
                <w:sz w:val="21"/>
                <w:szCs w:val="21"/>
                <w:highlight w:val="none"/>
                <w:lang w:eastAsia="zh-CN"/>
              </w:rPr>
              <w:t>二类费用</w:t>
            </w:r>
            <w:bookmarkEnd w:id="2510"/>
          </w:p>
        </w:tc>
        <w:tc>
          <w:tcPr>
            <w:tcW w:w="352" w:type="pct"/>
            <w:vMerge w:val="restart"/>
            <w:noWrap w:val="0"/>
            <w:vAlign w:val="center"/>
          </w:tcPr>
          <w:p w14:paraId="39FB809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bookmarkStart w:id="2511" w:name="_Toc221951618"/>
            <w:r>
              <w:rPr>
                <w:rFonts w:hint="eastAsia" w:ascii="宋体" w:hAnsi="宋体" w:eastAsia="宋体" w:cs="Times New Roman"/>
                <w:bCs/>
                <w:snapToGrid/>
                <w:color w:val="auto"/>
                <w:kern w:val="2"/>
                <w:sz w:val="21"/>
                <w:szCs w:val="21"/>
                <w:highlight w:val="none"/>
                <w:lang w:eastAsia="zh-CN"/>
              </w:rPr>
              <w:t>合计</w:t>
            </w:r>
            <w:bookmarkEnd w:id="2511"/>
          </w:p>
        </w:tc>
      </w:tr>
      <w:tr w14:paraId="70D9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vMerge w:val="continue"/>
            <w:noWrap w:val="0"/>
            <w:vAlign w:val="center"/>
          </w:tcPr>
          <w:p w14:paraId="5F1B63C1">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714" w:type="pct"/>
            <w:vMerge w:val="continue"/>
            <w:noWrap w:val="0"/>
            <w:vAlign w:val="top"/>
          </w:tcPr>
          <w:p w14:paraId="36241AB5">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78" w:type="pct"/>
            <w:vMerge w:val="continue"/>
            <w:noWrap w:val="0"/>
            <w:vAlign w:val="center"/>
          </w:tcPr>
          <w:p w14:paraId="098A3A7A">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55597B93">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bookmarkStart w:id="2512" w:name="_Toc221951619"/>
            <w:r>
              <w:rPr>
                <w:rFonts w:hint="eastAsia" w:ascii="宋体" w:hAnsi="宋体" w:eastAsia="宋体" w:cs="Times New Roman"/>
                <w:bCs/>
                <w:snapToGrid/>
                <w:color w:val="auto"/>
                <w:kern w:val="2"/>
                <w:sz w:val="21"/>
                <w:szCs w:val="21"/>
                <w:highlight w:val="none"/>
                <w:lang w:eastAsia="zh-CN"/>
              </w:rPr>
              <w:t>折旧费</w:t>
            </w:r>
            <w:bookmarkEnd w:id="2512"/>
          </w:p>
        </w:tc>
        <w:tc>
          <w:tcPr>
            <w:tcW w:w="301" w:type="pct"/>
            <w:noWrap w:val="0"/>
            <w:vAlign w:val="center"/>
          </w:tcPr>
          <w:p w14:paraId="3833EFCD">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bookmarkStart w:id="2513" w:name="_Toc221951620"/>
            <w:r>
              <w:rPr>
                <w:rFonts w:hint="eastAsia" w:ascii="宋体" w:hAnsi="宋体" w:eastAsia="宋体" w:cs="Times New Roman"/>
                <w:bCs/>
                <w:snapToGrid/>
                <w:color w:val="auto"/>
                <w:kern w:val="2"/>
                <w:sz w:val="21"/>
                <w:szCs w:val="21"/>
                <w:highlight w:val="none"/>
                <w:lang w:eastAsia="zh-CN"/>
              </w:rPr>
              <w:t>维修费</w:t>
            </w:r>
            <w:bookmarkEnd w:id="2513"/>
          </w:p>
        </w:tc>
        <w:tc>
          <w:tcPr>
            <w:tcW w:w="301" w:type="pct"/>
            <w:noWrap w:val="0"/>
            <w:vAlign w:val="center"/>
          </w:tcPr>
          <w:p w14:paraId="1E128814">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bookmarkStart w:id="2514" w:name="_Toc221951621"/>
            <w:r>
              <w:rPr>
                <w:rFonts w:hint="eastAsia" w:ascii="宋体" w:hAnsi="宋体" w:eastAsia="宋体" w:cs="Times New Roman"/>
                <w:bCs/>
                <w:snapToGrid/>
                <w:color w:val="auto"/>
                <w:kern w:val="2"/>
                <w:sz w:val="21"/>
                <w:szCs w:val="21"/>
                <w:highlight w:val="none"/>
                <w:lang w:eastAsia="zh-CN"/>
              </w:rPr>
              <w:t>安拆费</w:t>
            </w:r>
            <w:bookmarkEnd w:id="2514"/>
          </w:p>
        </w:tc>
        <w:tc>
          <w:tcPr>
            <w:tcW w:w="301" w:type="pct"/>
            <w:noWrap w:val="0"/>
            <w:vAlign w:val="center"/>
          </w:tcPr>
          <w:p w14:paraId="3A5F584A">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bookmarkStart w:id="2515" w:name="_Toc221951622"/>
            <w:r>
              <w:rPr>
                <w:rFonts w:hint="eastAsia" w:ascii="宋体" w:hAnsi="宋体" w:eastAsia="宋体" w:cs="Times New Roman"/>
                <w:bCs/>
                <w:snapToGrid/>
                <w:color w:val="auto"/>
                <w:kern w:val="2"/>
                <w:sz w:val="21"/>
                <w:szCs w:val="21"/>
                <w:highlight w:val="none"/>
                <w:lang w:eastAsia="zh-CN"/>
              </w:rPr>
              <w:t>小计</w:t>
            </w:r>
            <w:bookmarkEnd w:id="2515"/>
          </w:p>
        </w:tc>
        <w:tc>
          <w:tcPr>
            <w:tcW w:w="301" w:type="pct"/>
            <w:noWrap w:val="0"/>
            <w:vAlign w:val="center"/>
          </w:tcPr>
          <w:p w14:paraId="561653AA">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bookmarkStart w:id="2516" w:name="_Toc221951623"/>
            <w:r>
              <w:rPr>
                <w:rFonts w:hint="eastAsia" w:ascii="宋体" w:hAnsi="宋体" w:eastAsia="宋体" w:cs="Times New Roman"/>
                <w:bCs/>
                <w:snapToGrid/>
                <w:color w:val="auto"/>
                <w:kern w:val="2"/>
                <w:sz w:val="21"/>
                <w:szCs w:val="21"/>
                <w:highlight w:val="none"/>
                <w:lang w:eastAsia="zh-CN"/>
              </w:rPr>
              <w:t>人工</w:t>
            </w:r>
            <w:bookmarkEnd w:id="2516"/>
          </w:p>
        </w:tc>
        <w:tc>
          <w:tcPr>
            <w:tcW w:w="301" w:type="pct"/>
            <w:noWrap w:val="0"/>
            <w:vAlign w:val="center"/>
          </w:tcPr>
          <w:p w14:paraId="16511A2A">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bookmarkStart w:id="2517" w:name="_Toc221951624"/>
            <w:r>
              <w:rPr>
                <w:rFonts w:hint="eastAsia" w:ascii="宋体" w:hAnsi="宋体" w:eastAsia="宋体" w:cs="Times New Roman"/>
                <w:bCs/>
                <w:snapToGrid/>
                <w:color w:val="auto"/>
                <w:kern w:val="2"/>
                <w:sz w:val="21"/>
                <w:szCs w:val="21"/>
                <w:highlight w:val="none"/>
                <w:lang w:eastAsia="zh-CN"/>
              </w:rPr>
              <w:t>柴油</w:t>
            </w:r>
            <w:bookmarkEnd w:id="2517"/>
          </w:p>
        </w:tc>
        <w:tc>
          <w:tcPr>
            <w:tcW w:w="301" w:type="pct"/>
            <w:noWrap w:val="0"/>
            <w:vAlign w:val="center"/>
          </w:tcPr>
          <w:p w14:paraId="3EDE592F">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bookmarkStart w:id="2518" w:name="_Toc221951625"/>
            <w:r>
              <w:rPr>
                <w:rFonts w:hint="eastAsia" w:ascii="宋体" w:hAnsi="宋体" w:eastAsia="宋体" w:cs="Times New Roman"/>
                <w:bCs/>
                <w:snapToGrid/>
                <w:color w:val="auto"/>
                <w:kern w:val="2"/>
                <w:sz w:val="21"/>
                <w:szCs w:val="21"/>
                <w:highlight w:val="none"/>
                <w:lang w:eastAsia="zh-CN"/>
              </w:rPr>
              <w:t>电</w:t>
            </w:r>
            <w:bookmarkEnd w:id="2518"/>
          </w:p>
        </w:tc>
        <w:tc>
          <w:tcPr>
            <w:tcW w:w="301" w:type="pct"/>
            <w:noWrap w:val="0"/>
            <w:vAlign w:val="center"/>
          </w:tcPr>
          <w:p w14:paraId="368AEBB6">
            <w:pPr>
              <w:kinsoku/>
              <w:adjustRightInd/>
              <w:snapToGrid/>
              <w:spacing w:line="400" w:lineRule="exact"/>
              <w:ind w:firstLine="0" w:firstLineChars="0"/>
              <w:jc w:val="center"/>
              <w:textAlignment w:val="auto"/>
              <w:rPr>
                <w:rFonts w:hint="default" w:ascii="宋体" w:hAnsi="宋体" w:eastAsia="宋体" w:cs="Times New Roman"/>
                <w:bCs/>
                <w:snapToGrid/>
                <w:color w:val="auto"/>
                <w:kern w:val="2"/>
                <w:sz w:val="21"/>
                <w:szCs w:val="21"/>
                <w:highlight w:val="none"/>
                <w:lang w:eastAsia="zh-CN"/>
              </w:rPr>
            </w:pPr>
            <w:r>
              <w:rPr>
                <w:rFonts w:hint="eastAsia" w:ascii="宋体" w:hAnsi="宋体" w:eastAsia="宋体" w:cs="Times New Roman"/>
                <w:bCs/>
                <w:snapToGrid/>
                <w:color w:val="auto"/>
                <w:kern w:val="2"/>
                <w:sz w:val="21"/>
                <w:szCs w:val="21"/>
                <w:highlight w:val="none"/>
                <w:lang w:val="en-US" w:eastAsia="zh-CN"/>
              </w:rPr>
              <w:t>风</w:t>
            </w:r>
          </w:p>
        </w:tc>
        <w:tc>
          <w:tcPr>
            <w:tcW w:w="301" w:type="pct"/>
            <w:noWrap w:val="0"/>
            <w:vAlign w:val="center"/>
          </w:tcPr>
          <w:p w14:paraId="3B51EE54">
            <w:pPr>
              <w:kinsoku/>
              <w:adjustRightInd/>
              <w:snapToGrid/>
              <w:spacing w:line="400" w:lineRule="exact"/>
              <w:ind w:firstLine="0" w:firstLineChars="0"/>
              <w:jc w:val="center"/>
              <w:textAlignment w:val="auto"/>
              <w:rPr>
                <w:rFonts w:hint="default" w:ascii="宋体" w:hAnsi="宋体" w:eastAsia="宋体" w:cs="Times New Roman"/>
                <w:bCs/>
                <w:snapToGrid/>
                <w:color w:val="auto"/>
                <w:kern w:val="2"/>
                <w:sz w:val="21"/>
                <w:szCs w:val="21"/>
                <w:highlight w:val="none"/>
                <w:lang w:eastAsia="zh-CN"/>
              </w:rPr>
            </w:pPr>
            <w:r>
              <w:rPr>
                <w:rFonts w:hint="eastAsia" w:ascii="宋体" w:hAnsi="宋体" w:eastAsia="宋体" w:cs="Times New Roman"/>
                <w:bCs/>
                <w:snapToGrid/>
                <w:color w:val="auto"/>
                <w:kern w:val="2"/>
                <w:sz w:val="21"/>
                <w:szCs w:val="21"/>
                <w:highlight w:val="none"/>
                <w:lang w:val="en-US" w:eastAsia="zh-CN"/>
              </w:rPr>
              <w:t>水</w:t>
            </w:r>
          </w:p>
        </w:tc>
        <w:tc>
          <w:tcPr>
            <w:tcW w:w="301" w:type="pct"/>
            <w:noWrap w:val="0"/>
            <w:vAlign w:val="center"/>
          </w:tcPr>
          <w:p w14:paraId="3BCE3ACA">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p>
        </w:tc>
        <w:tc>
          <w:tcPr>
            <w:tcW w:w="301" w:type="pct"/>
            <w:noWrap w:val="0"/>
            <w:vAlign w:val="center"/>
          </w:tcPr>
          <w:p w14:paraId="6C12FF3C">
            <w:pPr>
              <w:kinsoku/>
              <w:adjustRightInd/>
              <w:snapToGrid/>
              <w:spacing w:line="400" w:lineRule="exact"/>
              <w:ind w:firstLine="0" w:firstLineChars="0"/>
              <w:jc w:val="center"/>
              <w:textAlignment w:val="auto"/>
              <w:rPr>
                <w:rFonts w:hint="eastAsia" w:ascii="宋体" w:hAnsi="宋体" w:eastAsia="宋体" w:cs="Times New Roman"/>
                <w:bCs/>
                <w:snapToGrid/>
                <w:color w:val="auto"/>
                <w:kern w:val="2"/>
                <w:sz w:val="21"/>
                <w:szCs w:val="21"/>
                <w:highlight w:val="none"/>
                <w:lang w:eastAsia="zh-CN"/>
              </w:rPr>
            </w:pPr>
            <w:bookmarkStart w:id="2519" w:name="_Toc221951626"/>
            <w:r>
              <w:rPr>
                <w:rFonts w:hint="eastAsia" w:ascii="宋体" w:hAnsi="宋体" w:eastAsia="宋体" w:cs="Times New Roman"/>
                <w:bCs/>
                <w:snapToGrid/>
                <w:color w:val="auto"/>
                <w:kern w:val="2"/>
                <w:sz w:val="21"/>
                <w:szCs w:val="21"/>
                <w:highlight w:val="none"/>
                <w:lang w:eastAsia="zh-CN"/>
              </w:rPr>
              <w:t>小计</w:t>
            </w:r>
            <w:bookmarkEnd w:id="2519"/>
          </w:p>
        </w:tc>
        <w:tc>
          <w:tcPr>
            <w:tcW w:w="352" w:type="pct"/>
            <w:vMerge w:val="continue"/>
            <w:noWrap w:val="0"/>
            <w:vAlign w:val="top"/>
          </w:tcPr>
          <w:p w14:paraId="7893DF82">
            <w:pPr>
              <w:kinsoku/>
              <w:adjustRightInd/>
              <w:snapToGrid/>
              <w:spacing w:line="400" w:lineRule="exact"/>
              <w:ind w:firstLine="0" w:firstLineChars="0"/>
              <w:textAlignment w:val="auto"/>
              <w:rPr>
                <w:rFonts w:ascii="宋体" w:hAnsi="宋体" w:eastAsia="宋体" w:cs="Times New Roman"/>
                <w:b/>
                <w:snapToGrid/>
                <w:color w:val="auto"/>
                <w:kern w:val="2"/>
                <w:sz w:val="21"/>
                <w:szCs w:val="21"/>
                <w:highlight w:val="none"/>
                <w:lang w:eastAsia="zh-CN"/>
              </w:rPr>
            </w:pPr>
          </w:p>
        </w:tc>
      </w:tr>
      <w:tr w14:paraId="3FF4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0048CAEC">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714" w:type="pct"/>
            <w:noWrap w:val="0"/>
            <w:vAlign w:val="top"/>
          </w:tcPr>
          <w:p w14:paraId="36982501">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78" w:type="pct"/>
            <w:noWrap w:val="0"/>
            <w:vAlign w:val="center"/>
          </w:tcPr>
          <w:p w14:paraId="12D117E0">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656D81E4">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59B3FFC6">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3C3A66A8">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511BBF7B">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5544E065">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09410A07">
            <w:pPr>
              <w:kinsoku/>
              <w:adjustRightInd/>
              <w:snapToGrid/>
              <w:spacing w:line="400" w:lineRule="exact"/>
              <w:ind w:firstLine="0" w:firstLineChars="0"/>
              <w:jc w:val="center"/>
              <w:textAlignment w:val="auto"/>
              <w:rPr>
                <w:rFonts w:ascii="宋体" w:hAnsi="宋体" w:eastAsia="宋体" w:cs="Times New Roman"/>
                <w:bCs/>
                <w:snapToGrid/>
                <w:color w:val="auto"/>
                <w:kern w:val="2"/>
                <w:sz w:val="21"/>
                <w:szCs w:val="21"/>
                <w:highlight w:val="none"/>
                <w:lang w:eastAsia="zh-CN"/>
              </w:rPr>
            </w:pPr>
          </w:p>
        </w:tc>
        <w:tc>
          <w:tcPr>
            <w:tcW w:w="301" w:type="pct"/>
            <w:noWrap w:val="0"/>
            <w:vAlign w:val="center"/>
          </w:tcPr>
          <w:p w14:paraId="35805137">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DEDD95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BDA4AD2">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08D49A0">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5FCD470">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2DEC5B2F">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4A44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76A407B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671D1359">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01AA1EF2">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B74556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93944A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2BBB248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25069B28">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026017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D6FADDF">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164EC4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A1AB837">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F6C91F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6DB0FF0">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710D8C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3F79812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764E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282C12B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58AB4D01">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20A26462">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936514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5B52742">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4E2A22E">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5F90DE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0B64CB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9548F6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01EC25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D18EB8E">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9F14C8E">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08F247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EE2B0F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1EFF66F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573B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45EFAA10">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4813063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024C7BD1">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2D4760F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98B4BA8">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55288A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5B2EF71">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A1C17B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469727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AEDA4C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A7D8D9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5146BF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115EBA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BB11BE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631F5B19">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4E71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4093437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7853218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13B7576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D1B4B5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C2D7EB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12B795C">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006475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CF88BC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21DAAB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1370BE4F">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F9BB9B2">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47A47E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89D399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6B9E54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7B70D251">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1C56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641579C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13A30E6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16E1B19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66AA3E7">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10079059">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04D7B7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49EA24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37A078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1B928ACE">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0AE1CE8">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4BEB6A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8B448B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233DB7B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A42645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3EF151C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0000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4BE08CE8">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2A8AA6F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130DEF6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48EF217">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047F80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B5C8B47">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FE62768">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4FBB37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1411555E">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2CDF4ED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1B51F11">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18FA323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0EF6B7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0BB47B9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037188A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r w14:paraId="0904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1" w:type="pct"/>
            <w:noWrap w:val="0"/>
            <w:vAlign w:val="center"/>
          </w:tcPr>
          <w:p w14:paraId="59A55347">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714" w:type="pct"/>
            <w:noWrap w:val="0"/>
            <w:vAlign w:val="top"/>
          </w:tcPr>
          <w:p w14:paraId="41A61F8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78" w:type="pct"/>
            <w:noWrap w:val="0"/>
            <w:vAlign w:val="center"/>
          </w:tcPr>
          <w:p w14:paraId="6DACA6BB">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4893CA7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A78A98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7503D220">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55F432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253AF7FF">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119F59D">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13DBBBA4">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FF2333A">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3CA24416">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5D1E4F4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01" w:type="pct"/>
            <w:noWrap w:val="0"/>
            <w:vAlign w:val="center"/>
          </w:tcPr>
          <w:p w14:paraId="6F661FB3">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c>
          <w:tcPr>
            <w:tcW w:w="352" w:type="pct"/>
            <w:noWrap w:val="0"/>
            <w:vAlign w:val="center"/>
          </w:tcPr>
          <w:p w14:paraId="33659765">
            <w:pPr>
              <w:kinsoku/>
              <w:adjustRightInd/>
              <w:snapToGrid/>
              <w:spacing w:line="400" w:lineRule="exact"/>
              <w:ind w:firstLine="0" w:firstLineChars="0"/>
              <w:jc w:val="center"/>
              <w:textAlignment w:val="auto"/>
              <w:rPr>
                <w:rFonts w:ascii="宋体" w:hAnsi="宋体" w:eastAsia="宋体" w:cs="Times New Roman"/>
                <w:b/>
                <w:snapToGrid/>
                <w:color w:val="auto"/>
                <w:kern w:val="2"/>
                <w:sz w:val="21"/>
                <w:szCs w:val="21"/>
                <w:highlight w:val="none"/>
                <w:lang w:eastAsia="zh-CN"/>
              </w:rPr>
            </w:pPr>
          </w:p>
        </w:tc>
      </w:tr>
    </w:tbl>
    <w:p w14:paraId="5B7A5E61">
      <w:pPr>
        <w:pStyle w:val="7"/>
        <w:kinsoku/>
        <w:spacing w:beforeLines="0" w:afterLines="0"/>
        <w:ind w:firstLine="420"/>
        <w:jc w:val="left"/>
        <w:rPr>
          <w:color w:val="auto"/>
          <w:highlight w:val="none"/>
        </w:rPr>
      </w:pPr>
    </w:p>
    <w:p w14:paraId="4E1ADE53">
      <w:pPr>
        <w:kinsoku/>
        <w:adjustRightInd/>
        <w:snapToGrid/>
        <w:spacing w:beforeLines="0" w:afterLines="0" w:line="240" w:lineRule="auto"/>
        <w:ind w:firstLine="420"/>
        <w:jc w:val="left"/>
        <w:textAlignment w:val="auto"/>
        <w:rPr>
          <w:color w:val="auto"/>
          <w:highlight w:val="none"/>
        </w:rPr>
      </w:pPr>
    </w:p>
    <w:p w14:paraId="0A556930">
      <w:pPr>
        <w:pStyle w:val="4"/>
        <w:kinsoku/>
        <w:spacing w:before="0" w:beforeLines="0" w:afterLines="0"/>
        <w:ind w:left="2572"/>
        <w:rPr>
          <w:rFonts w:hint="eastAsia" w:ascii="宋体" w:cs="宋体"/>
          <w:b/>
          <w:bCs/>
          <w:color w:val="auto"/>
          <w:spacing w:val="0"/>
          <w:sz w:val="24"/>
          <w:szCs w:val="24"/>
          <w:highlight w:val="none"/>
          <w:lang w:eastAsia="zh-CN"/>
        </w:rPr>
        <w:sectPr>
          <w:headerReference r:id="rId15" w:type="default"/>
          <w:footerReference r:id="rId16" w:type="default"/>
          <w:pgSz w:w="16840" w:h="11905" w:orient="landscape"/>
          <w:pgMar w:top="1418" w:right="1616" w:bottom="1418" w:left="1616" w:header="851" w:footer="1304" w:gutter="0"/>
          <w:pgNumType w:fmt="decimal"/>
          <w:cols w:space="720" w:num="1"/>
          <w:docGrid w:linePitch="381" w:charSpace="0"/>
        </w:sectPr>
      </w:pPr>
    </w:p>
    <w:p w14:paraId="509CC04E">
      <w:pPr>
        <w:pStyle w:val="4"/>
        <w:kinsoku/>
        <w:spacing w:before="0" w:beforeLines="0" w:afterLines="0"/>
        <w:ind w:left="0"/>
        <w:jc w:val="center"/>
        <w:rPr>
          <w:rFonts w:hint="eastAsia" w:cs="宋体"/>
          <w:bCs/>
          <w:color w:val="auto"/>
          <w:szCs w:val="24"/>
          <w:highlight w:val="none"/>
          <w:lang w:eastAsia="zh-CN"/>
        </w:rPr>
      </w:pPr>
      <w:bookmarkStart w:id="2520" w:name="_Toc14223"/>
      <w:bookmarkStart w:id="2521" w:name="_Toc19390"/>
      <w:bookmarkStart w:id="2522" w:name="_Toc29873"/>
      <w:r>
        <w:rPr>
          <w:rFonts w:hint="eastAsia" w:ascii="宋体" w:cs="宋体"/>
          <w:b/>
          <w:bCs/>
          <w:color w:val="auto"/>
          <w:spacing w:val="0"/>
          <w:sz w:val="24"/>
          <w:szCs w:val="24"/>
          <w:highlight w:val="none"/>
          <w:lang w:eastAsia="zh-CN"/>
        </w:rPr>
        <w:t>总价项目分类分项工程分解表</w:t>
      </w:r>
      <w:bookmarkEnd w:id="2520"/>
      <w:bookmarkEnd w:id="2521"/>
      <w:bookmarkEnd w:id="2522"/>
    </w:p>
    <w:p w14:paraId="42EA0B99">
      <w:pPr>
        <w:pStyle w:val="7"/>
        <w:kinsoku/>
        <w:spacing w:beforeLines="0" w:afterLines="0"/>
        <w:ind w:firstLine="420"/>
        <w:jc w:val="left"/>
        <w:rPr>
          <w:color w:val="auto"/>
          <w:highlight w:val="none"/>
          <w:lang w:eastAsia="zh-CN"/>
        </w:rPr>
      </w:pPr>
    </w:p>
    <w:p w14:paraId="11C3A15D">
      <w:pPr>
        <w:pStyle w:val="7"/>
        <w:spacing w:beforeLines="0" w:afterLines="0"/>
        <w:ind w:firstLine="420"/>
        <w:jc w:val="left"/>
        <w:rPr>
          <w:rFonts w:cs="Arial"/>
          <w:strike w:val="0"/>
          <w:color w:val="auto"/>
          <w:spacing w:val="0"/>
          <w:szCs w:val="21"/>
          <w:highlight w:val="none"/>
          <w:lang w:eastAsia="zh-CN"/>
        </w:rPr>
      </w:pPr>
      <w:r>
        <w:rPr>
          <w:rFonts w:ascii="宋体" w:cs="宋体"/>
          <w:b w:val="0"/>
          <w:strike/>
          <w:color w:val="auto"/>
          <w:spacing w:val="0"/>
          <w:position w:val="0"/>
          <w:sz w:val="24"/>
          <w:szCs w:val="24"/>
          <w:highlight w:val="none"/>
          <w:lang w:eastAsia="zh-CN"/>
        </w:rPr>
        <w:t>若招标人要求对总价项目进行分解的，可按分类分项工程量清单计价表的格式进</w:t>
      </w:r>
      <w:r>
        <w:rPr>
          <w:rFonts w:ascii="宋体" w:cs="宋体"/>
          <w:b w:val="0"/>
          <w:strike/>
          <w:color w:val="auto"/>
          <w:spacing w:val="0"/>
          <w:sz w:val="24"/>
          <w:szCs w:val="24"/>
          <w:highlight w:val="none"/>
          <w:lang w:eastAsia="zh-CN"/>
        </w:rPr>
        <w:t>行分解。</w:t>
      </w:r>
    </w:p>
    <w:p w14:paraId="1C865CE7">
      <w:pPr>
        <w:pStyle w:val="4"/>
        <w:kinsoku/>
        <w:spacing w:beforeLines="0" w:afterLines="0"/>
        <w:jc w:val="center"/>
        <w:rPr>
          <w:rFonts w:hint="eastAsia" w:cs="宋体"/>
          <w:b/>
          <w:bCs/>
          <w:color w:val="auto"/>
          <w:spacing w:val="0"/>
          <w:sz w:val="24"/>
          <w:szCs w:val="24"/>
          <w:highlight w:val="none"/>
          <w:lang w:eastAsia="zh-CN"/>
        </w:rPr>
      </w:pPr>
      <w:bookmarkStart w:id="2523" w:name="_Toc12572"/>
      <w:bookmarkStart w:id="2524" w:name="_Toc3873"/>
      <w:bookmarkStart w:id="2525" w:name="_Toc11039"/>
      <w:r>
        <w:rPr>
          <w:rFonts w:hint="eastAsia" w:ascii="宋体" w:cs="宋体"/>
          <w:b/>
          <w:bCs/>
          <w:color w:val="auto"/>
          <w:spacing w:val="0"/>
          <w:sz w:val="24"/>
          <w:szCs w:val="24"/>
          <w:highlight w:val="none"/>
          <w:lang w:eastAsia="zh-CN"/>
        </w:rPr>
        <w:t>总价项目分解表</w:t>
      </w:r>
      <w:bookmarkEnd w:id="2523"/>
      <w:bookmarkEnd w:id="2524"/>
      <w:bookmarkEnd w:id="2525"/>
    </w:p>
    <w:p w14:paraId="0B9B4870">
      <w:pPr>
        <w:kinsoku/>
        <w:spacing w:before="0" w:beforeLines="0" w:afterLines="0"/>
        <w:ind w:firstLine="420"/>
        <w:jc w:val="left"/>
        <w:rPr>
          <w:rFonts w:cs="宋体"/>
          <w:color w:val="auto"/>
          <w:spacing w:val="0"/>
          <w:position w:val="0"/>
          <w:szCs w:val="24"/>
          <w:highlight w:val="none"/>
          <w:lang w:eastAsia="zh-CN"/>
        </w:rPr>
      </w:pPr>
      <w:r>
        <w:rPr>
          <w:rFonts w:hint="eastAsia" w:ascii="宋体" w:cs="宋体"/>
          <w:b w:val="0"/>
          <w:color w:val="auto"/>
          <w:spacing w:val="0"/>
          <w:position w:val="0"/>
          <w:sz w:val="24"/>
          <w:szCs w:val="24"/>
          <w:highlight w:val="none"/>
          <w:lang w:eastAsia="zh-CN"/>
        </w:rPr>
        <w:t>总价项目编号</w:t>
      </w:r>
      <w:r>
        <w:rPr>
          <w:rFonts w:ascii="宋体" w:cs="宋体"/>
          <w:b w:val="0"/>
          <w:color w:val="auto"/>
          <w:spacing w:val="0"/>
          <w:position w:val="0"/>
          <w:sz w:val="24"/>
          <w:szCs w:val="24"/>
          <w:highlight w:val="none"/>
          <w:u w:val="single"/>
          <w:lang w:eastAsia="zh-CN"/>
        </w:rPr>
        <w:t xml:space="preserve">                 </w:t>
      </w:r>
      <w:r>
        <w:rPr>
          <w:rFonts w:hint="eastAsia" w:ascii="宋体" w:cs="宋体"/>
          <w:b w:val="0"/>
          <w:color w:val="auto"/>
          <w:spacing w:val="0"/>
          <w:position w:val="0"/>
          <w:sz w:val="24"/>
          <w:szCs w:val="24"/>
          <w:highlight w:val="none"/>
          <w:lang w:eastAsia="zh-CN"/>
        </w:rPr>
        <w:t>总价项目名称</w:t>
      </w:r>
      <w:r>
        <w:rPr>
          <w:rFonts w:ascii="宋体" w:cs="宋体"/>
          <w:b w:val="0"/>
          <w:color w:val="auto"/>
          <w:spacing w:val="0"/>
          <w:position w:val="0"/>
          <w:sz w:val="24"/>
          <w:szCs w:val="24"/>
          <w:highlight w:val="none"/>
          <w:u w:val="single"/>
          <w:lang w:eastAsia="zh-CN"/>
        </w:rPr>
        <w:t xml:space="preserve">                            </w:t>
      </w:r>
      <w:r>
        <w:rPr>
          <w:rFonts w:ascii="宋体" w:cs="宋体"/>
          <w:b w:val="0"/>
          <w:color w:val="auto"/>
          <w:spacing w:val="0"/>
          <w:position w:val="0"/>
          <w:sz w:val="24"/>
          <w:szCs w:val="24"/>
          <w:highlight w:val="none"/>
          <w:lang w:eastAsia="zh-CN"/>
        </w:rPr>
        <w:t xml:space="preserve"> </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856"/>
        <w:gridCol w:w="2712"/>
        <w:gridCol w:w="956"/>
        <w:gridCol w:w="1115"/>
        <w:gridCol w:w="1115"/>
        <w:gridCol w:w="1276"/>
        <w:gridCol w:w="1090"/>
      </w:tblGrid>
      <w:tr w14:paraId="28E3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0001D70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1486" w:type="pct"/>
            <w:tcBorders>
              <w:tl2br w:val="nil"/>
              <w:tr2bl w:val="nil"/>
            </w:tcBorders>
            <w:vAlign w:val="center"/>
          </w:tcPr>
          <w:p w14:paraId="31772CD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项目名称</w:t>
            </w:r>
          </w:p>
        </w:tc>
        <w:tc>
          <w:tcPr>
            <w:tcW w:w="524" w:type="pct"/>
            <w:tcBorders>
              <w:tl2br w:val="nil"/>
              <w:tr2bl w:val="nil"/>
            </w:tcBorders>
            <w:vAlign w:val="center"/>
          </w:tcPr>
          <w:p w14:paraId="7258062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计量</w:t>
            </w:r>
          </w:p>
          <w:p w14:paraId="6D6284DD">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单位</w:t>
            </w:r>
          </w:p>
        </w:tc>
        <w:tc>
          <w:tcPr>
            <w:tcW w:w="611" w:type="pct"/>
            <w:tcBorders>
              <w:tl2br w:val="nil"/>
              <w:tr2bl w:val="nil"/>
            </w:tcBorders>
            <w:vAlign w:val="center"/>
          </w:tcPr>
          <w:p w14:paraId="1715DD9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工程</w:t>
            </w:r>
          </w:p>
          <w:p w14:paraId="27E40225">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数量</w:t>
            </w:r>
          </w:p>
        </w:tc>
        <w:tc>
          <w:tcPr>
            <w:tcW w:w="611" w:type="pct"/>
            <w:tcBorders>
              <w:tl2br w:val="nil"/>
              <w:tr2bl w:val="nil"/>
            </w:tcBorders>
            <w:vAlign w:val="center"/>
          </w:tcPr>
          <w:p w14:paraId="0133E561">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单价（元）</w:t>
            </w:r>
          </w:p>
        </w:tc>
        <w:tc>
          <w:tcPr>
            <w:tcW w:w="699" w:type="pct"/>
            <w:tcBorders>
              <w:tl2br w:val="nil"/>
              <w:tr2bl w:val="nil"/>
            </w:tcBorders>
            <w:vAlign w:val="center"/>
          </w:tcPr>
          <w:p w14:paraId="4EF7AAC0">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合价（元）</w:t>
            </w:r>
          </w:p>
        </w:tc>
        <w:tc>
          <w:tcPr>
            <w:tcW w:w="597" w:type="pct"/>
            <w:tcBorders>
              <w:tl2br w:val="nil"/>
              <w:tr2bl w:val="nil"/>
            </w:tcBorders>
            <w:vAlign w:val="center"/>
          </w:tcPr>
          <w:p w14:paraId="514D7B4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2FB6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06EF1925">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4BBA5E5C">
            <w:pPr>
              <w:kinsoku/>
              <w:spacing w:beforeLines="0" w:afterLines="0" w:line="0" w:lineRule="atLeast"/>
              <w:ind w:firstLine="0" w:firstLineChars="0"/>
              <w:jc w:val="center"/>
              <w:rPr>
                <w:color w:val="auto"/>
                <w:sz w:val="21"/>
                <w:highlight w:val="none"/>
              </w:rPr>
            </w:pPr>
          </w:p>
        </w:tc>
        <w:tc>
          <w:tcPr>
            <w:tcW w:w="524" w:type="pct"/>
            <w:tcBorders>
              <w:tl2br w:val="nil"/>
              <w:tr2bl w:val="nil"/>
            </w:tcBorders>
            <w:vAlign w:val="center"/>
          </w:tcPr>
          <w:p w14:paraId="2387C98B">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76E8BC9D">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0468F438">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76D5C251">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6D9673D1">
            <w:pPr>
              <w:kinsoku/>
              <w:spacing w:beforeLines="0" w:afterLines="0" w:line="0" w:lineRule="atLeast"/>
              <w:ind w:firstLine="0" w:firstLineChars="0"/>
              <w:jc w:val="center"/>
              <w:rPr>
                <w:color w:val="auto"/>
                <w:sz w:val="21"/>
                <w:highlight w:val="none"/>
              </w:rPr>
            </w:pPr>
          </w:p>
        </w:tc>
      </w:tr>
      <w:tr w14:paraId="62C7B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64D2FBE7">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04EED39C">
            <w:pPr>
              <w:kinsoku/>
              <w:spacing w:beforeLines="0" w:afterLines="0" w:line="0" w:lineRule="atLeast"/>
              <w:ind w:firstLine="0" w:firstLineChars="0"/>
              <w:jc w:val="center"/>
              <w:rPr>
                <w:color w:val="auto"/>
                <w:sz w:val="21"/>
                <w:highlight w:val="none"/>
              </w:rPr>
            </w:pPr>
          </w:p>
        </w:tc>
        <w:tc>
          <w:tcPr>
            <w:tcW w:w="524" w:type="pct"/>
            <w:tcBorders>
              <w:tl2br w:val="nil"/>
              <w:tr2bl w:val="nil"/>
            </w:tcBorders>
            <w:vAlign w:val="center"/>
          </w:tcPr>
          <w:p w14:paraId="46249115">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5BF1055C">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1087314D">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7588DE75">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73CC9354">
            <w:pPr>
              <w:kinsoku/>
              <w:spacing w:beforeLines="0" w:afterLines="0" w:line="0" w:lineRule="atLeast"/>
              <w:ind w:firstLine="0" w:firstLineChars="0"/>
              <w:jc w:val="center"/>
              <w:rPr>
                <w:color w:val="auto"/>
                <w:sz w:val="21"/>
                <w:highlight w:val="none"/>
              </w:rPr>
            </w:pPr>
          </w:p>
        </w:tc>
      </w:tr>
      <w:tr w14:paraId="4BFD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5CEA9BDA">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33418F51">
            <w:pPr>
              <w:kinsoku/>
              <w:spacing w:beforeLines="0" w:afterLines="0" w:line="0" w:lineRule="atLeast"/>
              <w:ind w:firstLine="0" w:firstLineChars="0"/>
              <w:jc w:val="center"/>
              <w:rPr>
                <w:color w:val="auto"/>
                <w:sz w:val="21"/>
                <w:highlight w:val="none"/>
              </w:rPr>
            </w:pPr>
          </w:p>
        </w:tc>
        <w:tc>
          <w:tcPr>
            <w:tcW w:w="524" w:type="pct"/>
            <w:tcBorders>
              <w:tl2br w:val="nil"/>
              <w:tr2bl w:val="nil"/>
            </w:tcBorders>
            <w:vAlign w:val="center"/>
          </w:tcPr>
          <w:p w14:paraId="37EAEE83">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284F658D">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6FE2EA0B">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7EEE513B">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1E8FF2FB">
            <w:pPr>
              <w:kinsoku/>
              <w:spacing w:beforeLines="0" w:afterLines="0" w:line="0" w:lineRule="atLeast"/>
              <w:ind w:firstLine="0" w:firstLineChars="0"/>
              <w:jc w:val="center"/>
              <w:rPr>
                <w:color w:val="auto"/>
                <w:sz w:val="21"/>
                <w:highlight w:val="none"/>
              </w:rPr>
            </w:pPr>
          </w:p>
        </w:tc>
      </w:tr>
      <w:tr w14:paraId="6F13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60528BA0">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774D7AB2">
            <w:pPr>
              <w:kinsoku/>
              <w:spacing w:beforeLines="0" w:afterLines="0" w:line="0" w:lineRule="atLeast"/>
              <w:ind w:firstLine="0" w:firstLineChars="0"/>
              <w:jc w:val="center"/>
              <w:rPr>
                <w:color w:val="auto"/>
                <w:sz w:val="21"/>
                <w:highlight w:val="none"/>
              </w:rPr>
            </w:pPr>
          </w:p>
        </w:tc>
        <w:tc>
          <w:tcPr>
            <w:tcW w:w="524" w:type="pct"/>
            <w:tcBorders>
              <w:tl2br w:val="nil"/>
              <w:tr2bl w:val="nil"/>
            </w:tcBorders>
            <w:vAlign w:val="center"/>
          </w:tcPr>
          <w:p w14:paraId="45996330">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26ABFD7A">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32ABC6DE">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574C650D">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1A8C0EC9">
            <w:pPr>
              <w:kinsoku/>
              <w:spacing w:beforeLines="0" w:afterLines="0" w:line="0" w:lineRule="atLeast"/>
              <w:ind w:firstLine="0" w:firstLineChars="0"/>
              <w:jc w:val="center"/>
              <w:rPr>
                <w:color w:val="auto"/>
                <w:sz w:val="21"/>
                <w:highlight w:val="none"/>
              </w:rPr>
            </w:pPr>
          </w:p>
        </w:tc>
      </w:tr>
      <w:tr w14:paraId="2B9A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7873F80F">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73062066">
            <w:pPr>
              <w:kinsoku/>
              <w:spacing w:beforeLines="0" w:afterLines="0" w:line="0" w:lineRule="atLeast"/>
              <w:ind w:firstLine="0" w:firstLineChars="0"/>
              <w:jc w:val="center"/>
              <w:rPr>
                <w:color w:val="auto"/>
                <w:sz w:val="21"/>
                <w:highlight w:val="none"/>
              </w:rPr>
            </w:pPr>
          </w:p>
        </w:tc>
        <w:tc>
          <w:tcPr>
            <w:tcW w:w="524" w:type="pct"/>
            <w:tcBorders>
              <w:tl2br w:val="nil"/>
              <w:tr2bl w:val="nil"/>
            </w:tcBorders>
            <w:vAlign w:val="center"/>
          </w:tcPr>
          <w:p w14:paraId="2AE2E669">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265A2CDF">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1BCD9DB5">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06455FEF">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55011179">
            <w:pPr>
              <w:kinsoku/>
              <w:spacing w:beforeLines="0" w:afterLines="0" w:line="0" w:lineRule="atLeast"/>
              <w:ind w:firstLine="0" w:firstLineChars="0"/>
              <w:jc w:val="center"/>
              <w:rPr>
                <w:color w:val="auto"/>
                <w:sz w:val="21"/>
                <w:highlight w:val="none"/>
              </w:rPr>
            </w:pPr>
          </w:p>
        </w:tc>
      </w:tr>
      <w:tr w14:paraId="1692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5F699CA4">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24BA79DC">
            <w:pPr>
              <w:kinsoku/>
              <w:spacing w:beforeLines="0" w:afterLines="0" w:line="0" w:lineRule="atLeast"/>
              <w:ind w:firstLine="0" w:firstLineChars="0"/>
              <w:jc w:val="center"/>
              <w:rPr>
                <w:color w:val="auto"/>
                <w:sz w:val="21"/>
                <w:highlight w:val="none"/>
              </w:rPr>
            </w:pPr>
          </w:p>
        </w:tc>
        <w:tc>
          <w:tcPr>
            <w:tcW w:w="524" w:type="pct"/>
            <w:tcBorders>
              <w:tl2br w:val="nil"/>
              <w:tr2bl w:val="nil"/>
            </w:tcBorders>
            <w:vAlign w:val="center"/>
          </w:tcPr>
          <w:p w14:paraId="22DAF0CD">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51ABA8F8">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1457C13A">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583D7D18">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09B08F48">
            <w:pPr>
              <w:kinsoku/>
              <w:spacing w:beforeLines="0" w:afterLines="0" w:line="0" w:lineRule="atLeast"/>
              <w:ind w:firstLine="0" w:firstLineChars="0"/>
              <w:jc w:val="center"/>
              <w:rPr>
                <w:color w:val="auto"/>
                <w:sz w:val="21"/>
                <w:highlight w:val="none"/>
              </w:rPr>
            </w:pPr>
          </w:p>
        </w:tc>
      </w:tr>
      <w:tr w14:paraId="7611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69" w:type="pct"/>
            <w:tcBorders>
              <w:tl2br w:val="nil"/>
              <w:tr2bl w:val="nil"/>
            </w:tcBorders>
            <w:vAlign w:val="center"/>
          </w:tcPr>
          <w:p w14:paraId="15998E54">
            <w:pPr>
              <w:kinsoku/>
              <w:spacing w:beforeLines="0" w:afterLines="0" w:line="0" w:lineRule="atLeast"/>
              <w:ind w:firstLine="0" w:firstLineChars="0"/>
              <w:jc w:val="center"/>
              <w:rPr>
                <w:color w:val="auto"/>
                <w:sz w:val="21"/>
                <w:highlight w:val="none"/>
              </w:rPr>
            </w:pPr>
          </w:p>
        </w:tc>
        <w:tc>
          <w:tcPr>
            <w:tcW w:w="1486" w:type="pct"/>
            <w:tcBorders>
              <w:tl2br w:val="nil"/>
              <w:tr2bl w:val="nil"/>
            </w:tcBorders>
            <w:vAlign w:val="center"/>
          </w:tcPr>
          <w:p w14:paraId="78F02E9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合计</w:t>
            </w:r>
          </w:p>
        </w:tc>
        <w:tc>
          <w:tcPr>
            <w:tcW w:w="524" w:type="pct"/>
            <w:tcBorders>
              <w:tl2br w:val="nil"/>
              <w:tr2bl w:val="nil"/>
            </w:tcBorders>
            <w:vAlign w:val="center"/>
          </w:tcPr>
          <w:p w14:paraId="3866206C">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66DAA448">
            <w:pPr>
              <w:kinsoku/>
              <w:spacing w:beforeLines="0" w:afterLines="0" w:line="0" w:lineRule="atLeast"/>
              <w:ind w:firstLine="0" w:firstLineChars="0"/>
              <w:jc w:val="center"/>
              <w:rPr>
                <w:color w:val="auto"/>
                <w:sz w:val="21"/>
                <w:highlight w:val="none"/>
              </w:rPr>
            </w:pPr>
          </w:p>
        </w:tc>
        <w:tc>
          <w:tcPr>
            <w:tcW w:w="611" w:type="pct"/>
            <w:tcBorders>
              <w:tl2br w:val="nil"/>
              <w:tr2bl w:val="nil"/>
            </w:tcBorders>
            <w:vAlign w:val="center"/>
          </w:tcPr>
          <w:p w14:paraId="3B78C36D">
            <w:pPr>
              <w:kinsoku/>
              <w:spacing w:beforeLines="0" w:afterLines="0" w:line="0" w:lineRule="atLeast"/>
              <w:ind w:firstLine="0" w:firstLineChars="0"/>
              <w:jc w:val="center"/>
              <w:rPr>
                <w:color w:val="auto"/>
                <w:sz w:val="21"/>
                <w:highlight w:val="none"/>
              </w:rPr>
            </w:pPr>
          </w:p>
        </w:tc>
        <w:tc>
          <w:tcPr>
            <w:tcW w:w="699" w:type="pct"/>
            <w:tcBorders>
              <w:tl2br w:val="nil"/>
              <w:tr2bl w:val="nil"/>
            </w:tcBorders>
            <w:vAlign w:val="center"/>
          </w:tcPr>
          <w:p w14:paraId="0C88C5EF">
            <w:pPr>
              <w:kinsoku/>
              <w:spacing w:beforeLines="0" w:afterLines="0" w:line="0" w:lineRule="atLeast"/>
              <w:ind w:firstLine="0" w:firstLineChars="0"/>
              <w:jc w:val="center"/>
              <w:rPr>
                <w:color w:val="auto"/>
                <w:sz w:val="21"/>
                <w:highlight w:val="none"/>
              </w:rPr>
            </w:pPr>
          </w:p>
        </w:tc>
        <w:tc>
          <w:tcPr>
            <w:tcW w:w="597" w:type="pct"/>
            <w:tcBorders>
              <w:tl2br w:val="nil"/>
              <w:tr2bl w:val="nil"/>
            </w:tcBorders>
            <w:vAlign w:val="center"/>
          </w:tcPr>
          <w:p w14:paraId="4B4E296E">
            <w:pPr>
              <w:kinsoku/>
              <w:spacing w:beforeLines="0" w:afterLines="0" w:line="0" w:lineRule="atLeast"/>
              <w:ind w:firstLine="0" w:firstLineChars="0"/>
              <w:jc w:val="center"/>
              <w:rPr>
                <w:color w:val="auto"/>
                <w:sz w:val="21"/>
                <w:highlight w:val="none"/>
              </w:rPr>
            </w:pPr>
          </w:p>
        </w:tc>
      </w:tr>
    </w:tbl>
    <w:p w14:paraId="6F890D6F">
      <w:pPr>
        <w:kinsoku/>
        <w:spacing w:beforeLines="0" w:afterLines="0"/>
        <w:ind w:firstLine="420"/>
        <w:jc w:val="left"/>
        <w:rPr>
          <w:rFonts w:cs="宋体"/>
          <w:color w:val="auto"/>
          <w:spacing w:val="0"/>
          <w:szCs w:val="24"/>
          <w:highlight w:val="none"/>
        </w:rPr>
      </w:pPr>
    </w:p>
    <w:p w14:paraId="2D10AAAF">
      <w:pPr>
        <w:kinsoku/>
        <w:spacing w:beforeLines="0" w:afterLines="0"/>
        <w:ind w:firstLine="420"/>
        <w:jc w:val="left"/>
        <w:rPr>
          <w:rFonts w:cs="宋体"/>
          <w:color w:val="auto"/>
          <w:spacing w:val="0"/>
          <w:szCs w:val="24"/>
          <w:highlight w:val="none"/>
        </w:rPr>
      </w:pPr>
    </w:p>
    <w:p w14:paraId="797E1784">
      <w:pPr>
        <w:kinsoku/>
        <w:spacing w:beforeLines="0" w:afterLines="0"/>
        <w:ind w:firstLine="420"/>
        <w:jc w:val="left"/>
        <w:rPr>
          <w:rFonts w:cs="宋体"/>
          <w:color w:val="auto"/>
          <w:spacing w:val="0"/>
          <w:szCs w:val="24"/>
          <w:highlight w:val="none"/>
        </w:rPr>
      </w:pPr>
    </w:p>
    <w:p w14:paraId="1B7F7C27">
      <w:pPr>
        <w:kinsoku/>
        <w:spacing w:beforeLines="0" w:afterLines="0"/>
        <w:ind w:firstLine="420"/>
        <w:jc w:val="left"/>
        <w:rPr>
          <w:rFonts w:cs="宋体"/>
          <w:color w:val="auto"/>
          <w:spacing w:val="0"/>
          <w:szCs w:val="24"/>
          <w:highlight w:val="none"/>
        </w:rPr>
      </w:pPr>
    </w:p>
    <w:p w14:paraId="24218643">
      <w:pPr>
        <w:kinsoku/>
        <w:spacing w:beforeLines="0" w:afterLines="0"/>
        <w:ind w:firstLine="420"/>
        <w:jc w:val="left"/>
        <w:rPr>
          <w:rFonts w:cs="宋体"/>
          <w:color w:val="auto"/>
          <w:spacing w:val="0"/>
          <w:szCs w:val="24"/>
          <w:highlight w:val="none"/>
        </w:rPr>
      </w:pPr>
    </w:p>
    <w:p w14:paraId="0180D612">
      <w:pPr>
        <w:kinsoku/>
        <w:spacing w:beforeLines="0" w:afterLines="0"/>
        <w:ind w:firstLine="420"/>
        <w:jc w:val="left"/>
        <w:rPr>
          <w:rFonts w:cs="宋体"/>
          <w:color w:val="auto"/>
          <w:spacing w:val="0"/>
          <w:szCs w:val="24"/>
          <w:highlight w:val="none"/>
        </w:rPr>
      </w:pPr>
    </w:p>
    <w:p w14:paraId="334BFB22">
      <w:pPr>
        <w:kinsoku/>
        <w:spacing w:beforeLines="0" w:afterLines="0"/>
        <w:ind w:firstLine="420"/>
        <w:jc w:val="left"/>
        <w:rPr>
          <w:rFonts w:cs="宋体"/>
          <w:color w:val="auto"/>
          <w:spacing w:val="0"/>
          <w:szCs w:val="24"/>
          <w:highlight w:val="none"/>
        </w:rPr>
      </w:pPr>
    </w:p>
    <w:p w14:paraId="0154E1F3">
      <w:pPr>
        <w:kinsoku/>
        <w:adjustRightInd/>
        <w:snapToGrid/>
        <w:spacing w:beforeLines="0" w:afterLines="0" w:line="240" w:lineRule="auto"/>
        <w:ind w:firstLine="420"/>
        <w:jc w:val="left"/>
        <w:textAlignment w:val="auto"/>
        <w:rPr>
          <w:rFonts w:cs="宋体"/>
          <w:color w:val="auto"/>
          <w:szCs w:val="24"/>
          <w:highlight w:val="none"/>
        </w:rPr>
      </w:pPr>
      <w:r>
        <w:rPr>
          <w:rFonts w:cs="宋体"/>
          <w:color w:val="auto"/>
          <w:szCs w:val="24"/>
          <w:highlight w:val="none"/>
        </w:rPr>
        <w:br w:type="page"/>
      </w:r>
    </w:p>
    <w:p w14:paraId="76A10A0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31"/>
          <w:szCs w:val="31"/>
          <w:highlight w:val="none"/>
          <w:lang w:eastAsia="zh-CN"/>
        </w:rPr>
      </w:pPr>
      <w:bookmarkStart w:id="2526" w:name="_Toc221951627"/>
      <w:r>
        <w:rPr>
          <w:rFonts w:hint="eastAsia" w:ascii="宋体" w:hAnsi="宋体" w:eastAsia="宋体" w:cs="Times New Roman"/>
          <w:b/>
          <w:snapToGrid/>
          <w:color w:val="auto"/>
          <w:kern w:val="2"/>
          <w:sz w:val="31"/>
          <w:szCs w:val="31"/>
          <w:highlight w:val="none"/>
          <w:lang w:val="en-US" w:eastAsia="zh-CN"/>
        </w:rPr>
        <w:t>建筑</w:t>
      </w:r>
      <w:r>
        <w:rPr>
          <w:rFonts w:hint="eastAsia" w:ascii="宋体" w:hAnsi="宋体" w:eastAsia="宋体" w:cs="Times New Roman"/>
          <w:b/>
          <w:snapToGrid/>
          <w:color w:val="auto"/>
          <w:kern w:val="2"/>
          <w:sz w:val="31"/>
          <w:szCs w:val="31"/>
          <w:highlight w:val="none"/>
          <w:lang w:eastAsia="zh-CN"/>
        </w:rPr>
        <w:t>工程单价计算表</w:t>
      </w:r>
      <w:bookmarkEnd w:id="2526"/>
    </w:p>
    <w:p w14:paraId="34D9374B">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27" w:name="_Toc221951629"/>
      <w:r>
        <w:rPr>
          <w:rFonts w:hint="eastAsia" w:ascii="宋体" w:hAnsi="宋体" w:eastAsia="宋体" w:cs="Times New Roman"/>
          <w:snapToGrid/>
          <w:color w:val="auto"/>
          <w:kern w:val="2"/>
          <w:sz w:val="21"/>
          <w:szCs w:val="21"/>
          <w:highlight w:val="none"/>
          <w:lang w:eastAsia="zh-CN"/>
        </w:rPr>
        <w:t>清</w:t>
      </w:r>
      <w:r>
        <w:rPr>
          <w:rFonts w:hint="eastAsia" w:ascii="宋体" w:hAnsi="宋体" w:eastAsia="宋体" w:cs="Times New Roman"/>
          <w:snapToGrid/>
          <w:color w:val="auto"/>
          <w:kern w:val="2"/>
          <w:sz w:val="21"/>
          <w:szCs w:val="21"/>
          <w:highlight w:val="none"/>
          <w:lang w:val="en-US" w:eastAsia="zh-CN"/>
        </w:rPr>
        <w:t>单项目</w:t>
      </w:r>
      <w:r>
        <w:rPr>
          <w:rFonts w:hint="eastAsia" w:ascii="宋体" w:hAnsi="宋体" w:eastAsia="宋体" w:cs="Times New Roman"/>
          <w:snapToGrid/>
          <w:color w:val="auto"/>
          <w:kern w:val="2"/>
          <w:sz w:val="21"/>
          <w:szCs w:val="21"/>
          <w:highlight w:val="none"/>
          <w:lang w:eastAsia="zh-CN"/>
        </w:rPr>
        <w:t xml:space="preserve">编号:                                              </w:t>
      </w:r>
      <w:bookmarkEnd w:id="2527"/>
    </w:p>
    <w:p w14:paraId="3BAC34D5">
      <w:pPr>
        <w:kinsoku/>
        <w:adjustRightInd/>
        <w:snapToGrid/>
        <w:spacing w:line="400" w:lineRule="exact"/>
        <w:ind w:firstLine="0" w:firstLineChars="0"/>
        <w:textAlignment w:val="auto"/>
        <w:rPr>
          <w:rFonts w:hint="default"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rPr>
        <w:t>清单项目名称：</w:t>
      </w:r>
    </w:p>
    <w:p w14:paraId="40D53488">
      <w:pPr>
        <w:kinsoku/>
        <w:adjustRightInd/>
        <w:snapToGrid/>
        <w:spacing w:line="400" w:lineRule="exact"/>
        <w:ind w:firstLine="0" w:firstLineChars="0"/>
        <w:textAlignment w:val="auto"/>
        <w:rPr>
          <w:rFonts w:hint="default"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eastAsia="zh-CN"/>
        </w:rPr>
        <w:t>单位：</w:t>
      </w:r>
    </w:p>
    <w:tbl>
      <w:tblPr>
        <w:tblStyle w:val="18"/>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2338"/>
        <w:gridCol w:w="1259"/>
        <w:gridCol w:w="1079"/>
        <w:gridCol w:w="1079"/>
        <w:gridCol w:w="1079"/>
        <w:gridCol w:w="1168"/>
      </w:tblGrid>
      <w:tr w14:paraId="54D1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jc w:val="center"/>
        </w:trPr>
        <w:tc>
          <w:tcPr>
            <w:tcW w:w="9100" w:type="dxa"/>
            <w:gridSpan w:val="7"/>
            <w:noWrap w:val="0"/>
            <w:vAlign w:val="center"/>
          </w:tcPr>
          <w:p w14:paraId="6E2A9AA0">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28" w:name="_Toc221951630"/>
            <w:r>
              <w:rPr>
                <w:rFonts w:hint="eastAsia" w:ascii="宋体" w:hAnsi="宋体" w:eastAsia="宋体" w:cs="Times New Roman"/>
                <w:snapToGrid/>
                <w:color w:val="auto"/>
                <w:kern w:val="2"/>
                <w:sz w:val="21"/>
                <w:szCs w:val="21"/>
                <w:highlight w:val="none"/>
                <w:lang w:eastAsia="zh-CN"/>
              </w:rPr>
              <w:t>工作</w:t>
            </w:r>
            <w:r>
              <w:rPr>
                <w:rFonts w:hint="eastAsia" w:ascii="宋体" w:hAnsi="宋体" w:eastAsia="宋体" w:cs="Times New Roman"/>
                <w:snapToGrid/>
                <w:color w:val="auto"/>
                <w:kern w:val="2"/>
                <w:sz w:val="21"/>
                <w:szCs w:val="21"/>
                <w:highlight w:val="none"/>
                <w:lang w:val="en-US" w:eastAsia="zh-CN"/>
              </w:rPr>
              <w:t>内容</w:t>
            </w:r>
            <w:r>
              <w:rPr>
                <w:rFonts w:hint="eastAsia" w:ascii="宋体" w:hAnsi="宋体" w:eastAsia="宋体" w:cs="Times New Roman"/>
                <w:snapToGrid/>
                <w:color w:val="auto"/>
                <w:kern w:val="2"/>
                <w:sz w:val="21"/>
                <w:szCs w:val="21"/>
                <w:highlight w:val="none"/>
                <w:lang w:eastAsia="zh-CN"/>
              </w:rPr>
              <w:t>：</w:t>
            </w:r>
            <w:bookmarkEnd w:id="2528"/>
          </w:p>
        </w:tc>
      </w:tr>
      <w:tr w14:paraId="4109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23DFEC9C">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29" w:name="_Toc221951631"/>
            <w:r>
              <w:rPr>
                <w:rFonts w:hint="eastAsia" w:ascii="宋体" w:hAnsi="宋体" w:eastAsia="宋体" w:cs="Times New Roman"/>
                <w:snapToGrid/>
                <w:color w:val="auto"/>
                <w:kern w:val="2"/>
                <w:sz w:val="21"/>
                <w:szCs w:val="21"/>
                <w:highlight w:val="none"/>
                <w:lang w:eastAsia="zh-CN"/>
              </w:rPr>
              <w:t>序号</w:t>
            </w:r>
            <w:bookmarkEnd w:id="2529"/>
          </w:p>
        </w:tc>
        <w:tc>
          <w:tcPr>
            <w:tcW w:w="2338" w:type="dxa"/>
            <w:noWrap w:val="0"/>
            <w:vAlign w:val="center"/>
          </w:tcPr>
          <w:p w14:paraId="3EE9FAC7">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0" w:name="_Toc221951632"/>
            <w:r>
              <w:rPr>
                <w:rFonts w:hint="eastAsia" w:ascii="宋体" w:hAnsi="宋体" w:eastAsia="宋体" w:cs="Times New Roman"/>
                <w:snapToGrid/>
                <w:color w:val="auto"/>
                <w:kern w:val="2"/>
                <w:sz w:val="21"/>
                <w:szCs w:val="21"/>
                <w:highlight w:val="none"/>
                <w:lang w:eastAsia="zh-CN"/>
              </w:rPr>
              <w:t>名称</w:t>
            </w:r>
            <w:bookmarkEnd w:id="2530"/>
          </w:p>
        </w:tc>
        <w:tc>
          <w:tcPr>
            <w:tcW w:w="1259" w:type="dxa"/>
            <w:noWrap w:val="0"/>
            <w:vAlign w:val="center"/>
          </w:tcPr>
          <w:p w14:paraId="479E6551">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1" w:name="_Toc221951633"/>
            <w:r>
              <w:rPr>
                <w:rFonts w:hint="eastAsia" w:ascii="宋体" w:hAnsi="宋体" w:eastAsia="宋体" w:cs="Times New Roman"/>
                <w:snapToGrid/>
                <w:color w:val="auto"/>
                <w:kern w:val="2"/>
                <w:sz w:val="21"/>
                <w:szCs w:val="21"/>
                <w:highlight w:val="none"/>
                <w:lang w:eastAsia="zh-CN"/>
              </w:rPr>
              <w:t>规格型号</w:t>
            </w:r>
            <w:bookmarkEnd w:id="2531"/>
          </w:p>
        </w:tc>
        <w:tc>
          <w:tcPr>
            <w:tcW w:w="1079" w:type="dxa"/>
            <w:noWrap w:val="0"/>
            <w:vAlign w:val="center"/>
          </w:tcPr>
          <w:p w14:paraId="7218BED0">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2" w:name="_Toc221951634"/>
            <w:r>
              <w:rPr>
                <w:rFonts w:hint="eastAsia" w:ascii="宋体" w:hAnsi="宋体" w:eastAsia="宋体" w:cs="Times New Roman"/>
                <w:snapToGrid/>
                <w:color w:val="auto"/>
                <w:kern w:val="2"/>
                <w:sz w:val="21"/>
                <w:szCs w:val="21"/>
                <w:highlight w:val="none"/>
                <w:lang w:eastAsia="zh-CN"/>
              </w:rPr>
              <w:t>计量单位</w:t>
            </w:r>
            <w:bookmarkEnd w:id="2532"/>
          </w:p>
        </w:tc>
        <w:tc>
          <w:tcPr>
            <w:tcW w:w="1079" w:type="dxa"/>
            <w:noWrap w:val="0"/>
            <w:vAlign w:val="center"/>
          </w:tcPr>
          <w:p w14:paraId="1C4CBA4E">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3" w:name="_Toc221951635"/>
            <w:r>
              <w:rPr>
                <w:rFonts w:hint="eastAsia" w:ascii="宋体" w:hAnsi="宋体" w:eastAsia="宋体" w:cs="Times New Roman"/>
                <w:snapToGrid/>
                <w:color w:val="auto"/>
                <w:kern w:val="2"/>
                <w:sz w:val="21"/>
                <w:szCs w:val="21"/>
                <w:highlight w:val="none"/>
                <w:lang w:eastAsia="zh-CN"/>
              </w:rPr>
              <w:t>数量</w:t>
            </w:r>
            <w:bookmarkEnd w:id="2533"/>
          </w:p>
        </w:tc>
        <w:tc>
          <w:tcPr>
            <w:tcW w:w="1079" w:type="dxa"/>
            <w:noWrap w:val="0"/>
            <w:vAlign w:val="center"/>
          </w:tcPr>
          <w:p w14:paraId="79FB8DD3">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4" w:name="_Toc221951636"/>
            <w:r>
              <w:rPr>
                <w:rFonts w:hint="eastAsia" w:ascii="宋体" w:hAnsi="宋体" w:eastAsia="宋体" w:cs="Times New Roman"/>
                <w:snapToGrid/>
                <w:color w:val="auto"/>
                <w:kern w:val="2"/>
                <w:sz w:val="21"/>
                <w:szCs w:val="21"/>
                <w:highlight w:val="none"/>
                <w:lang w:eastAsia="zh-CN"/>
              </w:rPr>
              <w:t>单价(元)</w:t>
            </w:r>
            <w:bookmarkEnd w:id="2534"/>
          </w:p>
        </w:tc>
        <w:tc>
          <w:tcPr>
            <w:tcW w:w="1168" w:type="dxa"/>
            <w:noWrap w:val="0"/>
            <w:vAlign w:val="center"/>
          </w:tcPr>
          <w:p w14:paraId="238D6153">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5" w:name="_Toc221951637"/>
            <w:r>
              <w:rPr>
                <w:rFonts w:hint="eastAsia" w:ascii="宋体" w:hAnsi="宋体" w:eastAsia="宋体" w:cs="Times New Roman"/>
                <w:snapToGrid/>
                <w:color w:val="auto"/>
                <w:kern w:val="2"/>
                <w:sz w:val="21"/>
                <w:szCs w:val="21"/>
                <w:highlight w:val="none"/>
                <w:lang w:eastAsia="zh-CN"/>
              </w:rPr>
              <w:t>合价(元)</w:t>
            </w:r>
            <w:bookmarkEnd w:id="2535"/>
          </w:p>
        </w:tc>
      </w:tr>
      <w:tr w14:paraId="188A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2BC9865D">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36" w:name="_Toc221951638"/>
            <w:r>
              <w:rPr>
                <w:rFonts w:hint="eastAsia" w:ascii="宋体" w:hAnsi="宋体" w:eastAsia="宋体" w:cs="Times New Roman"/>
                <w:snapToGrid/>
                <w:color w:val="auto"/>
                <w:kern w:val="2"/>
                <w:sz w:val="21"/>
                <w:szCs w:val="21"/>
                <w:highlight w:val="none"/>
                <w:lang w:eastAsia="zh-CN"/>
              </w:rPr>
              <w:t>1</w:t>
            </w:r>
            <w:bookmarkEnd w:id="2536"/>
          </w:p>
        </w:tc>
        <w:tc>
          <w:tcPr>
            <w:tcW w:w="2338" w:type="dxa"/>
            <w:noWrap w:val="0"/>
            <w:vAlign w:val="center"/>
          </w:tcPr>
          <w:p w14:paraId="4D1C1A40">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37" w:name="_Toc221951639"/>
            <w:r>
              <w:rPr>
                <w:rFonts w:hint="eastAsia" w:ascii="宋体" w:hAnsi="宋体" w:eastAsia="宋体" w:cs="Times New Roman"/>
                <w:snapToGrid/>
                <w:color w:val="auto"/>
                <w:kern w:val="2"/>
                <w:sz w:val="21"/>
                <w:szCs w:val="21"/>
                <w:highlight w:val="none"/>
                <w:lang w:eastAsia="zh-CN"/>
              </w:rPr>
              <w:t>直接费</w:t>
            </w:r>
            <w:bookmarkEnd w:id="2537"/>
          </w:p>
        </w:tc>
        <w:tc>
          <w:tcPr>
            <w:tcW w:w="1259" w:type="dxa"/>
            <w:noWrap w:val="0"/>
            <w:vAlign w:val="center"/>
          </w:tcPr>
          <w:p w14:paraId="7D2455CE">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7CE3225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ABE05BE">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0663495E">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59EEA4C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3B131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6678F7F4">
            <w:pPr>
              <w:kinsoku/>
              <w:adjustRightInd/>
              <w:snapToGrid/>
              <w:spacing w:line="400" w:lineRule="exact"/>
              <w:ind w:firstLine="0" w:firstLineChars="0"/>
              <w:jc w:val="center"/>
              <w:textAlignment w:val="auto"/>
              <w:rPr>
                <w:rFonts w:hint="default" w:ascii="宋体" w:hAnsi="宋体" w:eastAsia="宋体" w:cs="Times New Roman"/>
                <w:snapToGrid/>
                <w:color w:val="auto"/>
                <w:kern w:val="2"/>
                <w:sz w:val="21"/>
                <w:szCs w:val="21"/>
                <w:highlight w:val="none"/>
                <w:lang w:eastAsia="zh-CN"/>
              </w:rPr>
            </w:pPr>
            <w:bookmarkStart w:id="2538" w:name="_Toc221951640"/>
            <w:r>
              <w:rPr>
                <w:rFonts w:hint="eastAsia" w:ascii="宋体" w:hAnsi="宋体" w:eastAsia="宋体" w:cs="Times New Roman"/>
                <w:snapToGrid/>
                <w:color w:val="auto"/>
                <w:kern w:val="2"/>
                <w:sz w:val="21"/>
                <w:szCs w:val="21"/>
                <w:highlight w:val="none"/>
                <w:lang w:val="en-US" w:eastAsia="zh-CN"/>
              </w:rPr>
              <w:t>1.1</w:t>
            </w:r>
          </w:p>
        </w:tc>
        <w:tc>
          <w:tcPr>
            <w:tcW w:w="2338" w:type="dxa"/>
            <w:noWrap w:val="0"/>
            <w:vAlign w:val="center"/>
          </w:tcPr>
          <w:p w14:paraId="7D45B744">
            <w:pPr>
              <w:kinsoku/>
              <w:adjustRightInd/>
              <w:snapToGrid/>
              <w:spacing w:line="400" w:lineRule="exact"/>
              <w:ind w:firstLine="0" w:firstLineChars="0"/>
              <w:textAlignment w:val="auto"/>
              <w:rPr>
                <w:rFonts w:hint="default"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rPr>
              <w:t>基本直接费</w:t>
            </w:r>
          </w:p>
        </w:tc>
        <w:tc>
          <w:tcPr>
            <w:tcW w:w="1259" w:type="dxa"/>
            <w:noWrap w:val="0"/>
            <w:vAlign w:val="center"/>
          </w:tcPr>
          <w:p w14:paraId="30016DE6">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37F19A47">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37423970">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57C384A3">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7F7642F3">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45678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11FF0F3E">
            <w:pPr>
              <w:kinsoku/>
              <w:adjustRightInd/>
              <w:snapToGrid/>
              <w:spacing w:line="400" w:lineRule="exact"/>
              <w:ind w:firstLine="0" w:firstLineChars="0"/>
              <w:jc w:val="center"/>
              <w:textAlignment w:val="auto"/>
              <w:rPr>
                <w:rFonts w:hint="default"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eastAsia="zh-CN"/>
              </w:rPr>
              <w:t>1.1</w:t>
            </w:r>
            <w:bookmarkEnd w:id="2538"/>
            <w:r>
              <w:rPr>
                <w:rFonts w:hint="eastAsia" w:ascii="宋体" w:hAnsi="宋体" w:eastAsia="宋体" w:cs="Times New Roman"/>
                <w:snapToGrid/>
                <w:color w:val="auto"/>
                <w:kern w:val="2"/>
                <w:sz w:val="21"/>
                <w:szCs w:val="21"/>
                <w:highlight w:val="none"/>
                <w:lang w:val="en-US" w:eastAsia="zh-CN"/>
              </w:rPr>
              <w:t>.1</w:t>
            </w:r>
          </w:p>
        </w:tc>
        <w:tc>
          <w:tcPr>
            <w:tcW w:w="2338" w:type="dxa"/>
            <w:noWrap w:val="0"/>
            <w:vAlign w:val="center"/>
          </w:tcPr>
          <w:p w14:paraId="38B764D5">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39" w:name="_Toc221951641"/>
            <w:r>
              <w:rPr>
                <w:rFonts w:hint="eastAsia" w:ascii="宋体" w:hAnsi="宋体" w:eastAsia="宋体" w:cs="Times New Roman"/>
                <w:snapToGrid/>
                <w:color w:val="auto"/>
                <w:kern w:val="2"/>
                <w:sz w:val="21"/>
                <w:szCs w:val="21"/>
                <w:highlight w:val="none"/>
                <w:lang w:eastAsia="zh-CN"/>
              </w:rPr>
              <w:t>人工费</w:t>
            </w:r>
            <w:bookmarkEnd w:id="2539"/>
          </w:p>
        </w:tc>
        <w:tc>
          <w:tcPr>
            <w:tcW w:w="1259" w:type="dxa"/>
            <w:noWrap w:val="0"/>
            <w:vAlign w:val="center"/>
          </w:tcPr>
          <w:p w14:paraId="10A90808">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4630AC10">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BB46DA7">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4F30D553">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7CAF336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525F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5B398766">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p>
        </w:tc>
        <w:tc>
          <w:tcPr>
            <w:tcW w:w="2338" w:type="dxa"/>
            <w:noWrap w:val="0"/>
            <w:vAlign w:val="center"/>
          </w:tcPr>
          <w:p w14:paraId="60D516D4">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p>
        </w:tc>
        <w:tc>
          <w:tcPr>
            <w:tcW w:w="1259" w:type="dxa"/>
            <w:noWrap w:val="0"/>
            <w:vAlign w:val="center"/>
          </w:tcPr>
          <w:p w14:paraId="79A88B2D">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335B53A4">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1BD613C0">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42C51ACE">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2188B991">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3E76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18023B4F">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40" w:name="_Toc221951642"/>
            <w:r>
              <w:rPr>
                <w:rFonts w:hint="eastAsia" w:ascii="宋体" w:hAnsi="宋体" w:eastAsia="宋体" w:cs="Times New Roman"/>
                <w:snapToGrid/>
                <w:color w:val="auto"/>
                <w:kern w:val="2"/>
                <w:sz w:val="21"/>
                <w:szCs w:val="21"/>
                <w:highlight w:val="none"/>
                <w:lang w:eastAsia="zh-CN"/>
              </w:rPr>
              <w:t>1.</w:t>
            </w:r>
            <w:r>
              <w:rPr>
                <w:rFonts w:hint="eastAsia" w:ascii="宋体" w:hAnsi="宋体" w:eastAsia="宋体" w:cs="Times New Roman"/>
                <w:snapToGrid/>
                <w:color w:val="auto"/>
                <w:kern w:val="2"/>
                <w:sz w:val="21"/>
                <w:szCs w:val="21"/>
                <w:highlight w:val="none"/>
                <w:lang w:val="en-US" w:eastAsia="zh-CN"/>
              </w:rPr>
              <w:t>1.</w:t>
            </w:r>
            <w:r>
              <w:rPr>
                <w:rFonts w:hint="eastAsia" w:ascii="宋体" w:hAnsi="宋体" w:eastAsia="宋体" w:cs="Times New Roman"/>
                <w:snapToGrid/>
                <w:color w:val="auto"/>
                <w:kern w:val="2"/>
                <w:sz w:val="21"/>
                <w:szCs w:val="21"/>
                <w:highlight w:val="none"/>
                <w:lang w:eastAsia="zh-CN"/>
              </w:rPr>
              <w:t>2</w:t>
            </w:r>
            <w:bookmarkEnd w:id="2540"/>
          </w:p>
        </w:tc>
        <w:tc>
          <w:tcPr>
            <w:tcW w:w="2338" w:type="dxa"/>
            <w:noWrap w:val="0"/>
            <w:vAlign w:val="center"/>
          </w:tcPr>
          <w:p w14:paraId="095F5324">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41" w:name="_Toc221951643"/>
            <w:r>
              <w:rPr>
                <w:rFonts w:hint="eastAsia" w:ascii="宋体" w:hAnsi="宋体" w:eastAsia="宋体" w:cs="Times New Roman"/>
                <w:snapToGrid/>
                <w:color w:val="auto"/>
                <w:kern w:val="2"/>
                <w:sz w:val="21"/>
                <w:szCs w:val="21"/>
                <w:highlight w:val="none"/>
                <w:lang w:eastAsia="zh-CN"/>
              </w:rPr>
              <w:t>材料费</w:t>
            </w:r>
            <w:bookmarkEnd w:id="2541"/>
          </w:p>
        </w:tc>
        <w:tc>
          <w:tcPr>
            <w:tcW w:w="1259" w:type="dxa"/>
            <w:noWrap w:val="0"/>
            <w:vAlign w:val="center"/>
          </w:tcPr>
          <w:p w14:paraId="5679A288">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469B09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139C3F6D">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5A583FC4">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61416655">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0C26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08A65D42">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p>
        </w:tc>
        <w:tc>
          <w:tcPr>
            <w:tcW w:w="2338" w:type="dxa"/>
            <w:noWrap w:val="0"/>
            <w:vAlign w:val="center"/>
          </w:tcPr>
          <w:p w14:paraId="212DCDF8">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p>
        </w:tc>
        <w:tc>
          <w:tcPr>
            <w:tcW w:w="1259" w:type="dxa"/>
            <w:noWrap w:val="0"/>
            <w:vAlign w:val="center"/>
          </w:tcPr>
          <w:p w14:paraId="6ABFC5D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44AC7CF9">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5588C904">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3571379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3381FAB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5199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28D656E1">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bookmarkStart w:id="2542" w:name="_Toc221951644"/>
            <w:r>
              <w:rPr>
                <w:rFonts w:hint="eastAsia" w:ascii="宋体" w:hAnsi="宋体" w:eastAsia="宋体" w:cs="Times New Roman"/>
                <w:snapToGrid/>
                <w:color w:val="auto"/>
                <w:kern w:val="2"/>
                <w:sz w:val="21"/>
                <w:szCs w:val="21"/>
                <w:highlight w:val="none"/>
                <w:lang w:eastAsia="zh-CN"/>
              </w:rPr>
              <w:t>1.</w:t>
            </w:r>
            <w:r>
              <w:rPr>
                <w:rFonts w:hint="eastAsia" w:ascii="宋体" w:hAnsi="宋体" w:eastAsia="宋体" w:cs="Times New Roman"/>
                <w:snapToGrid/>
                <w:color w:val="auto"/>
                <w:kern w:val="2"/>
                <w:sz w:val="21"/>
                <w:szCs w:val="21"/>
                <w:highlight w:val="none"/>
                <w:lang w:val="en-US" w:eastAsia="zh-CN"/>
              </w:rPr>
              <w:t>1.</w:t>
            </w:r>
            <w:r>
              <w:rPr>
                <w:rFonts w:hint="eastAsia" w:ascii="宋体" w:hAnsi="宋体" w:eastAsia="宋体" w:cs="Times New Roman"/>
                <w:snapToGrid/>
                <w:color w:val="auto"/>
                <w:kern w:val="2"/>
                <w:sz w:val="21"/>
                <w:szCs w:val="21"/>
                <w:highlight w:val="none"/>
                <w:lang w:eastAsia="zh-CN"/>
              </w:rPr>
              <w:t>3</w:t>
            </w:r>
            <w:bookmarkEnd w:id="2542"/>
          </w:p>
        </w:tc>
        <w:tc>
          <w:tcPr>
            <w:tcW w:w="2338" w:type="dxa"/>
            <w:noWrap w:val="0"/>
            <w:vAlign w:val="center"/>
          </w:tcPr>
          <w:p w14:paraId="3BA29804">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43" w:name="_Toc221951645"/>
            <w:r>
              <w:rPr>
                <w:rFonts w:hint="eastAsia" w:ascii="宋体" w:hAnsi="宋体" w:eastAsia="宋体" w:cs="Times New Roman"/>
                <w:snapToGrid/>
                <w:color w:val="auto"/>
                <w:kern w:val="2"/>
                <w:sz w:val="21"/>
                <w:szCs w:val="21"/>
                <w:highlight w:val="none"/>
                <w:lang w:eastAsia="zh-CN"/>
              </w:rPr>
              <w:t>机械使用费</w:t>
            </w:r>
            <w:bookmarkEnd w:id="2543"/>
          </w:p>
        </w:tc>
        <w:tc>
          <w:tcPr>
            <w:tcW w:w="1259" w:type="dxa"/>
            <w:noWrap w:val="0"/>
            <w:vAlign w:val="center"/>
          </w:tcPr>
          <w:p w14:paraId="1742EE82">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0E469079">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3989256">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065C612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0047436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5CD7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7AC95A9A">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
              </w:rPr>
            </w:pPr>
          </w:p>
        </w:tc>
        <w:tc>
          <w:tcPr>
            <w:tcW w:w="2338" w:type="dxa"/>
            <w:noWrap w:val="0"/>
            <w:vAlign w:val="center"/>
          </w:tcPr>
          <w:p w14:paraId="2E169DA9">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
              </w:rPr>
            </w:pPr>
          </w:p>
        </w:tc>
        <w:tc>
          <w:tcPr>
            <w:tcW w:w="1259" w:type="dxa"/>
            <w:noWrap w:val="0"/>
            <w:vAlign w:val="center"/>
          </w:tcPr>
          <w:p w14:paraId="3A1C3277">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133B510B">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0577AD5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534ACEA3">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63E0FAA3">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6B13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60C46DB2">
            <w:pPr>
              <w:kinsoku/>
              <w:autoSpaceDE w:val="0"/>
              <w:autoSpaceDN w:val="0"/>
              <w:adjustRightInd/>
              <w:snapToGrid/>
              <w:spacing w:line="400" w:lineRule="exact"/>
              <w:ind w:firstLine="0" w:firstLineChars="0"/>
              <w:jc w:val="center"/>
              <w:textAlignment w:val="auto"/>
              <w:rPr>
                <w:rFonts w:hint="default" w:ascii="宋体" w:hAnsi="宋体" w:eastAsia="宋体" w:cs="Times New Roman"/>
                <w:snapToGrid/>
                <w:color w:val="auto"/>
                <w:kern w:val="2"/>
                <w:sz w:val="21"/>
                <w:szCs w:val="21"/>
                <w:highlight w:val="none"/>
                <w:lang w:val="en-US" w:eastAsia="zh-CN" w:bidi="ar"/>
              </w:rPr>
            </w:pPr>
            <w:r>
              <w:rPr>
                <w:rFonts w:hint="eastAsia" w:ascii="宋体" w:hAnsi="宋体" w:eastAsia="宋体" w:cs="Times New Roman"/>
                <w:snapToGrid/>
                <w:color w:val="auto"/>
                <w:kern w:val="2"/>
                <w:sz w:val="21"/>
                <w:szCs w:val="21"/>
                <w:highlight w:val="none"/>
                <w:lang w:val="en-US" w:eastAsia="zh-CN" w:bidi="ar"/>
              </w:rPr>
              <w:t>1.1.4</w:t>
            </w:r>
          </w:p>
        </w:tc>
        <w:tc>
          <w:tcPr>
            <w:tcW w:w="2338" w:type="dxa"/>
            <w:noWrap w:val="0"/>
            <w:vAlign w:val="center"/>
          </w:tcPr>
          <w:p w14:paraId="1D6DDFD1">
            <w:pPr>
              <w:kinsoku/>
              <w:autoSpaceDE w:val="0"/>
              <w:autoSpaceDN w:val="0"/>
              <w:adjustRightInd/>
              <w:snapToGrid/>
              <w:spacing w:line="400" w:lineRule="exact"/>
              <w:ind w:firstLine="0" w:firstLineChars="0"/>
              <w:textAlignment w:val="auto"/>
              <w:rPr>
                <w:rFonts w:hint="default" w:ascii="宋体" w:hAnsi="宋体" w:eastAsia="宋体" w:cs="Times New Roman"/>
                <w:snapToGrid/>
                <w:color w:val="auto"/>
                <w:kern w:val="2"/>
                <w:sz w:val="21"/>
                <w:szCs w:val="21"/>
                <w:highlight w:val="none"/>
                <w:lang w:val="en-US" w:eastAsia="zh-CN" w:bidi="ar"/>
              </w:rPr>
            </w:pPr>
            <w:r>
              <w:rPr>
                <w:rFonts w:hint="eastAsia" w:ascii="宋体" w:hAnsi="宋体" w:eastAsia="宋体" w:cs="Times New Roman"/>
                <w:snapToGrid/>
                <w:color w:val="auto"/>
                <w:kern w:val="2"/>
                <w:sz w:val="21"/>
                <w:szCs w:val="21"/>
                <w:highlight w:val="none"/>
                <w:lang w:val="en-US" w:eastAsia="zh-CN" w:bidi="ar"/>
              </w:rPr>
              <w:t>其他</w:t>
            </w:r>
          </w:p>
        </w:tc>
        <w:tc>
          <w:tcPr>
            <w:tcW w:w="1259" w:type="dxa"/>
            <w:noWrap w:val="0"/>
            <w:vAlign w:val="center"/>
          </w:tcPr>
          <w:p w14:paraId="4C4E43E5">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1D652F41">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421F689C">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2B1E638">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10A454F2">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4DA2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15574C56">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
              </w:rPr>
            </w:pPr>
          </w:p>
        </w:tc>
        <w:tc>
          <w:tcPr>
            <w:tcW w:w="2338" w:type="dxa"/>
            <w:noWrap w:val="0"/>
            <w:vAlign w:val="center"/>
          </w:tcPr>
          <w:p w14:paraId="107287A9">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
              </w:rPr>
            </w:pPr>
          </w:p>
        </w:tc>
        <w:tc>
          <w:tcPr>
            <w:tcW w:w="1259" w:type="dxa"/>
            <w:noWrap w:val="0"/>
            <w:vAlign w:val="center"/>
          </w:tcPr>
          <w:p w14:paraId="1AD54E5D">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43AB61C9">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54505747">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531403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4F6AAD25">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1BEE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332C0ABA">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1.2</w:t>
            </w:r>
          </w:p>
        </w:tc>
        <w:tc>
          <w:tcPr>
            <w:tcW w:w="2338" w:type="dxa"/>
            <w:noWrap w:val="0"/>
            <w:vAlign w:val="center"/>
          </w:tcPr>
          <w:p w14:paraId="1894619B">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其他直接费</w:t>
            </w:r>
          </w:p>
        </w:tc>
        <w:tc>
          <w:tcPr>
            <w:tcW w:w="1259" w:type="dxa"/>
            <w:noWrap w:val="0"/>
            <w:vAlign w:val="center"/>
          </w:tcPr>
          <w:p w14:paraId="1E5610A2">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47044D33">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1EAC982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96FD46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03841455">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13D5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600E601F">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2</w:t>
            </w:r>
          </w:p>
        </w:tc>
        <w:tc>
          <w:tcPr>
            <w:tcW w:w="2338" w:type="dxa"/>
            <w:noWrap w:val="0"/>
            <w:vAlign w:val="center"/>
          </w:tcPr>
          <w:p w14:paraId="36D46C78">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间接费</w:t>
            </w:r>
          </w:p>
        </w:tc>
        <w:tc>
          <w:tcPr>
            <w:tcW w:w="1259" w:type="dxa"/>
            <w:noWrap w:val="0"/>
            <w:vAlign w:val="center"/>
          </w:tcPr>
          <w:p w14:paraId="39CDA5B8">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320C5684">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51F318D1">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67BB836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5E1B510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4168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6286455D">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3</w:t>
            </w:r>
          </w:p>
        </w:tc>
        <w:tc>
          <w:tcPr>
            <w:tcW w:w="2338" w:type="dxa"/>
            <w:noWrap w:val="0"/>
            <w:vAlign w:val="center"/>
          </w:tcPr>
          <w:p w14:paraId="5D73DDF3">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利润</w:t>
            </w:r>
          </w:p>
        </w:tc>
        <w:tc>
          <w:tcPr>
            <w:tcW w:w="1259" w:type="dxa"/>
            <w:noWrap w:val="0"/>
            <w:vAlign w:val="center"/>
          </w:tcPr>
          <w:p w14:paraId="3D26C78D">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223E9CDC">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4AD87C77">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7ED0F4A9">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35FD4D07">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24B44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04553BC3">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4</w:t>
            </w:r>
          </w:p>
        </w:tc>
        <w:tc>
          <w:tcPr>
            <w:tcW w:w="2338" w:type="dxa"/>
            <w:noWrap w:val="0"/>
            <w:vAlign w:val="center"/>
          </w:tcPr>
          <w:p w14:paraId="5D54D68C">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材料补差</w:t>
            </w:r>
          </w:p>
        </w:tc>
        <w:tc>
          <w:tcPr>
            <w:tcW w:w="1259" w:type="dxa"/>
            <w:noWrap w:val="0"/>
            <w:vAlign w:val="center"/>
          </w:tcPr>
          <w:p w14:paraId="4675798D">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6848E443">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2FFB10B1">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40D1F0D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03B2C3F7">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58A1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64F4F879">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5</w:t>
            </w:r>
          </w:p>
        </w:tc>
        <w:tc>
          <w:tcPr>
            <w:tcW w:w="2338" w:type="dxa"/>
            <w:noWrap w:val="0"/>
            <w:vAlign w:val="center"/>
          </w:tcPr>
          <w:p w14:paraId="6A6FF5E1">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bidi="ar"/>
              </w:rPr>
              <w:t>税金</w:t>
            </w:r>
          </w:p>
        </w:tc>
        <w:tc>
          <w:tcPr>
            <w:tcW w:w="1259" w:type="dxa"/>
            <w:noWrap w:val="0"/>
            <w:vAlign w:val="center"/>
          </w:tcPr>
          <w:p w14:paraId="4A6A49F4">
            <w:pPr>
              <w:kinsoku/>
              <w:autoSpaceDE w:val="0"/>
              <w:autoSpaceDN w:val="0"/>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330CD82E">
            <w:pPr>
              <w:kinsoku/>
              <w:autoSpaceDE w:val="0"/>
              <w:autoSpaceDN w:val="0"/>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val="en-US" w:eastAsia="zh-CN" w:bidi="ar-SA"/>
              </w:rPr>
            </w:pPr>
          </w:p>
        </w:tc>
        <w:tc>
          <w:tcPr>
            <w:tcW w:w="1079" w:type="dxa"/>
            <w:noWrap w:val="0"/>
            <w:vAlign w:val="center"/>
          </w:tcPr>
          <w:p w14:paraId="2D14234E">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57787878">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7606AF3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2A28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38A735D8">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p>
        </w:tc>
        <w:tc>
          <w:tcPr>
            <w:tcW w:w="2338" w:type="dxa"/>
            <w:noWrap w:val="0"/>
            <w:vAlign w:val="center"/>
          </w:tcPr>
          <w:p w14:paraId="011EBF49">
            <w:pPr>
              <w:kinsoku/>
              <w:adjustRightInd/>
              <w:snapToGrid/>
              <w:spacing w:line="400" w:lineRule="exact"/>
              <w:ind w:firstLine="0" w:firstLineChars="0"/>
              <w:textAlignment w:val="auto"/>
              <w:rPr>
                <w:rFonts w:hint="default" w:ascii="宋体" w:hAnsi="宋体" w:eastAsia="宋体" w:cs="Times New Roman"/>
                <w:snapToGrid/>
                <w:color w:val="auto"/>
                <w:kern w:val="2"/>
                <w:sz w:val="21"/>
                <w:szCs w:val="21"/>
                <w:highlight w:val="none"/>
                <w:lang w:eastAsia="zh-CN"/>
              </w:rPr>
            </w:pPr>
            <w:r>
              <w:rPr>
                <w:rFonts w:hint="eastAsia" w:ascii="宋体" w:hAnsi="宋体" w:eastAsia="宋体" w:cs="Times New Roman"/>
                <w:snapToGrid/>
                <w:color w:val="auto"/>
                <w:kern w:val="2"/>
                <w:sz w:val="21"/>
                <w:szCs w:val="21"/>
                <w:highlight w:val="none"/>
                <w:lang w:val="en-US" w:eastAsia="zh-CN"/>
              </w:rPr>
              <w:t>合计</w:t>
            </w:r>
          </w:p>
        </w:tc>
        <w:tc>
          <w:tcPr>
            <w:tcW w:w="1259" w:type="dxa"/>
            <w:noWrap w:val="0"/>
            <w:vAlign w:val="center"/>
          </w:tcPr>
          <w:p w14:paraId="47A35ABA">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6A673FD6">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0A9DD60D">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5B713FF1">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67CDD25C">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70CA2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8" w:type="dxa"/>
            <w:noWrap w:val="0"/>
            <w:vAlign w:val="center"/>
          </w:tcPr>
          <w:p w14:paraId="0ED8A2A6">
            <w:pPr>
              <w:kinsoku/>
              <w:adjustRightInd/>
              <w:snapToGrid/>
              <w:spacing w:line="400" w:lineRule="exact"/>
              <w:ind w:firstLine="0" w:firstLineChars="0"/>
              <w:jc w:val="center"/>
              <w:textAlignment w:val="auto"/>
              <w:rPr>
                <w:rFonts w:hint="eastAsia" w:ascii="宋体" w:hAnsi="宋体" w:eastAsia="宋体" w:cs="Times New Roman"/>
                <w:snapToGrid/>
                <w:color w:val="auto"/>
                <w:kern w:val="2"/>
                <w:sz w:val="21"/>
                <w:szCs w:val="21"/>
                <w:highlight w:val="none"/>
                <w:lang w:eastAsia="zh-CN"/>
              </w:rPr>
            </w:pPr>
          </w:p>
        </w:tc>
        <w:tc>
          <w:tcPr>
            <w:tcW w:w="2338" w:type="dxa"/>
            <w:noWrap w:val="0"/>
            <w:vAlign w:val="center"/>
          </w:tcPr>
          <w:p w14:paraId="702E9472">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p>
        </w:tc>
        <w:tc>
          <w:tcPr>
            <w:tcW w:w="1259" w:type="dxa"/>
            <w:noWrap w:val="0"/>
            <w:vAlign w:val="center"/>
          </w:tcPr>
          <w:p w14:paraId="5909FBF5">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664A8269">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004041A2">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246E2B41">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7898EDF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r w14:paraId="3AEC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098" w:type="dxa"/>
            <w:noWrap w:val="0"/>
            <w:vAlign w:val="center"/>
          </w:tcPr>
          <w:p w14:paraId="7E016B10">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2338" w:type="dxa"/>
            <w:noWrap w:val="0"/>
            <w:vAlign w:val="center"/>
          </w:tcPr>
          <w:p w14:paraId="72A90923">
            <w:pPr>
              <w:kinsoku/>
              <w:adjustRightInd/>
              <w:snapToGrid/>
              <w:spacing w:line="400" w:lineRule="exact"/>
              <w:ind w:firstLine="0" w:firstLineChars="0"/>
              <w:textAlignment w:val="auto"/>
              <w:rPr>
                <w:rFonts w:hint="eastAsia" w:ascii="宋体" w:hAnsi="宋体" w:eastAsia="宋体" w:cs="Times New Roman"/>
                <w:snapToGrid/>
                <w:color w:val="auto"/>
                <w:kern w:val="2"/>
                <w:sz w:val="21"/>
                <w:szCs w:val="21"/>
                <w:highlight w:val="none"/>
                <w:lang w:eastAsia="zh-CN"/>
              </w:rPr>
            </w:pPr>
            <w:bookmarkStart w:id="2544" w:name="_Toc221951652"/>
            <w:r>
              <w:rPr>
                <w:rFonts w:hint="eastAsia" w:ascii="宋体" w:hAnsi="宋体" w:eastAsia="宋体" w:cs="Times New Roman"/>
                <w:snapToGrid/>
                <w:color w:val="auto"/>
                <w:kern w:val="2"/>
                <w:sz w:val="21"/>
                <w:szCs w:val="21"/>
                <w:highlight w:val="none"/>
                <w:lang w:eastAsia="zh-CN"/>
              </w:rPr>
              <w:t>工</w:t>
            </w:r>
            <w:r>
              <w:rPr>
                <w:rFonts w:hint="eastAsia" w:ascii="宋体" w:hAnsi="宋体" w:eastAsia="宋体" w:cs="Times New Roman"/>
                <w:snapToGrid/>
                <w:color w:val="auto"/>
                <w:kern w:val="2"/>
                <w:sz w:val="21"/>
                <w:szCs w:val="21"/>
                <w:highlight w:val="none"/>
                <w:lang w:val="en-US" w:eastAsia="zh-CN"/>
              </w:rPr>
              <w:t>程单价</w:t>
            </w:r>
            <w:bookmarkEnd w:id="2544"/>
          </w:p>
        </w:tc>
        <w:tc>
          <w:tcPr>
            <w:tcW w:w="1259" w:type="dxa"/>
            <w:noWrap w:val="0"/>
            <w:vAlign w:val="center"/>
          </w:tcPr>
          <w:p w14:paraId="5F08F990">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7189611B">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3F9867B6">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079" w:type="dxa"/>
            <w:noWrap w:val="0"/>
            <w:vAlign w:val="center"/>
          </w:tcPr>
          <w:p w14:paraId="3BC4561E">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c>
          <w:tcPr>
            <w:tcW w:w="1168" w:type="dxa"/>
            <w:noWrap w:val="0"/>
            <w:vAlign w:val="center"/>
          </w:tcPr>
          <w:p w14:paraId="23F22E7F">
            <w:pPr>
              <w:kinsoku/>
              <w:adjustRightInd/>
              <w:snapToGrid/>
              <w:spacing w:line="400" w:lineRule="exact"/>
              <w:ind w:firstLine="0" w:firstLineChars="0"/>
              <w:jc w:val="center"/>
              <w:textAlignment w:val="auto"/>
              <w:rPr>
                <w:rFonts w:hint="eastAsia" w:ascii="宋体" w:hAnsi="宋体" w:eastAsia="宋体" w:cs="Times New Roman"/>
                <w:b/>
                <w:snapToGrid/>
                <w:color w:val="auto"/>
                <w:kern w:val="2"/>
                <w:sz w:val="21"/>
                <w:szCs w:val="21"/>
                <w:highlight w:val="none"/>
                <w:lang w:eastAsia="zh-CN"/>
              </w:rPr>
            </w:pPr>
          </w:p>
        </w:tc>
      </w:tr>
    </w:tbl>
    <w:p w14:paraId="2E724FF1">
      <w:pPr>
        <w:kinsoku/>
        <w:spacing w:before="0"/>
        <w:ind w:left="0"/>
        <w:rPr>
          <w:color w:val="auto"/>
          <w:highlight w:val="none"/>
          <w:lang w:eastAsia="zh-CN"/>
        </w:rPr>
      </w:pPr>
      <w:r>
        <w:rPr>
          <w:rFonts w:ascii="宋体" w:cs="Arial"/>
          <w:b w:val="0"/>
          <w:color w:val="auto"/>
          <w:spacing w:val="0"/>
          <w:sz w:val="24"/>
          <w:szCs w:val="24"/>
          <w:highlight w:val="none"/>
          <w:lang w:eastAsia="zh-CN"/>
        </w:rPr>
        <w:t>注：材料补差按不同材料分别计算补差费用。</w:t>
      </w:r>
    </w:p>
    <w:p w14:paraId="2C5A2F24">
      <w:pPr>
        <w:kinsoku/>
        <w:adjustRightInd/>
        <w:snapToGrid/>
        <w:spacing w:beforeLines="0" w:afterLines="0" w:line="240" w:lineRule="auto"/>
        <w:ind w:firstLine="500"/>
        <w:jc w:val="left"/>
        <w:textAlignment w:val="auto"/>
        <w:rPr>
          <w:rFonts w:cs="宋体"/>
          <w:color w:val="auto"/>
          <w:sz w:val="25"/>
          <w:szCs w:val="25"/>
          <w:highlight w:val="none"/>
          <w:lang w:eastAsia="zh-CN"/>
        </w:rPr>
      </w:pPr>
      <w:r>
        <w:rPr>
          <w:rFonts w:cs="宋体"/>
          <w:color w:val="auto"/>
          <w:sz w:val="25"/>
          <w:szCs w:val="25"/>
          <w:highlight w:val="none"/>
          <w:lang w:eastAsia="zh-CN"/>
        </w:rPr>
        <w:br w:type="page"/>
      </w:r>
    </w:p>
    <w:p w14:paraId="22C4B56C">
      <w:pPr>
        <w:pStyle w:val="4"/>
        <w:kinsoku/>
        <w:spacing w:before="0" w:beforeLines="0" w:afterLines="0"/>
        <w:ind w:left="0"/>
        <w:jc w:val="center"/>
        <w:rPr>
          <w:rFonts w:hint="eastAsia" w:cs="宋体"/>
          <w:bCs/>
          <w:color w:val="auto"/>
          <w:szCs w:val="24"/>
          <w:highlight w:val="none"/>
          <w:lang w:eastAsia="zh-CN"/>
        </w:rPr>
      </w:pPr>
      <w:bookmarkStart w:id="2545" w:name="_Toc439"/>
      <w:bookmarkStart w:id="2546" w:name="_Toc20264"/>
      <w:bookmarkStart w:id="2547" w:name="_Toc31977"/>
      <w:r>
        <w:rPr>
          <w:rFonts w:hint="eastAsia" w:ascii="宋体" w:cs="宋体"/>
          <w:b/>
          <w:bCs/>
          <w:color w:val="auto"/>
          <w:spacing w:val="0"/>
          <w:sz w:val="24"/>
          <w:szCs w:val="24"/>
          <w:highlight w:val="none"/>
          <w:lang w:eastAsia="zh-CN"/>
        </w:rPr>
        <w:t>电、风、水、砂石单价计算表</w:t>
      </w:r>
      <w:bookmarkEnd w:id="2545"/>
      <w:bookmarkEnd w:id="2546"/>
      <w:bookmarkEnd w:id="2547"/>
    </w:p>
    <w:p w14:paraId="3EAD8585">
      <w:pPr>
        <w:pStyle w:val="7"/>
        <w:kinsoku/>
        <w:spacing w:beforeLines="0" w:afterLines="0"/>
        <w:ind w:firstLine="420"/>
        <w:jc w:val="left"/>
        <w:rPr>
          <w:color w:val="auto"/>
          <w:highlight w:val="none"/>
          <w:lang w:eastAsia="zh-CN"/>
        </w:rPr>
      </w:pPr>
    </w:p>
    <w:p w14:paraId="09B56B72">
      <w:pPr>
        <w:pStyle w:val="7"/>
        <w:kinsoku/>
        <w:spacing w:beforeLines="0" w:afterLines="0"/>
        <w:ind w:firstLine="420"/>
        <w:jc w:val="left"/>
        <w:rPr>
          <w:color w:val="auto"/>
          <w:highlight w:val="none"/>
          <w:lang w:eastAsia="zh-CN"/>
        </w:rPr>
      </w:pPr>
    </w:p>
    <w:p w14:paraId="0FABC16D">
      <w:pPr>
        <w:kinsoku/>
        <w:spacing w:before="0"/>
        <w:jc w:val="left"/>
        <w:rPr>
          <w:rFonts w:ascii="宋体" w:cs="Arial"/>
          <w:b w:val="0"/>
          <w:color w:val="auto"/>
          <w:spacing w:val="0"/>
          <w:position w:val="0"/>
          <w:sz w:val="24"/>
          <w:szCs w:val="24"/>
          <w:highlight w:val="none"/>
          <w:lang w:eastAsia="zh-CN"/>
        </w:rPr>
      </w:pPr>
      <w:r>
        <w:rPr>
          <w:rFonts w:ascii="宋体" w:cs="Arial"/>
          <w:b w:val="0"/>
          <w:color w:val="auto"/>
          <w:spacing w:val="0"/>
          <w:position w:val="0"/>
          <w:sz w:val="24"/>
          <w:szCs w:val="24"/>
          <w:highlight w:val="none"/>
          <w:lang w:eastAsia="zh-CN"/>
        </w:rPr>
        <w:t>电、风、水、砂石单价计算按照施工组织设计确定的施工方案、供应方式、相应</w:t>
      </w:r>
      <w:r>
        <w:rPr>
          <w:rFonts w:hint="eastAsia" w:ascii="宋体" w:cs="Arial"/>
          <w:b w:val="0"/>
          <w:color w:val="auto"/>
          <w:spacing w:val="0"/>
          <w:position w:val="0"/>
          <w:sz w:val="24"/>
          <w:szCs w:val="24"/>
          <w:highlight w:val="none"/>
          <w:lang w:eastAsia="zh-CN"/>
        </w:rPr>
        <w:t>价格，采用计算书的形式表述。如采用外购的，本表可不提供。</w:t>
      </w:r>
    </w:p>
    <w:p w14:paraId="6CF434E9">
      <w:pPr>
        <w:kinsoku/>
        <w:spacing w:before="0"/>
        <w:jc w:val="left"/>
        <w:rPr>
          <w:rFonts w:ascii="宋体" w:cs="Arial"/>
          <w:b w:val="0"/>
          <w:color w:val="auto"/>
          <w:spacing w:val="0"/>
          <w:position w:val="0"/>
          <w:sz w:val="24"/>
          <w:szCs w:val="24"/>
          <w:highlight w:val="none"/>
          <w:lang w:eastAsia="zh-CN"/>
        </w:rPr>
      </w:pPr>
    </w:p>
    <w:p w14:paraId="43B9D9A0">
      <w:pPr>
        <w:kinsoku/>
        <w:spacing w:before="0"/>
        <w:jc w:val="left"/>
        <w:rPr>
          <w:rFonts w:ascii="宋体" w:cs="Arial"/>
          <w:b w:val="0"/>
          <w:color w:val="auto"/>
          <w:spacing w:val="0"/>
          <w:position w:val="0"/>
          <w:sz w:val="24"/>
          <w:szCs w:val="24"/>
          <w:highlight w:val="none"/>
          <w:lang w:eastAsia="zh-CN"/>
        </w:rPr>
      </w:pPr>
    </w:p>
    <w:p w14:paraId="422C9701">
      <w:pPr>
        <w:kinsoku/>
        <w:spacing w:before="0"/>
        <w:jc w:val="left"/>
        <w:rPr>
          <w:rFonts w:ascii="宋体" w:cs="Arial"/>
          <w:b w:val="0"/>
          <w:color w:val="auto"/>
          <w:spacing w:val="0"/>
          <w:position w:val="0"/>
          <w:sz w:val="24"/>
          <w:szCs w:val="24"/>
          <w:highlight w:val="none"/>
          <w:lang w:eastAsia="zh-CN"/>
        </w:rPr>
      </w:pPr>
    </w:p>
    <w:p w14:paraId="22E303B9">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257559B5">
      <w:pPr>
        <w:pStyle w:val="3"/>
        <w:kinsoku/>
        <w:spacing w:before="88" w:beforeLines="0" w:afterLines="0"/>
        <w:ind w:left="0"/>
        <w:jc w:val="center"/>
        <w:outlineLvl w:val="1"/>
        <w:rPr>
          <w:rFonts w:cs="宋体"/>
          <w:color w:val="auto"/>
          <w:sz w:val="30"/>
          <w:szCs w:val="30"/>
          <w:highlight w:val="none"/>
          <w:lang w:eastAsia="zh-CN"/>
        </w:rPr>
      </w:pPr>
      <w:bookmarkStart w:id="2548" w:name="_Toc21186"/>
      <w:bookmarkStart w:id="2549" w:name="_Toc855"/>
      <w:bookmarkStart w:id="2550" w:name="_Toc762"/>
      <w:bookmarkStart w:id="2551" w:name="_Toc5325"/>
      <w:bookmarkStart w:id="2552" w:name="_Toc23757"/>
      <w:bookmarkStart w:id="2553" w:name="_Toc31278"/>
      <w:bookmarkStart w:id="2554" w:name="_Toc28048"/>
      <w:bookmarkStart w:id="2555" w:name="_Toc2714"/>
      <w:bookmarkStart w:id="2556" w:name="_Toc7903"/>
      <w:bookmarkStart w:id="2557" w:name="_Toc19570"/>
      <w:bookmarkStart w:id="2558" w:name="_Toc32382"/>
      <w:bookmarkStart w:id="2559" w:name="_Toc32448"/>
      <w:bookmarkStart w:id="2560" w:name="_Toc18015"/>
      <w:bookmarkStart w:id="2561" w:name="_Toc9862"/>
      <w:bookmarkStart w:id="2562" w:name="_Toc17765"/>
      <w:bookmarkStart w:id="2563" w:name="_Toc14723"/>
      <w:r>
        <w:rPr>
          <w:rFonts w:hint="eastAsia" w:ascii="宋体" w:cs="宋体"/>
          <w:b/>
          <w:bCs/>
          <w:color w:val="auto"/>
          <w:spacing w:val="0"/>
          <w:sz w:val="30"/>
          <w:szCs w:val="30"/>
          <w:highlight w:val="none"/>
          <w:lang w:eastAsia="zh-CN"/>
        </w:rPr>
        <w:t>七</w:t>
      </w:r>
      <w:r>
        <w:rPr>
          <w:rFonts w:ascii="宋体" w:cs="宋体"/>
          <w:b/>
          <w:bCs/>
          <w:color w:val="auto"/>
          <w:spacing w:val="0"/>
          <w:sz w:val="30"/>
          <w:szCs w:val="30"/>
          <w:highlight w:val="none"/>
          <w:lang w:eastAsia="zh-CN"/>
        </w:rPr>
        <w:t>、施工组织设计</w:t>
      </w:r>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p>
    <w:p w14:paraId="734193E7">
      <w:pPr>
        <w:kinsoku/>
        <w:spacing w:before="0"/>
        <w:ind w:left="0" w:firstLine="0"/>
        <w:rPr>
          <w:rFonts w:cs="宋体"/>
          <w:color w:val="auto"/>
          <w:szCs w:val="24"/>
          <w:highlight w:val="none"/>
          <w:lang w:eastAsia="zh-CN"/>
        </w:rPr>
      </w:pPr>
      <w:r>
        <w:rPr>
          <w:rFonts w:hint="eastAsia" w:ascii="宋体" w:hAnsi="宋体" w:eastAsia="宋体" w:cs="宋体"/>
          <w:b/>
          <w:bCs/>
          <w:color w:val="auto"/>
          <w:spacing w:val="0"/>
          <w:sz w:val="24"/>
          <w:szCs w:val="24"/>
          <w:highlight w:val="none"/>
          <w:lang w:eastAsia="zh-CN"/>
        </w:rPr>
        <w:t xml:space="preserve">1  </w:t>
      </w:r>
      <w:r>
        <w:rPr>
          <w:rFonts w:ascii="宋体" w:cs="宋体"/>
          <w:b w:val="0"/>
          <w:color w:val="auto"/>
          <w:spacing w:val="0"/>
          <w:sz w:val="24"/>
          <w:szCs w:val="24"/>
          <w:highlight w:val="none"/>
          <w:lang w:eastAsia="zh-CN"/>
        </w:rPr>
        <w:t>投标人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防汛度汛、文明施工、水土保持、环境保护管理方案等。</w:t>
      </w:r>
    </w:p>
    <w:p w14:paraId="3B527ACD">
      <w:pPr>
        <w:kinsoku/>
        <w:spacing w:before="0"/>
        <w:ind w:left="0"/>
        <w:rPr>
          <w:color w:val="auto"/>
          <w:highlight w:val="none"/>
          <w:lang w:eastAsia="zh-CN"/>
        </w:rPr>
      </w:pPr>
      <w:r>
        <w:rPr>
          <w:rFonts w:ascii="宋体" w:cs="Arial"/>
          <w:b w:val="0"/>
          <w:color w:val="auto"/>
          <w:spacing w:val="0"/>
          <w:sz w:val="24"/>
          <w:szCs w:val="24"/>
          <w:highlight w:val="none"/>
          <w:lang w:eastAsia="zh-CN"/>
        </w:rPr>
        <w:t>施工组织设计应附的文字说明及附图见下表（不限于，仅供参考）：</w:t>
      </w:r>
    </w:p>
    <w:tbl>
      <w:tblPr>
        <w:tblStyle w:val="2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75"/>
        <w:gridCol w:w="7252"/>
        <w:gridCol w:w="954"/>
      </w:tblGrid>
      <w:tr w14:paraId="40930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447" w:type="pct"/>
            <w:tcBorders>
              <w:top w:val="single" w:color="000000" w:sz="6" w:space="0"/>
              <w:left w:val="single" w:color="000000" w:sz="6" w:space="0"/>
            </w:tcBorders>
            <w:vAlign w:val="top"/>
          </w:tcPr>
          <w:p w14:paraId="75461C1F">
            <w:pPr>
              <w:kinsoku w:val="0"/>
              <w:autoSpaceDE w:val="0"/>
              <w:autoSpaceDN w:val="0"/>
              <w:adjustRightInd w:val="0"/>
              <w:snapToGrid w:val="0"/>
              <w:spacing w:before="127" w:line="221" w:lineRule="auto"/>
              <w:ind w:left="151"/>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b/>
                <w:bCs/>
                <w:snapToGrid w:val="0"/>
                <w:color w:val="auto"/>
                <w:spacing w:val="-5"/>
                <w:kern w:val="0"/>
                <w:sz w:val="24"/>
                <w:szCs w:val="24"/>
                <w:highlight w:val="none"/>
                <w:lang w:val="en-US" w:eastAsia="en-US" w:bidi="ar-SA"/>
              </w:rPr>
              <w:t>序号</w:t>
            </w:r>
          </w:p>
        </w:tc>
        <w:tc>
          <w:tcPr>
            <w:tcW w:w="4027" w:type="pct"/>
            <w:tcBorders>
              <w:top w:val="single" w:color="000000" w:sz="6" w:space="0"/>
            </w:tcBorders>
            <w:vAlign w:val="top"/>
          </w:tcPr>
          <w:p w14:paraId="23A42142">
            <w:pPr>
              <w:kinsoku w:val="0"/>
              <w:autoSpaceDE w:val="0"/>
              <w:autoSpaceDN w:val="0"/>
              <w:adjustRightInd w:val="0"/>
              <w:snapToGrid w:val="0"/>
              <w:spacing w:before="127" w:line="222" w:lineRule="auto"/>
              <w:ind w:left="2712"/>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b/>
                <w:bCs/>
                <w:snapToGrid w:val="0"/>
                <w:color w:val="auto"/>
                <w:spacing w:val="-9"/>
                <w:kern w:val="0"/>
                <w:sz w:val="24"/>
                <w:szCs w:val="24"/>
                <w:highlight w:val="none"/>
                <w:lang w:val="en-US" w:eastAsia="en-US" w:bidi="ar-SA"/>
              </w:rPr>
              <w:t>名</w:t>
            </w:r>
            <w:r>
              <w:rPr>
                <w:rFonts w:ascii="宋体" w:hAnsi="宋体" w:eastAsia="宋体" w:cs="宋体"/>
                <w:snapToGrid w:val="0"/>
                <w:color w:val="auto"/>
                <w:spacing w:val="1"/>
                <w:kern w:val="0"/>
                <w:sz w:val="24"/>
                <w:szCs w:val="24"/>
                <w:highlight w:val="none"/>
                <w:lang w:val="en-US" w:eastAsia="en-US" w:bidi="ar-SA"/>
              </w:rPr>
              <w:t xml:space="preserve">          </w:t>
            </w:r>
            <w:r>
              <w:rPr>
                <w:rFonts w:ascii="宋体" w:hAnsi="宋体" w:eastAsia="宋体" w:cs="宋体"/>
                <w:b/>
                <w:bCs/>
                <w:snapToGrid w:val="0"/>
                <w:color w:val="auto"/>
                <w:spacing w:val="-9"/>
                <w:kern w:val="0"/>
                <w:sz w:val="24"/>
                <w:szCs w:val="24"/>
                <w:highlight w:val="none"/>
                <w:lang w:val="en-US" w:eastAsia="en-US" w:bidi="ar-SA"/>
              </w:rPr>
              <w:t>称</w:t>
            </w:r>
          </w:p>
        </w:tc>
        <w:tc>
          <w:tcPr>
            <w:tcW w:w="525" w:type="pct"/>
            <w:tcBorders>
              <w:top w:val="single" w:color="000000" w:sz="6" w:space="0"/>
              <w:right w:val="single" w:color="000000" w:sz="6" w:space="0"/>
            </w:tcBorders>
            <w:vAlign w:val="top"/>
          </w:tcPr>
          <w:p w14:paraId="60D0183B">
            <w:pPr>
              <w:kinsoku w:val="0"/>
              <w:autoSpaceDE w:val="0"/>
              <w:autoSpaceDN w:val="0"/>
              <w:adjustRightInd w:val="0"/>
              <w:snapToGrid w:val="0"/>
              <w:spacing w:before="127" w:line="221" w:lineRule="auto"/>
              <w:ind w:left="231"/>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b/>
                <w:bCs/>
                <w:snapToGrid w:val="0"/>
                <w:color w:val="auto"/>
                <w:spacing w:val="-6"/>
                <w:kern w:val="0"/>
                <w:sz w:val="24"/>
                <w:szCs w:val="24"/>
                <w:highlight w:val="none"/>
                <w:lang w:val="en-US" w:eastAsia="en-US" w:bidi="ar-SA"/>
              </w:rPr>
              <w:t>备注</w:t>
            </w:r>
          </w:p>
        </w:tc>
      </w:tr>
      <w:tr w14:paraId="16B0F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447" w:type="pct"/>
            <w:tcBorders>
              <w:left w:val="single" w:color="000000" w:sz="6" w:space="0"/>
            </w:tcBorders>
            <w:vAlign w:val="top"/>
          </w:tcPr>
          <w:p w14:paraId="49DC6135">
            <w:pPr>
              <w:widowControl/>
              <w:kinsoku w:val="0"/>
              <w:autoSpaceDE w:val="0"/>
              <w:autoSpaceDN w:val="0"/>
              <w:spacing w:before="159" w:line="188" w:lineRule="auto"/>
              <w:ind w:left="352" w:firstLine="0" w:firstLineChars="0"/>
              <w:jc w:val="left"/>
              <w:rPr>
                <w:rFonts w:ascii="Times New Roman" w:hAnsi="Times New Roman" w:eastAsia="Times New Roman" w:cs="Times New Roman"/>
                <w:strike/>
                <w:color w:val="auto"/>
                <w:kern w:val="0"/>
                <w:sz w:val="24"/>
                <w:szCs w:val="24"/>
                <w:highlight w:val="none"/>
              </w:rPr>
            </w:pPr>
            <w:r>
              <w:rPr>
                <w:rFonts w:ascii="Times New Roman" w:hAnsi="Times New Roman" w:eastAsia="Times New Roman" w:cs="Times New Roman"/>
                <w:strike/>
                <w:color w:val="auto"/>
                <w:kern w:val="0"/>
                <w:sz w:val="24"/>
                <w:szCs w:val="24"/>
                <w:highlight w:val="none"/>
              </w:rPr>
              <w:t>1</w:t>
            </w:r>
          </w:p>
        </w:tc>
        <w:tc>
          <w:tcPr>
            <w:tcW w:w="4027" w:type="pct"/>
            <w:vAlign w:val="top"/>
          </w:tcPr>
          <w:p w14:paraId="35C4B28D">
            <w:pPr>
              <w:kinsoku w:val="0"/>
              <w:autoSpaceDE w:val="0"/>
              <w:autoSpaceDN w:val="0"/>
              <w:adjustRightInd w:val="0"/>
              <w:snapToGrid w:val="0"/>
              <w:spacing w:before="120" w:line="219" w:lineRule="auto"/>
              <w:ind w:left="82"/>
              <w:jc w:val="left"/>
              <w:textAlignment w:val="baseline"/>
              <w:rPr>
                <w:rFonts w:ascii="宋体" w:hAnsi="宋体" w:eastAsia="宋体" w:cs="宋体"/>
                <w:strike/>
                <w:snapToGrid w:val="0"/>
                <w:color w:val="auto"/>
                <w:kern w:val="0"/>
                <w:sz w:val="24"/>
                <w:szCs w:val="24"/>
                <w:highlight w:val="none"/>
                <w:lang w:val="en-US" w:eastAsia="en-US" w:bidi="ar-SA"/>
              </w:rPr>
            </w:pPr>
            <w:r>
              <w:rPr>
                <w:rFonts w:ascii="宋体" w:hAnsi="宋体" w:eastAsia="宋体" w:cs="宋体"/>
                <w:strike/>
                <w:snapToGrid w:val="0"/>
                <w:color w:val="auto"/>
                <w:spacing w:val="-1"/>
                <w:kern w:val="0"/>
                <w:sz w:val="24"/>
                <w:szCs w:val="24"/>
                <w:highlight w:val="none"/>
                <w:lang w:val="en-US" w:eastAsia="en-US" w:bidi="ar-SA"/>
              </w:rPr>
              <w:t>施工围堰设计说明书及附图（包括加高、维护、拆除）</w:t>
            </w:r>
          </w:p>
        </w:tc>
        <w:tc>
          <w:tcPr>
            <w:tcW w:w="525" w:type="pct"/>
            <w:tcBorders>
              <w:right w:val="single" w:color="000000" w:sz="6" w:space="0"/>
            </w:tcBorders>
            <w:vAlign w:val="top"/>
          </w:tcPr>
          <w:p w14:paraId="172C2F48">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2EE81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447" w:type="pct"/>
            <w:tcBorders>
              <w:left w:val="single" w:color="000000" w:sz="6" w:space="0"/>
            </w:tcBorders>
            <w:vAlign w:val="top"/>
          </w:tcPr>
          <w:p w14:paraId="6F5579FB">
            <w:pPr>
              <w:widowControl/>
              <w:kinsoku w:val="0"/>
              <w:autoSpaceDE w:val="0"/>
              <w:autoSpaceDN w:val="0"/>
              <w:spacing w:before="161" w:line="188" w:lineRule="auto"/>
              <w:ind w:left="329"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kern w:val="0"/>
                <w:sz w:val="24"/>
                <w:szCs w:val="24"/>
                <w:highlight w:val="none"/>
              </w:rPr>
              <w:t>2</w:t>
            </w:r>
          </w:p>
        </w:tc>
        <w:tc>
          <w:tcPr>
            <w:tcW w:w="4027" w:type="pct"/>
            <w:vAlign w:val="top"/>
          </w:tcPr>
          <w:p w14:paraId="69D8F6FD">
            <w:pPr>
              <w:kinsoku w:val="0"/>
              <w:autoSpaceDE w:val="0"/>
              <w:autoSpaceDN w:val="0"/>
              <w:adjustRightInd w:val="0"/>
              <w:snapToGrid w:val="0"/>
              <w:spacing w:before="122" w:line="219" w:lineRule="auto"/>
              <w:ind w:left="82"/>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1"/>
                <w:kern w:val="0"/>
                <w:sz w:val="24"/>
                <w:szCs w:val="24"/>
                <w:highlight w:val="none"/>
                <w:lang w:val="en-US" w:eastAsia="en-US" w:bidi="ar-SA"/>
              </w:rPr>
              <w:t>施工排水设计说明书及附图（包括降水方案、场地排水等）</w:t>
            </w:r>
          </w:p>
        </w:tc>
        <w:tc>
          <w:tcPr>
            <w:tcW w:w="525" w:type="pct"/>
            <w:tcBorders>
              <w:right w:val="single" w:color="000000" w:sz="6" w:space="0"/>
            </w:tcBorders>
            <w:vAlign w:val="top"/>
          </w:tcPr>
          <w:p w14:paraId="3FDDF72B">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79E1B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447" w:type="pct"/>
            <w:tcBorders>
              <w:left w:val="single" w:color="000000" w:sz="6" w:space="0"/>
            </w:tcBorders>
            <w:vAlign w:val="top"/>
          </w:tcPr>
          <w:p w14:paraId="79B84FC7">
            <w:pPr>
              <w:widowControl/>
              <w:kinsoku w:val="0"/>
              <w:autoSpaceDE w:val="0"/>
              <w:autoSpaceDN w:val="0"/>
              <w:spacing w:before="282" w:line="188" w:lineRule="auto"/>
              <w:ind w:left="334"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kern w:val="0"/>
                <w:sz w:val="24"/>
                <w:szCs w:val="24"/>
                <w:highlight w:val="none"/>
              </w:rPr>
              <w:t>3</w:t>
            </w:r>
          </w:p>
        </w:tc>
        <w:tc>
          <w:tcPr>
            <w:tcW w:w="4027" w:type="pct"/>
            <w:vAlign w:val="top"/>
          </w:tcPr>
          <w:p w14:paraId="7DE74570">
            <w:pPr>
              <w:kinsoku w:val="0"/>
              <w:autoSpaceDE w:val="0"/>
              <w:autoSpaceDN w:val="0"/>
              <w:adjustRightInd w:val="0"/>
              <w:snapToGrid w:val="0"/>
              <w:spacing w:before="87" w:line="230" w:lineRule="auto"/>
              <w:ind w:left="84" w:right="73" w:hanging="1"/>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7"/>
                <w:kern w:val="0"/>
                <w:sz w:val="24"/>
                <w:szCs w:val="24"/>
                <w:highlight w:val="none"/>
                <w:lang w:val="en-US" w:eastAsia="en-US" w:bidi="ar-SA"/>
              </w:rPr>
              <w:t>材料采购（黄砂、碎石、块石的产地、矿名等均应</w:t>
            </w:r>
            <w:r>
              <w:rPr>
                <w:rFonts w:ascii="宋体" w:hAnsi="宋体" w:eastAsia="宋体" w:cs="宋体"/>
                <w:snapToGrid w:val="0"/>
                <w:color w:val="auto"/>
                <w:spacing w:val="-8"/>
                <w:kern w:val="0"/>
                <w:sz w:val="24"/>
                <w:szCs w:val="24"/>
                <w:highlight w:val="none"/>
                <w:lang w:val="en-US" w:eastAsia="en-US" w:bidi="ar-SA"/>
              </w:rPr>
              <w:t>明示，</w:t>
            </w:r>
            <w:r>
              <w:rPr>
                <w:rFonts w:ascii="宋体" w:hAnsi="宋体" w:eastAsia="宋体" w:cs="宋体"/>
                <w:snapToGrid w:val="0"/>
                <w:color w:val="auto"/>
                <w:spacing w:val="58"/>
                <w:kern w:val="0"/>
                <w:sz w:val="24"/>
                <w:szCs w:val="24"/>
                <w:highlight w:val="none"/>
                <w:lang w:val="en-US" w:eastAsia="en-US" w:bidi="ar-SA"/>
              </w:rPr>
              <w:t xml:space="preserve"> </w:t>
            </w:r>
            <w:r>
              <w:rPr>
                <w:rFonts w:ascii="宋体" w:hAnsi="宋体" w:eastAsia="宋体" w:cs="宋体"/>
                <w:snapToGrid w:val="0"/>
                <w:color w:val="auto"/>
                <w:spacing w:val="-8"/>
                <w:kern w:val="0"/>
                <w:sz w:val="24"/>
                <w:szCs w:val="24"/>
                <w:highlight w:val="none"/>
                <w:lang w:val="en-US" w:eastAsia="en-US" w:bidi="ar-SA"/>
              </w:rPr>
              <w:t>钢材、水</w:t>
            </w:r>
            <w:r>
              <w:rPr>
                <w:rFonts w:ascii="宋体" w:hAnsi="宋体" w:eastAsia="宋体" w:cs="宋体"/>
                <w:snapToGrid w:val="0"/>
                <w:color w:val="auto"/>
                <w:kern w:val="0"/>
                <w:sz w:val="24"/>
                <w:szCs w:val="24"/>
                <w:highlight w:val="none"/>
                <w:lang w:val="en-US" w:eastAsia="en-US" w:bidi="ar-SA"/>
              </w:rPr>
              <w:t xml:space="preserve"> </w:t>
            </w:r>
            <w:r>
              <w:rPr>
                <w:rFonts w:ascii="宋体" w:hAnsi="宋体" w:eastAsia="宋体" w:cs="宋体"/>
                <w:snapToGrid w:val="0"/>
                <w:color w:val="auto"/>
                <w:spacing w:val="-1"/>
                <w:kern w:val="0"/>
                <w:sz w:val="24"/>
                <w:szCs w:val="24"/>
                <w:highlight w:val="none"/>
                <w:lang w:val="en-US" w:eastAsia="en-US" w:bidi="ar-SA"/>
              </w:rPr>
              <w:t>泥的生产厂家，转运方案：卸料、短驳、运输、道路维护等）</w:t>
            </w:r>
          </w:p>
        </w:tc>
        <w:tc>
          <w:tcPr>
            <w:tcW w:w="525" w:type="pct"/>
            <w:tcBorders>
              <w:right w:val="single" w:color="000000" w:sz="6" w:space="0"/>
            </w:tcBorders>
            <w:vAlign w:val="top"/>
          </w:tcPr>
          <w:p w14:paraId="2D937CB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4F451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447" w:type="pct"/>
            <w:tcBorders>
              <w:left w:val="single" w:color="000000" w:sz="6" w:space="0"/>
            </w:tcBorders>
            <w:vAlign w:val="top"/>
          </w:tcPr>
          <w:p w14:paraId="387AFB82">
            <w:pPr>
              <w:widowControl/>
              <w:kinsoku w:val="0"/>
              <w:autoSpaceDE w:val="0"/>
              <w:autoSpaceDN w:val="0"/>
              <w:spacing w:before="283" w:line="188" w:lineRule="auto"/>
              <w:ind w:left="328"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kern w:val="0"/>
                <w:sz w:val="24"/>
                <w:szCs w:val="24"/>
                <w:highlight w:val="none"/>
              </w:rPr>
              <w:t>4</w:t>
            </w:r>
          </w:p>
        </w:tc>
        <w:tc>
          <w:tcPr>
            <w:tcW w:w="4027" w:type="pct"/>
            <w:vAlign w:val="top"/>
          </w:tcPr>
          <w:p w14:paraId="6E681C0D">
            <w:pPr>
              <w:kinsoku w:val="0"/>
              <w:autoSpaceDE w:val="0"/>
              <w:autoSpaceDN w:val="0"/>
              <w:adjustRightInd w:val="0"/>
              <w:snapToGrid w:val="0"/>
              <w:spacing w:before="90" w:line="229" w:lineRule="auto"/>
              <w:ind w:left="84" w:right="83"/>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2"/>
                <w:kern w:val="0"/>
                <w:sz w:val="24"/>
                <w:szCs w:val="24"/>
                <w:highlight w:val="none"/>
                <w:lang w:val="en-US" w:eastAsia="en-US" w:bidi="ar-SA"/>
              </w:rPr>
              <w:t>土方工程施工说明书及附图（施工工艺及质量保证措施和有关试验</w:t>
            </w:r>
            <w:r>
              <w:rPr>
                <w:rFonts w:ascii="宋体" w:hAnsi="宋体" w:eastAsia="宋体" w:cs="宋体"/>
                <w:snapToGrid w:val="0"/>
                <w:color w:val="auto"/>
                <w:spacing w:val="14"/>
                <w:kern w:val="0"/>
                <w:sz w:val="24"/>
                <w:szCs w:val="24"/>
                <w:highlight w:val="none"/>
                <w:lang w:val="en-US" w:eastAsia="en-US" w:bidi="ar-SA"/>
              </w:rPr>
              <w:t xml:space="preserve"> </w:t>
            </w:r>
            <w:r>
              <w:rPr>
                <w:rFonts w:ascii="宋体" w:hAnsi="宋体" w:eastAsia="宋体" w:cs="宋体"/>
                <w:snapToGrid w:val="0"/>
                <w:color w:val="auto"/>
                <w:spacing w:val="-2"/>
                <w:kern w:val="0"/>
                <w:sz w:val="24"/>
                <w:szCs w:val="24"/>
                <w:highlight w:val="none"/>
                <w:lang w:val="en-US" w:eastAsia="en-US" w:bidi="ar-SA"/>
              </w:rPr>
              <w:t>要求，施工进度工期计划等）</w:t>
            </w:r>
          </w:p>
        </w:tc>
        <w:tc>
          <w:tcPr>
            <w:tcW w:w="525" w:type="pct"/>
            <w:tcBorders>
              <w:right w:val="single" w:color="000000" w:sz="6" w:space="0"/>
            </w:tcBorders>
            <w:vAlign w:val="top"/>
          </w:tcPr>
          <w:p w14:paraId="12D572C3">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4A20C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447" w:type="pct"/>
            <w:tcBorders>
              <w:left w:val="single" w:color="000000" w:sz="6" w:space="0"/>
            </w:tcBorders>
            <w:vAlign w:val="top"/>
          </w:tcPr>
          <w:p w14:paraId="5798C25D">
            <w:pPr>
              <w:widowControl/>
              <w:kinsoku w:val="0"/>
              <w:autoSpaceDE w:val="0"/>
              <w:autoSpaceDN w:val="0"/>
              <w:spacing w:before="288" w:line="185" w:lineRule="auto"/>
              <w:ind w:left="336"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kern w:val="0"/>
                <w:sz w:val="24"/>
                <w:szCs w:val="24"/>
                <w:highlight w:val="none"/>
              </w:rPr>
              <w:t>5</w:t>
            </w:r>
          </w:p>
        </w:tc>
        <w:tc>
          <w:tcPr>
            <w:tcW w:w="4027" w:type="pct"/>
            <w:vAlign w:val="top"/>
          </w:tcPr>
          <w:p w14:paraId="31922822">
            <w:pPr>
              <w:kinsoku w:val="0"/>
              <w:autoSpaceDE w:val="0"/>
              <w:autoSpaceDN w:val="0"/>
              <w:adjustRightInd w:val="0"/>
              <w:snapToGrid w:val="0"/>
              <w:spacing w:before="91" w:line="229" w:lineRule="auto"/>
              <w:ind w:left="83" w:right="83"/>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2"/>
                <w:kern w:val="0"/>
                <w:sz w:val="24"/>
                <w:szCs w:val="24"/>
                <w:highlight w:val="none"/>
                <w:lang w:val="en-US" w:eastAsia="en-US" w:bidi="ar-SA"/>
              </w:rPr>
              <w:t>基坑支护、地基加固工程施工说明书及附图（施工工艺及质量保证</w:t>
            </w:r>
            <w:r>
              <w:rPr>
                <w:rFonts w:ascii="宋体" w:hAnsi="宋体" w:eastAsia="宋体" w:cs="宋体"/>
                <w:snapToGrid w:val="0"/>
                <w:color w:val="auto"/>
                <w:spacing w:val="15"/>
                <w:kern w:val="0"/>
                <w:sz w:val="24"/>
                <w:szCs w:val="24"/>
                <w:highlight w:val="none"/>
                <w:lang w:val="en-US" w:eastAsia="en-US" w:bidi="ar-SA"/>
              </w:rPr>
              <w:t xml:space="preserve"> </w:t>
            </w:r>
            <w:r>
              <w:rPr>
                <w:rFonts w:ascii="宋体" w:hAnsi="宋体" w:eastAsia="宋体" w:cs="宋体"/>
                <w:snapToGrid w:val="0"/>
                <w:color w:val="auto"/>
                <w:spacing w:val="-2"/>
                <w:kern w:val="0"/>
                <w:sz w:val="24"/>
                <w:szCs w:val="24"/>
                <w:highlight w:val="none"/>
                <w:lang w:val="en-US" w:eastAsia="en-US" w:bidi="ar-SA"/>
              </w:rPr>
              <w:t>措施和有关试验要求，施工进度工期计划等）</w:t>
            </w:r>
          </w:p>
        </w:tc>
        <w:tc>
          <w:tcPr>
            <w:tcW w:w="525" w:type="pct"/>
            <w:tcBorders>
              <w:right w:val="single" w:color="000000" w:sz="6" w:space="0"/>
            </w:tcBorders>
            <w:vAlign w:val="top"/>
          </w:tcPr>
          <w:p w14:paraId="71F84186">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57042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447" w:type="pct"/>
            <w:tcBorders>
              <w:left w:val="single" w:color="000000" w:sz="6" w:space="0"/>
            </w:tcBorders>
            <w:vAlign w:val="top"/>
          </w:tcPr>
          <w:p w14:paraId="56C7C695">
            <w:pPr>
              <w:widowControl/>
              <w:kinsoku w:val="0"/>
              <w:autoSpaceDE w:val="0"/>
              <w:autoSpaceDN w:val="0"/>
              <w:spacing w:before="285" w:line="188" w:lineRule="auto"/>
              <w:ind w:left="334"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kern w:val="0"/>
                <w:sz w:val="24"/>
                <w:szCs w:val="24"/>
                <w:highlight w:val="none"/>
              </w:rPr>
              <w:t>6</w:t>
            </w:r>
          </w:p>
        </w:tc>
        <w:tc>
          <w:tcPr>
            <w:tcW w:w="4027" w:type="pct"/>
            <w:vAlign w:val="top"/>
          </w:tcPr>
          <w:p w14:paraId="65C33055">
            <w:pPr>
              <w:kinsoku w:val="0"/>
              <w:autoSpaceDE w:val="0"/>
              <w:autoSpaceDN w:val="0"/>
              <w:adjustRightInd w:val="0"/>
              <w:snapToGrid w:val="0"/>
              <w:spacing w:before="92" w:line="229" w:lineRule="auto"/>
              <w:ind w:left="86" w:right="85" w:hanging="1"/>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2"/>
                <w:kern w:val="0"/>
                <w:sz w:val="24"/>
                <w:szCs w:val="24"/>
                <w:highlight w:val="none"/>
                <w:lang w:val="en-US" w:eastAsia="en-US" w:bidi="ar-SA"/>
              </w:rPr>
              <w:t>主体建筑物工程施工说明书及附图（施工工艺及质量保证措施和有</w:t>
            </w:r>
            <w:r>
              <w:rPr>
                <w:rFonts w:ascii="宋体" w:hAnsi="宋体" w:eastAsia="宋体" w:cs="宋体"/>
                <w:snapToGrid w:val="0"/>
                <w:color w:val="auto"/>
                <w:spacing w:val="11"/>
                <w:kern w:val="0"/>
                <w:sz w:val="24"/>
                <w:szCs w:val="24"/>
                <w:highlight w:val="none"/>
                <w:lang w:val="en-US" w:eastAsia="en-US" w:bidi="ar-SA"/>
              </w:rPr>
              <w:t xml:space="preserve"> </w:t>
            </w:r>
            <w:r>
              <w:rPr>
                <w:rFonts w:ascii="宋体" w:hAnsi="宋体" w:eastAsia="宋体" w:cs="宋体"/>
                <w:snapToGrid w:val="0"/>
                <w:color w:val="auto"/>
                <w:spacing w:val="-2"/>
                <w:kern w:val="0"/>
                <w:sz w:val="24"/>
                <w:szCs w:val="24"/>
                <w:highlight w:val="none"/>
                <w:lang w:val="en-US" w:eastAsia="en-US" w:bidi="ar-SA"/>
              </w:rPr>
              <w:t>关试验要求，施工进度工期计划等）</w:t>
            </w:r>
          </w:p>
        </w:tc>
        <w:tc>
          <w:tcPr>
            <w:tcW w:w="525" w:type="pct"/>
            <w:tcBorders>
              <w:right w:val="single" w:color="000000" w:sz="6" w:space="0"/>
            </w:tcBorders>
            <w:vAlign w:val="top"/>
          </w:tcPr>
          <w:p w14:paraId="5A046B3C">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6305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447" w:type="pct"/>
            <w:tcBorders>
              <w:left w:val="single" w:color="000000" w:sz="6" w:space="0"/>
            </w:tcBorders>
            <w:vAlign w:val="top"/>
          </w:tcPr>
          <w:p w14:paraId="16BE445B">
            <w:pPr>
              <w:widowControl/>
              <w:kinsoku w:val="0"/>
              <w:autoSpaceDE w:val="0"/>
              <w:autoSpaceDN w:val="0"/>
              <w:spacing w:before="168" w:line="185" w:lineRule="auto"/>
              <w:ind w:left="333" w:firstLine="0" w:firstLineChars="0"/>
              <w:jc w:val="left"/>
              <w:rPr>
                <w:rFonts w:ascii="Times New Roman" w:hAnsi="Times New Roman" w:eastAsia="Times New Roman" w:cs="Times New Roman"/>
                <w:strike/>
                <w:color w:val="auto"/>
                <w:kern w:val="0"/>
                <w:sz w:val="24"/>
                <w:szCs w:val="24"/>
                <w:highlight w:val="none"/>
              </w:rPr>
            </w:pPr>
            <w:r>
              <w:rPr>
                <w:rFonts w:ascii="Times New Roman" w:hAnsi="Times New Roman" w:eastAsia="Times New Roman" w:cs="Times New Roman"/>
                <w:strike/>
                <w:color w:val="auto"/>
                <w:kern w:val="0"/>
                <w:sz w:val="24"/>
                <w:szCs w:val="24"/>
                <w:highlight w:val="none"/>
              </w:rPr>
              <w:t>7</w:t>
            </w:r>
          </w:p>
        </w:tc>
        <w:tc>
          <w:tcPr>
            <w:tcW w:w="4027" w:type="pct"/>
            <w:vAlign w:val="top"/>
          </w:tcPr>
          <w:p w14:paraId="73DB3B0A">
            <w:pPr>
              <w:kinsoku w:val="0"/>
              <w:autoSpaceDE w:val="0"/>
              <w:autoSpaceDN w:val="0"/>
              <w:adjustRightInd w:val="0"/>
              <w:snapToGrid w:val="0"/>
              <w:spacing w:before="125" w:line="219" w:lineRule="auto"/>
              <w:ind w:left="85"/>
              <w:jc w:val="left"/>
              <w:textAlignment w:val="baseline"/>
              <w:rPr>
                <w:rFonts w:ascii="宋体" w:hAnsi="宋体" w:eastAsia="宋体" w:cs="宋体"/>
                <w:strike/>
                <w:snapToGrid w:val="0"/>
                <w:color w:val="auto"/>
                <w:kern w:val="0"/>
                <w:sz w:val="24"/>
                <w:szCs w:val="24"/>
                <w:highlight w:val="none"/>
                <w:lang w:val="en-US" w:eastAsia="en-US" w:bidi="ar-SA"/>
              </w:rPr>
            </w:pPr>
            <w:r>
              <w:rPr>
                <w:rFonts w:ascii="宋体" w:hAnsi="宋体" w:eastAsia="宋体" w:cs="宋体"/>
                <w:strike/>
                <w:snapToGrid w:val="0"/>
                <w:color w:val="auto"/>
                <w:spacing w:val="-1"/>
                <w:kern w:val="0"/>
                <w:sz w:val="24"/>
                <w:szCs w:val="24"/>
                <w:highlight w:val="none"/>
                <w:lang w:val="en-US" w:eastAsia="en-US" w:bidi="ar-SA"/>
              </w:rPr>
              <w:t>金属结构制造和安装计划、措施及附图</w:t>
            </w:r>
          </w:p>
        </w:tc>
        <w:tc>
          <w:tcPr>
            <w:tcW w:w="525" w:type="pct"/>
            <w:tcBorders>
              <w:right w:val="single" w:color="000000" w:sz="6" w:space="0"/>
            </w:tcBorders>
            <w:vAlign w:val="top"/>
          </w:tcPr>
          <w:p w14:paraId="7817C94A">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6C4A3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447" w:type="pct"/>
            <w:tcBorders>
              <w:left w:val="single" w:color="000000" w:sz="6" w:space="0"/>
            </w:tcBorders>
            <w:vAlign w:val="top"/>
          </w:tcPr>
          <w:p w14:paraId="50077792">
            <w:pPr>
              <w:widowControl/>
              <w:kinsoku w:val="0"/>
              <w:autoSpaceDE w:val="0"/>
              <w:autoSpaceDN w:val="0"/>
              <w:spacing w:before="166" w:line="188" w:lineRule="auto"/>
              <w:ind w:left="339" w:firstLine="0" w:firstLineChars="0"/>
              <w:jc w:val="left"/>
              <w:rPr>
                <w:rFonts w:ascii="Times New Roman" w:hAnsi="Times New Roman" w:eastAsia="Times New Roman" w:cs="Times New Roman"/>
                <w:strike/>
                <w:color w:val="auto"/>
                <w:kern w:val="0"/>
                <w:sz w:val="24"/>
                <w:szCs w:val="24"/>
                <w:highlight w:val="none"/>
              </w:rPr>
            </w:pPr>
            <w:r>
              <w:rPr>
                <w:rFonts w:ascii="Times New Roman" w:hAnsi="Times New Roman" w:eastAsia="Times New Roman" w:cs="Times New Roman"/>
                <w:strike/>
                <w:color w:val="auto"/>
                <w:kern w:val="0"/>
                <w:sz w:val="24"/>
                <w:szCs w:val="24"/>
                <w:highlight w:val="none"/>
              </w:rPr>
              <w:t>8</w:t>
            </w:r>
          </w:p>
        </w:tc>
        <w:tc>
          <w:tcPr>
            <w:tcW w:w="4027" w:type="pct"/>
            <w:vAlign w:val="top"/>
          </w:tcPr>
          <w:p w14:paraId="3D9648F6">
            <w:pPr>
              <w:kinsoku w:val="0"/>
              <w:autoSpaceDE w:val="0"/>
              <w:autoSpaceDN w:val="0"/>
              <w:adjustRightInd w:val="0"/>
              <w:snapToGrid w:val="0"/>
              <w:spacing w:before="126" w:line="219" w:lineRule="auto"/>
              <w:ind w:left="82"/>
              <w:jc w:val="left"/>
              <w:textAlignment w:val="baseline"/>
              <w:rPr>
                <w:rFonts w:ascii="宋体" w:hAnsi="宋体" w:eastAsia="宋体" w:cs="宋体"/>
                <w:strike/>
                <w:snapToGrid w:val="0"/>
                <w:color w:val="auto"/>
                <w:kern w:val="0"/>
                <w:sz w:val="24"/>
                <w:szCs w:val="24"/>
                <w:highlight w:val="none"/>
                <w:lang w:val="en-US" w:eastAsia="en-US" w:bidi="ar-SA"/>
              </w:rPr>
            </w:pPr>
            <w:r>
              <w:rPr>
                <w:rFonts w:ascii="宋体" w:hAnsi="宋体" w:eastAsia="宋体" w:cs="宋体"/>
                <w:strike/>
                <w:snapToGrid w:val="0"/>
                <w:color w:val="auto"/>
                <w:spacing w:val="-1"/>
                <w:kern w:val="0"/>
                <w:sz w:val="24"/>
                <w:szCs w:val="24"/>
                <w:highlight w:val="none"/>
                <w:lang w:val="en-US" w:eastAsia="en-US" w:bidi="ar-SA"/>
              </w:rPr>
              <w:t>机电设备安装、调试方案、施工进度计划说明书</w:t>
            </w:r>
          </w:p>
        </w:tc>
        <w:tc>
          <w:tcPr>
            <w:tcW w:w="525" w:type="pct"/>
            <w:tcBorders>
              <w:right w:val="single" w:color="000000" w:sz="6" w:space="0"/>
            </w:tcBorders>
            <w:vAlign w:val="top"/>
          </w:tcPr>
          <w:p w14:paraId="21B5116C">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46803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447" w:type="pct"/>
            <w:tcBorders>
              <w:left w:val="single" w:color="000000" w:sz="6" w:space="0"/>
            </w:tcBorders>
            <w:vAlign w:val="top"/>
          </w:tcPr>
          <w:p w14:paraId="476387E2">
            <w:pPr>
              <w:widowControl/>
              <w:kinsoku w:val="0"/>
              <w:autoSpaceDE w:val="0"/>
              <w:autoSpaceDN w:val="0"/>
              <w:spacing w:before="269" w:line="188" w:lineRule="auto"/>
              <w:ind w:left="334"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kern w:val="0"/>
                <w:sz w:val="24"/>
                <w:szCs w:val="24"/>
                <w:highlight w:val="none"/>
              </w:rPr>
              <w:t>9</w:t>
            </w:r>
          </w:p>
        </w:tc>
        <w:tc>
          <w:tcPr>
            <w:tcW w:w="4027" w:type="pct"/>
            <w:vAlign w:val="top"/>
          </w:tcPr>
          <w:p w14:paraId="4EC0CDD4">
            <w:pPr>
              <w:kinsoku w:val="0"/>
              <w:autoSpaceDE w:val="0"/>
              <w:autoSpaceDN w:val="0"/>
              <w:adjustRightInd w:val="0"/>
              <w:snapToGrid w:val="0"/>
              <w:spacing w:before="75" w:line="229" w:lineRule="auto"/>
              <w:ind w:left="86" w:right="73"/>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7"/>
                <w:kern w:val="0"/>
                <w:sz w:val="24"/>
                <w:szCs w:val="24"/>
                <w:highlight w:val="none"/>
                <w:lang w:val="en-US" w:eastAsia="en-US" w:bidi="ar-SA"/>
              </w:rPr>
              <w:t>建筑与装修工程施工说明书（施工工艺及质量保证措施，</w:t>
            </w:r>
            <w:r>
              <w:rPr>
                <w:rFonts w:ascii="宋体" w:hAnsi="宋体" w:eastAsia="宋体" w:cs="宋体"/>
                <w:snapToGrid w:val="0"/>
                <w:color w:val="auto"/>
                <w:spacing w:val="51"/>
                <w:kern w:val="0"/>
                <w:sz w:val="24"/>
                <w:szCs w:val="24"/>
                <w:highlight w:val="none"/>
                <w:lang w:val="en-US" w:eastAsia="en-US" w:bidi="ar-SA"/>
              </w:rPr>
              <w:t xml:space="preserve"> </w:t>
            </w:r>
            <w:r>
              <w:rPr>
                <w:rFonts w:ascii="宋体" w:hAnsi="宋体" w:eastAsia="宋体" w:cs="宋体"/>
                <w:snapToGrid w:val="0"/>
                <w:color w:val="auto"/>
                <w:spacing w:val="-7"/>
                <w:kern w:val="0"/>
                <w:sz w:val="24"/>
                <w:szCs w:val="24"/>
                <w:highlight w:val="none"/>
                <w:lang w:val="en-US" w:eastAsia="en-US" w:bidi="ar-SA"/>
              </w:rPr>
              <w:t>施</w:t>
            </w:r>
            <w:r>
              <w:rPr>
                <w:rFonts w:ascii="宋体" w:hAnsi="宋体" w:eastAsia="宋体" w:cs="宋体"/>
                <w:snapToGrid w:val="0"/>
                <w:color w:val="auto"/>
                <w:spacing w:val="-8"/>
                <w:kern w:val="0"/>
                <w:sz w:val="24"/>
                <w:szCs w:val="24"/>
                <w:highlight w:val="none"/>
                <w:lang w:val="en-US" w:eastAsia="en-US" w:bidi="ar-SA"/>
              </w:rPr>
              <w:t>工进度</w:t>
            </w:r>
            <w:r>
              <w:rPr>
                <w:rFonts w:ascii="宋体" w:hAnsi="宋体" w:eastAsia="宋体" w:cs="宋体"/>
                <w:snapToGrid w:val="0"/>
                <w:color w:val="auto"/>
                <w:kern w:val="0"/>
                <w:sz w:val="24"/>
                <w:szCs w:val="24"/>
                <w:highlight w:val="none"/>
                <w:lang w:val="en-US" w:eastAsia="en-US" w:bidi="ar-SA"/>
              </w:rPr>
              <w:t xml:space="preserve"> </w:t>
            </w:r>
            <w:r>
              <w:rPr>
                <w:rFonts w:ascii="宋体" w:hAnsi="宋体" w:eastAsia="宋体" w:cs="宋体"/>
                <w:snapToGrid w:val="0"/>
                <w:color w:val="auto"/>
                <w:spacing w:val="-4"/>
                <w:kern w:val="0"/>
                <w:sz w:val="24"/>
                <w:szCs w:val="24"/>
                <w:highlight w:val="none"/>
                <w:lang w:val="en-US" w:eastAsia="en-US" w:bidi="ar-SA"/>
              </w:rPr>
              <w:t>工期计划等）</w:t>
            </w:r>
          </w:p>
        </w:tc>
        <w:tc>
          <w:tcPr>
            <w:tcW w:w="525" w:type="pct"/>
            <w:tcBorders>
              <w:right w:val="single" w:color="000000" w:sz="6" w:space="0"/>
            </w:tcBorders>
            <w:vAlign w:val="top"/>
          </w:tcPr>
          <w:p w14:paraId="5148937C">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6F73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447" w:type="pct"/>
            <w:tcBorders>
              <w:left w:val="single" w:color="000000" w:sz="6" w:space="0"/>
            </w:tcBorders>
            <w:vAlign w:val="top"/>
          </w:tcPr>
          <w:p w14:paraId="16A5FBD1">
            <w:pPr>
              <w:widowControl/>
              <w:kinsoku w:val="0"/>
              <w:autoSpaceDE w:val="0"/>
              <w:autoSpaceDN w:val="0"/>
              <w:spacing w:before="167" w:line="188" w:lineRule="auto"/>
              <w:ind w:left="292"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8"/>
                <w:kern w:val="0"/>
                <w:sz w:val="24"/>
                <w:szCs w:val="24"/>
                <w:highlight w:val="none"/>
              </w:rPr>
              <w:t>10</w:t>
            </w:r>
          </w:p>
        </w:tc>
        <w:tc>
          <w:tcPr>
            <w:tcW w:w="4027" w:type="pct"/>
            <w:vAlign w:val="top"/>
          </w:tcPr>
          <w:p w14:paraId="339B30B8">
            <w:pPr>
              <w:kinsoku w:val="0"/>
              <w:autoSpaceDE w:val="0"/>
              <w:autoSpaceDN w:val="0"/>
              <w:adjustRightInd w:val="0"/>
              <w:snapToGrid w:val="0"/>
              <w:spacing w:before="127" w:line="220" w:lineRule="auto"/>
              <w:ind w:left="86"/>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2"/>
                <w:kern w:val="0"/>
                <w:sz w:val="24"/>
                <w:szCs w:val="24"/>
                <w:highlight w:val="none"/>
                <w:lang w:val="en-US" w:eastAsia="en-US" w:bidi="ar-SA"/>
              </w:rPr>
              <w:t>工程质量管理方案</w:t>
            </w:r>
          </w:p>
        </w:tc>
        <w:tc>
          <w:tcPr>
            <w:tcW w:w="525" w:type="pct"/>
            <w:tcBorders>
              <w:right w:val="single" w:color="000000" w:sz="6" w:space="0"/>
            </w:tcBorders>
            <w:vAlign w:val="top"/>
          </w:tcPr>
          <w:p w14:paraId="1AD6F60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4E9A4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447" w:type="pct"/>
            <w:tcBorders>
              <w:left w:val="single" w:color="000000" w:sz="6" w:space="0"/>
            </w:tcBorders>
            <w:vAlign w:val="top"/>
          </w:tcPr>
          <w:p w14:paraId="744B8446">
            <w:pPr>
              <w:widowControl/>
              <w:kinsoku w:val="0"/>
              <w:autoSpaceDE w:val="0"/>
              <w:autoSpaceDN w:val="0"/>
              <w:spacing w:before="169" w:line="188" w:lineRule="auto"/>
              <w:ind w:left="292"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8"/>
                <w:kern w:val="0"/>
                <w:sz w:val="24"/>
                <w:szCs w:val="24"/>
                <w:highlight w:val="none"/>
              </w:rPr>
              <w:t>11</w:t>
            </w:r>
          </w:p>
        </w:tc>
        <w:tc>
          <w:tcPr>
            <w:tcW w:w="4027" w:type="pct"/>
            <w:vAlign w:val="top"/>
          </w:tcPr>
          <w:p w14:paraId="0E07040A">
            <w:pPr>
              <w:kinsoku w:val="0"/>
              <w:autoSpaceDE w:val="0"/>
              <w:autoSpaceDN w:val="0"/>
              <w:adjustRightInd w:val="0"/>
              <w:snapToGrid w:val="0"/>
              <w:spacing w:before="130" w:line="220" w:lineRule="auto"/>
              <w:ind w:left="88"/>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2"/>
                <w:kern w:val="0"/>
                <w:sz w:val="24"/>
                <w:szCs w:val="24"/>
                <w:highlight w:val="none"/>
                <w:lang w:val="en-US" w:eastAsia="en-US" w:bidi="ar-SA"/>
              </w:rPr>
              <w:t>安全生产管理方案</w:t>
            </w:r>
          </w:p>
        </w:tc>
        <w:tc>
          <w:tcPr>
            <w:tcW w:w="525" w:type="pct"/>
            <w:tcBorders>
              <w:right w:val="single" w:color="000000" w:sz="6" w:space="0"/>
            </w:tcBorders>
            <w:vAlign w:val="top"/>
          </w:tcPr>
          <w:p w14:paraId="099A1A2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0A2D4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447" w:type="pct"/>
            <w:tcBorders>
              <w:left w:val="single" w:color="000000" w:sz="6" w:space="0"/>
            </w:tcBorders>
            <w:vAlign w:val="top"/>
          </w:tcPr>
          <w:p w14:paraId="77C5F8F4">
            <w:pPr>
              <w:widowControl/>
              <w:kinsoku w:val="0"/>
              <w:autoSpaceDE w:val="0"/>
              <w:autoSpaceDN w:val="0"/>
              <w:spacing w:before="169" w:line="188" w:lineRule="auto"/>
              <w:ind w:left="292"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8"/>
                <w:kern w:val="0"/>
                <w:sz w:val="24"/>
                <w:szCs w:val="24"/>
                <w:highlight w:val="none"/>
              </w:rPr>
              <w:t>12</w:t>
            </w:r>
          </w:p>
        </w:tc>
        <w:tc>
          <w:tcPr>
            <w:tcW w:w="4027" w:type="pct"/>
            <w:vAlign w:val="top"/>
          </w:tcPr>
          <w:p w14:paraId="74A49D72">
            <w:pPr>
              <w:kinsoku w:val="0"/>
              <w:autoSpaceDE w:val="0"/>
              <w:autoSpaceDN w:val="0"/>
              <w:adjustRightInd w:val="0"/>
              <w:snapToGrid w:val="0"/>
              <w:spacing w:before="130" w:line="220" w:lineRule="auto"/>
              <w:ind w:left="98"/>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5"/>
                <w:kern w:val="0"/>
                <w:sz w:val="24"/>
                <w:szCs w:val="24"/>
                <w:highlight w:val="none"/>
                <w:lang w:val="en-US" w:eastAsia="en-US" w:bidi="ar-SA"/>
              </w:rPr>
              <w:t>防汛度汛</w:t>
            </w:r>
          </w:p>
        </w:tc>
        <w:tc>
          <w:tcPr>
            <w:tcW w:w="525" w:type="pct"/>
            <w:tcBorders>
              <w:right w:val="single" w:color="000000" w:sz="6" w:space="0"/>
            </w:tcBorders>
            <w:vAlign w:val="top"/>
          </w:tcPr>
          <w:p w14:paraId="5FD653A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51287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447" w:type="pct"/>
            <w:tcBorders>
              <w:left w:val="single" w:color="000000" w:sz="6" w:space="0"/>
            </w:tcBorders>
            <w:vAlign w:val="top"/>
          </w:tcPr>
          <w:p w14:paraId="084D3983">
            <w:pPr>
              <w:widowControl/>
              <w:kinsoku w:val="0"/>
              <w:autoSpaceDE w:val="0"/>
              <w:autoSpaceDN w:val="0"/>
              <w:spacing w:before="171" w:line="188" w:lineRule="auto"/>
              <w:ind w:left="292"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8"/>
                <w:kern w:val="0"/>
                <w:sz w:val="24"/>
                <w:szCs w:val="24"/>
                <w:highlight w:val="none"/>
              </w:rPr>
              <w:t>13</w:t>
            </w:r>
          </w:p>
        </w:tc>
        <w:tc>
          <w:tcPr>
            <w:tcW w:w="4027" w:type="pct"/>
            <w:vAlign w:val="top"/>
          </w:tcPr>
          <w:p w14:paraId="553CD0EA">
            <w:pPr>
              <w:kinsoku w:val="0"/>
              <w:autoSpaceDE w:val="0"/>
              <w:autoSpaceDN w:val="0"/>
              <w:adjustRightInd w:val="0"/>
              <w:snapToGrid w:val="0"/>
              <w:spacing w:before="132" w:line="219" w:lineRule="auto"/>
              <w:ind w:left="88"/>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1"/>
                <w:kern w:val="0"/>
                <w:sz w:val="24"/>
                <w:szCs w:val="24"/>
                <w:highlight w:val="none"/>
                <w:lang w:val="en-US" w:eastAsia="en-US" w:bidi="ar-SA"/>
              </w:rPr>
              <w:t>安全、文明工地建设措施，为其它承包人提供方便的措施等</w:t>
            </w:r>
          </w:p>
        </w:tc>
        <w:tc>
          <w:tcPr>
            <w:tcW w:w="525" w:type="pct"/>
            <w:tcBorders>
              <w:right w:val="single" w:color="000000" w:sz="6" w:space="0"/>
            </w:tcBorders>
            <w:vAlign w:val="top"/>
          </w:tcPr>
          <w:p w14:paraId="34C4DF3D">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6C6ED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447" w:type="pct"/>
            <w:tcBorders>
              <w:left w:val="single" w:color="000000" w:sz="6" w:space="0"/>
            </w:tcBorders>
            <w:vAlign w:val="top"/>
          </w:tcPr>
          <w:p w14:paraId="46ECBD3B">
            <w:pPr>
              <w:widowControl/>
              <w:kinsoku w:val="0"/>
              <w:autoSpaceDE w:val="0"/>
              <w:autoSpaceDN w:val="0"/>
              <w:spacing w:before="167" w:line="192" w:lineRule="auto"/>
              <w:ind w:left="298"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2"/>
                <w:kern w:val="0"/>
                <w:sz w:val="24"/>
                <w:szCs w:val="24"/>
                <w:highlight w:val="none"/>
              </w:rPr>
              <w:t>l4</w:t>
            </w:r>
          </w:p>
        </w:tc>
        <w:tc>
          <w:tcPr>
            <w:tcW w:w="4027" w:type="pct"/>
            <w:vAlign w:val="top"/>
          </w:tcPr>
          <w:p w14:paraId="5C8C16FF">
            <w:pPr>
              <w:kinsoku w:val="0"/>
              <w:autoSpaceDE w:val="0"/>
              <w:autoSpaceDN w:val="0"/>
              <w:adjustRightInd w:val="0"/>
              <w:snapToGrid w:val="0"/>
              <w:spacing w:before="131" w:line="220" w:lineRule="auto"/>
              <w:ind w:left="86"/>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1"/>
                <w:kern w:val="0"/>
                <w:sz w:val="24"/>
                <w:szCs w:val="24"/>
                <w:highlight w:val="none"/>
                <w:lang w:val="en-US" w:eastAsia="en-US" w:bidi="ar-SA"/>
              </w:rPr>
              <w:t>水土保持、环境保护管理方案</w:t>
            </w:r>
          </w:p>
        </w:tc>
        <w:tc>
          <w:tcPr>
            <w:tcW w:w="525" w:type="pct"/>
            <w:tcBorders>
              <w:right w:val="single" w:color="000000" w:sz="6" w:space="0"/>
            </w:tcBorders>
            <w:vAlign w:val="top"/>
          </w:tcPr>
          <w:p w14:paraId="0EBCCCA7">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7EE48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447" w:type="pct"/>
            <w:tcBorders>
              <w:left w:val="single" w:color="000000" w:sz="6" w:space="0"/>
            </w:tcBorders>
            <w:vAlign w:val="top"/>
          </w:tcPr>
          <w:p w14:paraId="5A3A8B0B">
            <w:pPr>
              <w:widowControl/>
              <w:kinsoku w:val="0"/>
              <w:autoSpaceDE w:val="0"/>
              <w:autoSpaceDN w:val="0"/>
              <w:spacing w:before="173" w:line="188" w:lineRule="auto"/>
              <w:ind w:left="292"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8"/>
                <w:kern w:val="0"/>
                <w:sz w:val="24"/>
                <w:szCs w:val="24"/>
                <w:highlight w:val="none"/>
              </w:rPr>
              <w:t>15</w:t>
            </w:r>
          </w:p>
        </w:tc>
        <w:tc>
          <w:tcPr>
            <w:tcW w:w="4027" w:type="pct"/>
            <w:vAlign w:val="top"/>
          </w:tcPr>
          <w:p w14:paraId="6B09EEB7">
            <w:pPr>
              <w:kinsoku w:val="0"/>
              <w:autoSpaceDE w:val="0"/>
              <w:autoSpaceDN w:val="0"/>
              <w:adjustRightInd w:val="0"/>
              <w:snapToGrid w:val="0"/>
              <w:spacing w:before="135" w:line="220" w:lineRule="auto"/>
              <w:ind w:left="8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1"/>
                <w:kern w:val="0"/>
                <w:sz w:val="24"/>
                <w:szCs w:val="24"/>
                <w:highlight w:val="none"/>
                <w:lang w:val="en-US" w:eastAsia="en-US" w:bidi="ar-SA"/>
              </w:rPr>
              <w:t>其它有关工程的施工工艺及进度计划</w:t>
            </w:r>
          </w:p>
        </w:tc>
        <w:tc>
          <w:tcPr>
            <w:tcW w:w="525" w:type="pct"/>
            <w:tcBorders>
              <w:right w:val="single" w:color="000000" w:sz="6" w:space="0"/>
            </w:tcBorders>
            <w:vAlign w:val="top"/>
          </w:tcPr>
          <w:p w14:paraId="75E15C15">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r w14:paraId="364C8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jc w:val="center"/>
        </w:trPr>
        <w:tc>
          <w:tcPr>
            <w:tcW w:w="447" w:type="pct"/>
            <w:tcBorders>
              <w:left w:val="single" w:color="000000" w:sz="6" w:space="0"/>
              <w:bottom w:val="single" w:color="000000" w:sz="6" w:space="0"/>
            </w:tcBorders>
            <w:vAlign w:val="top"/>
          </w:tcPr>
          <w:p w14:paraId="16062C56">
            <w:pPr>
              <w:widowControl/>
              <w:kinsoku w:val="0"/>
              <w:autoSpaceDE w:val="0"/>
              <w:autoSpaceDN w:val="0"/>
              <w:spacing w:before="173" w:line="188" w:lineRule="auto"/>
              <w:ind w:left="292" w:firstLine="0" w:firstLineChars="0"/>
              <w:jc w:val="left"/>
              <w:rPr>
                <w:rFonts w:ascii="Times New Roman" w:hAnsi="Times New Roman" w:eastAsia="Times New Roman" w:cs="Times New Roman"/>
                <w:color w:val="auto"/>
                <w:kern w:val="0"/>
                <w:sz w:val="24"/>
                <w:szCs w:val="24"/>
                <w:highlight w:val="none"/>
              </w:rPr>
            </w:pPr>
            <w:r>
              <w:rPr>
                <w:rFonts w:ascii="Times New Roman" w:hAnsi="Times New Roman" w:eastAsia="Times New Roman" w:cs="Times New Roman"/>
                <w:color w:val="auto"/>
                <w:spacing w:val="-8"/>
                <w:kern w:val="0"/>
                <w:sz w:val="24"/>
                <w:szCs w:val="24"/>
                <w:highlight w:val="none"/>
              </w:rPr>
              <w:t>16</w:t>
            </w:r>
          </w:p>
        </w:tc>
        <w:tc>
          <w:tcPr>
            <w:tcW w:w="4027" w:type="pct"/>
            <w:tcBorders>
              <w:bottom w:val="single" w:color="000000" w:sz="6" w:space="0"/>
            </w:tcBorders>
            <w:vAlign w:val="top"/>
          </w:tcPr>
          <w:p w14:paraId="43701432">
            <w:pPr>
              <w:kinsoku w:val="0"/>
              <w:autoSpaceDE w:val="0"/>
              <w:autoSpaceDN w:val="0"/>
              <w:adjustRightInd w:val="0"/>
              <w:snapToGrid w:val="0"/>
              <w:spacing w:before="134" w:line="220" w:lineRule="auto"/>
              <w:ind w:left="8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2"/>
                <w:kern w:val="0"/>
                <w:sz w:val="24"/>
                <w:szCs w:val="24"/>
                <w:highlight w:val="none"/>
                <w:lang w:val="en-US" w:eastAsia="en-US" w:bidi="ar-SA"/>
              </w:rPr>
              <w:t>有关施工建议</w:t>
            </w:r>
          </w:p>
        </w:tc>
        <w:tc>
          <w:tcPr>
            <w:tcW w:w="525" w:type="pct"/>
            <w:tcBorders>
              <w:bottom w:val="single" w:color="000000" w:sz="6" w:space="0"/>
              <w:right w:val="single" w:color="000000" w:sz="6" w:space="0"/>
            </w:tcBorders>
            <w:vAlign w:val="top"/>
          </w:tcPr>
          <w:p w14:paraId="0D562CC0">
            <w:pPr>
              <w:widowControl/>
              <w:kinsoku w:val="0"/>
              <w:autoSpaceDE w:val="0"/>
              <w:autoSpaceDN w:val="0"/>
              <w:spacing w:line="240" w:lineRule="auto"/>
              <w:ind w:firstLine="0" w:firstLineChars="0"/>
              <w:jc w:val="left"/>
              <w:rPr>
                <w:rFonts w:ascii="Arial" w:hAnsi="Arial" w:eastAsia="Arial"/>
                <w:color w:val="auto"/>
                <w:kern w:val="0"/>
                <w:sz w:val="21"/>
                <w:highlight w:val="none"/>
              </w:rPr>
            </w:pPr>
          </w:p>
        </w:tc>
      </w:tr>
    </w:tbl>
    <w:p w14:paraId="5A722E83">
      <w:pPr>
        <w:pStyle w:val="7"/>
        <w:kinsoku/>
        <w:spacing w:beforeLines="0" w:afterLines="0"/>
        <w:ind w:firstLine="420"/>
        <w:jc w:val="left"/>
        <w:rPr>
          <w:color w:val="auto"/>
          <w:highlight w:val="none"/>
        </w:rPr>
      </w:pPr>
    </w:p>
    <w:p w14:paraId="07669D60">
      <w:pPr>
        <w:kinsoku/>
        <w:spacing w:before="0"/>
        <w:ind w:left="0"/>
        <w:rPr>
          <w:rFonts w:cs="宋体"/>
          <w:color w:val="auto"/>
          <w:szCs w:val="24"/>
          <w:highlight w:val="none"/>
          <w:lang w:eastAsia="zh-CN"/>
        </w:rPr>
      </w:pPr>
      <w:r>
        <w:rPr>
          <w:rFonts w:hint="eastAsia" w:ascii="宋体" w:hAnsi="宋体" w:eastAsia="宋体" w:cs="宋体"/>
          <w:b/>
          <w:bCs/>
          <w:color w:val="auto"/>
          <w:spacing w:val="0"/>
          <w:position w:val="0"/>
          <w:sz w:val="24"/>
          <w:szCs w:val="24"/>
          <w:highlight w:val="none"/>
          <w:lang w:eastAsia="zh-CN"/>
        </w:rPr>
        <w:t xml:space="preserve">2  </w:t>
      </w:r>
      <w:r>
        <w:rPr>
          <w:rFonts w:ascii="宋体" w:cs="宋体"/>
          <w:b w:val="0"/>
          <w:color w:val="auto"/>
          <w:spacing w:val="0"/>
          <w:position w:val="0"/>
          <w:sz w:val="24"/>
          <w:szCs w:val="24"/>
          <w:highlight w:val="none"/>
          <w:lang w:eastAsia="zh-CN"/>
        </w:rPr>
        <w:t>施工组织设计除采用文字表述外，应附下列图表，图表及格式要求附后。</w:t>
      </w:r>
    </w:p>
    <w:p w14:paraId="324A3A48">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附件一：拟投入本标段的主要施工设备表</w:t>
      </w:r>
    </w:p>
    <w:p w14:paraId="543DCFFD">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position w:val="0"/>
          <w:sz w:val="24"/>
          <w:szCs w:val="24"/>
          <w:highlight w:val="none"/>
          <w:lang w:eastAsia="zh-CN"/>
        </w:rPr>
        <w:t>附件二：拟投入本标段的试验和检测仪器设备表</w:t>
      </w:r>
    </w:p>
    <w:p w14:paraId="23B0B00D">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附件三：拟投入本标段的劳动力计划表</w:t>
      </w:r>
    </w:p>
    <w:p w14:paraId="4FFA4083">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position w:val="0"/>
          <w:sz w:val="24"/>
          <w:szCs w:val="24"/>
          <w:highlight w:val="none"/>
          <w:lang w:eastAsia="zh-CN"/>
        </w:rPr>
        <w:t>附件四：计划开工日期、完工日期和施工进度表</w:t>
      </w:r>
    </w:p>
    <w:p w14:paraId="72D5D929">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附件五：施工总平面图</w:t>
      </w:r>
    </w:p>
    <w:p w14:paraId="6CA4FDFF">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附</w:t>
      </w:r>
      <w:r>
        <w:rPr>
          <w:rFonts w:hint="eastAsia" w:ascii="宋体" w:cs="宋体"/>
          <w:b w:val="0"/>
          <w:color w:val="auto"/>
          <w:spacing w:val="0"/>
          <w:sz w:val="24"/>
          <w:szCs w:val="24"/>
          <w:highlight w:val="none"/>
          <w:lang w:eastAsia="zh-CN"/>
        </w:rPr>
        <w:t>件</w:t>
      </w:r>
      <w:r>
        <w:rPr>
          <w:rFonts w:ascii="宋体" w:cs="宋体"/>
          <w:b w:val="0"/>
          <w:color w:val="auto"/>
          <w:spacing w:val="0"/>
          <w:sz w:val="24"/>
          <w:szCs w:val="24"/>
          <w:highlight w:val="none"/>
          <w:lang w:eastAsia="zh-CN"/>
        </w:rPr>
        <w:t>六：临时用地表</w:t>
      </w:r>
    </w:p>
    <w:p w14:paraId="047B9AE8">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3C079090">
      <w:pPr>
        <w:tabs>
          <w:tab w:val="left" w:pos="3229"/>
        </w:tabs>
        <w:kinsoku/>
        <w:spacing w:before="0" w:beforeLines="0" w:afterLines="0"/>
        <w:ind w:left="145"/>
        <w:outlineLvl w:val="9"/>
        <w:rPr>
          <w:rFonts w:hint="eastAsia" w:cs="宋体"/>
          <w:bCs/>
          <w:color w:val="auto"/>
          <w:szCs w:val="24"/>
          <w:highlight w:val="none"/>
          <w:lang w:eastAsia="zh-CN"/>
        </w:rPr>
      </w:pPr>
      <w:bookmarkStart w:id="2564" w:name="_Toc796"/>
      <w:bookmarkStart w:id="2565" w:name="_Toc27105"/>
      <w:bookmarkStart w:id="2566" w:name="_Toc16615"/>
      <w:r>
        <w:rPr>
          <w:rFonts w:hint="eastAsia" w:ascii="宋体" w:cs="宋体"/>
          <w:b/>
          <w:bCs/>
          <w:color w:val="auto"/>
          <w:spacing w:val="0"/>
          <w:sz w:val="24"/>
          <w:szCs w:val="24"/>
          <w:highlight w:val="none"/>
          <w:lang w:eastAsia="zh-CN"/>
        </w:rPr>
        <w:t>附件一：</w:t>
      </w:r>
      <w:bookmarkEnd w:id="2564"/>
      <w:bookmarkEnd w:id="2565"/>
      <w:bookmarkEnd w:id="2566"/>
    </w:p>
    <w:p w14:paraId="562FBDD1">
      <w:pPr>
        <w:keepNext/>
        <w:keepLines/>
        <w:tabs>
          <w:tab w:val="left" w:pos="3229"/>
        </w:tabs>
        <w:kinsoku/>
        <w:spacing w:before="0" w:beforeLines="0" w:afterLines="0"/>
        <w:ind w:left="0"/>
        <w:jc w:val="center"/>
        <w:outlineLvl w:val="9"/>
        <w:rPr>
          <w:rFonts w:hint="eastAsia" w:cs="宋体"/>
          <w:bCs/>
          <w:color w:val="auto"/>
          <w:szCs w:val="24"/>
          <w:highlight w:val="none"/>
          <w:lang w:eastAsia="zh-CN"/>
        </w:rPr>
      </w:pPr>
      <w:bookmarkStart w:id="2567" w:name="_Toc8622"/>
      <w:bookmarkStart w:id="2568" w:name="_Toc12647"/>
      <w:bookmarkStart w:id="2569" w:name="_Toc9038"/>
      <w:r>
        <w:rPr>
          <w:rFonts w:hint="eastAsia" w:ascii="宋体" w:cs="宋体"/>
          <w:b/>
          <w:bCs/>
          <w:color w:val="auto"/>
          <w:spacing w:val="0"/>
          <w:sz w:val="24"/>
          <w:szCs w:val="24"/>
          <w:highlight w:val="none"/>
          <w:lang w:eastAsia="zh-CN"/>
        </w:rPr>
        <w:t>拟投入本标段的主要施工设备表</w:t>
      </w:r>
      <w:bookmarkEnd w:id="2567"/>
      <w:bookmarkEnd w:id="2568"/>
      <w:bookmarkEnd w:id="2569"/>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77"/>
        <w:gridCol w:w="1097"/>
        <w:gridCol w:w="736"/>
        <w:gridCol w:w="756"/>
        <w:gridCol w:w="756"/>
        <w:gridCol w:w="876"/>
        <w:gridCol w:w="1302"/>
        <w:gridCol w:w="904"/>
        <w:gridCol w:w="1004"/>
        <w:gridCol w:w="1012"/>
      </w:tblGrid>
      <w:tr w14:paraId="0F99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textDirection w:val="tbRlV"/>
            <w:vAlign w:val="center"/>
          </w:tcPr>
          <w:p w14:paraId="36BE3B6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601" w:type="pct"/>
            <w:tcBorders>
              <w:tl2br w:val="nil"/>
              <w:tr2bl w:val="nil"/>
            </w:tcBorders>
            <w:vAlign w:val="center"/>
          </w:tcPr>
          <w:p w14:paraId="59B01E4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设备</w:t>
            </w:r>
          </w:p>
          <w:p w14:paraId="2CEED83C">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名称</w:t>
            </w:r>
          </w:p>
        </w:tc>
        <w:tc>
          <w:tcPr>
            <w:tcW w:w="403" w:type="pct"/>
            <w:tcBorders>
              <w:tl2br w:val="nil"/>
              <w:tr2bl w:val="nil"/>
            </w:tcBorders>
            <w:vAlign w:val="center"/>
          </w:tcPr>
          <w:p w14:paraId="5F97F607">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型号规格</w:t>
            </w:r>
          </w:p>
        </w:tc>
        <w:tc>
          <w:tcPr>
            <w:tcW w:w="414" w:type="pct"/>
            <w:tcBorders>
              <w:tl2br w:val="nil"/>
              <w:tr2bl w:val="nil"/>
            </w:tcBorders>
            <w:vAlign w:val="center"/>
          </w:tcPr>
          <w:p w14:paraId="4857356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数量</w:t>
            </w:r>
          </w:p>
        </w:tc>
        <w:tc>
          <w:tcPr>
            <w:tcW w:w="414" w:type="pct"/>
            <w:tcBorders>
              <w:tl2br w:val="nil"/>
              <w:tr2bl w:val="nil"/>
            </w:tcBorders>
            <w:vAlign w:val="center"/>
          </w:tcPr>
          <w:p w14:paraId="725EB318">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国别产地</w:t>
            </w:r>
          </w:p>
        </w:tc>
        <w:tc>
          <w:tcPr>
            <w:tcW w:w="480" w:type="pct"/>
            <w:tcBorders>
              <w:tl2br w:val="nil"/>
              <w:tr2bl w:val="nil"/>
            </w:tcBorders>
            <w:vAlign w:val="center"/>
          </w:tcPr>
          <w:p w14:paraId="64E5D14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制造</w:t>
            </w:r>
          </w:p>
          <w:p w14:paraId="6E69137E">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年份</w:t>
            </w:r>
          </w:p>
        </w:tc>
        <w:tc>
          <w:tcPr>
            <w:tcW w:w="713" w:type="pct"/>
            <w:tcBorders>
              <w:tl2br w:val="nil"/>
              <w:tr2bl w:val="nil"/>
            </w:tcBorders>
            <w:vAlign w:val="center"/>
          </w:tcPr>
          <w:p w14:paraId="2CE4AB67">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 xml:space="preserve">额定功率（ </w:t>
            </w:r>
            <w:r>
              <w:rPr>
                <w:rFonts w:ascii="宋体" w:hAnsi="Times New Roman" w:eastAsia="宋体" w:cs="Times New Roman"/>
                <w:b w:val="0"/>
                <w:color w:val="auto"/>
                <w:spacing w:val="0"/>
                <w:sz w:val="21"/>
                <w:szCs w:val="21"/>
                <w:highlight w:val="none"/>
                <w:lang w:eastAsia="en-US"/>
              </w:rPr>
              <w:t xml:space="preserve">kW  </w:t>
            </w:r>
            <w:r>
              <w:rPr>
                <w:rFonts w:hint="eastAsia" w:ascii="宋体" w:hAnsi="宋体" w:eastAsia="宋体" w:cs="宋体"/>
                <w:b w:val="0"/>
                <w:color w:val="auto"/>
                <w:spacing w:val="0"/>
                <w:sz w:val="21"/>
                <w:szCs w:val="21"/>
                <w:highlight w:val="none"/>
                <w:lang w:eastAsia="en-US"/>
              </w:rPr>
              <w:t>）</w:t>
            </w:r>
          </w:p>
        </w:tc>
        <w:tc>
          <w:tcPr>
            <w:tcW w:w="495" w:type="pct"/>
            <w:tcBorders>
              <w:tl2br w:val="nil"/>
              <w:tr2bl w:val="nil"/>
            </w:tcBorders>
            <w:vAlign w:val="center"/>
          </w:tcPr>
          <w:p w14:paraId="4805549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生产</w:t>
            </w:r>
          </w:p>
          <w:p w14:paraId="28B2D69E">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能力</w:t>
            </w:r>
          </w:p>
        </w:tc>
        <w:tc>
          <w:tcPr>
            <w:tcW w:w="550" w:type="pct"/>
            <w:tcBorders>
              <w:tl2br w:val="nil"/>
              <w:tr2bl w:val="nil"/>
            </w:tcBorders>
            <w:vAlign w:val="center"/>
          </w:tcPr>
          <w:p w14:paraId="29830D51">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用于施工部位</w:t>
            </w:r>
          </w:p>
        </w:tc>
        <w:tc>
          <w:tcPr>
            <w:tcW w:w="554" w:type="pct"/>
            <w:tcBorders>
              <w:tl2br w:val="nil"/>
              <w:tr2bl w:val="nil"/>
            </w:tcBorders>
            <w:vAlign w:val="center"/>
          </w:tcPr>
          <w:p w14:paraId="4A038C4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39D1C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15206E5F">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4AA51887">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447ACAFF">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12C92536">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57CBDFBB">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40CDAD33">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73CA8C50">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23674E4C">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6F237CB">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308CC53A">
            <w:pPr>
              <w:kinsoku/>
              <w:spacing w:beforeLines="0" w:afterLines="0" w:line="0" w:lineRule="atLeast"/>
              <w:ind w:firstLine="0" w:firstLineChars="0"/>
              <w:jc w:val="center"/>
              <w:rPr>
                <w:color w:val="auto"/>
                <w:sz w:val="21"/>
                <w:highlight w:val="none"/>
              </w:rPr>
            </w:pPr>
          </w:p>
        </w:tc>
      </w:tr>
      <w:tr w14:paraId="1A64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1838CB65">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75346DA1">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5ECDDAE8">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239EAE86">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6ED67AF6">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5A2E728D">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6DE48626">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048126C8">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8031FA0">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61E66E4F">
            <w:pPr>
              <w:kinsoku/>
              <w:spacing w:beforeLines="0" w:afterLines="0" w:line="0" w:lineRule="atLeast"/>
              <w:ind w:firstLine="0" w:firstLineChars="0"/>
              <w:jc w:val="center"/>
              <w:rPr>
                <w:color w:val="auto"/>
                <w:sz w:val="21"/>
                <w:highlight w:val="none"/>
              </w:rPr>
            </w:pPr>
          </w:p>
        </w:tc>
      </w:tr>
      <w:tr w14:paraId="116A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79258021">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6DF82570">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6FA71933">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105644C6">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6AC4CE99">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54EDA769">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2BCBE91B">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071E3C72">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16F385D0">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3E29B7B7">
            <w:pPr>
              <w:kinsoku/>
              <w:spacing w:beforeLines="0" w:afterLines="0" w:line="0" w:lineRule="atLeast"/>
              <w:ind w:firstLine="0" w:firstLineChars="0"/>
              <w:jc w:val="center"/>
              <w:rPr>
                <w:color w:val="auto"/>
                <w:sz w:val="21"/>
                <w:highlight w:val="none"/>
              </w:rPr>
            </w:pPr>
          </w:p>
        </w:tc>
      </w:tr>
      <w:tr w14:paraId="1B2B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58D38B9D">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101A3435">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5538A455">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3032F4D1">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76DB93C4">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0D426CD7">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0F72B209">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380C8967">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271FF7D">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0C39772E">
            <w:pPr>
              <w:kinsoku/>
              <w:spacing w:beforeLines="0" w:afterLines="0" w:line="0" w:lineRule="atLeast"/>
              <w:ind w:firstLine="0" w:firstLineChars="0"/>
              <w:jc w:val="center"/>
              <w:rPr>
                <w:color w:val="auto"/>
                <w:sz w:val="21"/>
                <w:highlight w:val="none"/>
              </w:rPr>
            </w:pPr>
          </w:p>
        </w:tc>
      </w:tr>
      <w:tr w14:paraId="4383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3C1C4D8C">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6238DBEB">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3493A79">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5C6D4F36">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1075FECE">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5B34BD17">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291B3651">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7C95A223">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16FD3558">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233BD3F9">
            <w:pPr>
              <w:kinsoku/>
              <w:spacing w:beforeLines="0" w:afterLines="0" w:line="0" w:lineRule="atLeast"/>
              <w:ind w:firstLine="0" w:firstLineChars="0"/>
              <w:jc w:val="center"/>
              <w:rPr>
                <w:color w:val="auto"/>
                <w:sz w:val="21"/>
                <w:highlight w:val="none"/>
              </w:rPr>
            </w:pPr>
          </w:p>
        </w:tc>
      </w:tr>
      <w:tr w14:paraId="27FD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64657CFB">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1D55FED3">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44068517">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798A1209">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1932C0BB">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4BE5F1F7">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73B9F35F">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0ED41455">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65FC87FF">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3B750078">
            <w:pPr>
              <w:kinsoku/>
              <w:spacing w:beforeLines="0" w:afterLines="0" w:line="0" w:lineRule="atLeast"/>
              <w:ind w:firstLine="0" w:firstLineChars="0"/>
              <w:jc w:val="center"/>
              <w:rPr>
                <w:color w:val="auto"/>
                <w:sz w:val="21"/>
                <w:highlight w:val="none"/>
              </w:rPr>
            </w:pPr>
          </w:p>
        </w:tc>
      </w:tr>
      <w:tr w14:paraId="4737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333A541F">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2C272F1C">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371272A0">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0540BC38">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6BFC3C53">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3A3D69B8">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046C1FF4">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483F29CA">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70A3399C">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551897D6">
            <w:pPr>
              <w:kinsoku/>
              <w:spacing w:beforeLines="0" w:afterLines="0" w:line="0" w:lineRule="atLeast"/>
              <w:ind w:firstLine="0" w:firstLineChars="0"/>
              <w:jc w:val="center"/>
              <w:rPr>
                <w:color w:val="auto"/>
                <w:sz w:val="21"/>
                <w:highlight w:val="none"/>
              </w:rPr>
            </w:pPr>
          </w:p>
        </w:tc>
      </w:tr>
      <w:tr w14:paraId="5BD00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500A0BDB">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385EC9BB">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366AC51F">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1BFAFF84">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38967144">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4314EA0C">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3A38B1C7">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5CBBD8B4">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284BB3E9">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09634251">
            <w:pPr>
              <w:kinsoku/>
              <w:spacing w:beforeLines="0" w:afterLines="0" w:line="0" w:lineRule="atLeast"/>
              <w:ind w:firstLine="0" w:firstLineChars="0"/>
              <w:jc w:val="center"/>
              <w:rPr>
                <w:color w:val="auto"/>
                <w:sz w:val="21"/>
                <w:highlight w:val="none"/>
              </w:rPr>
            </w:pPr>
          </w:p>
        </w:tc>
      </w:tr>
      <w:tr w14:paraId="7FEB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26E1CF3D">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2F1FB3FC">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7C672F66">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32FC9145">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3D9B6BE1">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27AB0E28">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56AD66DD">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565F07DB">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3AA54783">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3CE25D2D">
            <w:pPr>
              <w:kinsoku/>
              <w:spacing w:beforeLines="0" w:afterLines="0" w:line="0" w:lineRule="atLeast"/>
              <w:ind w:firstLine="0" w:firstLineChars="0"/>
              <w:jc w:val="center"/>
              <w:rPr>
                <w:color w:val="auto"/>
                <w:sz w:val="21"/>
                <w:highlight w:val="none"/>
              </w:rPr>
            </w:pPr>
          </w:p>
        </w:tc>
      </w:tr>
      <w:tr w14:paraId="189E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7A80B93D">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2E443EBF">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A982068">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1D2EC2E0">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097F3C7E">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5A0E99EC">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0D685DA8">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41942BAB">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18BAB663">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43FEF54C">
            <w:pPr>
              <w:kinsoku/>
              <w:spacing w:beforeLines="0" w:afterLines="0" w:line="0" w:lineRule="atLeast"/>
              <w:ind w:firstLine="0" w:firstLineChars="0"/>
              <w:jc w:val="center"/>
              <w:rPr>
                <w:color w:val="auto"/>
                <w:sz w:val="21"/>
                <w:highlight w:val="none"/>
              </w:rPr>
            </w:pPr>
          </w:p>
        </w:tc>
      </w:tr>
      <w:tr w14:paraId="36482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5A5B90B2">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640748E8">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8AEDA28">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52E7D19C">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3A7C6915">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1CC4862E">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16DEEA71">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4C8C4734">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02618512">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7A1A3CEF">
            <w:pPr>
              <w:kinsoku/>
              <w:spacing w:beforeLines="0" w:afterLines="0" w:line="0" w:lineRule="atLeast"/>
              <w:ind w:firstLine="0" w:firstLineChars="0"/>
              <w:jc w:val="center"/>
              <w:rPr>
                <w:color w:val="auto"/>
                <w:sz w:val="21"/>
                <w:highlight w:val="none"/>
              </w:rPr>
            </w:pPr>
          </w:p>
        </w:tc>
      </w:tr>
      <w:tr w14:paraId="0FB4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670745C5">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412978DF">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71874B99">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060A0FBC">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56932A59">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4C080FAC">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73E71214">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3A9CF89D">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11333E3">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25D0A068">
            <w:pPr>
              <w:kinsoku/>
              <w:spacing w:beforeLines="0" w:afterLines="0" w:line="0" w:lineRule="atLeast"/>
              <w:ind w:firstLine="0" w:firstLineChars="0"/>
              <w:jc w:val="center"/>
              <w:rPr>
                <w:color w:val="auto"/>
                <w:sz w:val="21"/>
                <w:highlight w:val="none"/>
              </w:rPr>
            </w:pPr>
          </w:p>
        </w:tc>
      </w:tr>
      <w:tr w14:paraId="2ADE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442AFC00">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44BA0E39">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111BEEC5">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03333D8E">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3DAB99A0">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4177BD5B">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048D9454">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39B1355B">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1550311C">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61CBCEAE">
            <w:pPr>
              <w:kinsoku/>
              <w:spacing w:beforeLines="0" w:afterLines="0" w:line="0" w:lineRule="atLeast"/>
              <w:ind w:firstLine="0" w:firstLineChars="0"/>
              <w:jc w:val="center"/>
              <w:rPr>
                <w:color w:val="auto"/>
                <w:sz w:val="21"/>
                <w:highlight w:val="none"/>
              </w:rPr>
            </w:pPr>
          </w:p>
        </w:tc>
      </w:tr>
      <w:tr w14:paraId="51C2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77634109">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6D0C9211">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6DD1A485">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27E5B20C">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5796BD7C">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7268A847">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686D6A5F">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0129F208">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05CE25D">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6DF8E53C">
            <w:pPr>
              <w:kinsoku/>
              <w:spacing w:beforeLines="0" w:afterLines="0" w:line="0" w:lineRule="atLeast"/>
              <w:ind w:firstLine="0" w:firstLineChars="0"/>
              <w:jc w:val="center"/>
              <w:rPr>
                <w:color w:val="auto"/>
                <w:sz w:val="21"/>
                <w:highlight w:val="none"/>
              </w:rPr>
            </w:pPr>
          </w:p>
        </w:tc>
      </w:tr>
      <w:tr w14:paraId="5974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71" w:type="pct"/>
            <w:tcBorders>
              <w:tl2br w:val="nil"/>
              <w:tr2bl w:val="nil"/>
            </w:tcBorders>
            <w:vAlign w:val="center"/>
          </w:tcPr>
          <w:p w14:paraId="40C456C6">
            <w:pPr>
              <w:kinsoku/>
              <w:spacing w:beforeLines="0" w:afterLines="0" w:line="0" w:lineRule="atLeast"/>
              <w:ind w:firstLine="0" w:firstLineChars="0"/>
              <w:jc w:val="center"/>
              <w:rPr>
                <w:color w:val="auto"/>
                <w:sz w:val="21"/>
                <w:highlight w:val="none"/>
              </w:rPr>
            </w:pPr>
          </w:p>
        </w:tc>
        <w:tc>
          <w:tcPr>
            <w:tcW w:w="601" w:type="pct"/>
            <w:tcBorders>
              <w:tl2br w:val="nil"/>
              <w:tr2bl w:val="nil"/>
            </w:tcBorders>
            <w:vAlign w:val="center"/>
          </w:tcPr>
          <w:p w14:paraId="44C21389">
            <w:pPr>
              <w:kinsoku/>
              <w:spacing w:beforeLines="0" w:afterLines="0" w:line="0" w:lineRule="atLeast"/>
              <w:ind w:firstLine="0" w:firstLineChars="0"/>
              <w:jc w:val="center"/>
              <w:rPr>
                <w:color w:val="auto"/>
                <w:sz w:val="21"/>
                <w:highlight w:val="none"/>
              </w:rPr>
            </w:pPr>
          </w:p>
        </w:tc>
        <w:tc>
          <w:tcPr>
            <w:tcW w:w="403" w:type="pct"/>
            <w:tcBorders>
              <w:tl2br w:val="nil"/>
              <w:tr2bl w:val="nil"/>
            </w:tcBorders>
            <w:vAlign w:val="center"/>
          </w:tcPr>
          <w:p w14:paraId="2A46FFFD">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041B4586">
            <w:pPr>
              <w:kinsoku/>
              <w:spacing w:beforeLines="0" w:afterLines="0" w:line="0" w:lineRule="atLeast"/>
              <w:ind w:firstLine="0" w:firstLineChars="0"/>
              <w:jc w:val="center"/>
              <w:rPr>
                <w:color w:val="auto"/>
                <w:sz w:val="21"/>
                <w:highlight w:val="none"/>
              </w:rPr>
            </w:pPr>
          </w:p>
        </w:tc>
        <w:tc>
          <w:tcPr>
            <w:tcW w:w="414" w:type="pct"/>
            <w:tcBorders>
              <w:tl2br w:val="nil"/>
              <w:tr2bl w:val="nil"/>
            </w:tcBorders>
            <w:vAlign w:val="center"/>
          </w:tcPr>
          <w:p w14:paraId="064FA5C6">
            <w:pPr>
              <w:kinsoku/>
              <w:spacing w:beforeLines="0" w:afterLines="0" w:line="0" w:lineRule="atLeast"/>
              <w:ind w:firstLine="0" w:firstLineChars="0"/>
              <w:jc w:val="center"/>
              <w:rPr>
                <w:color w:val="auto"/>
                <w:sz w:val="21"/>
                <w:highlight w:val="none"/>
              </w:rPr>
            </w:pPr>
          </w:p>
        </w:tc>
        <w:tc>
          <w:tcPr>
            <w:tcW w:w="480" w:type="pct"/>
            <w:tcBorders>
              <w:tl2br w:val="nil"/>
              <w:tr2bl w:val="nil"/>
            </w:tcBorders>
            <w:vAlign w:val="center"/>
          </w:tcPr>
          <w:p w14:paraId="4BCCBF78">
            <w:pPr>
              <w:kinsoku/>
              <w:spacing w:beforeLines="0" w:afterLines="0" w:line="0" w:lineRule="atLeast"/>
              <w:ind w:firstLine="0" w:firstLineChars="0"/>
              <w:jc w:val="center"/>
              <w:rPr>
                <w:color w:val="auto"/>
                <w:sz w:val="21"/>
                <w:highlight w:val="none"/>
              </w:rPr>
            </w:pPr>
          </w:p>
        </w:tc>
        <w:tc>
          <w:tcPr>
            <w:tcW w:w="713" w:type="pct"/>
            <w:tcBorders>
              <w:tl2br w:val="nil"/>
              <w:tr2bl w:val="nil"/>
            </w:tcBorders>
            <w:vAlign w:val="center"/>
          </w:tcPr>
          <w:p w14:paraId="7D94E58C">
            <w:pPr>
              <w:kinsoku/>
              <w:spacing w:beforeLines="0" w:afterLines="0" w:line="0" w:lineRule="atLeast"/>
              <w:ind w:firstLine="0" w:firstLineChars="0"/>
              <w:jc w:val="center"/>
              <w:rPr>
                <w:color w:val="auto"/>
                <w:sz w:val="21"/>
                <w:highlight w:val="none"/>
              </w:rPr>
            </w:pPr>
          </w:p>
        </w:tc>
        <w:tc>
          <w:tcPr>
            <w:tcW w:w="495" w:type="pct"/>
            <w:tcBorders>
              <w:tl2br w:val="nil"/>
              <w:tr2bl w:val="nil"/>
            </w:tcBorders>
            <w:vAlign w:val="center"/>
          </w:tcPr>
          <w:p w14:paraId="117D7897">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0A6DED89">
            <w:pPr>
              <w:kinsoku/>
              <w:spacing w:beforeLines="0" w:afterLines="0" w:line="0" w:lineRule="atLeast"/>
              <w:ind w:firstLine="0" w:firstLineChars="0"/>
              <w:jc w:val="center"/>
              <w:rPr>
                <w:color w:val="auto"/>
                <w:sz w:val="21"/>
                <w:highlight w:val="none"/>
              </w:rPr>
            </w:pPr>
          </w:p>
        </w:tc>
        <w:tc>
          <w:tcPr>
            <w:tcW w:w="554" w:type="pct"/>
            <w:tcBorders>
              <w:tl2br w:val="nil"/>
              <w:tr2bl w:val="nil"/>
            </w:tcBorders>
            <w:vAlign w:val="center"/>
          </w:tcPr>
          <w:p w14:paraId="2A218D14">
            <w:pPr>
              <w:kinsoku/>
              <w:spacing w:beforeLines="0" w:afterLines="0" w:line="0" w:lineRule="atLeast"/>
              <w:ind w:firstLine="0" w:firstLineChars="0"/>
              <w:jc w:val="center"/>
              <w:rPr>
                <w:color w:val="auto"/>
                <w:sz w:val="21"/>
                <w:highlight w:val="none"/>
              </w:rPr>
            </w:pPr>
          </w:p>
        </w:tc>
      </w:tr>
    </w:tbl>
    <w:p w14:paraId="054C25CD">
      <w:pPr>
        <w:pStyle w:val="7"/>
        <w:kinsoku/>
        <w:spacing w:beforeLines="0" w:afterLines="0"/>
        <w:ind w:firstLine="420"/>
        <w:jc w:val="left"/>
        <w:rPr>
          <w:color w:val="auto"/>
          <w:highlight w:val="none"/>
        </w:rPr>
      </w:pPr>
    </w:p>
    <w:p w14:paraId="58CCF2BE">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04899DE8">
      <w:pPr>
        <w:tabs>
          <w:tab w:val="left" w:pos="3229"/>
        </w:tabs>
        <w:kinsoku/>
        <w:spacing w:before="0" w:beforeLines="0" w:afterLines="0"/>
        <w:ind w:left="145"/>
        <w:outlineLvl w:val="9"/>
        <w:rPr>
          <w:rFonts w:hint="eastAsia" w:cs="宋体"/>
          <w:bCs/>
          <w:color w:val="auto"/>
          <w:szCs w:val="24"/>
          <w:highlight w:val="none"/>
          <w:lang w:eastAsia="zh-CN"/>
        </w:rPr>
      </w:pPr>
      <w:bookmarkStart w:id="2570" w:name="_Toc7206"/>
      <w:bookmarkStart w:id="2571" w:name="_Toc20642"/>
      <w:bookmarkStart w:id="2572" w:name="_Toc6693"/>
      <w:r>
        <w:rPr>
          <w:rFonts w:hint="eastAsia" w:ascii="宋体" w:cs="宋体"/>
          <w:b/>
          <w:bCs/>
          <w:color w:val="auto"/>
          <w:spacing w:val="0"/>
          <w:sz w:val="24"/>
          <w:szCs w:val="24"/>
          <w:highlight w:val="none"/>
          <w:lang w:eastAsia="zh-CN"/>
        </w:rPr>
        <w:t>附件二：</w:t>
      </w:r>
      <w:bookmarkEnd w:id="2570"/>
      <w:bookmarkEnd w:id="2571"/>
      <w:bookmarkEnd w:id="2572"/>
    </w:p>
    <w:p w14:paraId="793116C1">
      <w:pPr>
        <w:tabs>
          <w:tab w:val="left" w:pos="3229"/>
        </w:tabs>
        <w:kinsoku/>
        <w:spacing w:before="0" w:beforeLines="0" w:afterLines="0"/>
        <w:ind w:left="0"/>
        <w:jc w:val="center"/>
        <w:outlineLvl w:val="9"/>
        <w:rPr>
          <w:rFonts w:hint="eastAsia" w:cs="宋体"/>
          <w:bCs/>
          <w:color w:val="auto"/>
          <w:szCs w:val="24"/>
          <w:highlight w:val="none"/>
          <w:lang w:eastAsia="zh-CN"/>
        </w:rPr>
      </w:pPr>
      <w:bookmarkStart w:id="2573" w:name="_Toc18532"/>
      <w:bookmarkStart w:id="2574" w:name="_Toc27353"/>
      <w:bookmarkStart w:id="2575" w:name="_Toc11721"/>
      <w:r>
        <w:rPr>
          <w:rFonts w:hint="eastAsia" w:ascii="宋体" w:cs="宋体"/>
          <w:b/>
          <w:bCs/>
          <w:color w:val="auto"/>
          <w:spacing w:val="0"/>
          <w:sz w:val="24"/>
          <w:szCs w:val="24"/>
          <w:highlight w:val="none"/>
          <w:lang w:eastAsia="zh-CN"/>
        </w:rPr>
        <w:t>拟投入本标段的试验和检测仪器设备表</w:t>
      </w:r>
      <w:bookmarkEnd w:id="2573"/>
      <w:bookmarkEnd w:id="2574"/>
      <w:bookmarkEnd w:id="2575"/>
    </w:p>
    <w:p w14:paraId="5C8B8FC7">
      <w:pPr>
        <w:kinsoku/>
        <w:spacing w:beforeLines="0" w:afterLines="0"/>
        <w:ind w:firstLine="420"/>
        <w:jc w:val="left"/>
        <w:rPr>
          <w:color w:val="auto"/>
          <w:highlight w:val="none"/>
          <w:lang w:eastAsia="zh-CN"/>
        </w:rPr>
      </w:pP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834"/>
        <w:gridCol w:w="1720"/>
        <w:gridCol w:w="862"/>
        <w:gridCol w:w="716"/>
        <w:gridCol w:w="860"/>
        <w:gridCol w:w="858"/>
        <w:gridCol w:w="1147"/>
        <w:gridCol w:w="1004"/>
        <w:gridCol w:w="1119"/>
      </w:tblGrid>
      <w:tr w14:paraId="5E3B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2226108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942" w:type="pct"/>
            <w:tcBorders>
              <w:tl2br w:val="nil"/>
              <w:tr2bl w:val="nil"/>
            </w:tcBorders>
            <w:vAlign w:val="center"/>
          </w:tcPr>
          <w:p w14:paraId="740D1B2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仪器设备名称</w:t>
            </w:r>
          </w:p>
        </w:tc>
        <w:tc>
          <w:tcPr>
            <w:tcW w:w="472" w:type="pct"/>
            <w:tcBorders>
              <w:tl2br w:val="nil"/>
              <w:tr2bl w:val="nil"/>
            </w:tcBorders>
            <w:vAlign w:val="center"/>
          </w:tcPr>
          <w:p w14:paraId="78253FB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型号</w:t>
            </w:r>
          </w:p>
          <w:p w14:paraId="68BEE047">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规格</w:t>
            </w:r>
          </w:p>
        </w:tc>
        <w:tc>
          <w:tcPr>
            <w:tcW w:w="392" w:type="pct"/>
            <w:tcBorders>
              <w:tl2br w:val="nil"/>
              <w:tr2bl w:val="nil"/>
            </w:tcBorders>
            <w:vAlign w:val="center"/>
          </w:tcPr>
          <w:p w14:paraId="02BE9CC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数量</w:t>
            </w:r>
          </w:p>
        </w:tc>
        <w:tc>
          <w:tcPr>
            <w:tcW w:w="471" w:type="pct"/>
            <w:tcBorders>
              <w:tl2br w:val="nil"/>
              <w:tr2bl w:val="nil"/>
            </w:tcBorders>
            <w:vAlign w:val="center"/>
          </w:tcPr>
          <w:p w14:paraId="3288050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国别</w:t>
            </w:r>
          </w:p>
          <w:p w14:paraId="7B794DDE">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产地</w:t>
            </w:r>
          </w:p>
        </w:tc>
        <w:tc>
          <w:tcPr>
            <w:tcW w:w="470" w:type="pct"/>
            <w:tcBorders>
              <w:tl2br w:val="nil"/>
              <w:tr2bl w:val="nil"/>
            </w:tcBorders>
            <w:vAlign w:val="center"/>
          </w:tcPr>
          <w:p w14:paraId="4BC8C98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制造</w:t>
            </w:r>
          </w:p>
          <w:p w14:paraId="51A8CFB6">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年份</w:t>
            </w:r>
          </w:p>
        </w:tc>
        <w:tc>
          <w:tcPr>
            <w:tcW w:w="628" w:type="pct"/>
            <w:tcBorders>
              <w:tl2br w:val="nil"/>
              <w:tr2bl w:val="nil"/>
            </w:tcBorders>
            <w:vAlign w:val="center"/>
          </w:tcPr>
          <w:p w14:paraId="2373AEDA">
            <w:pPr>
              <w:pStyle w:val="23"/>
              <w:kinsoku/>
              <w:spacing w:before="0" w:beforeLines="0" w:afterLines="0" w:line="0" w:lineRule="atLeast"/>
              <w:ind w:left="0" w:righ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已使用台时数</w:t>
            </w:r>
          </w:p>
        </w:tc>
        <w:tc>
          <w:tcPr>
            <w:tcW w:w="550" w:type="pct"/>
            <w:tcBorders>
              <w:tl2br w:val="nil"/>
              <w:tr2bl w:val="nil"/>
            </w:tcBorders>
            <w:vAlign w:val="center"/>
          </w:tcPr>
          <w:p w14:paraId="04D2D24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用途</w:t>
            </w:r>
          </w:p>
        </w:tc>
        <w:tc>
          <w:tcPr>
            <w:tcW w:w="613" w:type="pct"/>
            <w:tcBorders>
              <w:tl2br w:val="nil"/>
              <w:tr2bl w:val="nil"/>
            </w:tcBorders>
            <w:vAlign w:val="center"/>
          </w:tcPr>
          <w:p w14:paraId="2472ED7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3A4B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6F33453D">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0698587D">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79C3C9A3">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3FF28BDA">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2F09B6F4">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6F09B662">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1A057A60">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2591B85F">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10653614">
            <w:pPr>
              <w:kinsoku/>
              <w:spacing w:beforeLines="0" w:afterLines="0" w:line="0" w:lineRule="atLeast"/>
              <w:ind w:firstLine="0" w:firstLineChars="0"/>
              <w:jc w:val="center"/>
              <w:rPr>
                <w:color w:val="auto"/>
                <w:sz w:val="21"/>
                <w:highlight w:val="none"/>
              </w:rPr>
            </w:pPr>
          </w:p>
        </w:tc>
      </w:tr>
      <w:tr w14:paraId="0608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09A4F50A">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12CCD803">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6AD37790">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70452DFD">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2B2C4D49">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162BACE1">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18AAC2EB">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3A4B863F">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1EEEB8CE">
            <w:pPr>
              <w:kinsoku/>
              <w:spacing w:beforeLines="0" w:afterLines="0" w:line="0" w:lineRule="atLeast"/>
              <w:ind w:firstLine="0" w:firstLineChars="0"/>
              <w:jc w:val="center"/>
              <w:rPr>
                <w:color w:val="auto"/>
                <w:sz w:val="21"/>
                <w:highlight w:val="none"/>
              </w:rPr>
            </w:pPr>
          </w:p>
        </w:tc>
      </w:tr>
      <w:tr w14:paraId="6F97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219E76EF">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7F05EAAF">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1E3A754E">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12CBBFB3">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65EF75DB">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68479374">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0B049E81">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27F56B73">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40C10D28">
            <w:pPr>
              <w:kinsoku/>
              <w:spacing w:beforeLines="0" w:afterLines="0" w:line="0" w:lineRule="atLeast"/>
              <w:ind w:firstLine="0" w:firstLineChars="0"/>
              <w:jc w:val="center"/>
              <w:rPr>
                <w:color w:val="auto"/>
                <w:sz w:val="21"/>
                <w:highlight w:val="none"/>
              </w:rPr>
            </w:pPr>
          </w:p>
        </w:tc>
      </w:tr>
      <w:tr w14:paraId="2A9C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47F9D0E6">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26057A4B">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75ADD975">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1FACCE16">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36209DF9">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74DF86D7">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5461B509">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6F23A7E2">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43C8B125">
            <w:pPr>
              <w:kinsoku/>
              <w:spacing w:beforeLines="0" w:afterLines="0" w:line="0" w:lineRule="atLeast"/>
              <w:ind w:firstLine="0" w:firstLineChars="0"/>
              <w:jc w:val="center"/>
              <w:rPr>
                <w:color w:val="auto"/>
                <w:sz w:val="21"/>
                <w:highlight w:val="none"/>
              </w:rPr>
            </w:pPr>
          </w:p>
        </w:tc>
      </w:tr>
      <w:tr w14:paraId="44C21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5DC4CFD9">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0687F33A">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7D6E0A26">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43FA80EC">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49B2C3E2">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5EA31E6C">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19661561">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3641249B">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6880BBEA">
            <w:pPr>
              <w:kinsoku/>
              <w:spacing w:beforeLines="0" w:afterLines="0" w:line="0" w:lineRule="atLeast"/>
              <w:ind w:firstLine="0" w:firstLineChars="0"/>
              <w:jc w:val="center"/>
              <w:rPr>
                <w:color w:val="auto"/>
                <w:sz w:val="21"/>
                <w:highlight w:val="none"/>
              </w:rPr>
            </w:pPr>
          </w:p>
        </w:tc>
      </w:tr>
      <w:tr w14:paraId="2A6F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35493133">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43AF2B07">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7B4E29E0">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71A18052">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50D7A105">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5701B371">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77E364A7">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1E00475">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7C44F4D6">
            <w:pPr>
              <w:kinsoku/>
              <w:spacing w:beforeLines="0" w:afterLines="0" w:line="0" w:lineRule="atLeast"/>
              <w:ind w:firstLine="0" w:firstLineChars="0"/>
              <w:jc w:val="center"/>
              <w:rPr>
                <w:color w:val="auto"/>
                <w:sz w:val="21"/>
                <w:highlight w:val="none"/>
              </w:rPr>
            </w:pPr>
          </w:p>
        </w:tc>
      </w:tr>
      <w:tr w14:paraId="42CD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190F3C99">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07B04D32">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601E42DF">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56363023">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75C1B2B4">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5F584823">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1AB4F243">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6B597792">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7D6003D7">
            <w:pPr>
              <w:kinsoku/>
              <w:spacing w:beforeLines="0" w:afterLines="0" w:line="0" w:lineRule="atLeast"/>
              <w:ind w:firstLine="0" w:firstLineChars="0"/>
              <w:jc w:val="center"/>
              <w:rPr>
                <w:color w:val="auto"/>
                <w:sz w:val="21"/>
                <w:highlight w:val="none"/>
              </w:rPr>
            </w:pPr>
          </w:p>
        </w:tc>
      </w:tr>
      <w:tr w14:paraId="698C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378DA8A3">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2914E9D8">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1806E6EC">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65ADB403">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133A3ECB">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21D39EDA">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613D4374">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00060517">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65F52725">
            <w:pPr>
              <w:kinsoku/>
              <w:spacing w:beforeLines="0" w:afterLines="0" w:line="0" w:lineRule="atLeast"/>
              <w:ind w:firstLine="0" w:firstLineChars="0"/>
              <w:jc w:val="center"/>
              <w:rPr>
                <w:color w:val="auto"/>
                <w:sz w:val="21"/>
                <w:highlight w:val="none"/>
              </w:rPr>
            </w:pPr>
          </w:p>
        </w:tc>
      </w:tr>
      <w:tr w14:paraId="6348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33D9F9F7">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74A16EBD">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007B1F72">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4062279C">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49462074">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00EAE2AA">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5C8FA99C">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1CDD9CE">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5FD8C505">
            <w:pPr>
              <w:kinsoku/>
              <w:spacing w:beforeLines="0" w:afterLines="0" w:line="0" w:lineRule="atLeast"/>
              <w:ind w:firstLine="0" w:firstLineChars="0"/>
              <w:jc w:val="center"/>
              <w:rPr>
                <w:color w:val="auto"/>
                <w:sz w:val="21"/>
                <w:highlight w:val="none"/>
              </w:rPr>
            </w:pPr>
          </w:p>
        </w:tc>
      </w:tr>
      <w:tr w14:paraId="5406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763DCD56">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314235DA">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1D30023C">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31C57A0D">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3E8B8FFA">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6ED363F7">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2E6D7581">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1622DE71">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246C0E5D">
            <w:pPr>
              <w:kinsoku/>
              <w:spacing w:beforeLines="0" w:afterLines="0" w:line="0" w:lineRule="atLeast"/>
              <w:ind w:firstLine="0" w:firstLineChars="0"/>
              <w:jc w:val="center"/>
              <w:rPr>
                <w:color w:val="auto"/>
                <w:sz w:val="21"/>
                <w:highlight w:val="none"/>
              </w:rPr>
            </w:pPr>
          </w:p>
        </w:tc>
      </w:tr>
      <w:tr w14:paraId="7256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4CB8557E">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25BB9E8F">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4F40F1BD">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7E668EB0">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1E4F1690">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227631B0">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47B034CE">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5FCEE819">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26E1B7A8">
            <w:pPr>
              <w:kinsoku/>
              <w:spacing w:beforeLines="0" w:afterLines="0" w:line="0" w:lineRule="atLeast"/>
              <w:ind w:firstLine="0" w:firstLineChars="0"/>
              <w:jc w:val="center"/>
              <w:rPr>
                <w:color w:val="auto"/>
                <w:sz w:val="21"/>
                <w:highlight w:val="none"/>
              </w:rPr>
            </w:pPr>
          </w:p>
        </w:tc>
      </w:tr>
      <w:tr w14:paraId="720A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5ECF33E0">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688A32FA">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0952B528">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4EE8CFA0">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6D254E11">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061559F9">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62AEAECD">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4899D524">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4D0E310F">
            <w:pPr>
              <w:kinsoku/>
              <w:spacing w:beforeLines="0" w:afterLines="0" w:line="0" w:lineRule="atLeast"/>
              <w:ind w:firstLine="0" w:firstLineChars="0"/>
              <w:jc w:val="center"/>
              <w:rPr>
                <w:color w:val="auto"/>
                <w:sz w:val="21"/>
                <w:highlight w:val="none"/>
              </w:rPr>
            </w:pPr>
          </w:p>
        </w:tc>
      </w:tr>
      <w:tr w14:paraId="3CCA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57" w:type="pct"/>
            <w:tcBorders>
              <w:tl2br w:val="nil"/>
              <w:tr2bl w:val="nil"/>
            </w:tcBorders>
            <w:vAlign w:val="center"/>
          </w:tcPr>
          <w:p w14:paraId="510F4823">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52D7FDBB">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7FADFF3D">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6F11789A">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43489450">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3E4B3363">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7F6C7A76">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2DD97433">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7B37824F">
            <w:pPr>
              <w:kinsoku/>
              <w:spacing w:beforeLines="0" w:afterLines="0" w:line="0" w:lineRule="atLeast"/>
              <w:ind w:firstLine="0" w:firstLineChars="0"/>
              <w:jc w:val="center"/>
              <w:rPr>
                <w:color w:val="auto"/>
                <w:sz w:val="21"/>
                <w:highlight w:val="none"/>
              </w:rPr>
            </w:pPr>
          </w:p>
        </w:tc>
      </w:tr>
      <w:tr w14:paraId="1D66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6666CB93">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23425348">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674CDAB0">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39D38441">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5D76A637">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68D44906">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6CB2E7D6">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033E0852">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0629F631">
            <w:pPr>
              <w:kinsoku/>
              <w:spacing w:beforeLines="0" w:afterLines="0" w:line="0" w:lineRule="atLeast"/>
              <w:ind w:firstLine="0" w:firstLineChars="0"/>
              <w:jc w:val="center"/>
              <w:rPr>
                <w:color w:val="auto"/>
                <w:sz w:val="21"/>
                <w:highlight w:val="none"/>
              </w:rPr>
            </w:pPr>
          </w:p>
        </w:tc>
      </w:tr>
      <w:tr w14:paraId="30E84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0A2573AA">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6564B004">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65632AB0">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2B702DE5">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2C9CCCC1">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48D9B850">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57DF26D3">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0A0EF4DB">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194A0654">
            <w:pPr>
              <w:kinsoku/>
              <w:spacing w:beforeLines="0" w:afterLines="0" w:line="0" w:lineRule="atLeast"/>
              <w:ind w:firstLine="0" w:firstLineChars="0"/>
              <w:jc w:val="center"/>
              <w:rPr>
                <w:color w:val="auto"/>
                <w:sz w:val="21"/>
                <w:highlight w:val="none"/>
              </w:rPr>
            </w:pPr>
          </w:p>
        </w:tc>
      </w:tr>
      <w:tr w14:paraId="3436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11D90186">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552DB7EE">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71DE0517">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2483604C">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1FCAB731">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0C4A3482">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0A6F1465">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3CAD6676">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5CCFCD5D">
            <w:pPr>
              <w:kinsoku/>
              <w:spacing w:beforeLines="0" w:afterLines="0" w:line="0" w:lineRule="atLeast"/>
              <w:ind w:firstLine="0" w:firstLineChars="0"/>
              <w:jc w:val="center"/>
              <w:rPr>
                <w:color w:val="auto"/>
                <w:sz w:val="21"/>
                <w:highlight w:val="none"/>
              </w:rPr>
            </w:pPr>
          </w:p>
        </w:tc>
      </w:tr>
      <w:tr w14:paraId="3AC6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502A3C28">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6F2B7747">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51C4FE75">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164FBFFF">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4863B522">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10D2A710">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5DD9733F">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0D1FF439">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6E1409B0">
            <w:pPr>
              <w:kinsoku/>
              <w:spacing w:beforeLines="0" w:afterLines="0" w:line="0" w:lineRule="atLeast"/>
              <w:ind w:firstLine="0" w:firstLineChars="0"/>
              <w:jc w:val="center"/>
              <w:rPr>
                <w:color w:val="auto"/>
                <w:sz w:val="21"/>
                <w:highlight w:val="none"/>
              </w:rPr>
            </w:pPr>
          </w:p>
        </w:tc>
      </w:tr>
      <w:tr w14:paraId="5AD4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104E7101">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18D3CECA">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1006E079">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411FD22D">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447C6AC8">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587BC392">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2145776B">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403BEA9E">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6DF6E302">
            <w:pPr>
              <w:kinsoku/>
              <w:spacing w:beforeLines="0" w:afterLines="0" w:line="0" w:lineRule="atLeast"/>
              <w:ind w:firstLine="0" w:firstLineChars="0"/>
              <w:jc w:val="center"/>
              <w:rPr>
                <w:color w:val="auto"/>
                <w:sz w:val="21"/>
                <w:highlight w:val="none"/>
              </w:rPr>
            </w:pPr>
          </w:p>
        </w:tc>
      </w:tr>
      <w:tr w14:paraId="4EE16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457" w:type="pct"/>
            <w:tcBorders>
              <w:tl2br w:val="nil"/>
              <w:tr2bl w:val="nil"/>
            </w:tcBorders>
            <w:vAlign w:val="center"/>
          </w:tcPr>
          <w:p w14:paraId="07BD3E78">
            <w:pPr>
              <w:kinsoku/>
              <w:spacing w:beforeLines="0" w:afterLines="0" w:line="0" w:lineRule="atLeast"/>
              <w:ind w:firstLine="0" w:firstLineChars="0"/>
              <w:jc w:val="center"/>
              <w:rPr>
                <w:color w:val="auto"/>
                <w:sz w:val="21"/>
                <w:highlight w:val="none"/>
              </w:rPr>
            </w:pPr>
          </w:p>
        </w:tc>
        <w:tc>
          <w:tcPr>
            <w:tcW w:w="942" w:type="pct"/>
            <w:tcBorders>
              <w:tl2br w:val="nil"/>
              <w:tr2bl w:val="nil"/>
            </w:tcBorders>
            <w:vAlign w:val="center"/>
          </w:tcPr>
          <w:p w14:paraId="71F6442B">
            <w:pPr>
              <w:kinsoku/>
              <w:spacing w:beforeLines="0" w:afterLines="0" w:line="0" w:lineRule="atLeast"/>
              <w:ind w:firstLine="0" w:firstLineChars="0"/>
              <w:jc w:val="center"/>
              <w:rPr>
                <w:color w:val="auto"/>
                <w:sz w:val="21"/>
                <w:highlight w:val="none"/>
              </w:rPr>
            </w:pPr>
          </w:p>
        </w:tc>
        <w:tc>
          <w:tcPr>
            <w:tcW w:w="472" w:type="pct"/>
            <w:tcBorders>
              <w:tl2br w:val="nil"/>
              <w:tr2bl w:val="nil"/>
            </w:tcBorders>
            <w:vAlign w:val="center"/>
          </w:tcPr>
          <w:p w14:paraId="25014ABD">
            <w:pPr>
              <w:kinsoku/>
              <w:spacing w:beforeLines="0" w:afterLines="0" w:line="0" w:lineRule="atLeast"/>
              <w:ind w:firstLine="0" w:firstLineChars="0"/>
              <w:jc w:val="center"/>
              <w:rPr>
                <w:color w:val="auto"/>
                <w:sz w:val="21"/>
                <w:highlight w:val="none"/>
              </w:rPr>
            </w:pPr>
          </w:p>
        </w:tc>
        <w:tc>
          <w:tcPr>
            <w:tcW w:w="392" w:type="pct"/>
            <w:tcBorders>
              <w:tl2br w:val="nil"/>
              <w:tr2bl w:val="nil"/>
            </w:tcBorders>
            <w:vAlign w:val="center"/>
          </w:tcPr>
          <w:p w14:paraId="5758E371">
            <w:pPr>
              <w:kinsoku/>
              <w:spacing w:beforeLines="0" w:afterLines="0" w:line="0" w:lineRule="atLeast"/>
              <w:ind w:firstLine="0" w:firstLineChars="0"/>
              <w:jc w:val="center"/>
              <w:rPr>
                <w:color w:val="auto"/>
                <w:sz w:val="21"/>
                <w:highlight w:val="none"/>
              </w:rPr>
            </w:pPr>
          </w:p>
        </w:tc>
        <w:tc>
          <w:tcPr>
            <w:tcW w:w="471" w:type="pct"/>
            <w:tcBorders>
              <w:tl2br w:val="nil"/>
              <w:tr2bl w:val="nil"/>
            </w:tcBorders>
            <w:vAlign w:val="center"/>
          </w:tcPr>
          <w:p w14:paraId="0690D0EA">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3C290B99">
            <w:pPr>
              <w:kinsoku/>
              <w:spacing w:beforeLines="0" w:afterLines="0" w:line="0" w:lineRule="atLeast"/>
              <w:ind w:firstLine="0" w:firstLineChars="0"/>
              <w:jc w:val="center"/>
              <w:rPr>
                <w:color w:val="auto"/>
                <w:sz w:val="21"/>
                <w:highlight w:val="none"/>
              </w:rPr>
            </w:pPr>
          </w:p>
        </w:tc>
        <w:tc>
          <w:tcPr>
            <w:tcW w:w="628" w:type="pct"/>
            <w:tcBorders>
              <w:tl2br w:val="nil"/>
              <w:tr2bl w:val="nil"/>
            </w:tcBorders>
            <w:vAlign w:val="center"/>
          </w:tcPr>
          <w:p w14:paraId="7D97F95A">
            <w:pPr>
              <w:kinsoku/>
              <w:spacing w:beforeLines="0" w:afterLines="0" w:line="0" w:lineRule="atLeast"/>
              <w:ind w:firstLine="0" w:firstLineChars="0"/>
              <w:jc w:val="center"/>
              <w:rPr>
                <w:color w:val="auto"/>
                <w:sz w:val="21"/>
                <w:highlight w:val="none"/>
              </w:rPr>
            </w:pPr>
          </w:p>
        </w:tc>
        <w:tc>
          <w:tcPr>
            <w:tcW w:w="550" w:type="pct"/>
            <w:tcBorders>
              <w:tl2br w:val="nil"/>
              <w:tr2bl w:val="nil"/>
            </w:tcBorders>
            <w:vAlign w:val="center"/>
          </w:tcPr>
          <w:p w14:paraId="1F45223B">
            <w:pPr>
              <w:kinsoku/>
              <w:spacing w:beforeLines="0" w:afterLines="0" w:line="0" w:lineRule="atLeast"/>
              <w:ind w:firstLine="0" w:firstLineChars="0"/>
              <w:jc w:val="center"/>
              <w:rPr>
                <w:color w:val="auto"/>
                <w:sz w:val="21"/>
                <w:highlight w:val="none"/>
              </w:rPr>
            </w:pPr>
          </w:p>
        </w:tc>
        <w:tc>
          <w:tcPr>
            <w:tcW w:w="613" w:type="pct"/>
            <w:tcBorders>
              <w:tl2br w:val="nil"/>
              <w:tr2bl w:val="nil"/>
            </w:tcBorders>
            <w:vAlign w:val="center"/>
          </w:tcPr>
          <w:p w14:paraId="2B0D868B">
            <w:pPr>
              <w:kinsoku/>
              <w:spacing w:beforeLines="0" w:afterLines="0" w:line="0" w:lineRule="atLeast"/>
              <w:ind w:firstLine="0" w:firstLineChars="0"/>
              <w:jc w:val="center"/>
              <w:rPr>
                <w:color w:val="auto"/>
                <w:sz w:val="21"/>
                <w:highlight w:val="none"/>
              </w:rPr>
            </w:pPr>
          </w:p>
        </w:tc>
      </w:tr>
    </w:tbl>
    <w:p w14:paraId="5485CC3B">
      <w:pPr>
        <w:pStyle w:val="7"/>
        <w:kinsoku/>
        <w:spacing w:beforeLines="0" w:afterLines="0"/>
        <w:ind w:firstLine="420"/>
        <w:jc w:val="left"/>
        <w:rPr>
          <w:color w:val="auto"/>
          <w:highlight w:val="none"/>
        </w:rPr>
      </w:pPr>
    </w:p>
    <w:p w14:paraId="7A9FBC38">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1C51D62E">
      <w:pPr>
        <w:tabs>
          <w:tab w:val="left" w:pos="3229"/>
        </w:tabs>
        <w:kinsoku/>
        <w:spacing w:before="0" w:beforeLines="0" w:afterLines="0"/>
        <w:ind w:left="145"/>
        <w:outlineLvl w:val="9"/>
        <w:rPr>
          <w:rFonts w:hint="eastAsia" w:cs="宋体"/>
          <w:bCs/>
          <w:color w:val="auto"/>
          <w:szCs w:val="24"/>
          <w:highlight w:val="none"/>
          <w:lang w:eastAsia="zh-CN"/>
        </w:rPr>
      </w:pPr>
      <w:bookmarkStart w:id="2576" w:name="_Toc20242"/>
      <w:bookmarkStart w:id="2577" w:name="_Toc11494"/>
      <w:bookmarkStart w:id="2578" w:name="_Toc5678"/>
      <w:r>
        <w:rPr>
          <w:rFonts w:hint="eastAsia" w:ascii="宋体" w:cs="宋体"/>
          <w:b/>
          <w:bCs/>
          <w:color w:val="auto"/>
          <w:spacing w:val="0"/>
          <w:sz w:val="24"/>
          <w:szCs w:val="24"/>
          <w:highlight w:val="none"/>
          <w:lang w:eastAsia="zh-CN"/>
        </w:rPr>
        <w:t>附件三：</w:t>
      </w:r>
      <w:bookmarkEnd w:id="2576"/>
      <w:bookmarkEnd w:id="2577"/>
      <w:bookmarkEnd w:id="2578"/>
    </w:p>
    <w:p w14:paraId="7D16B69C">
      <w:pPr>
        <w:tabs>
          <w:tab w:val="left" w:pos="3229"/>
        </w:tabs>
        <w:kinsoku/>
        <w:spacing w:before="0" w:beforeLines="0" w:afterLines="0"/>
        <w:ind w:left="0"/>
        <w:jc w:val="center"/>
        <w:outlineLvl w:val="9"/>
        <w:rPr>
          <w:rFonts w:hint="eastAsia" w:cs="宋体"/>
          <w:bCs/>
          <w:color w:val="auto"/>
          <w:szCs w:val="24"/>
          <w:highlight w:val="none"/>
          <w:lang w:eastAsia="zh-CN"/>
        </w:rPr>
      </w:pPr>
      <w:bookmarkStart w:id="2579" w:name="_Toc11855"/>
      <w:bookmarkStart w:id="2580" w:name="_Toc6323"/>
      <w:bookmarkStart w:id="2581" w:name="_Toc30621"/>
      <w:r>
        <w:rPr>
          <w:rFonts w:hint="eastAsia" w:ascii="宋体" w:cs="宋体"/>
          <w:b/>
          <w:bCs/>
          <w:color w:val="auto"/>
          <w:spacing w:val="0"/>
          <w:sz w:val="24"/>
          <w:szCs w:val="24"/>
          <w:highlight w:val="none"/>
          <w:lang w:eastAsia="zh-CN"/>
        </w:rPr>
        <w:t>拟投入本标段的劳动力计划表</w:t>
      </w:r>
      <w:bookmarkEnd w:id="2579"/>
      <w:bookmarkEnd w:id="2580"/>
      <w:bookmarkEnd w:id="2581"/>
    </w:p>
    <w:p w14:paraId="72595334">
      <w:pPr>
        <w:tabs>
          <w:tab w:val="left" w:pos="3229"/>
        </w:tabs>
        <w:kinsoku/>
        <w:spacing w:before="0" w:beforeLines="0" w:afterLines="0"/>
        <w:ind w:left="0" w:leftChars="0" w:right="240" w:rightChars="100"/>
        <w:jc w:val="right"/>
        <w:outlineLvl w:val="9"/>
        <w:rPr>
          <w:rFonts w:hint="eastAsia" w:cs="宋体"/>
          <w:bCs/>
          <w:color w:val="auto"/>
          <w:szCs w:val="24"/>
          <w:highlight w:val="none"/>
        </w:rPr>
      </w:pPr>
      <w:bookmarkStart w:id="2582" w:name="_Toc21238"/>
      <w:bookmarkStart w:id="2583" w:name="_Toc27725"/>
      <w:bookmarkStart w:id="2584" w:name="_Toc2018"/>
      <w:r>
        <w:rPr>
          <w:rFonts w:hint="eastAsia" w:ascii="宋体" w:cs="宋体"/>
          <w:b/>
          <w:bCs/>
          <w:color w:val="auto"/>
          <w:spacing w:val="0"/>
          <w:sz w:val="24"/>
          <w:szCs w:val="24"/>
          <w:highlight w:val="none"/>
          <w:lang w:eastAsia="en-US"/>
        </w:rPr>
        <w:t>单位：人</w:t>
      </w:r>
      <w:bookmarkEnd w:id="2582"/>
      <w:bookmarkEnd w:id="2583"/>
      <w:bookmarkEnd w:id="2584"/>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40"/>
        <w:gridCol w:w="1015"/>
        <w:gridCol w:w="1013"/>
        <w:gridCol w:w="1015"/>
        <w:gridCol w:w="1011"/>
        <w:gridCol w:w="1139"/>
        <w:gridCol w:w="1137"/>
        <w:gridCol w:w="1153"/>
      </w:tblGrid>
      <w:tr w14:paraId="2726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08F1FFA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工种</w:t>
            </w:r>
          </w:p>
        </w:tc>
        <w:tc>
          <w:tcPr>
            <w:tcW w:w="4100" w:type="pct"/>
            <w:gridSpan w:val="7"/>
            <w:tcBorders>
              <w:tl2br w:val="nil"/>
              <w:tr2bl w:val="nil"/>
            </w:tcBorders>
            <w:vAlign w:val="center"/>
          </w:tcPr>
          <w:p w14:paraId="7AE79BD0">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按工程施工阶段投入劳动力情况</w:t>
            </w:r>
          </w:p>
        </w:tc>
      </w:tr>
      <w:tr w14:paraId="3567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7410F9F9">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20B644E5">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34F9FFF3">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976A401">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5E8C7C4F">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240477A1">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5748C345">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55997BD8">
            <w:pPr>
              <w:kinsoku/>
              <w:spacing w:beforeLines="0" w:afterLines="0" w:line="0" w:lineRule="atLeast"/>
              <w:ind w:firstLine="0" w:firstLineChars="0"/>
              <w:jc w:val="center"/>
              <w:rPr>
                <w:color w:val="auto"/>
                <w:sz w:val="21"/>
                <w:highlight w:val="none"/>
                <w:lang w:eastAsia="zh-CN"/>
              </w:rPr>
            </w:pPr>
          </w:p>
        </w:tc>
      </w:tr>
      <w:tr w14:paraId="2096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5FEB4DFA">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41B01565">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253FF4FD">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1B5C65D1">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5271E80F">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52FDDDC2">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1667185E">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53264606">
            <w:pPr>
              <w:kinsoku/>
              <w:spacing w:beforeLines="0" w:afterLines="0" w:line="0" w:lineRule="atLeast"/>
              <w:ind w:firstLine="0" w:firstLineChars="0"/>
              <w:jc w:val="center"/>
              <w:rPr>
                <w:color w:val="auto"/>
                <w:sz w:val="21"/>
                <w:highlight w:val="none"/>
                <w:lang w:eastAsia="zh-CN"/>
              </w:rPr>
            </w:pPr>
          </w:p>
        </w:tc>
      </w:tr>
      <w:tr w14:paraId="2FDE4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591C2468">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09DEAC2A">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084029CB">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358D1A9F">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08CAECEA">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4A9C0368">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4F2A245D">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71B1B5AE">
            <w:pPr>
              <w:kinsoku/>
              <w:spacing w:beforeLines="0" w:afterLines="0" w:line="0" w:lineRule="atLeast"/>
              <w:ind w:firstLine="0" w:firstLineChars="0"/>
              <w:jc w:val="center"/>
              <w:rPr>
                <w:color w:val="auto"/>
                <w:sz w:val="21"/>
                <w:highlight w:val="none"/>
                <w:lang w:eastAsia="zh-CN"/>
              </w:rPr>
            </w:pPr>
          </w:p>
        </w:tc>
      </w:tr>
      <w:tr w14:paraId="01C1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5B87CBEC">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4BFD1D6">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407EF788">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70C9752E">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339DC5AE">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6DA6B940">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6E1BA03B">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22AF6A01">
            <w:pPr>
              <w:kinsoku/>
              <w:spacing w:beforeLines="0" w:afterLines="0" w:line="0" w:lineRule="atLeast"/>
              <w:ind w:firstLine="0" w:firstLineChars="0"/>
              <w:jc w:val="center"/>
              <w:rPr>
                <w:color w:val="auto"/>
                <w:sz w:val="21"/>
                <w:highlight w:val="none"/>
                <w:lang w:eastAsia="zh-CN"/>
              </w:rPr>
            </w:pPr>
          </w:p>
        </w:tc>
      </w:tr>
      <w:tr w14:paraId="6EA2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3AE42A74">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57C3F317">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242F992B">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00C8A142">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2BCD14FB">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1A33BE6E">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59812B70">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778E20E8">
            <w:pPr>
              <w:kinsoku/>
              <w:spacing w:beforeLines="0" w:afterLines="0" w:line="0" w:lineRule="atLeast"/>
              <w:ind w:firstLine="0" w:firstLineChars="0"/>
              <w:jc w:val="center"/>
              <w:rPr>
                <w:color w:val="auto"/>
                <w:sz w:val="21"/>
                <w:highlight w:val="none"/>
                <w:lang w:eastAsia="zh-CN"/>
              </w:rPr>
            </w:pPr>
          </w:p>
        </w:tc>
      </w:tr>
      <w:tr w14:paraId="7C25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5406649B">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5431B0A7">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2633C476">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333FC366">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66C54BAA">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27183D68">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3C919BFA">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1DAD1799">
            <w:pPr>
              <w:kinsoku/>
              <w:spacing w:beforeLines="0" w:afterLines="0" w:line="0" w:lineRule="atLeast"/>
              <w:ind w:firstLine="0" w:firstLineChars="0"/>
              <w:jc w:val="center"/>
              <w:rPr>
                <w:color w:val="auto"/>
                <w:sz w:val="21"/>
                <w:highlight w:val="none"/>
                <w:lang w:eastAsia="zh-CN"/>
              </w:rPr>
            </w:pPr>
          </w:p>
        </w:tc>
      </w:tr>
      <w:tr w14:paraId="276A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560873D4">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5F24FD50">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4C735B71">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4A218C3B">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66DE2A26">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7648809C">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6DFE6F66">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19C89E5D">
            <w:pPr>
              <w:kinsoku/>
              <w:spacing w:beforeLines="0" w:afterLines="0" w:line="0" w:lineRule="atLeast"/>
              <w:ind w:firstLine="0" w:firstLineChars="0"/>
              <w:jc w:val="center"/>
              <w:rPr>
                <w:color w:val="auto"/>
                <w:sz w:val="21"/>
                <w:highlight w:val="none"/>
                <w:lang w:eastAsia="zh-CN"/>
              </w:rPr>
            </w:pPr>
          </w:p>
        </w:tc>
      </w:tr>
      <w:tr w14:paraId="2B59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3BB8A7D5">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E925A98">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3E7F40E3">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0BA53537">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18A7152F">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71B85279">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1A880F30">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1DB4B2F0">
            <w:pPr>
              <w:kinsoku/>
              <w:spacing w:beforeLines="0" w:afterLines="0" w:line="0" w:lineRule="atLeast"/>
              <w:ind w:firstLine="0" w:firstLineChars="0"/>
              <w:jc w:val="center"/>
              <w:rPr>
                <w:color w:val="auto"/>
                <w:sz w:val="21"/>
                <w:highlight w:val="none"/>
                <w:lang w:eastAsia="zh-CN"/>
              </w:rPr>
            </w:pPr>
          </w:p>
        </w:tc>
      </w:tr>
      <w:tr w14:paraId="4465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6B7901A3">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24DB1DE7">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1D473B34">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055910E6">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31C1163B">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6CE1770C">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18C1FD5B">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21AA5373">
            <w:pPr>
              <w:kinsoku/>
              <w:spacing w:beforeLines="0" w:afterLines="0" w:line="0" w:lineRule="atLeast"/>
              <w:ind w:firstLine="0" w:firstLineChars="0"/>
              <w:jc w:val="center"/>
              <w:rPr>
                <w:color w:val="auto"/>
                <w:sz w:val="21"/>
                <w:highlight w:val="none"/>
                <w:lang w:eastAsia="zh-CN"/>
              </w:rPr>
            </w:pPr>
          </w:p>
        </w:tc>
      </w:tr>
      <w:tr w14:paraId="750A8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7F932CFD">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0940607F">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48244E14">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2830D790">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0811B249">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75820B31">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17F4D9AC">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1C2981D2">
            <w:pPr>
              <w:kinsoku/>
              <w:spacing w:beforeLines="0" w:afterLines="0" w:line="0" w:lineRule="atLeast"/>
              <w:ind w:firstLine="0" w:firstLineChars="0"/>
              <w:jc w:val="center"/>
              <w:rPr>
                <w:color w:val="auto"/>
                <w:sz w:val="21"/>
                <w:highlight w:val="none"/>
                <w:lang w:eastAsia="zh-CN"/>
              </w:rPr>
            </w:pPr>
          </w:p>
        </w:tc>
      </w:tr>
      <w:tr w14:paraId="2C3B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7BCB17D0">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1F98B0EE">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7EFC34F2">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3E82834">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0FB03D8D">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4404463A">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4B8B2B5C">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7C9771C4">
            <w:pPr>
              <w:kinsoku/>
              <w:spacing w:beforeLines="0" w:afterLines="0" w:line="0" w:lineRule="atLeast"/>
              <w:ind w:firstLine="0" w:firstLineChars="0"/>
              <w:jc w:val="center"/>
              <w:rPr>
                <w:color w:val="auto"/>
                <w:sz w:val="21"/>
                <w:highlight w:val="none"/>
                <w:lang w:eastAsia="zh-CN"/>
              </w:rPr>
            </w:pPr>
          </w:p>
        </w:tc>
      </w:tr>
      <w:tr w14:paraId="614B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6F4017A8">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4FC57A40">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0CE4A572">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1BCBF63">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72B9795B">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1D1BD481">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0FBC171B">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67C99EC0">
            <w:pPr>
              <w:kinsoku/>
              <w:spacing w:beforeLines="0" w:afterLines="0" w:line="0" w:lineRule="atLeast"/>
              <w:ind w:firstLine="0" w:firstLineChars="0"/>
              <w:jc w:val="center"/>
              <w:rPr>
                <w:color w:val="auto"/>
                <w:sz w:val="21"/>
                <w:highlight w:val="none"/>
                <w:lang w:eastAsia="zh-CN"/>
              </w:rPr>
            </w:pPr>
          </w:p>
        </w:tc>
      </w:tr>
      <w:tr w14:paraId="02239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5EF5AE95">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704DB2E1">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0DC0C717">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0126A43">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3CCF914C">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018EC3E1">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2C130F83">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48C2CF1D">
            <w:pPr>
              <w:kinsoku/>
              <w:spacing w:beforeLines="0" w:afterLines="0" w:line="0" w:lineRule="atLeast"/>
              <w:ind w:firstLine="0" w:firstLineChars="0"/>
              <w:jc w:val="center"/>
              <w:rPr>
                <w:color w:val="auto"/>
                <w:sz w:val="21"/>
                <w:highlight w:val="none"/>
                <w:lang w:eastAsia="zh-CN"/>
              </w:rPr>
            </w:pPr>
          </w:p>
        </w:tc>
      </w:tr>
      <w:tr w14:paraId="4CBA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2FBB7CCC">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114727F4">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3CAE6801">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BC2EFCE">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34986B26">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134AC99C">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1D8C0506">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2D625A33">
            <w:pPr>
              <w:kinsoku/>
              <w:spacing w:beforeLines="0" w:afterLines="0" w:line="0" w:lineRule="atLeast"/>
              <w:ind w:firstLine="0" w:firstLineChars="0"/>
              <w:jc w:val="center"/>
              <w:rPr>
                <w:color w:val="auto"/>
                <w:sz w:val="21"/>
                <w:highlight w:val="none"/>
                <w:lang w:eastAsia="zh-CN"/>
              </w:rPr>
            </w:pPr>
          </w:p>
        </w:tc>
      </w:tr>
      <w:tr w14:paraId="7352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46AFC49C">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1CC41A24">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21208EB4">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56A87CD8">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4347654D">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50434419">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7E701368">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6ECF581D">
            <w:pPr>
              <w:kinsoku/>
              <w:spacing w:beforeLines="0" w:afterLines="0" w:line="0" w:lineRule="atLeast"/>
              <w:ind w:firstLine="0" w:firstLineChars="0"/>
              <w:jc w:val="center"/>
              <w:rPr>
                <w:color w:val="auto"/>
                <w:sz w:val="21"/>
                <w:highlight w:val="none"/>
                <w:lang w:eastAsia="zh-CN"/>
              </w:rPr>
            </w:pPr>
          </w:p>
        </w:tc>
      </w:tr>
      <w:tr w14:paraId="6755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0D561D1F">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8C917FB">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45DE5CE1">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34A88E3D">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79C1D9A3">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4E32A58D">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6C40A2B3">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4085379D">
            <w:pPr>
              <w:kinsoku/>
              <w:spacing w:beforeLines="0" w:afterLines="0" w:line="0" w:lineRule="atLeast"/>
              <w:ind w:firstLine="0" w:firstLineChars="0"/>
              <w:jc w:val="center"/>
              <w:rPr>
                <w:color w:val="auto"/>
                <w:sz w:val="21"/>
                <w:highlight w:val="none"/>
                <w:lang w:eastAsia="zh-CN"/>
              </w:rPr>
            </w:pPr>
          </w:p>
        </w:tc>
      </w:tr>
      <w:tr w14:paraId="79FBA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63B31365">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3360755D">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4FFEA1DC">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169BF1AA">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0FF5A182">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16993361">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3455EDD0">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2DF42299">
            <w:pPr>
              <w:kinsoku/>
              <w:spacing w:beforeLines="0" w:afterLines="0" w:line="0" w:lineRule="atLeast"/>
              <w:ind w:firstLine="0" w:firstLineChars="0"/>
              <w:jc w:val="center"/>
              <w:rPr>
                <w:color w:val="auto"/>
                <w:sz w:val="21"/>
                <w:highlight w:val="none"/>
                <w:lang w:eastAsia="zh-CN"/>
              </w:rPr>
            </w:pPr>
          </w:p>
        </w:tc>
      </w:tr>
      <w:tr w14:paraId="6631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6AA388A2">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74A5A63F">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3B6954DE">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0CE021DD">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434BB91C">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014C7684">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00FCE7A8">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302049B7">
            <w:pPr>
              <w:kinsoku/>
              <w:spacing w:beforeLines="0" w:afterLines="0" w:line="0" w:lineRule="atLeast"/>
              <w:ind w:firstLine="0" w:firstLineChars="0"/>
              <w:jc w:val="center"/>
              <w:rPr>
                <w:color w:val="auto"/>
                <w:sz w:val="21"/>
                <w:highlight w:val="none"/>
                <w:lang w:eastAsia="zh-CN"/>
              </w:rPr>
            </w:pPr>
          </w:p>
        </w:tc>
      </w:tr>
      <w:tr w14:paraId="37363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99" w:type="pct"/>
            <w:tcBorders>
              <w:tl2br w:val="nil"/>
              <w:tr2bl w:val="nil"/>
            </w:tcBorders>
            <w:vAlign w:val="center"/>
          </w:tcPr>
          <w:p w14:paraId="6042D23A">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69C64BF6">
            <w:pPr>
              <w:kinsoku/>
              <w:spacing w:beforeLines="0" w:afterLines="0" w:line="0" w:lineRule="atLeast"/>
              <w:ind w:firstLine="0" w:firstLineChars="0"/>
              <w:jc w:val="center"/>
              <w:rPr>
                <w:color w:val="auto"/>
                <w:sz w:val="21"/>
                <w:highlight w:val="none"/>
                <w:lang w:eastAsia="zh-CN"/>
              </w:rPr>
            </w:pPr>
          </w:p>
        </w:tc>
        <w:tc>
          <w:tcPr>
            <w:tcW w:w="555" w:type="pct"/>
            <w:tcBorders>
              <w:tl2br w:val="nil"/>
              <w:tr2bl w:val="nil"/>
            </w:tcBorders>
            <w:vAlign w:val="center"/>
          </w:tcPr>
          <w:p w14:paraId="0034E2CA">
            <w:pPr>
              <w:kinsoku/>
              <w:spacing w:beforeLines="0" w:afterLines="0" w:line="0" w:lineRule="atLeast"/>
              <w:ind w:firstLine="0" w:firstLineChars="0"/>
              <w:jc w:val="center"/>
              <w:rPr>
                <w:color w:val="auto"/>
                <w:sz w:val="21"/>
                <w:highlight w:val="none"/>
                <w:lang w:eastAsia="zh-CN"/>
              </w:rPr>
            </w:pPr>
          </w:p>
        </w:tc>
        <w:tc>
          <w:tcPr>
            <w:tcW w:w="556" w:type="pct"/>
            <w:tcBorders>
              <w:tl2br w:val="nil"/>
              <w:tr2bl w:val="nil"/>
            </w:tcBorders>
            <w:vAlign w:val="center"/>
          </w:tcPr>
          <w:p w14:paraId="1441C210">
            <w:pPr>
              <w:kinsoku/>
              <w:spacing w:beforeLines="0" w:afterLines="0" w:line="0" w:lineRule="atLeast"/>
              <w:ind w:firstLine="0" w:firstLineChars="0"/>
              <w:jc w:val="center"/>
              <w:rPr>
                <w:color w:val="auto"/>
                <w:sz w:val="21"/>
                <w:highlight w:val="none"/>
                <w:lang w:eastAsia="zh-CN"/>
              </w:rPr>
            </w:pPr>
          </w:p>
        </w:tc>
        <w:tc>
          <w:tcPr>
            <w:tcW w:w="554" w:type="pct"/>
            <w:tcBorders>
              <w:tl2br w:val="nil"/>
              <w:tr2bl w:val="nil"/>
            </w:tcBorders>
            <w:vAlign w:val="center"/>
          </w:tcPr>
          <w:p w14:paraId="66927FFD">
            <w:pPr>
              <w:kinsoku/>
              <w:spacing w:beforeLines="0" w:afterLines="0" w:line="0" w:lineRule="atLeast"/>
              <w:ind w:firstLine="0" w:firstLineChars="0"/>
              <w:jc w:val="center"/>
              <w:rPr>
                <w:color w:val="auto"/>
                <w:sz w:val="21"/>
                <w:highlight w:val="none"/>
                <w:lang w:eastAsia="zh-CN"/>
              </w:rPr>
            </w:pPr>
          </w:p>
        </w:tc>
        <w:tc>
          <w:tcPr>
            <w:tcW w:w="624" w:type="pct"/>
            <w:tcBorders>
              <w:tl2br w:val="nil"/>
              <w:tr2bl w:val="nil"/>
            </w:tcBorders>
            <w:vAlign w:val="center"/>
          </w:tcPr>
          <w:p w14:paraId="09EB7138">
            <w:pPr>
              <w:kinsoku/>
              <w:spacing w:beforeLines="0" w:afterLines="0" w:line="0" w:lineRule="atLeast"/>
              <w:ind w:firstLine="0" w:firstLineChars="0"/>
              <w:jc w:val="center"/>
              <w:rPr>
                <w:color w:val="auto"/>
                <w:sz w:val="21"/>
                <w:highlight w:val="none"/>
                <w:lang w:eastAsia="zh-CN"/>
              </w:rPr>
            </w:pPr>
          </w:p>
        </w:tc>
        <w:tc>
          <w:tcPr>
            <w:tcW w:w="623" w:type="pct"/>
            <w:tcBorders>
              <w:tl2br w:val="nil"/>
              <w:tr2bl w:val="nil"/>
            </w:tcBorders>
            <w:vAlign w:val="center"/>
          </w:tcPr>
          <w:p w14:paraId="2C2288C0">
            <w:pPr>
              <w:kinsoku/>
              <w:spacing w:beforeLines="0" w:afterLines="0" w:line="0" w:lineRule="atLeast"/>
              <w:ind w:firstLine="0" w:firstLineChars="0"/>
              <w:jc w:val="center"/>
              <w:rPr>
                <w:color w:val="auto"/>
                <w:sz w:val="21"/>
                <w:highlight w:val="none"/>
                <w:lang w:eastAsia="zh-CN"/>
              </w:rPr>
            </w:pPr>
          </w:p>
        </w:tc>
        <w:tc>
          <w:tcPr>
            <w:tcW w:w="629" w:type="pct"/>
            <w:tcBorders>
              <w:tl2br w:val="nil"/>
              <w:tr2bl w:val="nil"/>
            </w:tcBorders>
            <w:vAlign w:val="center"/>
          </w:tcPr>
          <w:p w14:paraId="0770A9A5">
            <w:pPr>
              <w:kinsoku/>
              <w:spacing w:beforeLines="0" w:afterLines="0" w:line="0" w:lineRule="atLeast"/>
              <w:ind w:firstLine="0" w:firstLineChars="0"/>
              <w:jc w:val="center"/>
              <w:rPr>
                <w:color w:val="auto"/>
                <w:sz w:val="21"/>
                <w:highlight w:val="none"/>
                <w:lang w:eastAsia="zh-CN"/>
              </w:rPr>
            </w:pPr>
          </w:p>
        </w:tc>
      </w:tr>
    </w:tbl>
    <w:p w14:paraId="2DAB50B5">
      <w:pPr>
        <w:pStyle w:val="7"/>
        <w:kinsoku/>
        <w:spacing w:beforeLines="0" w:afterLines="0"/>
        <w:ind w:firstLine="420"/>
        <w:jc w:val="left"/>
        <w:rPr>
          <w:color w:val="auto"/>
          <w:highlight w:val="none"/>
          <w:lang w:eastAsia="zh-CN"/>
        </w:rPr>
      </w:pPr>
    </w:p>
    <w:p w14:paraId="637BC5E0">
      <w:pPr>
        <w:kinsoku/>
        <w:adjustRightInd/>
        <w:snapToGrid/>
        <w:spacing w:beforeLines="0" w:afterLines="0" w:line="240" w:lineRule="auto"/>
        <w:ind w:firstLine="420"/>
        <w:jc w:val="left"/>
        <w:textAlignment w:val="auto"/>
        <w:rPr>
          <w:color w:val="auto"/>
          <w:highlight w:val="none"/>
          <w:lang w:eastAsia="zh-CN"/>
        </w:rPr>
      </w:pPr>
      <w:r>
        <w:rPr>
          <w:color w:val="auto"/>
          <w:highlight w:val="none"/>
          <w:lang w:eastAsia="zh-CN"/>
        </w:rPr>
        <w:br w:type="page"/>
      </w:r>
    </w:p>
    <w:p w14:paraId="77098DF6">
      <w:pPr>
        <w:tabs>
          <w:tab w:val="left" w:pos="3229"/>
        </w:tabs>
        <w:kinsoku/>
        <w:spacing w:before="0" w:beforeLines="0" w:afterLines="0"/>
        <w:ind w:left="14"/>
        <w:outlineLvl w:val="9"/>
        <w:rPr>
          <w:rFonts w:hint="eastAsia" w:cs="宋体"/>
          <w:bCs/>
          <w:color w:val="auto"/>
          <w:szCs w:val="24"/>
          <w:highlight w:val="none"/>
          <w:lang w:eastAsia="zh-CN"/>
        </w:rPr>
      </w:pPr>
      <w:bookmarkStart w:id="2585" w:name="_Toc26100"/>
      <w:bookmarkStart w:id="2586" w:name="_Toc5704"/>
      <w:bookmarkStart w:id="2587" w:name="_Toc25058"/>
      <w:r>
        <w:rPr>
          <w:rFonts w:hint="eastAsia" w:ascii="宋体" w:cs="宋体"/>
          <w:b/>
          <w:bCs/>
          <w:color w:val="auto"/>
          <w:spacing w:val="0"/>
          <w:sz w:val="24"/>
          <w:szCs w:val="24"/>
          <w:highlight w:val="none"/>
          <w:lang w:eastAsia="zh-CN"/>
        </w:rPr>
        <w:t>附件四：</w:t>
      </w:r>
      <w:bookmarkEnd w:id="2585"/>
      <w:bookmarkEnd w:id="2586"/>
      <w:bookmarkEnd w:id="2587"/>
    </w:p>
    <w:p w14:paraId="0729A4A6">
      <w:pPr>
        <w:tabs>
          <w:tab w:val="left" w:pos="3229"/>
        </w:tabs>
        <w:kinsoku/>
        <w:spacing w:before="0" w:beforeLines="0" w:afterLines="0"/>
        <w:ind w:left="0"/>
        <w:jc w:val="center"/>
        <w:outlineLvl w:val="9"/>
        <w:rPr>
          <w:rFonts w:hint="eastAsia" w:cs="宋体"/>
          <w:bCs/>
          <w:color w:val="auto"/>
          <w:szCs w:val="24"/>
          <w:highlight w:val="none"/>
          <w:lang w:eastAsia="zh-CN"/>
        </w:rPr>
      </w:pPr>
      <w:bookmarkStart w:id="2588" w:name="_Toc6124"/>
      <w:bookmarkStart w:id="2589" w:name="_Toc9898"/>
      <w:bookmarkStart w:id="2590" w:name="_Toc18893"/>
      <w:r>
        <w:rPr>
          <w:rFonts w:hint="eastAsia" w:ascii="宋体" w:cs="宋体"/>
          <w:b/>
          <w:bCs/>
          <w:color w:val="auto"/>
          <w:spacing w:val="0"/>
          <w:sz w:val="24"/>
          <w:szCs w:val="24"/>
          <w:highlight w:val="none"/>
          <w:lang w:eastAsia="zh-CN"/>
        </w:rPr>
        <w:t>计划开工日期、完工日期和施工进度表</w:t>
      </w:r>
      <w:bookmarkEnd w:id="2588"/>
      <w:bookmarkEnd w:id="2589"/>
      <w:bookmarkEnd w:id="2590"/>
    </w:p>
    <w:p w14:paraId="42F0BA56">
      <w:pPr>
        <w:kinsoku/>
        <w:jc w:val="left"/>
        <w:rPr>
          <w:color w:val="auto"/>
          <w:highlight w:val="none"/>
          <w:lang w:eastAsia="zh-CN"/>
        </w:rPr>
      </w:pPr>
    </w:p>
    <w:p w14:paraId="3AB1BA23">
      <w:pPr>
        <w:kinsoku/>
        <w:jc w:val="left"/>
        <w:rPr>
          <w:color w:val="auto"/>
          <w:highlight w:val="none"/>
          <w:lang w:eastAsia="zh-CN"/>
        </w:rPr>
      </w:pPr>
    </w:p>
    <w:p w14:paraId="21C2A60E">
      <w:pPr>
        <w:kinsoku/>
        <w:jc w:val="left"/>
        <w:rPr>
          <w:color w:val="auto"/>
          <w:highlight w:val="none"/>
          <w:lang w:eastAsia="zh-CN"/>
        </w:rPr>
      </w:pPr>
      <w:r>
        <w:rPr>
          <w:rFonts w:ascii="宋体" w:hAnsi="宋体" w:eastAsia="宋体" w:cs="Arial"/>
          <w:b w:val="0"/>
          <w:color w:val="auto"/>
          <w:spacing w:val="0"/>
          <w:position w:val="0"/>
          <w:sz w:val="24"/>
          <w:szCs w:val="24"/>
          <w:highlight w:val="none"/>
          <w:lang w:eastAsia="zh-CN"/>
        </w:rPr>
        <w:t xml:space="preserve">1. </w:t>
      </w:r>
      <w:r>
        <w:rPr>
          <w:rFonts w:ascii="宋体" w:cs="Arial"/>
          <w:b w:val="0"/>
          <w:color w:val="auto"/>
          <w:spacing w:val="0"/>
          <w:position w:val="0"/>
          <w:sz w:val="24"/>
          <w:szCs w:val="24"/>
          <w:highlight w:val="none"/>
          <w:lang w:eastAsia="zh-CN"/>
        </w:rPr>
        <w:t>投标人应递交施工进度表，说明按招标文件要求的计划工期进行施工的各个</w:t>
      </w:r>
      <w:r>
        <w:rPr>
          <w:rFonts w:ascii="宋体" w:cs="Arial"/>
          <w:b w:val="0"/>
          <w:color w:val="auto"/>
          <w:spacing w:val="0"/>
          <w:sz w:val="24"/>
          <w:szCs w:val="24"/>
          <w:highlight w:val="none"/>
          <w:lang w:eastAsia="zh-CN"/>
        </w:rPr>
        <w:t>关键日期。</w:t>
      </w:r>
    </w:p>
    <w:p w14:paraId="6204C343">
      <w:pPr>
        <w:kinsoku/>
        <w:spacing w:before="0"/>
        <w:ind w:left="0"/>
        <w:jc w:val="left"/>
        <w:rPr>
          <w:color w:val="auto"/>
          <w:highlight w:val="none"/>
          <w:lang w:eastAsia="zh-CN"/>
        </w:rPr>
      </w:pPr>
      <w:r>
        <w:rPr>
          <w:rFonts w:ascii="宋体" w:hAnsi="宋体" w:eastAsia="宋体" w:cs="Arial"/>
          <w:b w:val="0"/>
          <w:color w:val="auto"/>
          <w:spacing w:val="0"/>
          <w:sz w:val="24"/>
          <w:szCs w:val="24"/>
          <w:highlight w:val="none"/>
          <w:lang w:eastAsia="zh-CN"/>
        </w:rPr>
        <w:t xml:space="preserve">2. </w:t>
      </w:r>
      <w:r>
        <w:rPr>
          <w:rFonts w:ascii="宋体" w:cs="Arial"/>
          <w:b w:val="0"/>
          <w:color w:val="auto"/>
          <w:spacing w:val="0"/>
          <w:sz w:val="24"/>
          <w:szCs w:val="24"/>
          <w:highlight w:val="none"/>
          <w:lang w:eastAsia="zh-CN"/>
        </w:rPr>
        <w:t>施工进度表可采用网络图（或横道图）表示。</w:t>
      </w:r>
    </w:p>
    <w:p w14:paraId="73E52BBF">
      <w:pPr>
        <w:kinsoku/>
        <w:spacing w:beforeLines="0" w:afterLines="0"/>
        <w:ind w:firstLine="420"/>
        <w:jc w:val="left"/>
        <w:rPr>
          <w:rFonts w:cs="宋体"/>
          <w:color w:val="auto"/>
          <w:szCs w:val="24"/>
          <w:highlight w:val="none"/>
          <w:lang w:eastAsia="zh-CN"/>
        </w:rPr>
      </w:pPr>
    </w:p>
    <w:p w14:paraId="644D0FE4">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351CA89D">
      <w:pPr>
        <w:tabs>
          <w:tab w:val="left" w:pos="3229"/>
        </w:tabs>
        <w:kinsoku/>
        <w:spacing w:before="0" w:beforeLines="0" w:afterLines="0"/>
        <w:ind w:left="15"/>
        <w:outlineLvl w:val="9"/>
        <w:rPr>
          <w:rFonts w:hint="eastAsia" w:cs="宋体"/>
          <w:bCs/>
          <w:color w:val="auto"/>
          <w:szCs w:val="24"/>
          <w:highlight w:val="none"/>
          <w:lang w:eastAsia="zh-CN"/>
        </w:rPr>
      </w:pPr>
      <w:bookmarkStart w:id="2591" w:name="_Toc23540"/>
      <w:bookmarkStart w:id="2592" w:name="_Toc15439"/>
      <w:bookmarkStart w:id="2593" w:name="_Toc24903"/>
      <w:r>
        <w:rPr>
          <w:rFonts w:hint="eastAsia" w:ascii="宋体" w:cs="宋体"/>
          <w:b/>
          <w:bCs/>
          <w:color w:val="auto"/>
          <w:spacing w:val="0"/>
          <w:sz w:val="24"/>
          <w:szCs w:val="24"/>
          <w:highlight w:val="none"/>
          <w:lang w:eastAsia="zh-CN"/>
        </w:rPr>
        <w:t>附件五：</w:t>
      </w:r>
      <w:bookmarkEnd w:id="2591"/>
      <w:bookmarkEnd w:id="2592"/>
      <w:bookmarkEnd w:id="2593"/>
    </w:p>
    <w:p w14:paraId="3E46D173">
      <w:pPr>
        <w:tabs>
          <w:tab w:val="left" w:pos="3229"/>
        </w:tabs>
        <w:kinsoku/>
        <w:spacing w:before="0" w:beforeLines="0" w:afterLines="0"/>
        <w:ind w:left="0"/>
        <w:jc w:val="center"/>
        <w:outlineLvl w:val="9"/>
        <w:rPr>
          <w:rFonts w:hint="eastAsia" w:ascii="宋体" w:cs="宋体"/>
          <w:b/>
          <w:bCs/>
          <w:color w:val="auto"/>
          <w:spacing w:val="0"/>
          <w:sz w:val="24"/>
          <w:szCs w:val="24"/>
          <w:highlight w:val="none"/>
          <w:lang w:eastAsia="zh-CN"/>
        </w:rPr>
      </w:pPr>
      <w:bookmarkStart w:id="2594" w:name="_Toc29052"/>
      <w:bookmarkStart w:id="2595" w:name="_Toc28366"/>
      <w:bookmarkStart w:id="2596" w:name="_Toc32048"/>
      <w:r>
        <w:rPr>
          <w:rFonts w:hint="eastAsia" w:ascii="宋体" w:cs="宋体"/>
          <w:b/>
          <w:bCs/>
          <w:color w:val="auto"/>
          <w:spacing w:val="0"/>
          <w:sz w:val="24"/>
          <w:szCs w:val="24"/>
          <w:highlight w:val="none"/>
          <w:lang w:eastAsia="zh-CN"/>
        </w:rPr>
        <w:t>施工总平面图</w:t>
      </w:r>
      <w:bookmarkEnd w:id="2594"/>
      <w:bookmarkEnd w:id="2595"/>
      <w:bookmarkEnd w:id="2596"/>
    </w:p>
    <w:p w14:paraId="073AD8B8">
      <w:pPr>
        <w:kinsoku/>
        <w:spacing w:before="182"/>
        <w:ind w:left="3666"/>
        <w:rPr>
          <w:color w:val="auto"/>
          <w:highlight w:val="none"/>
          <w:lang w:eastAsia="zh-CN"/>
        </w:rPr>
      </w:pPr>
    </w:p>
    <w:p w14:paraId="76D56F58">
      <w:pPr>
        <w:kinsoku/>
        <w:spacing w:before="0"/>
        <w:ind w:left="0"/>
        <w:rPr>
          <w:color w:val="auto"/>
          <w:highlight w:val="none"/>
          <w:lang w:eastAsia="zh-CN"/>
        </w:rPr>
      </w:pPr>
      <w:r>
        <w:rPr>
          <w:rFonts w:ascii="宋体" w:cs="Arial"/>
          <w:b w:val="0"/>
          <w:color w:val="auto"/>
          <w:spacing w:val="0"/>
          <w:sz w:val="24"/>
          <w:szCs w:val="24"/>
          <w:highlight w:val="none"/>
          <w:lang w:eastAsia="zh-CN"/>
        </w:rPr>
        <w:t>投标人应递交一份施工总平面图，绘出现场临时设施布置图及表并附文字说明，说明临时设施、加工车间、现场办公、设备及仓储、供电、供水、卫生、生活、道路、消防等设施的情况和布置。</w:t>
      </w:r>
    </w:p>
    <w:p w14:paraId="0D4F498F">
      <w:pPr>
        <w:kinsoku/>
        <w:spacing w:beforeLines="0" w:afterLines="0"/>
        <w:ind w:firstLine="420"/>
        <w:jc w:val="left"/>
        <w:rPr>
          <w:rFonts w:cs="宋体"/>
          <w:color w:val="auto"/>
          <w:szCs w:val="24"/>
          <w:highlight w:val="none"/>
          <w:lang w:eastAsia="zh-CN"/>
        </w:rPr>
      </w:pPr>
    </w:p>
    <w:p w14:paraId="6871C3B9">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6A4C5DE9">
      <w:pPr>
        <w:tabs>
          <w:tab w:val="left" w:pos="3229"/>
        </w:tabs>
        <w:kinsoku/>
        <w:spacing w:before="0" w:beforeLines="0" w:afterLines="0"/>
        <w:ind w:left="145"/>
        <w:outlineLvl w:val="9"/>
        <w:rPr>
          <w:rFonts w:hint="eastAsia" w:cs="宋体"/>
          <w:bCs/>
          <w:color w:val="auto"/>
          <w:szCs w:val="24"/>
          <w:highlight w:val="none"/>
        </w:rPr>
      </w:pPr>
      <w:bookmarkStart w:id="2597" w:name="_Toc14562"/>
      <w:bookmarkStart w:id="2598" w:name="_Toc7649"/>
      <w:bookmarkStart w:id="2599" w:name="_Toc24269"/>
      <w:r>
        <w:rPr>
          <w:rFonts w:hint="eastAsia" w:ascii="宋体" w:cs="宋体"/>
          <w:b/>
          <w:bCs/>
          <w:color w:val="auto"/>
          <w:spacing w:val="0"/>
          <w:sz w:val="24"/>
          <w:szCs w:val="24"/>
          <w:highlight w:val="none"/>
          <w:lang w:eastAsia="en-US"/>
        </w:rPr>
        <w:t>附件六：</w:t>
      </w:r>
      <w:bookmarkEnd w:id="2597"/>
      <w:bookmarkEnd w:id="2598"/>
      <w:bookmarkEnd w:id="2599"/>
    </w:p>
    <w:p w14:paraId="4A8DD365">
      <w:pPr>
        <w:tabs>
          <w:tab w:val="left" w:pos="3229"/>
        </w:tabs>
        <w:kinsoku/>
        <w:spacing w:before="0" w:beforeLines="0" w:afterLines="0"/>
        <w:ind w:left="0"/>
        <w:jc w:val="center"/>
        <w:outlineLvl w:val="9"/>
        <w:rPr>
          <w:rFonts w:hint="eastAsia" w:cs="宋体"/>
          <w:bCs/>
          <w:color w:val="auto"/>
          <w:szCs w:val="24"/>
          <w:highlight w:val="none"/>
        </w:rPr>
      </w:pPr>
      <w:bookmarkStart w:id="2600" w:name="_Toc16268"/>
      <w:bookmarkStart w:id="2601" w:name="_Toc1294"/>
      <w:bookmarkStart w:id="2602" w:name="_Toc29202"/>
      <w:r>
        <w:rPr>
          <w:rFonts w:hint="eastAsia" w:ascii="宋体" w:cs="宋体"/>
          <w:b/>
          <w:bCs/>
          <w:color w:val="auto"/>
          <w:spacing w:val="0"/>
          <w:sz w:val="24"/>
          <w:szCs w:val="24"/>
          <w:highlight w:val="none"/>
          <w:lang w:eastAsia="en-US"/>
        </w:rPr>
        <w:t>临时用地表</w:t>
      </w:r>
      <w:bookmarkEnd w:id="2600"/>
      <w:bookmarkEnd w:id="2601"/>
      <w:bookmarkEnd w:id="2602"/>
    </w:p>
    <w:p w14:paraId="2CDFE18F">
      <w:pPr>
        <w:kinsoku/>
        <w:spacing w:beforeLines="0" w:afterLines="0"/>
        <w:ind w:firstLine="420"/>
        <w:jc w:val="left"/>
        <w:rPr>
          <w:color w:val="auto"/>
          <w:highlight w:val="none"/>
        </w:rPr>
      </w:pP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350"/>
        <w:gridCol w:w="2265"/>
        <w:gridCol w:w="2416"/>
        <w:gridCol w:w="2090"/>
      </w:tblGrid>
      <w:tr w14:paraId="53D5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2ED1BB4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用途</w:t>
            </w:r>
          </w:p>
        </w:tc>
        <w:tc>
          <w:tcPr>
            <w:tcW w:w="1241" w:type="pct"/>
            <w:tcBorders>
              <w:tl2br w:val="nil"/>
              <w:tr2bl w:val="nil"/>
            </w:tcBorders>
            <w:vAlign w:val="center"/>
          </w:tcPr>
          <w:p w14:paraId="621ADA4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面积（</w:t>
            </w:r>
            <w:r>
              <w:rPr>
                <w:rFonts w:ascii="宋体" w:hAnsi="Times New Roman" w:eastAsia="宋体" w:cs="Times New Roman"/>
                <w:b w:val="0"/>
                <w:color w:val="auto"/>
                <w:spacing w:val="0"/>
                <w:sz w:val="21"/>
                <w:szCs w:val="21"/>
                <w:highlight w:val="none"/>
                <w:lang w:eastAsia="en-US"/>
              </w:rPr>
              <w:t>m</w:t>
            </w:r>
            <w:r>
              <w:rPr>
                <w:rFonts w:ascii="宋体" w:hAnsi="Times New Roman" w:eastAsia="宋体" w:cs="Times New Roman"/>
                <w:b w:val="0"/>
                <w:color w:val="auto"/>
                <w:spacing w:val="0"/>
                <w:position w:val="0"/>
                <w:sz w:val="21"/>
                <w:szCs w:val="21"/>
                <w:highlight w:val="none"/>
                <w:vertAlign w:val="superscript"/>
                <w:lang w:eastAsia="en-US"/>
              </w:rPr>
              <w:t>2</w:t>
            </w:r>
            <w:r>
              <w:rPr>
                <w:rFonts w:hint="eastAsia" w:ascii="宋体" w:hAnsi="宋体" w:eastAsia="宋体" w:cs="宋体"/>
                <w:b w:val="0"/>
                <w:color w:val="auto"/>
                <w:spacing w:val="0"/>
                <w:sz w:val="21"/>
                <w:szCs w:val="21"/>
                <w:highlight w:val="none"/>
                <w:lang w:eastAsia="en-US"/>
              </w:rPr>
              <w:t>）</w:t>
            </w:r>
          </w:p>
        </w:tc>
        <w:tc>
          <w:tcPr>
            <w:tcW w:w="1324" w:type="pct"/>
            <w:tcBorders>
              <w:tl2br w:val="nil"/>
              <w:tr2bl w:val="nil"/>
            </w:tcBorders>
            <w:vAlign w:val="center"/>
          </w:tcPr>
          <w:p w14:paraId="6EE0D59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位置</w:t>
            </w:r>
          </w:p>
        </w:tc>
        <w:tc>
          <w:tcPr>
            <w:tcW w:w="1145" w:type="pct"/>
            <w:tcBorders>
              <w:tl2br w:val="nil"/>
              <w:tr2bl w:val="nil"/>
            </w:tcBorders>
            <w:vAlign w:val="center"/>
          </w:tcPr>
          <w:p w14:paraId="5D6828D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需用时间</w:t>
            </w:r>
          </w:p>
        </w:tc>
      </w:tr>
      <w:tr w14:paraId="7158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46EDA696">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41387BA7">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737E1530">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0160F20B">
            <w:pPr>
              <w:kinsoku/>
              <w:spacing w:beforeLines="0" w:afterLines="0" w:line="0" w:lineRule="atLeast"/>
              <w:ind w:firstLine="0" w:firstLineChars="0"/>
              <w:jc w:val="center"/>
              <w:rPr>
                <w:color w:val="auto"/>
                <w:sz w:val="21"/>
                <w:highlight w:val="none"/>
              </w:rPr>
            </w:pPr>
          </w:p>
        </w:tc>
      </w:tr>
      <w:tr w14:paraId="2E08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178D3C95">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495200FA">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690DF4C2">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171CB057">
            <w:pPr>
              <w:kinsoku/>
              <w:spacing w:beforeLines="0" w:afterLines="0" w:line="0" w:lineRule="atLeast"/>
              <w:ind w:firstLine="0" w:firstLineChars="0"/>
              <w:jc w:val="center"/>
              <w:rPr>
                <w:color w:val="auto"/>
                <w:sz w:val="21"/>
                <w:highlight w:val="none"/>
              </w:rPr>
            </w:pPr>
          </w:p>
        </w:tc>
      </w:tr>
      <w:tr w14:paraId="402C2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6F7CEE08">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259D9356">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5E34D740">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49C1AF60">
            <w:pPr>
              <w:kinsoku/>
              <w:spacing w:beforeLines="0" w:afterLines="0" w:line="0" w:lineRule="atLeast"/>
              <w:ind w:firstLine="0" w:firstLineChars="0"/>
              <w:jc w:val="center"/>
              <w:rPr>
                <w:color w:val="auto"/>
                <w:sz w:val="21"/>
                <w:highlight w:val="none"/>
              </w:rPr>
            </w:pPr>
          </w:p>
        </w:tc>
      </w:tr>
      <w:tr w14:paraId="23C7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4E5A83A2">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15683910">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7A3E0DEF">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4F525F97">
            <w:pPr>
              <w:kinsoku/>
              <w:spacing w:beforeLines="0" w:afterLines="0" w:line="0" w:lineRule="atLeast"/>
              <w:ind w:firstLine="0" w:firstLineChars="0"/>
              <w:jc w:val="center"/>
              <w:rPr>
                <w:color w:val="auto"/>
                <w:sz w:val="21"/>
                <w:highlight w:val="none"/>
              </w:rPr>
            </w:pPr>
          </w:p>
        </w:tc>
      </w:tr>
      <w:tr w14:paraId="1ACD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3149513D">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63BF4A2F">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27291F3F">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123E5211">
            <w:pPr>
              <w:kinsoku/>
              <w:spacing w:beforeLines="0" w:afterLines="0" w:line="0" w:lineRule="atLeast"/>
              <w:ind w:firstLine="0" w:firstLineChars="0"/>
              <w:jc w:val="center"/>
              <w:rPr>
                <w:color w:val="auto"/>
                <w:sz w:val="21"/>
                <w:highlight w:val="none"/>
              </w:rPr>
            </w:pPr>
          </w:p>
        </w:tc>
      </w:tr>
      <w:tr w14:paraId="7E44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40A5594A">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7F2A2AF9">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7C33E9CC">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02966741">
            <w:pPr>
              <w:kinsoku/>
              <w:spacing w:beforeLines="0" w:afterLines="0" w:line="0" w:lineRule="atLeast"/>
              <w:ind w:firstLine="0" w:firstLineChars="0"/>
              <w:jc w:val="center"/>
              <w:rPr>
                <w:color w:val="auto"/>
                <w:sz w:val="21"/>
                <w:highlight w:val="none"/>
              </w:rPr>
            </w:pPr>
          </w:p>
        </w:tc>
      </w:tr>
      <w:tr w14:paraId="7B4E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5D9CF78D">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30886C4E">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524884A5">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640B94D8">
            <w:pPr>
              <w:kinsoku/>
              <w:spacing w:beforeLines="0" w:afterLines="0" w:line="0" w:lineRule="atLeast"/>
              <w:ind w:firstLine="0" w:firstLineChars="0"/>
              <w:jc w:val="center"/>
              <w:rPr>
                <w:color w:val="auto"/>
                <w:sz w:val="21"/>
                <w:highlight w:val="none"/>
              </w:rPr>
            </w:pPr>
          </w:p>
        </w:tc>
      </w:tr>
      <w:tr w14:paraId="689A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779934B6">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3B6D8E80">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1CD5AA08">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5D634323">
            <w:pPr>
              <w:kinsoku/>
              <w:spacing w:beforeLines="0" w:afterLines="0" w:line="0" w:lineRule="atLeast"/>
              <w:ind w:firstLine="0" w:firstLineChars="0"/>
              <w:jc w:val="center"/>
              <w:rPr>
                <w:color w:val="auto"/>
                <w:sz w:val="21"/>
                <w:highlight w:val="none"/>
              </w:rPr>
            </w:pPr>
          </w:p>
        </w:tc>
      </w:tr>
      <w:tr w14:paraId="1C40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678700D5">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045F1028">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1E23C3DE">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7DD7BF65">
            <w:pPr>
              <w:kinsoku/>
              <w:spacing w:beforeLines="0" w:afterLines="0" w:line="0" w:lineRule="atLeast"/>
              <w:ind w:firstLine="0" w:firstLineChars="0"/>
              <w:jc w:val="center"/>
              <w:rPr>
                <w:color w:val="auto"/>
                <w:sz w:val="21"/>
                <w:highlight w:val="none"/>
              </w:rPr>
            </w:pPr>
          </w:p>
        </w:tc>
      </w:tr>
      <w:tr w14:paraId="681B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1D19ACE0">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055D1CB1">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06F6D19A">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71023991">
            <w:pPr>
              <w:kinsoku/>
              <w:spacing w:beforeLines="0" w:afterLines="0" w:line="0" w:lineRule="atLeast"/>
              <w:ind w:firstLine="0" w:firstLineChars="0"/>
              <w:jc w:val="center"/>
              <w:rPr>
                <w:color w:val="auto"/>
                <w:sz w:val="21"/>
                <w:highlight w:val="none"/>
              </w:rPr>
            </w:pPr>
          </w:p>
        </w:tc>
      </w:tr>
      <w:tr w14:paraId="161D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772D3C0F">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22294A40">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538985C9">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4FD115B7">
            <w:pPr>
              <w:kinsoku/>
              <w:spacing w:beforeLines="0" w:afterLines="0" w:line="0" w:lineRule="atLeast"/>
              <w:ind w:firstLine="0" w:firstLineChars="0"/>
              <w:jc w:val="center"/>
              <w:rPr>
                <w:color w:val="auto"/>
                <w:sz w:val="21"/>
                <w:highlight w:val="none"/>
              </w:rPr>
            </w:pPr>
          </w:p>
        </w:tc>
      </w:tr>
      <w:tr w14:paraId="2E80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773CB44F">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2D57CD7E">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02E4A12F">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759861D6">
            <w:pPr>
              <w:kinsoku/>
              <w:spacing w:beforeLines="0" w:afterLines="0" w:line="0" w:lineRule="atLeast"/>
              <w:ind w:firstLine="0" w:firstLineChars="0"/>
              <w:jc w:val="center"/>
              <w:rPr>
                <w:color w:val="auto"/>
                <w:sz w:val="21"/>
                <w:highlight w:val="none"/>
              </w:rPr>
            </w:pPr>
          </w:p>
        </w:tc>
      </w:tr>
      <w:tr w14:paraId="4EE1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004C268F">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066AD65E">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193A0CDA">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6E7E482D">
            <w:pPr>
              <w:kinsoku/>
              <w:spacing w:beforeLines="0" w:afterLines="0" w:line="0" w:lineRule="atLeast"/>
              <w:ind w:firstLine="0" w:firstLineChars="0"/>
              <w:jc w:val="center"/>
              <w:rPr>
                <w:color w:val="auto"/>
                <w:sz w:val="21"/>
                <w:highlight w:val="none"/>
              </w:rPr>
            </w:pPr>
          </w:p>
        </w:tc>
      </w:tr>
      <w:tr w14:paraId="168B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001C4094">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79BC7214">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2F16713C">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49772B0F">
            <w:pPr>
              <w:kinsoku/>
              <w:spacing w:beforeLines="0" w:afterLines="0" w:line="0" w:lineRule="atLeast"/>
              <w:ind w:firstLine="0" w:firstLineChars="0"/>
              <w:jc w:val="center"/>
              <w:rPr>
                <w:color w:val="auto"/>
                <w:sz w:val="21"/>
                <w:highlight w:val="none"/>
              </w:rPr>
            </w:pPr>
          </w:p>
        </w:tc>
      </w:tr>
      <w:tr w14:paraId="1164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54725ADD">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2321A341">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18D8A8C8">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2D6FC5F1">
            <w:pPr>
              <w:kinsoku/>
              <w:spacing w:beforeLines="0" w:afterLines="0" w:line="0" w:lineRule="atLeast"/>
              <w:ind w:firstLine="0" w:firstLineChars="0"/>
              <w:jc w:val="center"/>
              <w:rPr>
                <w:color w:val="auto"/>
                <w:sz w:val="21"/>
                <w:highlight w:val="none"/>
              </w:rPr>
            </w:pPr>
          </w:p>
        </w:tc>
      </w:tr>
      <w:tr w14:paraId="44095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54DA7DA9">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28A5BE12">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2534EAD0">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3DA285F3">
            <w:pPr>
              <w:kinsoku/>
              <w:spacing w:beforeLines="0" w:afterLines="0" w:line="0" w:lineRule="atLeast"/>
              <w:ind w:firstLine="0" w:firstLineChars="0"/>
              <w:jc w:val="center"/>
              <w:rPr>
                <w:color w:val="auto"/>
                <w:sz w:val="21"/>
                <w:highlight w:val="none"/>
              </w:rPr>
            </w:pPr>
          </w:p>
        </w:tc>
      </w:tr>
      <w:tr w14:paraId="39DB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7C936EF3">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153288CF">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7A9F9044">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3D8EC54F">
            <w:pPr>
              <w:kinsoku/>
              <w:spacing w:beforeLines="0" w:afterLines="0" w:line="0" w:lineRule="atLeast"/>
              <w:ind w:firstLine="0" w:firstLineChars="0"/>
              <w:jc w:val="center"/>
              <w:rPr>
                <w:color w:val="auto"/>
                <w:sz w:val="21"/>
                <w:highlight w:val="none"/>
              </w:rPr>
            </w:pPr>
          </w:p>
        </w:tc>
      </w:tr>
      <w:tr w14:paraId="4F30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7A9730B2">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1C28AB3C">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4418FF8E">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1D7E3D5E">
            <w:pPr>
              <w:kinsoku/>
              <w:spacing w:beforeLines="0" w:afterLines="0" w:line="0" w:lineRule="atLeast"/>
              <w:ind w:firstLine="0" w:firstLineChars="0"/>
              <w:jc w:val="center"/>
              <w:rPr>
                <w:color w:val="auto"/>
                <w:sz w:val="21"/>
                <w:highlight w:val="none"/>
              </w:rPr>
            </w:pPr>
          </w:p>
        </w:tc>
      </w:tr>
      <w:tr w14:paraId="052B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88" w:type="pct"/>
            <w:tcBorders>
              <w:tl2br w:val="nil"/>
              <w:tr2bl w:val="nil"/>
            </w:tcBorders>
            <w:vAlign w:val="center"/>
          </w:tcPr>
          <w:p w14:paraId="2E61F712">
            <w:pPr>
              <w:kinsoku/>
              <w:spacing w:beforeLines="0" w:afterLines="0" w:line="0" w:lineRule="atLeast"/>
              <w:ind w:firstLine="0" w:firstLineChars="0"/>
              <w:jc w:val="center"/>
              <w:rPr>
                <w:color w:val="auto"/>
                <w:sz w:val="21"/>
                <w:highlight w:val="none"/>
              </w:rPr>
            </w:pPr>
          </w:p>
        </w:tc>
        <w:tc>
          <w:tcPr>
            <w:tcW w:w="1241" w:type="pct"/>
            <w:tcBorders>
              <w:tl2br w:val="nil"/>
              <w:tr2bl w:val="nil"/>
            </w:tcBorders>
            <w:vAlign w:val="center"/>
          </w:tcPr>
          <w:p w14:paraId="70653FCE">
            <w:pPr>
              <w:kinsoku/>
              <w:spacing w:beforeLines="0" w:afterLines="0" w:line="0" w:lineRule="atLeast"/>
              <w:ind w:firstLine="0" w:firstLineChars="0"/>
              <w:jc w:val="center"/>
              <w:rPr>
                <w:color w:val="auto"/>
                <w:sz w:val="21"/>
                <w:highlight w:val="none"/>
              </w:rPr>
            </w:pPr>
          </w:p>
        </w:tc>
        <w:tc>
          <w:tcPr>
            <w:tcW w:w="1324" w:type="pct"/>
            <w:tcBorders>
              <w:tl2br w:val="nil"/>
              <w:tr2bl w:val="nil"/>
            </w:tcBorders>
            <w:vAlign w:val="center"/>
          </w:tcPr>
          <w:p w14:paraId="6CF0F23F">
            <w:pPr>
              <w:kinsoku/>
              <w:spacing w:beforeLines="0" w:afterLines="0" w:line="0" w:lineRule="atLeast"/>
              <w:ind w:firstLine="0" w:firstLineChars="0"/>
              <w:jc w:val="center"/>
              <w:rPr>
                <w:color w:val="auto"/>
                <w:sz w:val="21"/>
                <w:highlight w:val="none"/>
              </w:rPr>
            </w:pPr>
          </w:p>
        </w:tc>
        <w:tc>
          <w:tcPr>
            <w:tcW w:w="1145" w:type="pct"/>
            <w:tcBorders>
              <w:tl2br w:val="nil"/>
              <w:tr2bl w:val="nil"/>
            </w:tcBorders>
            <w:vAlign w:val="center"/>
          </w:tcPr>
          <w:p w14:paraId="1B35D58D">
            <w:pPr>
              <w:kinsoku/>
              <w:spacing w:beforeLines="0" w:afterLines="0" w:line="0" w:lineRule="atLeast"/>
              <w:ind w:firstLine="0" w:firstLineChars="0"/>
              <w:jc w:val="center"/>
              <w:rPr>
                <w:color w:val="auto"/>
                <w:sz w:val="21"/>
                <w:highlight w:val="none"/>
              </w:rPr>
            </w:pPr>
          </w:p>
        </w:tc>
      </w:tr>
    </w:tbl>
    <w:p w14:paraId="1E2A16B3">
      <w:pPr>
        <w:pStyle w:val="7"/>
        <w:kinsoku/>
        <w:spacing w:beforeLines="0" w:afterLines="0"/>
        <w:ind w:firstLine="420"/>
        <w:jc w:val="left"/>
        <w:rPr>
          <w:color w:val="auto"/>
          <w:highlight w:val="none"/>
        </w:rPr>
      </w:pPr>
    </w:p>
    <w:p w14:paraId="41E57EA4">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7E823E81">
      <w:pPr>
        <w:pStyle w:val="3"/>
        <w:kinsoku/>
        <w:spacing w:before="169" w:beforeLines="0" w:afterLines="0"/>
        <w:ind w:left="0"/>
        <w:jc w:val="center"/>
        <w:outlineLvl w:val="1"/>
        <w:rPr>
          <w:rFonts w:cs="宋体"/>
          <w:color w:val="auto"/>
          <w:sz w:val="30"/>
          <w:szCs w:val="30"/>
          <w:highlight w:val="none"/>
          <w:lang w:eastAsia="zh-CN"/>
        </w:rPr>
      </w:pPr>
      <w:bookmarkStart w:id="2603" w:name="_Toc18816"/>
      <w:bookmarkStart w:id="2604" w:name="_Toc25151"/>
      <w:bookmarkStart w:id="2605" w:name="_Toc30332"/>
      <w:bookmarkStart w:id="2606" w:name="_Toc2577"/>
      <w:bookmarkStart w:id="2607" w:name="_Toc9317"/>
      <w:bookmarkStart w:id="2608" w:name="_Toc1270"/>
      <w:bookmarkStart w:id="2609" w:name="_Toc31948"/>
      <w:bookmarkStart w:id="2610" w:name="_Toc15989"/>
      <w:bookmarkStart w:id="2611" w:name="_Toc23479"/>
      <w:bookmarkStart w:id="2612" w:name="_Toc25447"/>
      <w:bookmarkStart w:id="2613" w:name="_Toc27954"/>
      <w:bookmarkStart w:id="2614" w:name="_Toc23716"/>
      <w:bookmarkStart w:id="2615" w:name="_Toc28815"/>
      <w:bookmarkStart w:id="2616" w:name="_Toc21409"/>
      <w:bookmarkStart w:id="2617" w:name="_Toc24525"/>
      <w:bookmarkStart w:id="2618" w:name="_Toc12694"/>
      <w:r>
        <w:rPr>
          <w:rFonts w:hint="eastAsia" w:ascii="宋体" w:cs="宋体"/>
          <w:b/>
          <w:bCs/>
          <w:color w:val="auto"/>
          <w:spacing w:val="0"/>
          <w:sz w:val="30"/>
          <w:szCs w:val="30"/>
          <w:highlight w:val="none"/>
          <w:lang w:eastAsia="zh-CN"/>
        </w:rPr>
        <w:t>八</w:t>
      </w:r>
      <w:r>
        <w:rPr>
          <w:rFonts w:ascii="宋体" w:cs="宋体"/>
          <w:b/>
          <w:bCs/>
          <w:color w:val="auto"/>
          <w:spacing w:val="0"/>
          <w:sz w:val="30"/>
          <w:szCs w:val="30"/>
          <w:highlight w:val="none"/>
          <w:lang w:eastAsia="zh-CN"/>
        </w:rPr>
        <w:t>、项目管理机构</w:t>
      </w:r>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p>
    <w:p w14:paraId="753B1E03">
      <w:pPr>
        <w:pStyle w:val="4"/>
        <w:spacing w:beforeLines="0" w:afterLines="0"/>
        <w:ind w:left="53"/>
        <w:jc w:val="both"/>
        <w:rPr>
          <w:color w:val="auto"/>
          <w:highlight w:val="none"/>
          <w:lang w:eastAsia="zh-CN"/>
        </w:rPr>
      </w:pPr>
      <w:bookmarkStart w:id="2619" w:name="_Toc18511"/>
      <w:bookmarkStart w:id="2620" w:name="_Toc20188"/>
      <w:bookmarkStart w:id="2621" w:name="_Toc31519"/>
      <w:r>
        <w:rPr>
          <w:rFonts w:hint="eastAsia" w:ascii="宋体" w:cs="宋体"/>
          <w:b/>
          <w:bCs/>
          <w:color w:val="auto"/>
          <w:spacing w:val="0"/>
          <w:sz w:val="24"/>
          <w:szCs w:val="24"/>
          <w:highlight w:val="none"/>
          <w:lang w:eastAsia="zh-CN"/>
        </w:rPr>
        <w:t>（一）项目管理机构组成表</w:t>
      </w:r>
      <w:bookmarkEnd w:id="2619"/>
      <w:bookmarkEnd w:id="2620"/>
      <w:bookmarkEnd w:id="2621"/>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97"/>
        <w:gridCol w:w="699"/>
        <w:gridCol w:w="858"/>
        <w:gridCol w:w="1396"/>
        <w:gridCol w:w="867"/>
        <w:gridCol w:w="1040"/>
        <w:gridCol w:w="1239"/>
        <w:gridCol w:w="1285"/>
        <w:gridCol w:w="1040"/>
      </w:tblGrid>
      <w:tr w14:paraId="6997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vMerge w:val="restart"/>
            <w:tcBorders>
              <w:tl2br w:val="nil"/>
              <w:tr2bl w:val="nil"/>
            </w:tcBorders>
            <w:vAlign w:val="center"/>
          </w:tcPr>
          <w:p w14:paraId="062B3B7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职务</w:t>
            </w:r>
          </w:p>
        </w:tc>
        <w:tc>
          <w:tcPr>
            <w:tcW w:w="383" w:type="pct"/>
            <w:vMerge w:val="restart"/>
            <w:tcBorders>
              <w:tl2br w:val="nil"/>
              <w:tr2bl w:val="nil"/>
            </w:tcBorders>
            <w:vAlign w:val="center"/>
          </w:tcPr>
          <w:p w14:paraId="59EE6AA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姓名</w:t>
            </w:r>
          </w:p>
        </w:tc>
        <w:tc>
          <w:tcPr>
            <w:tcW w:w="470" w:type="pct"/>
            <w:vMerge w:val="restart"/>
            <w:tcBorders>
              <w:tl2br w:val="nil"/>
              <w:tr2bl w:val="nil"/>
            </w:tcBorders>
            <w:vAlign w:val="center"/>
          </w:tcPr>
          <w:p w14:paraId="45A4B65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职称</w:t>
            </w:r>
          </w:p>
        </w:tc>
        <w:tc>
          <w:tcPr>
            <w:tcW w:w="3193" w:type="pct"/>
            <w:gridSpan w:val="5"/>
            <w:tcBorders>
              <w:tl2br w:val="nil"/>
              <w:tr2bl w:val="nil"/>
            </w:tcBorders>
            <w:vAlign w:val="center"/>
          </w:tcPr>
          <w:p w14:paraId="70E5121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执业或职业资格证明</w:t>
            </w:r>
          </w:p>
        </w:tc>
        <w:tc>
          <w:tcPr>
            <w:tcW w:w="570" w:type="pct"/>
            <w:vMerge w:val="restart"/>
            <w:tcBorders>
              <w:tl2br w:val="nil"/>
              <w:tr2bl w:val="nil"/>
            </w:tcBorders>
            <w:vAlign w:val="center"/>
          </w:tcPr>
          <w:p w14:paraId="1402437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0878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vMerge w:val="continue"/>
            <w:tcBorders>
              <w:tl2br w:val="nil"/>
              <w:tr2bl w:val="nil"/>
            </w:tcBorders>
            <w:vAlign w:val="center"/>
          </w:tcPr>
          <w:p w14:paraId="295574B9">
            <w:pPr>
              <w:kinsoku/>
              <w:spacing w:beforeLines="0" w:afterLines="0" w:line="0" w:lineRule="atLeast"/>
              <w:ind w:firstLine="0" w:firstLineChars="0"/>
              <w:jc w:val="center"/>
              <w:rPr>
                <w:color w:val="auto"/>
                <w:sz w:val="21"/>
                <w:highlight w:val="none"/>
              </w:rPr>
            </w:pPr>
          </w:p>
        </w:tc>
        <w:tc>
          <w:tcPr>
            <w:tcW w:w="383" w:type="pct"/>
            <w:vMerge w:val="continue"/>
            <w:tcBorders>
              <w:tl2br w:val="nil"/>
              <w:tr2bl w:val="nil"/>
            </w:tcBorders>
            <w:vAlign w:val="center"/>
          </w:tcPr>
          <w:p w14:paraId="134DD8E0">
            <w:pPr>
              <w:kinsoku/>
              <w:spacing w:beforeLines="0" w:afterLines="0" w:line="0" w:lineRule="atLeast"/>
              <w:ind w:firstLine="0" w:firstLineChars="0"/>
              <w:jc w:val="center"/>
              <w:rPr>
                <w:color w:val="auto"/>
                <w:sz w:val="21"/>
                <w:highlight w:val="none"/>
              </w:rPr>
            </w:pPr>
          </w:p>
        </w:tc>
        <w:tc>
          <w:tcPr>
            <w:tcW w:w="470" w:type="pct"/>
            <w:vMerge w:val="continue"/>
            <w:tcBorders>
              <w:tl2br w:val="nil"/>
              <w:tr2bl w:val="nil"/>
            </w:tcBorders>
            <w:vAlign w:val="center"/>
          </w:tcPr>
          <w:p w14:paraId="26DA8EA9">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45ACACB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证书名称</w:t>
            </w:r>
          </w:p>
        </w:tc>
        <w:tc>
          <w:tcPr>
            <w:tcW w:w="475" w:type="pct"/>
            <w:tcBorders>
              <w:tl2br w:val="nil"/>
              <w:tr2bl w:val="nil"/>
            </w:tcBorders>
            <w:vAlign w:val="center"/>
          </w:tcPr>
          <w:p w14:paraId="64F4705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级别</w:t>
            </w:r>
          </w:p>
        </w:tc>
        <w:tc>
          <w:tcPr>
            <w:tcW w:w="570" w:type="pct"/>
            <w:tcBorders>
              <w:tl2br w:val="nil"/>
              <w:tr2bl w:val="nil"/>
            </w:tcBorders>
            <w:vAlign w:val="center"/>
          </w:tcPr>
          <w:p w14:paraId="381322B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证号</w:t>
            </w:r>
          </w:p>
        </w:tc>
        <w:tc>
          <w:tcPr>
            <w:tcW w:w="679" w:type="pct"/>
            <w:tcBorders>
              <w:tl2br w:val="nil"/>
              <w:tr2bl w:val="nil"/>
            </w:tcBorders>
            <w:vAlign w:val="center"/>
          </w:tcPr>
          <w:p w14:paraId="6256785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专业</w:t>
            </w:r>
          </w:p>
        </w:tc>
        <w:tc>
          <w:tcPr>
            <w:tcW w:w="701" w:type="pct"/>
            <w:tcBorders>
              <w:tl2br w:val="nil"/>
              <w:tr2bl w:val="nil"/>
            </w:tcBorders>
            <w:vAlign w:val="center"/>
          </w:tcPr>
          <w:p w14:paraId="6E9C21D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社会保险</w:t>
            </w:r>
          </w:p>
        </w:tc>
        <w:tc>
          <w:tcPr>
            <w:tcW w:w="570" w:type="pct"/>
            <w:vMerge w:val="continue"/>
            <w:tcBorders>
              <w:tl2br w:val="nil"/>
              <w:tr2bl w:val="nil"/>
            </w:tcBorders>
            <w:vAlign w:val="center"/>
          </w:tcPr>
          <w:p w14:paraId="13E1A5CB">
            <w:pPr>
              <w:kinsoku/>
              <w:spacing w:beforeLines="0" w:afterLines="0" w:line="0" w:lineRule="atLeast"/>
              <w:ind w:firstLine="0" w:firstLineChars="0"/>
              <w:jc w:val="center"/>
              <w:rPr>
                <w:color w:val="auto"/>
                <w:sz w:val="21"/>
                <w:highlight w:val="none"/>
              </w:rPr>
            </w:pPr>
          </w:p>
        </w:tc>
      </w:tr>
      <w:tr w14:paraId="1CD9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06F7BD7A">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613D728C">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319C9BB8">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236D76D0">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00805F2B">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241888A0">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79775FD5">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10023CE6">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5D628B4C">
            <w:pPr>
              <w:kinsoku/>
              <w:spacing w:beforeLines="0" w:afterLines="0" w:line="0" w:lineRule="atLeast"/>
              <w:ind w:firstLine="0" w:firstLineChars="0"/>
              <w:jc w:val="center"/>
              <w:rPr>
                <w:color w:val="auto"/>
                <w:sz w:val="21"/>
                <w:highlight w:val="none"/>
              </w:rPr>
            </w:pPr>
          </w:p>
        </w:tc>
      </w:tr>
      <w:tr w14:paraId="5498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1428416A">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5021F10D">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44D12608">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4B1E645E">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7893E7FD">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7A89DF2">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25A2EB28">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54E4E76B">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6694ACD1">
            <w:pPr>
              <w:kinsoku/>
              <w:spacing w:beforeLines="0" w:afterLines="0" w:line="0" w:lineRule="atLeast"/>
              <w:ind w:firstLine="0" w:firstLineChars="0"/>
              <w:jc w:val="center"/>
              <w:rPr>
                <w:color w:val="auto"/>
                <w:sz w:val="21"/>
                <w:highlight w:val="none"/>
              </w:rPr>
            </w:pPr>
          </w:p>
        </w:tc>
      </w:tr>
      <w:tr w14:paraId="4F6C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59A29F99">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3BDA07BB">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3684EB50">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5F9CC8D4">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065AA62B">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5FED9CB1">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53C3508E">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13F7C7AF">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1D937DC3">
            <w:pPr>
              <w:kinsoku/>
              <w:spacing w:beforeLines="0" w:afterLines="0" w:line="0" w:lineRule="atLeast"/>
              <w:ind w:firstLine="0" w:firstLineChars="0"/>
              <w:jc w:val="center"/>
              <w:rPr>
                <w:color w:val="auto"/>
                <w:sz w:val="21"/>
                <w:highlight w:val="none"/>
              </w:rPr>
            </w:pPr>
          </w:p>
        </w:tc>
      </w:tr>
      <w:tr w14:paraId="0AC0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342EE794">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4AAA8846">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11971D02">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11A5C9B4">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62B880E1">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22F63AD">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69AC4E2C">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2AED4626">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722AE59D">
            <w:pPr>
              <w:kinsoku/>
              <w:spacing w:beforeLines="0" w:afterLines="0" w:line="0" w:lineRule="atLeast"/>
              <w:ind w:firstLine="0" w:firstLineChars="0"/>
              <w:jc w:val="center"/>
              <w:rPr>
                <w:color w:val="auto"/>
                <w:sz w:val="21"/>
                <w:highlight w:val="none"/>
              </w:rPr>
            </w:pPr>
          </w:p>
        </w:tc>
      </w:tr>
      <w:tr w14:paraId="4A236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1DEB62CF">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6B8B8630">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5D585513">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1C3D646A">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49E6058D">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28FF15C5">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670BB4CC">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20BB904C">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10BAF28B">
            <w:pPr>
              <w:kinsoku/>
              <w:spacing w:beforeLines="0" w:afterLines="0" w:line="0" w:lineRule="atLeast"/>
              <w:ind w:firstLine="0" w:firstLineChars="0"/>
              <w:jc w:val="center"/>
              <w:rPr>
                <w:color w:val="auto"/>
                <w:sz w:val="21"/>
                <w:highlight w:val="none"/>
              </w:rPr>
            </w:pPr>
          </w:p>
        </w:tc>
      </w:tr>
      <w:tr w14:paraId="66C0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0AD82FF7">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559C4E83">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054ED871">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55A97B9B">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5DAAA75D">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7A23C90">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6ED86996">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3E227979">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55AAABF4">
            <w:pPr>
              <w:kinsoku/>
              <w:spacing w:beforeLines="0" w:afterLines="0" w:line="0" w:lineRule="atLeast"/>
              <w:ind w:firstLine="0" w:firstLineChars="0"/>
              <w:jc w:val="center"/>
              <w:rPr>
                <w:color w:val="auto"/>
                <w:sz w:val="21"/>
                <w:highlight w:val="none"/>
              </w:rPr>
            </w:pPr>
          </w:p>
        </w:tc>
      </w:tr>
      <w:tr w14:paraId="22C1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27F6C9F3">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3EAFBB24">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4F473891">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4D4CBA0F">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5629D56D">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2B109EA6">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71857DD6">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1DE68C78">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917E89B">
            <w:pPr>
              <w:kinsoku/>
              <w:spacing w:beforeLines="0" w:afterLines="0" w:line="0" w:lineRule="atLeast"/>
              <w:ind w:firstLine="0" w:firstLineChars="0"/>
              <w:jc w:val="center"/>
              <w:rPr>
                <w:color w:val="auto"/>
                <w:sz w:val="21"/>
                <w:highlight w:val="none"/>
              </w:rPr>
            </w:pPr>
          </w:p>
        </w:tc>
      </w:tr>
      <w:tr w14:paraId="63F7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5C42CA80">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55079B55">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0D21B1D9">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7C4C9DEE">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317DA0AE">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782600E2">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352527E6">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39223FF6">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1BAA1D80">
            <w:pPr>
              <w:kinsoku/>
              <w:spacing w:beforeLines="0" w:afterLines="0" w:line="0" w:lineRule="atLeast"/>
              <w:ind w:firstLine="0" w:firstLineChars="0"/>
              <w:jc w:val="center"/>
              <w:rPr>
                <w:color w:val="auto"/>
                <w:sz w:val="21"/>
                <w:highlight w:val="none"/>
              </w:rPr>
            </w:pPr>
          </w:p>
        </w:tc>
      </w:tr>
      <w:tr w14:paraId="449EA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3CC52E0D">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47412F6F">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5B8DB409">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767C75FE">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1F570021">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CA47018">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4DEB9788">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7DB5542C">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186D7FB">
            <w:pPr>
              <w:kinsoku/>
              <w:spacing w:beforeLines="0" w:afterLines="0" w:line="0" w:lineRule="atLeast"/>
              <w:ind w:firstLine="0" w:firstLineChars="0"/>
              <w:jc w:val="center"/>
              <w:rPr>
                <w:color w:val="auto"/>
                <w:sz w:val="21"/>
                <w:highlight w:val="none"/>
              </w:rPr>
            </w:pPr>
          </w:p>
        </w:tc>
      </w:tr>
      <w:tr w14:paraId="6822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1C83FB7B">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0D8E748D">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35BDCA78">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51EECDC7">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0C7D212F">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2FD39CE0">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461E0E73">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31C6FC33">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1D7E5E04">
            <w:pPr>
              <w:kinsoku/>
              <w:spacing w:beforeLines="0" w:afterLines="0" w:line="0" w:lineRule="atLeast"/>
              <w:ind w:firstLine="0" w:firstLineChars="0"/>
              <w:jc w:val="center"/>
              <w:rPr>
                <w:color w:val="auto"/>
                <w:sz w:val="21"/>
                <w:highlight w:val="none"/>
              </w:rPr>
            </w:pPr>
          </w:p>
        </w:tc>
      </w:tr>
      <w:tr w14:paraId="32CC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74353CEB">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48ECBF1F">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477723B9">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18F1E158">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75854786">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7C75CB6A">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6F17112F">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060008C8">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2811B011">
            <w:pPr>
              <w:kinsoku/>
              <w:spacing w:beforeLines="0" w:afterLines="0" w:line="0" w:lineRule="atLeast"/>
              <w:ind w:firstLine="0" w:firstLineChars="0"/>
              <w:jc w:val="center"/>
              <w:rPr>
                <w:color w:val="auto"/>
                <w:sz w:val="21"/>
                <w:highlight w:val="none"/>
              </w:rPr>
            </w:pPr>
          </w:p>
        </w:tc>
      </w:tr>
      <w:tr w14:paraId="7FB9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30F12B51">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1D929F12">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7FD6181F">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2EE1D7B3">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6FB2EFD1">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1046A4C4">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191C0EEF">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5AFAAA62">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08BD8BF6">
            <w:pPr>
              <w:kinsoku/>
              <w:spacing w:beforeLines="0" w:afterLines="0" w:line="0" w:lineRule="atLeast"/>
              <w:ind w:firstLine="0" w:firstLineChars="0"/>
              <w:jc w:val="center"/>
              <w:rPr>
                <w:color w:val="auto"/>
                <w:sz w:val="21"/>
                <w:highlight w:val="none"/>
              </w:rPr>
            </w:pPr>
          </w:p>
        </w:tc>
      </w:tr>
      <w:tr w14:paraId="6D56F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82" w:type="pct"/>
            <w:tcBorders>
              <w:tl2br w:val="nil"/>
              <w:tr2bl w:val="nil"/>
            </w:tcBorders>
            <w:vAlign w:val="center"/>
          </w:tcPr>
          <w:p w14:paraId="11262FD7">
            <w:pPr>
              <w:kinsoku/>
              <w:spacing w:beforeLines="0" w:afterLines="0" w:line="0" w:lineRule="atLeast"/>
              <w:ind w:firstLine="0" w:firstLineChars="0"/>
              <w:jc w:val="center"/>
              <w:rPr>
                <w:color w:val="auto"/>
                <w:sz w:val="21"/>
                <w:highlight w:val="none"/>
              </w:rPr>
            </w:pPr>
          </w:p>
        </w:tc>
        <w:tc>
          <w:tcPr>
            <w:tcW w:w="383" w:type="pct"/>
            <w:tcBorders>
              <w:tl2br w:val="nil"/>
              <w:tr2bl w:val="nil"/>
            </w:tcBorders>
            <w:vAlign w:val="center"/>
          </w:tcPr>
          <w:p w14:paraId="122B676C">
            <w:pPr>
              <w:kinsoku/>
              <w:spacing w:beforeLines="0" w:afterLines="0" w:line="0" w:lineRule="atLeast"/>
              <w:ind w:firstLine="0" w:firstLineChars="0"/>
              <w:jc w:val="center"/>
              <w:rPr>
                <w:color w:val="auto"/>
                <w:sz w:val="21"/>
                <w:highlight w:val="none"/>
              </w:rPr>
            </w:pPr>
          </w:p>
        </w:tc>
        <w:tc>
          <w:tcPr>
            <w:tcW w:w="470" w:type="pct"/>
            <w:tcBorders>
              <w:tl2br w:val="nil"/>
              <w:tr2bl w:val="nil"/>
            </w:tcBorders>
            <w:vAlign w:val="center"/>
          </w:tcPr>
          <w:p w14:paraId="074DE2A7">
            <w:pPr>
              <w:kinsoku/>
              <w:spacing w:beforeLines="0" w:afterLines="0" w:line="0" w:lineRule="atLeast"/>
              <w:ind w:firstLine="0" w:firstLineChars="0"/>
              <w:jc w:val="center"/>
              <w:rPr>
                <w:color w:val="auto"/>
                <w:sz w:val="21"/>
                <w:highlight w:val="none"/>
              </w:rPr>
            </w:pPr>
          </w:p>
        </w:tc>
        <w:tc>
          <w:tcPr>
            <w:tcW w:w="765" w:type="pct"/>
            <w:tcBorders>
              <w:tl2br w:val="nil"/>
              <w:tr2bl w:val="nil"/>
            </w:tcBorders>
            <w:vAlign w:val="center"/>
          </w:tcPr>
          <w:p w14:paraId="4549AF2B">
            <w:pPr>
              <w:kinsoku/>
              <w:spacing w:beforeLines="0" w:afterLines="0" w:line="0" w:lineRule="atLeast"/>
              <w:ind w:firstLine="0" w:firstLineChars="0"/>
              <w:jc w:val="center"/>
              <w:rPr>
                <w:color w:val="auto"/>
                <w:sz w:val="21"/>
                <w:highlight w:val="none"/>
              </w:rPr>
            </w:pPr>
          </w:p>
        </w:tc>
        <w:tc>
          <w:tcPr>
            <w:tcW w:w="475" w:type="pct"/>
            <w:tcBorders>
              <w:tl2br w:val="nil"/>
              <w:tr2bl w:val="nil"/>
            </w:tcBorders>
            <w:vAlign w:val="center"/>
          </w:tcPr>
          <w:p w14:paraId="3BA4DDEA">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4163A972">
            <w:pPr>
              <w:kinsoku/>
              <w:spacing w:beforeLines="0" w:afterLines="0" w:line="0" w:lineRule="atLeast"/>
              <w:ind w:firstLine="0" w:firstLineChars="0"/>
              <w:jc w:val="center"/>
              <w:rPr>
                <w:color w:val="auto"/>
                <w:sz w:val="21"/>
                <w:highlight w:val="none"/>
              </w:rPr>
            </w:pPr>
          </w:p>
        </w:tc>
        <w:tc>
          <w:tcPr>
            <w:tcW w:w="679" w:type="pct"/>
            <w:tcBorders>
              <w:tl2br w:val="nil"/>
              <w:tr2bl w:val="nil"/>
            </w:tcBorders>
            <w:vAlign w:val="center"/>
          </w:tcPr>
          <w:p w14:paraId="754B3827">
            <w:pPr>
              <w:kinsoku/>
              <w:spacing w:beforeLines="0" w:afterLines="0" w:line="0" w:lineRule="atLeast"/>
              <w:ind w:firstLine="0" w:firstLineChars="0"/>
              <w:jc w:val="center"/>
              <w:rPr>
                <w:color w:val="auto"/>
                <w:sz w:val="21"/>
                <w:highlight w:val="none"/>
              </w:rPr>
            </w:pPr>
          </w:p>
        </w:tc>
        <w:tc>
          <w:tcPr>
            <w:tcW w:w="701" w:type="pct"/>
            <w:tcBorders>
              <w:tl2br w:val="nil"/>
              <w:tr2bl w:val="nil"/>
            </w:tcBorders>
            <w:vAlign w:val="center"/>
          </w:tcPr>
          <w:p w14:paraId="39C8B3F4">
            <w:pPr>
              <w:kinsoku/>
              <w:spacing w:beforeLines="0" w:afterLines="0" w:line="0" w:lineRule="atLeast"/>
              <w:ind w:firstLine="0" w:firstLineChars="0"/>
              <w:jc w:val="center"/>
              <w:rPr>
                <w:color w:val="auto"/>
                <w:sz w:val="21"/>
                <w:highlight w:val="none"/>
              </w:rPr>
            </w:pPr>
          </w:p>
        </w:tc>
        <w:tc>
          <w:tcPr>
            <w:tcW w:w="570" w:type="pct"/>
            <w:tcBorders>
              <w:tl2br w:val="nil"/>
              <w:tr2bl w:val="nil"/>
            </w:tcBorders>
            <w:vAlign w:val="center"/>
          </w:tcPr>
          <w:p w14:paraId="743CFE29">
            <w:pPr>
              <w:kinsoku/>
              <w:spacing w:beforeLines="0" w:afterLines="0" w:line="0" w:lineRule="atLeast"/>
              <w:ind w:firstLine="0" w:firstLineChars="0"/>
              <w:jc w:val="center"/>
              <w:rPr>
                <w:color w:val="auto"/>
                <w:sz w:val="21"/>
                <w:highlight w:val="none"/>
              </w:rPr>
            </w:pPr>
          </w:p>
        </w:tc>
      </w:tr>
    </w:tbl>
    <w:p w14:paraId="3B9730D6">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注：拟派项目管理机构主要人员必须在浙江省水利厅“浙江省水利建设市场信息”上已经公示。投标人应在“十、原件的复制件”中提供“浙江省水利工程建设管理系统（透明工程）”的打印件，打印件应含有“浙江水利透明工程”水印。</w:t>
      </w:r>
    </w:p>
    <w:p w14:paraId="46CEB22E">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2D092E9D">
      <w:pPr>
        <w:pStyle w:val="4"/>
        <w:kinsoku/>
        <w:spacing w:before="0" w:beforeLines="0" w:afterLines="0"/>
        <w:ind w:left="53"/>
        <w:rPr>
          <w:rFonts w:hint="eastAsia" w:cs="宋体"/>
          <w:bCs/>
          <w:color w:val="auto"/>
          <w:szCs w:val="24"/>
          <w:highlight w:val="none"/>
        </w:rPr>
      </w:pPr>
      <w:bookmarkStart w:id="2622" w:name="_Toc13496"/>
      <w:bookmarkStart w:id="2623" w:name="_Toc24787"/>
      <w:bookmarkStart w:id="2624" w:name="_Toc6470"/>
      <w:r>
        <w:rPr>
          <w:rFonts w:hint="eastAsia" w:ascii="宋体" w:cs="宋体"/>
          <w:b/>
          <w:bCs/>
          <w:color w:val="auto"/>
          <w:spacing w:val="0"/>
          <w:sz w:val="24"/>
          <w:szCs w:val="24"/>
          <w:highlight w:val="none"/>
          <w:lang w:eastAsia="en-US"/>
        </w:rPr>
        <w:t>（二）主要人员简历表</w:t>
      </w:r>
      <w:bookmarkEnd w:id="2622"/>
      <w:bookmarkEnd w:id="2623"/>
      <w:bookmarkEnd w:id="2624"/>
    </w:p>
    <w:p w14:paraId="6A33F31D">
      <w:pPr>
        <w:kinsoku/>
        <w:spacing w:beforeLines="0" w:afterLines="0"/>
        <w:ind w:firstLine="420"/>
        <w:jc w:val="left"/>
        <w:rPr>
          <w:color w:val="auto"/>
          <w:highlight w:val="none"/>
        </w:rPr>
      </w:pP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244"/>
        <w:gridCol w:w="336"/>
        <w:gridCol w:w="1280"/>
        <w:gridCol w:w="784"/>
        <w:gridCol w:w="1291"/>
        <w:gridCol w:w="117"/>
        <w:gridCol w:w="1359"/>
        <w:gridCol w:w="1346"/>
        <w:gridCol w:w="1363"/>
      </w:tblGrid>
      <w:tr w14:paraId="4696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66" w:type="pct"/>
            <w:gridSpan w:val="2"/>
            <w:tcBorders>
              <w:tl2br w:val="nil"/>
              <w:tr2bl w:val="nil"/>
            </w:tcBorders>
            <w:vAlign w:val="center"/>
          </w:tcPr>
          <w:p w14:paraId="5F36B4F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姓名</w:t>
            </w:r>
          </w:p>
        </w:tc>
        <w:tc>
          <w:tcPr>
            <w:tcW w:w="702" w:type="pct"/>
            <w:tcBorders>
              <w:tl2br w:val="nil"/>
              <w:tr2bl w:val="nil"/>
            </w:tcBorders>
            <w:vAlign w:val="center"/>
          </w:tcPr>
          <w:p w14:paraId="375F6E2F">
            <w:pPr>
              <w:kinsoku/>
              <w:spacing w:beforeLines="0" w:afterLines="0" w:line="0" w:lineRule="atLeast"/>
              <w:ind w:firstLine="0" w:firstLineChars="0"/>
              <w:jc w:val="center"/>
              <w:rPr>
                <w:color w:val="auto"/>
                <w:sz w:val="21"/>
                <w:highlight w:val="none"/>
              </w:rPr>
            </w:pPr>
          </w:p>
        </w:tc>
        <w:tc>
          <w:tcPr>
            <w:tcW w:w="430" w:type="pct"/>
            <w:tcBorders>
              <w:tl2br w:val="nil"/>
              <w:tr2bl w:val="nil"/>
            </w:tcBorders>
            <w:vAlign w:val="center"/>
          </w:tcPr>
          <w:p w14:paraId="02D05EB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年龄</w:t>
            </w:r>
          </w:p>
        </w:tc>
        <w:tc>
          <w:tcPr>
            <w:tcW w:w="707" w:type="pct"/>
            <w:tcBorders>
              <w:tl2br w:val="nil"/>
              <w:tr2bl w:val="nil"/>
            </w:tcBorders>
            <w:vAlign w:val="center"/>
          </w:tcPr>
          <w:p w14:paraId="5415E4A9">
            <w:pPr>
              <w:kinsoku/>
              <w:spacing w:beforeLines="0" w:afterLines="0" w:line="0" w:lineRule="atLeast"/>
              <w:ind w:firstLine="0" w:firstLineChars="0"/>
              <w:jc w:val="center"/>
              <w:rPr>
                <w:color w:val="auto"/>
                <w:sz w:val="21"/>
                <w:highlight w:val="none"/>
              </w:rPr>
            </w:pPr>
          </w:p>
        </w:tc>
        <w:tc>
          <w:tcPr>
            <w:tcW w:w="1547" w:type="pct"/>
            <w:gridSpan w:val="3"/>
            <w:tcBorders>
              <w:tl2br w:val="nil"/>
              <w:tr2bl w:val="nil"/>
            </w:tcBorders>
            <w:vAlign w:val="center"/>
          </w:tcPr>
          <w:p w14:paraId="78E216D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学历</w:t>
            </w:r>
          </w:p>
        </w:tc>
        <w:tc>
          <w:tcPr>
            <w:tcW w:w="745" w:type="pct"/>
            <w:tcBorders>
              <w:tl2br w:val="nil"/>
              <w:tr2bl w:val="nil"/>
            </w:tcBorders>
            <w:vAlign w:val="center"/>
          </w:tcPr>
          <w:p w14:paraId="519685D6">
            <w:pPr>
              <w:kinsoku/>
              <w:spacing w:beforeLines="0" w:afterLines="0" w:line="0" w:lineRule="atLeast"/>
              <w:ind w:firstLine="0" w:firstLineChars="0"/>
              <w:jc w:val="center"/>
              <w:rPr>
                <w:color w:val="auto"/>
                <w:sz w:val="21"/>
                <w:highlight w:val="none"/>
              </w:rPr>
            </w:pPr>
          </w:p>
        </w:tc>
      </w:tr>
      <w:tr w14:paraId="44B4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66" w:type="pct"/>
            <w:gridSpan w:val="2"/>
            <w:tcBorders>
              <w:tl2br w:val="nil"/>
              <w:tr2bl w:val="nil"/>
            </w:tcBorders>
            <w:vAlign w:val="center"/>
          </w:tcPr>
          <w:p w14:paraId="447DEEC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执业资格</w:t>
            </w:r>
          </w:p>
        </w:tc>
        <w:tc>
          <w:tcPr>
            <w:tcW w:w="1840" w:type="pct"/>
            <w:gridSpan w:val="3"/>
            <w:tcBorders>
              <w:tl2br w:val="nil"/>
              <w:tr2bl w:val="nil"/>
            </w:tcBorders>
            <w:vAlign w:val="center"/>
          </w:tcPr>
          <w:p w14:paraId="7529C0BD">
            <w:pPr>
              <w:kinsoku/>
              <w:spacing w:beforeLines="0" w:afterLines="0" w:line="0" w:lineRule="atLeast"/>
              <w:ind w:firstLine="0" w:firstLineChars="0"/>
              <w:jc w:val="center"/>
              <w:rPr>
                <w:color w:val="auto"/>
                <w:sz w:val="21"/>
                <w:highlight w:val="none"/>
              </w:rPr>
            </w:pPr>
          </w:p>
        </w:tc>
        <w:tc>
          <w:tcPr>
            <w:tcW w:w="1547" w:type="pct"/>
            <w:gridSpan w:val="3"/>
            <w:tcBorders>
              <w:tl2br w:val="nil"/>
              <w:tr2bl w:val="nil"/>
            </w:tcBorders>
            <w:vAlign w:val="center"/>
          </w:tcPr>
          <w:p w14:paraId="595A45B7">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安全生产考核合格证书</w:t>
            </w:r>
          </w:p>
        </w:tc>
        <w:tc>
          <w:tcPr>
            <w:tcW w:w="745" w:type="pct"/>
            <w:tcBorders>
              <w:tl2br w:val="nil"/>
              <w:tr2bl w:val="nil"/>
            </w:tcBorders>
            <w:vAlign w:val="center"/>
          </w:tcPr>
          <w:p w14:paraId="4876A26C">
            <w:pPr>
              <w:kinsoku/>
              <w:spacing w:beforeLines="0" w:afterLines="0" w:line="0" w:lineRule="atLeast"/>
              <w:ind w:firstLine="0" w:firstLineChars="0"/>
              <w:jc w:val="center"/>
              <w:rPr>
                <w:color w:val="auto"/>
                <w:sz w:val="21"/>
                <w:highlight w:val="none"/>
                <w:lang w:eastAsia="zh-CN"/>
              </w:rPr>
            </w:pPr>
          </w:p>
        </w:tc>
      </w:tr>
      <w:tr w14:paraId="5834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66" w:type="pct"/>
            <w:gridSpan w:val="2"/>
            <w:tcBorders>
              <w:tl2br w:val="nil"/>
              <w:tr2bl w:val="nil"/>
            </w:tcBorders>
            <w:vAlign w:val="center"/>
          </w:tcPr>
          <w:p w14:paraId="736D039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职称</w:t>
            </w:r>
          </w:p>
        </w:tc>
        <w:tc>
          <w:tcPr>
            <w:tcW w:w="702" w:type="pct"/>
            <w:tcBorders>
              <w:tl2br w:val="nil"/>
              <w:tr2bl w:val="nil"/>
            </w:tcBorders>
            <w:vAlign w:val="center"/>
          </w:tcPr>
          <w:p w14:paraId="53078F5D">
            <w:pPr>
              <w:kinsoku/>
              <w:spacing w:beforeLines="0" w:afterLines="0" w:line="0" w:lineRule="atLeast"/>
              <w:ind w:firstLine="0" w:firstLineChars="0"/>
              <w:jc w:val="center"/>
              <w:rPr>
                <w:color w:val="auto"/>
                <w:sz w:val="21"/>
                <w:highlight w:val="none"/>
              </w:rPr>
            </w:pPr>
          </w:p>
        </w:tc>
        <w:tc>
          <w:tcPr>
            <w:tcW w:w="430" w:type="pct"/>
            <w:tcBorders>
              <w:tl2br w:val="nil"/>
              <w:tr2bl w:val="nil"/>
            </w:tcBorders>
            <w:vAlign w:val="center"/>
          </w:tcPr>
          <w:p w14:paraId="55A4F71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职务</w:t>
            </w:r>
          </w:p>
        </w:tc>
        <w:tc>
          <w:tcPr>
            <w:tcW w:w="707" w:type="pct"/>
            <w:tcBorders>
              <w:tl2br w:val="nil"/>
              <w:tr2bl w:val="nil"/>
            </w:tcBorders>
            <w:vAlign w:val="center"/>
          </w:tcPr>
          <w:p w14:paraId="3727B174">
            <w:pPr>
              <w:kinsoku/>
              <w:spacing w:beforeLines="0" w:afterLines="0" w:line="0" w:lineRule="atLeast"/>
              <w:ind w:firstLine="0" w:firstLineChars="0"/>
              <w:jc w:val="center"/>
              <w:rPr>
                <w:color w:val="auto"/>
                <w:sz w:val="21"/>
                <w:highlight w:val="none"/>
              </w:rPr>
            </w:pPr>
          </w:p>
        </w:tc>
        <w:tc>
          <w:tcPr>
            <w:tcW w:w="1547" w:type="pct"/>
            <w:gridSpan w:val="3"/>
            <w:tcBorders>
              <w:tl2br w:val="nil"/>
              <w:tr2bl w:val="nil"/>
            </w:tcBorders>
            <w:vAlign w:val="center"/>
          </w:tcPr>
          <w:p w14:paraId="58D8135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拟在本合同任职</w:t>
            </w:r>
          </w:p>
        </w:tc>
        <w:tc>
          <w:tcPr>
            <w:tcW w:w="745" w:type="pct"/>
            <w:tcBorders>
              <w:tl2br w:val="nil"/>
              <w:tr2bl w:val="nil"/>
            </w:tcBorders>
            <w:vAlign w:val="center"/>
          </w:tcPr>
          <w:p w14:paraId="5834B5F6">
            <w:pPr>
              <w:kinsoku/>
              <w:spacing w:beforeLines="0" w:afterLines="0" w:line="0" w:lineRule="atLeast"/>
              <w:ind w:firstLine="0" w:firstLineChars="0"/>
              <w:jc w:val="center"/>
              <w:rPr>
                <w:color w:val="auto"/>
                <w:sz w:val="21"/>
                <w:highlight w:val="none"/>
              </w:rPr>
            </w:pPr>
          </w:p>
        </w:tc>
      </w:tr>
      <w:tr w14:paraId="27F65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866" w:type="pct"/>
            <w:gridSpan w:val="2"/>
            <w:tcBorders>
              <w:tl2br w:val="nil"/>
              <w:tr2bl w:val="nil"/>
            </w:tcBorders>
            <w:vAlign w:val="center"/>
          </w:tcPr>
          <w:p w14:paraId="6D2A978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毕业学校</w:t>
            </w:r>
          </w:p>
        </w:tc>
        <w:tc>
          <w:tcPr>
            <w:tcW w:w="4133" w:type="pct"/>
            <w:gridSpan w:val="7"/>
            <w:tcBorders>
              <w:tl2br w:val="nil"/>
              <w:tr2bl w:val="nil"/>
            </w:tcBorders>
            <w:vAlign w:val="center"/>
          </w:tcPr>
          <w:p w14:paraId="2DE07E5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年毕业于学校</w:t>
            </w:r>
            <w:r>
              <w:rPr>
                <w:rFonts w:ascii="宋体" w:hAnsi="宋体" w:eastAsia="宋体" w:cs="宋体"/>
                <w:b w:val="0"/>
                <w:color w:val="auto"/>
                <w:spacing w:val="0"/>
                <w:sz w:val="21"/>
                <w:szCs w:val="21"/>
                <w:highlight w:val="none"/>
                <w:lang w:eastAsia="en-US"/>
              </w:rPr>
              <w:t xml:space="preserve">         </w:t>
            </w:r>
            <w:r>
              <w:rPr>
                <w:rFonts w:hint="eastAsia" w:ascii="宋体" w:hAnsi="宋体" w:eastAsia="宋体" w:cs="宋体"/>
                <w:b w:val="0"/>
                <w:color w:val="auto"/>
                <w:spacing w:val="0"/>
                <w:sz w:val="21"/>
                <w:szCs w:val="21"/>
                <w:highlight w:val="none"/>
                <w:lang w:eastAsia="en-US"/>
              </w:rPr>
              <w:t>专业</w:t>
            </w:r>
          </w:p>
        </w:tc>
      </w:tr>
      <w:tr w14:paraId="5409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000" w:type="pct"/>
            <w:gridSpan w:val="9"/>
            <w:tcBorders>
              <w:tl2br w:val="nil"/>
              <w:tr2bl w:val="nil"/>
            </w:tcBorders>
            <w:vAlign w:val="center"/>
          </w:tcPr>
          <w:p w14:paraId="7D49C0F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主要施工管理经历</w:t>
            </w:r>
          </w:p>
        </w:tc>
      </w:tr>
      <w:tr w14:paraId="2A3D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6C5F295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时间</w:t>
            </w:r>
          </w:p>
        </w:tc>
        <w:tc>
          <w:tcPr>
            <w:tcW w:w="2087" w:type="pct"/>
            <w:gridSpan w:val="5"/>
            <w:tcBorders>
              <w:tl2br w:val="nil"/>
              <w:tr2bl w:val="nil"/>
            </w:tcBorders>
            <w:vAlign w:val="center"/>
          </w:tcPr>
          <w:p w14:paraId="0104878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参加过的类似项目</w:t>
            </w:r>
          </w:p>
        </w:tc>
        <w:tc>
          <w:tcPr>
            <w:tcW w:w="745" w:type="pct"/>
            <w:tcBorders>
              <w:tl2br w:val="nil"/>
              <w:tr2bl w:val="nil"/>
            </w:tcBorders>
            <w:vAlign w:val="center"/>
          </w:tcPr>
          <w:p w14:paraId="3A52C46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担任职务</w:t>
            </w:r>
          </w:p>
        </w:tc>
        <w:tc>
          <w:tcPr>
            <w:tcW w:w="1484" w:type="pct"/>
            <w:gridSpan w:val="2"/>
            <w:tcBorders>
              <w:tl2br w:val="nil"/>
              <w:tr2bl w:val="nil"/>
            </w:tcBorders>
            <w:vAlign w:val="center"/>
          </w:tcPr>
          <w:p w14:paraId="69E4B34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发包人及联系电话</w:t>
            </w:r>
          </w:p>
        </w:tc>
      </w:tr>
      <w:tr w14:paraId="6CAF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6CD8E9C8">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6891BA7B">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190A89B1">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2E29F1A2">
            <w:pPr>
              <w:kinsoku/>
              <w:spacing w:beforeLines="0" w:afterLines="0" w:line="0" w:lineRule="atLeast"/>
              <w:ind w:firstLine="0" w:firstLineChars="0"/>
              <w:jc w:val="center"/>
              <w:rPr>
                <w:color w:val="auto"/>
                <w:sz w:val="21"/>
                <w:highlight w:val="none"/>
              </w:rPr>
            </w:pPr>
          </w:p>
        </w:tc>
      </w:tr>
      <w:tr w14:paraId="5EF2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66FA7987">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541EEFD9">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34E7F029">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152CE41E">
            <w:pPr>
              <w:kinsoku/>
              <w:spacing w:beforeLines="0" w:afterLines="0" w:line="0" w:lineRule="atLeast"/>
              <w:ind w:firstLine="0" w:firstLineChars="0"/>
              <w:jc w:val="center"/>
              <w:rPr>
                <w:color w:val="auto"/>
                <w:sz w:val="21"/>
                <w:highlight w:val="none"/>
              </w:rPr>
            </w:pPr>
          </w:p>
        </w:tc>
      </w:tr>
      <w:tr w14:paraId="78A15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24C58DA0">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36FF41B9">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44F0AF9C">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7D48B976">
            <w:pPr>
              <w:kinsoku/>
              <w:spacing w:beforeLines="0" w:afterLines="0" w:line="0" w:lineRule="atLeast"/>
              <w:ind w:firstLine="0" w:firstLineChars="0"/>
              <w:jc w:val="center"/>
              <w:rPr>
                <w:color w:val="auto"/>
                <w:sz w:val="21"/>
                <w:highlight w:val="none"/>
              </w:rPr>
            </w:pPr>
          </w:p>
        </w:tc>
      </w:tr>
      <w:tr w14:paraId="75EA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35C78FF1">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5FCAE124">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0E04B890">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1B9EF8A1">
            <w:pPr>
              <w:kinsoku/>
              <w:spacing w:beforeLines="0" w:afterLines="0" w:line="0" w:lineRule="atLeast"/>
              <w:ind w:firstLine="0" w:firstLineChars="0"/>
              <w:jc w:val="center"/>
              <w:rPr>
                <w:color w:val="auto"/>
                <w:sz w:val="21"/>
                <w:highlight w:val="none"/>
              </w:rPr>
            </w:pPr>
          </w:p>
        </w:tc>
      </w:tr>
      <w:tr w14:paraId="1B1D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13BD4E70">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15A48713">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4417D644">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6E81B3B1">
            <w:pPr>
              <w:kinsoku/>
              <w:spacing w:beforeLines="0" w:afterLines="0" w:line="0" w:lineRule="atLeast"/>
              <w:ind w:firstLine="0" w:firstLineChars="0"/>
              <w:jc w:val="center"/>
              <w:rPr>
                <w:color w:val="auto"/>
                <w:sz w:val="21"/>
                <w:highlight w:val="none"/>
              </w:rPr>
            </w:pPr>
          </w:p>
        </w:tc>
      </w:tr>
      <w:tr w14:paraId="7B27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3A437341">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3DB0F6EF">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7AB19213">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31ECE636">
            <w:pPr>
              <w:kinsoku/>
              <w:spacing w:beforeLines="0" w:afterLines="0" w:line="0" w:lineRule="atLeast"/>
              <w:ind w:firstLine="0" w:firstLineChars="0"/>
              <w:jc w:val="center"/>
              <w:rPr>
                <w:color w:val="auto"/>
                <w:sz w:val="21"/>
                <w:highlight w:val="none"/>
              </w:rPr>
            </w:pPr>
          </w:p>
        </w:tc>
      </w:tr>
      <w:tr w14:paraId="2321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37C69BE6">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730E3800">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565C10B1">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1C38C3FF">
            <w:pPr>
              <w:kinsoku/>
              <w:spacing w:beforeLines="0" w:afterLines="0" w:line="0" w:lineRule="atLeast"/>
              <w:ind w:firstLine="0" w:firstLineChars="0"/>
              <w:jc w:val="center"/>
              <w:rPr>
                <w:color w:val="auto"/>
                <w:sz w:val="21"/>
                <w:highlight w:val="none"/>
              </w:rPr>
            </w:pPr>
          </w:p>
        </w:tc>
      </w:tr>
      <w:tr w14:paraId="7FD6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19CB80D3">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547AE8ED">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6B790A72">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3F6AF2E7">
            <w:pPr>
              <w:kinsoku/>
              <w:spacing w:beforeLines="0" w:afterLines="0" w:line="0" w:lineRule="atLeast"/>
              <w:ind w:firstLine="0" w:firstLineChars="0"/>
              <w:jc w:val="center"/>
              <w:rPr>
                <w:color w:val="auto"/>
                <w:sz w:val="21"/>
                <w:highlight w:val="none"/>
              </w:rPr>
            </w:pPr>
          </w:p>
        </w:tc>
      </w:tr>
      <w:tr w14:paraId="3E87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075E18B0">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357640A6">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2D315BF0">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5F4C87FB">
            <w:pPr>
              <w:kinsoku/>
              <w:spacing w:beforeLines="0" w:afterLines="0" w:line="0" w:lineRule="atLeast"/>
              <w:ind w:firstLine="0" w:firstLineChars="0"/>
              <w:jc w:val="center"/>
              <w:rPr>
                <w:color w:val="auto"/>
                <w:sz w:val="21"/>
                <w:highlight w:val="none"/>
              </w:rPr>
            </w:pPr>
          </w:p>
        </w:tc>
      </w:tr>
      <w:tr w14:paraId="1353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78C42F14">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04371481">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597E2FBE">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1EA36B48">
            <w:pPr>
              <w:kinsoku/>
              <w:spacing w:beforeLines="0" w:afterLines="0" w:line="0" w:lineRule="atLeast"/>
              <w:ind w:firstLine="0" w:firstLineChars="0"/>
              <w:jc w:val="center"/>
              <w:rPr>
                <w:color w:val="auto"/>
                <w:sz w:val="21"/>
                <w:highlight w:val="none"/>
              </w:rPr>
            </w:pPr>
          </w:p>
        </w:tc>
      </w:tr>
      <w:tr w14:paraId="20B7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0A8A7522">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356F31C7">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12D90FFB">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0C6D36CA">
            <w:pPr>
              <w:kinsoku/>
              <w:spacing w:beforeLines="0" w:afterLines="0" w:line="0" w:lineRule="atLeast"/>
              <w:ind w:firstLine="0" w:firstLineChars="0"/>
              <w:jc w:val="center"/>
              <w:rPr>
                <w:color w:val="auto"/>
                <w:sz w:val="21"/>
                <w:highlight w:val="none"/>
              </w:rPr>
            </w:pPr>
          </w:p>
        </w:tc>
      </w:tr>
      <w:tr w14:paraId="19E4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36CA4AC3">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03DDCEEB">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26789874">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2B5D932D">
            <w:pPr>
              <w:kinsoku/>
              <w:spacing w:beforeLines="0" w:afterLines="0" w:line="0" w:lineRule="atLeast"/>
              <w:ind w:firstLine="0" w:firstLineChars="0"/>
              <w:jc w:val="center"/>
              <w:rPr>
                <w:color w:val="auto"/>
                <w:sz w:val="21"/>
                <w:highlight w:val="none"/>
              </w:rPr>
            </w:pPr>
          </w:p>
        </w:tc>
      </w:tr>
      <w:tr w14:paraId="039E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82" w:type="pct"/>
            <w:tcBorders>
              <w:tl2br w:val="nil"/>
              <w:tr2bl w:val="nil"/>
            </w:tcBorders>
            <w:vAlign w:val="center"/>
          </w:tcPr>
          <w:p w14:paraId="4A4B0ADC">
            <w:pPr>
              <w:kinsoku/>
              <w:spacing w:beforeLines="0" w:afterLines="0" w:line="0" w:lineRule="atLeast"/>
              <w:ind w:firstLine="0" w:firstLineChars="0"/>
              <w:jc w:val="center"/>
              <w:rPr>
                <w:color w:val="auto"/>
                <w:sz w:val="21"/>
                <w:highlight w:val="none"/>
              </w:rPr>
            </w:pPr>
          </w:p>
        </w:tc>
        <w:tc>
          <w:tcPr>
            <w:tcW w:w="2087" w:type="pct"/>
            <w:gridSpan w:val="5"/>
            <w:tcBorders>
              <w:tl2br w:val="nil"/>
              <w:tr2bl w:val="nil"/>
            </w:tcBorders>
            <w:vAlign w:val="center"/>
          </w:tcPr>
          <w:p w14:paraId="48226E22">
            <w:pPr>
              <w:kinsoku/>
              <w:spacing w:beforeLines="0" w:afterLines="0" w:line="0" w:lineRule="atLeast"/>
              <w:ind w:firstLine="0" w:firstLineChars="0"/>
              <w:jc w:val="center"/>
              <w:rPr>
                <w:color w:val="auto"/>
                <w:sz w:val="21"/>
                <w:highlight w:val="none"/>
              </w:rPr>
            </w:pPr>
          </w:p>
        </w:tc>
        <w:tc>
          <w:tcPr>
            <w:tcW w:w="745" w:type="pct"/>
            <w:tcBorders>
              <w:tl2br w:val="nil"/>
              <w:tr2bl w:val="nil"/>
            </w:tcBorders>
            <w:vAlign w:val="center"/>
          </w:tcPr>
          <w:p w14:paraId="2499049A">
            <w:pPr>
              <w:kinsoku/>
              <w:spacing w:beforeLines="0" w:afterLines="0" w:line="0" w:lineRule="atLeast"/>
              <w:ind w:firstLine="0" w:firstLineChars="0"/>
              <w:jc w:val="center"/>
              <w:rPr>
                <w:color w:val="auto"/>
                <w:sz w:val="21"/>
                <w:highlight w:val="none"/>
              </w:rPr>
            </w:pPr>
          </w:p>
        </w:tc>
        <w:tc>
          <w:tcPr>
            <w:tcW w:w="1484" w:type="pct"/>
            <w:gridSpan w:val="2"/>
            <w:tcBorders>
              <w:tl2br w:val="nil"/>
              <w:tr2bl w:val="nil"/>
            </w:tcBorders>
            <w:vAlign w:val="center"/>
          </w:tcPr>
          <w:p w14:paraId="650DEC29">
            <w:pPr>
              <w:kinsoku/>
              <w:spacing w:beforeLines="0" w:afterLines="0" w:line="0" w:lineRule="atLeast"/>
              <w:ind w:firstLine="0" w:firstLineChars="0"/>
              <w:jc w:val="center"/>
              <w:rPr>
                <w:color w:val="auto"/>
                <w:sz w:val="21"/>
                <w:highlight w:val="none"/>
              </w:rPr>
            </w:pPr>
          </w:p>
        </w:tc>
      </w:tr>
    </w:tbl>
    <w:p w14:paraId="7E7DCB7A">
      <w:pPr>
        <w:kinsoku/>
        <w:spacing w:before="0"/>
        <w:ind w:left="0"/>
        <w:rPr>
          <w:rFonts w:cs="宋体"/>
          <w:color w:val="auto"/>
          <w:szCs w:val="24"/>
          <w:highlight w:val="none"/>
          <w:lang w:eastAsia="zh-CN"/>
        </w:rPr>
      </w:pPr>
      <w:r>
        <w:rPr>
          <w:rFonts w:ascii="宋体" w:cs="Arial"/>
          <w:b w:val="0"/>
          <w:color w:val="auto"/>
          <w:spacing w:val="0"/>
          <w:position w:val="0"/>
          <w:sz w:val="24"/>
          <w:szCs w:val="24"/>
          <w:highlight w:val="none"/>
          <w:lang w:eastAsia="zh-CN"/>
        </w:rPr>
        <w:t>注：主要人员指项目负责人、技术负责人、专职安全生产管理人员、施工员、质检员、</w:t>
      </w:r>
      <w:r>
        <w:rPr>
          <w:rFonts w:ascii="宋体" w:cs="宋体"/>
          <w:b w:val="0"/>
          <w:color w:val="auto"/>
          <w:spacing w:val="0"/>
          <w:sz w:val="24"/>
          <w:szCs w:val="24"/>
          <w:highlight w:val="none"/>
          <w:lang w:eastAsia="zh-CN"/>
        </w:rPr>
        <w:t>安全员。</w:t>
      </w:r>
    </w:p>
    <w:p w14:paraId="341B9068">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58AA05F5">
      <w:pPr>
        <w:pStyle w:val="3"/>
        <w:kinsoku/>
        <w:spacing w:before="169" w:beforeLines="0" w:afterLines="0"/>
        <w:ind w:left="0"/>
        <w:jc w:val="center"/>
        <w:outlineLvl w:val="1"/>
        <w:rPr>
          <w:rFonts w:cs="宋体"/>
          <w:color w:val="auto"/>
          <w:sz w:val="30"/>
          <w:szCs w:val="30"/>
          <w:highlight w:val="none"/>
          <w:lang w:eastAsia="zh-CN"/>
        </w:rPr>
      </w:pPr>
      <w:bookmarkStart w:id="2625" w:name="_Toc20282"/>
      <w:bookmarkStart w:id="2626" w:name="_Toc5405"/>
      <w:bookmarkStart w:id="2627" w:name="_Toc6586"/>
      <w:bookmarkStart w:id="2628" w:name="_Toc10954"/>
      <w:bookmarkStart w:id="2629" w:name="_Toc7646"/>
      <w:bookmarkStart w:id="2630" w:name="_Toc10281"/>
      <w:bookmarkStart w:id="2631" w:name="_Toc29941"/>
      <w:bookmarkStart w:id="2632" w:name="_Toc19065"/>
      <w:bookmarkStart w:id="2633" w:name="_Toc11440"/>
      <w:bookmarkStart w:id="2634" w:name="_Toc23840"/>
      <w:bookmarkStart w:id="2635" w:name="_Toc20280"/>
      <w:bookmarkStart w:id="2636" w:name="_Toc17523"/>
      <w:bookmarkStart w:id="2637" w:name="_Toc6434"/>
      <w:bookmarkStart w:id="2638" w:name="_Toc22738"/>
      <w:bookmarkStart w:id="2639" w:name="_Toc14797"/>
      <w:bookmarkStart w:id="2640" w:name="_Toc31724"/>
      <w:r>
        <w:rPr>
          <w:rFonts w:hint="eastAsia" w:ascii="宋体" w:cs="宋体"/>
          <w:b/>
          <w:bCs/>
          <w:color w:val="auto"/>
          <w:spacing w:val="0"/>
          <w:sz w:val="30"/>
          <w:szCs w:val="30"/>
          <w:highlight w:val="none"/>
          <w:lang w:eastAsia="zh-CN"/>
        </w:rPr>
        <w:t>九</w:t>
      </w:r>
      <w:r>
        <w:rPr>
          <w:rFonts w:ascii="宋体" w:cs="宋体"/>
          <w:b/>
          <w:bCs/>
          <w:color w:val="auto"/>
          <w:spacing w:val="0"/>
          <w:sz w:val="30"/>
          <w:szCs w:val="30"/>
          <w:highlight w:val="none"/>
          <w:lang w:eastAsia="zh-CN"/>
        </w:rPr>
        <w:t>、拟分包项目情况表</w:t>
      </w:r>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p>
    <w:p w14:paraId="09C57646">
      <w:pPr>
        <w:kinsoku/>
        <w:spacing w:before="0" w:beforeLines="0" w:afterLines="0"/>
        <w:ind w:firstLine="420"/>
        <w:jc w:val="left"/>
        <w:rPr>
          <w:color w:val="auto"/>
          <w:highlight w:val="none"/>
          <w:lang w:eastAsia="zh-CN"/>
        </w:rPr>
      </w:pP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134"/>
        <w:gridCol w:w="2610"/>
        <w:gridCol w:w="3046"/>
        <w:gridCol w:w="2331"/>
      </w:tblGrid>
      <w:tr w14:paraId="49C8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363FEC8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1430" w:type="pct"/>
            <w:tcBorders>
              <w:tl2br w:val="nil"/>
              <w:tr2bl w:val="nil"/>
            </w:tcBorders>
            <w:vAlign w:val="center"/>
          </w:tcPr>
          <w:p w14:paraId="720B331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拟分包的工程项目</w:t>
            </w:r>
          </w:p>
        </w:tc>
        <w:tc>
          <w:tcPr>
            <w:tcW w:w="1669" w:type="pct"/>
            <w:tcBorders>
              <w:tl2br w:val="nil"/>
              <w:tr2bl w:val="nil"/>
            </w:tcBorders>
            <w:vAlign w:val="center"/>
          </w:tcPr>
          <w:p w14:paraId="42C26CD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主要内容</w:t>
            </w:r>
          </w:p>
        </w:tc>
        <w:tc>
          <w:tcPr>
            <w:tcW w:w="1277" w:type="pct"/>
            <w:tcBorders>
              <w:tl2br w:val="nil"/>
              <w:tr2bl w:val="nil"/>
            </w:tcBorders>
            <w:vAlign w:val="center"/>
          </w:tcPr>
          <w:p w14:paraId="55A13C3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预计造价（万元）</w:t>
            </w:r>
          </w:p>
        </w:tc>
      </w:tr>
      <w:tr w14:paraId="462D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1F56F8F6">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6BFC62DF">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4DF4DD42">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58D52BE1">
            <w:pPr>
              <w:kinsoku/>
              <w:spacing w:beforeLines="0" w:afterLines="0" w:line="0" w:lineRule="atLeast"/>
              <w:ind w:firstLine="0" w:firstLineChars="0"/>
              <w:jc w:val="center"/>
              <w:rPr>
                <w:color w:val="auto"/>
                <w:sz w:val="21"/>
                <w:highlight w:val="none"/>
              </w:rPr>
            </w:pPr>
          </w:p>
        </w:tc>
      </w:tr>
      <w:tr w14:paraId="3AFC4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0AAC8AB7">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6C87FFD5">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0B9BE856">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49A74DA6">
            <w:pPr>
              <w:kinsoku/>
              <w:spacing w:beforeLines="0" w:afterLines="0" w:line="0" w:lineRule="atLeast"/>
              <w:ind w:firstLine="0" w:firstLineChars="0"/>
              <w:jc w:val="center"/>
              <w:rPr>
                <w:color w:val="auto"/>
                <w:sz w:val="21"/>
                <w:highlight w:val="none"/>
              </w:rPr>
            </w:pPr>
          </w:p>
        </w:tc>
      </w:tr>
      <w:tr w14:paraId="20768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5F20C9C2">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2C068D2B">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3B9DF85A">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071EB334">
            <w:pPr>
              <w:kinsoku/>
              <w:spacing w:beforeLines="0" w:afterLines="0" w:line="0" w:lineRule="atLeast"/>
              <w:ind w:firstLine="0" w:firstLineChars="0"/>
              <w:jc w:val="center"/>
              <w:rPr>
                <w:color w:val="auto"/>
                <w:sz w:val="21"/>
                <w:highlight w:val="none"/>
              </w:rPr>
            </w:pPr>
          </w:p>
        </w:tc>
      </w:tr>
      <w:tr w14:paraId="75B48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6A9A3C6B">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05714E83">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552D7A11">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61D5D4DF">
            <w:pPr>
              <w:kinsoku/>
              <w:spacing w:beforeLines="0" w:afterLines="0" w:line="0" w:lineRule="atLeast"/>
              <w:ind w:firstLine="0" w:firstLineChars="0"/>
              <w:jc w:val="center"/>
              <w:rPr>
                <w:color w:val="auto"/>
                <w:sz w:val="21"/>
                <w:highlight w:val="none"/>
              </w:rPr>
            </w:pPr>
          </w:p>
        </w:tc>
      </w:tr>
      <w:tr w14:paraId="51A2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4FAAB41B">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747CBF85">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0E04357D">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0EF27178">
            <w:pPr>
              <w:kinsoku/>
              <w:spacing w:beforeLines="0" w:afterLines="0" w:line="0" w:lineRule="atLeast"/>
              <w:ind w:firstLine="0" w:firstLineChars="0"/>
              <w:jc w:val="center"/>
              <w:rPr>
                <w:color w:val="auto"/>
                <w:sz w:val="21"/>
                <w:highlight w:val="none"/>
              </w:rPr>
            </w:pPr>
          </w:p>
        </w:tc>
      </w:tr>
      <w:tr w14:paraId="163D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3E1EEB21">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6B41E975">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0F5D59B1">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3F133DC4">
            <w:pPr>
              <w:kinsoku/>
              <w:spacing w:beforeLines="0" w:afterLines="0" w:line="0" w:lineRule="atLeast"/>
              <w:ind w:firstLine="0" w:firstLineChars="0"/>
              <w:jc w:val="center"/>
              <w:rPr>
                <w:color w:val="auto"/>
                <w:sz w:val="21"/>
                <w:highlight w:val="none"/>
              </w:rPr>
            </w:pPr>
          </w:p>
        </w:tc>
      </w:tr>
      <w:tr w14:paraId="2D1F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17872882">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22B10008">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7534529F">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51D1E506">
            <w:pPr>
              <w:kinsoku/>
              <w:spacing w:beforeLines="0" w:afterLines="0" w:line="0" w:lineRule="atLeast"/>
              <w:ind w:firstLine="0" w:firstLineChars="0"/>
              <w:jc w:val="center"/>
              <w:rPr>
                <w:color w:val="auto"/>
                <w:sz w:val="21"/>
                <w:highlight w:val="none"/>
              </w:rPr>
            </w:pPr>
          </w:p>
        </w:tc>
      </w:tr>
      <w:tr w14:paraId="406B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36B48C63">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2454893C">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53AE92C0">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7C93F2BF">
            <w:pPr>
              <w:kinsoku/>
              <w:spacing w:beforeLines="0" w:afterLines="0" w:line="0" w:lineRule="atLeast"/>
              <w:ind w:firstLine="0" w:firstLineChars="0"/>
              <w:jc w:val="center"/>
              <w:rPr>
                <w:color w:val="auto"/>
                <w:sz w:val="21"/>
                <w:highlight w:val="none"/>
              </w:rPr>
            </w:pPr>
          </w:p>
        </w:tc>
      </w:tr>
      <w:tr w14:paraId="057E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27E5B8E4">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7B51DA53">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720F0631">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60FD456F">
            <w:pPr>
              <w:kinsoku/>
              <w:spacing w:beforeLines="0" w:afterLines="0" w:line="0" w:lineRule="atLeast"/>
              <w:ind w:firstLine="0" w:firstLineChars="0"/>
              <w:jc w:val="center"/>
              <w:rPr>
                <w:color w:val="auto"/>
                <w:sz w:val="21"/>
                <w:highlight w:val="none"/>
              </w:rPr>
            </w:pPr>
          </w:p>
        </w:tc>
      </w:tr>
      <w:tr w14:paraId="1DDE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589A83F6">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724540BC">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63C1D36E">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34FA55B0">
            <w:pPr>
              <w:kinsoku/>
              <w:spacing w:beforeLines="0" w:afterLines="0" w:line="0" w:lineRule="atLeast"/>
              <w:ind w:firstLine="0" w:firstLineChars="0"/>
              <w:jc w:val="center"/>
              <w:rPr>
                <w:color w:val="auto"/>
                <w:sz w:val="21"/>
                <w:highlight w:val="none"/>
              </w:rPr>
            </w:pPr>
          </w:p>
        </w:tc>
      </w:tr>
      <w:tr w14:paraId="2740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58382622">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22EAD7E9">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5320C94A">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27E5B12C">
            <w:pPr>
              <w:kinsoku/>
              <w:spacing w:beforeLines="0" w:afterLines="0" w:line="0" w:lineRule="atLeast"/>
              <w:ind w:firstLine="0" w:firstLineChars="0"/>
              <w:jc w:val="center"/>
              <w:rPr>
                <w:color w:val="auto"/>
                <w:sz w:val="21"/>
                <w:highlight w:val="none"/>
              </w:rPr>
            </w:pPr>
          </w:p>
        </w:tc>
      </w:tr>
      <w:tr w14:paraId="07B1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4B460F63">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3D85E628">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6BAF4F56">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3846CBCC">
            <w:pPr>
              <w:kinsoku/>
              <w:spacing w:beforeLines="0" w:afterLines="0" w:line="0" w:lineRule="atLeast"/>
              <w:ind w:firstLine="0" w:firstLineChars="0"/>
              <w:jc w:val="center"/>
              <w:rPr>
                <w:color w:val="auto"/>
                <w:sz w:val="21"/>
                <w:highlight w:val="none"/>
              </w:rPr>
            </w:pPr>
          </w:p>
        </w:tc>
      </w:tr>
      <w:tr w14:paraId="41CA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163B16D3">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30AD926B">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486ED01D">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4833ED65">
            <w:pPr>
              <w:kinsoku/>
              <w:spacing w:beforeLines="0" w:afterLines="0" w:line="0" w:lineRule="atLeast"/>
              <w:ind w:firstLine="0" w:firstLineChars="0"/>
              <w:jc w:val="center"/>
              <w:rPr>
                <w:color w:val="auto"/>
                <w:sz w:val="21"/>
                <w:highlight w:val="none"/>
              </w:rPr>
            </w:pPr>
          </w:p>
        </w:tc>
      </w:tr>
      <w:tr w14:paraId="6B62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2" w:type="pct"/>
            <w:tcBorders>
              <w:tl2br w:val="nil"/>
              <w:tr2bl w:val="nil"/>
            </w:tcBorders>
            <w:vAlign w:val="center"/>
          </w:tcPr>
          <w:p w14:paraId="7F58A944">
            <w:pPr>
              <w:kinsoku/>
              <w:spacing w:beforeLines="0" w:afterLines="0" w:line="0" w:lineRule="atLeast"/>
              <w:ind w:firstLine="0" w:firstLineChars="0"/>
              <w:jc w:val="center"/>
              <w:rPr>
                <w:color w:val="auto"/>
                <w:sz w:val="21"/>
                <w:highlight w:val="none"/>
              </w:rPr>
            </w:pPr>
          </w:p>
        </w:tc>
        <w:tc>
          <w:tcPr>
            <w:tcW w:w="1430" w:type="pct"/>
            <w:tcBorders>
              <w:tl2br w:val="nil"/>
              <w:tr2bl w:val="nil"/>
            </w:tcBorders>
            <w:vAlign w:val="center"/>
          </w:tcPr>
          <w:p w14:paraId="12D026C4">
            <w:pPr>
              <w:kinsoku/>
              <w:spacing w:beforeLines="0" w:afterLines="0" w:line="0" w:lineRule="atLeast"/>
              <w:ind w:firstLine="0" w:firstLineChars="0"/>
              <w:jc w:val="center"/>
              <w:rPr>
                <w:color w:val="auto"/>
                <w:sz w:val="21"/>
                <w:highlight w:val="none"/>
              </w:rPr>
            </w:pPr>
          </w:p>
        </w:tc>
        <w:tc>
          <w:tcPr>
            <w:tcW w:w="1669" w:type="pct"/>
            <w:tcBorders>
              <w:tl2br w:val="nil"/>
              <w:tr2bl w:val="nil"/>
            </w:tcBorders>
            <w:vAlign w:val="center"/>
          </w:tcPr>
          <w:p w14:paraId="02A28BC7">
            <w:pPr>
              <w:kinsoku/>
              <w:spacing w:beforeLines="0" w:afterLines="0" w:line="0" w:lineRule="atLeast"/>
              <w:ind w:firstLine="0" w:firstLineChars="0"/>
              <w:jc w:val="center"/>
              <w:rPr>
                <w:color w:val="auto"/>
                <w:sz w:val="21"/>
                <w:highlight w:val="none"/>
              </w:rPr>
            </w:pPr>
          </w:p>
        </w:tc>
        <w:tc>
          <w:tcPr>
            <w:tcW w:w="1277" w:type="pct"/>
            <w:tcBorders>
              <w:tl2br w:val="nil"/>
              <w:tr2bl w:val="nil"/>
            </w:tcBorders>
            <w:vAlign w:val="center"/>
          </w:tcPr>
          <w:p w14:paraId="7C03566B">
            <w:pPr>
              <w:kinsoku/>
              <w:spacing w:beforeLines="0" w:afterLines="0" w:line="0" w:lineRule="atLeast"/>
              <w:ind w:firstLine="0" w:firstLineChars="0"/>
              <w:jc w:val="center"/>
              <w:rPr>
                <w:color w:val="auto"/>
                <w:sz w:val="21"/>
                <w:highlight w:val="none"/>
              </w:rPr>
            </w:pPr>
          </w:p>
        </w:tc>
      </w:tr>
    </w:tbl>
    <w:p w14:paraId="31049BA0">
      <w:pPr>
        <w:pStyle w:val="7"/>
        <w:kinsoku/>
        <w:spacing w:beforeLines="0" w:afterLines="0"/>
        <w:ind w:firstLine="420"/>
        <w:jc w:val="left"/>
        <w:rPr>
          <w:color w:val="auto"/>
          <w:highlight w:val="none"/>
        </w:rPr>
      </w:pPr>
    </w:p>
    <w:p w14:paraId="3FD9776D">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2C1780A2">
      <w:pPr>
        <w:pStyle w:val="3"/>
        <w:kinsoku/>
        <w:spacing w:before="169" w:beforeLines="0" w:afterLines="0"/>
        <w:ind w:left="0"/>
        <w:jc w:val="center"/>
        <w:outlineLvl w:val="1"/>
        <w:rPr>
          <w:rFonts w:cs="宋体"/>
          <w:color w:val="auto"/>
          <w:sz w:val="30"/>
          <w:szCs w:val="30"/>
          <w:highlight w:val="none"/>
          <w:lang w:eastAsia="zh-CN"/>
        </w:rPr>
      </w:pPr>
      <w:bookmarkStart w:id="2641" w:name="_Toc19349"/>
      <w:bookmarkStart w:id="2642" w:name="_Toc10821"/>
      <w:bookmarkStart w:id="2643" w:name="_Toc19847"/>
      <w:bookmarkStart w:id="2644" w:name="_Toc26947"/>
      <w:bookmarkStart w:id="2645" w:name="_Toc15520"/>
      <w:bookmarkStart w:id="2646" w:name="_Toc20898"/>
      <w:bookmarkStart w:id="2647" w:name="_Toc15665"/>
      <w:bookmarkStart w:id="2648" w:name="_Toc9087"/>
      <w:bookmarkStart w:id="2649" w:name="_Toc5643"/>
      <w:bookmarkStart w:id="2650" w:name="_Toc3355"/>
      <w:bookmarkStart w:id="2651" w:name="_Toc31082"/>
      <w:bookmarkStart w:id="2652" w:name="_Toc9026"/>
      <w:bookmarkStart w:id="2653" w:name="_Toc27641"/>
      <w:bookmarkStart w:id="2654" w:name="_Toc30600"/>
      <w:bookmarkStart w:id="2655" w:name="_Toc17406"/>
      <w:bookmarkStart w:id="2656" w:name="_Toc15156"/>
      <w:r>
        <w:rPr>
          <w:rFonts w:hint="eastAsia" w:ascii="宋体" w:cs="宋体"/>
          <w:b/>
          <w:bCs/>
          <w:color w:val="auto"/>
          <w:spacing w:val="0"/>
          <w:sz w:val="30"/>
          <w:szCs w:val="30"/>
          <w:highlight w:val="none"/>
          <w:lang w:eastAsia="zh-CN"/>
        </w:rPr>
        <w:t>十</w:t>
      </w:r>
      <w:r>
        <w:rPr>
          <w:rFonts w:ascii="宋体" w:cs="宋体"/>
          <w:b/>
          <w:bCs/>
          <w:color w:val="auto"/>
          <w:spacing w:val="0"/>
          <w:sz w:val="30"/>
          <w:szCs w:val="30"/>
          <w:highlight w:val="none"/>
          <w:lang w:eastAsia="zh-CN"/>
        </w:rPr>
        <w:t>、资格审查资料</w:t>
      </w:r>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p>
    <w:p w14:paraId="15BEDFEB">
      <w:pPr>
        <w:pStyle w:val="4"/>
        <w:kinsoku/>
        <w:spacing w:before="0" w:beforeLines="0" w:afterLines="0"/>
        <w:ind w:left="35"/>
        <w:rPr>
          <w:rFonts w:hint="eastAsia" w:cs="宋体"/>
          <w:bCs/>
          <w:color w:val="auto"/>
          <w:szCs w:val="24"/>
          <w:highlight w:val="none"/>
          <w:lang w:eastAsia="zh-CN"/>
        </w:rPr>
      </w:pPr>
      <w:bookmarkStart w:id="2657" w:name="_Toc27340"/>
      <w:bookmarkStart w:id="2658" w:name="_Toc6682"/>
      <w:bookmarkStart w:id="2659" w:name="_Toc23821"/>
      <w:r>
        <w:rPr>
          <w:rFonts w:hint="eastAsia" w:ascii="宋体" w:cs="宋体"/>
          <w:b/>
          <w:bCs/>
          <w:color w:val="auto"/>
          <w:spacing w:val="0"/>
          <w:sz w:val="24"/>
          <w:szCs w:val="24"/>
          <w:highlight w:val="none"/>
          <w:lang w:eastAsia="zh-CN"/>
        </w:rPr>
        <w:t>（一）投标人基本情况表</w:t>
      </w:r>
      <w:bookmarkEnd w:id="2657"/>
      <w:bookmarkEnd w:id="2658"/>
      <w:bookmarkEnd w:id="2659"/>
    </w:p>
    <w:p w14:paraId="4635C2CD">
      <w:pPr>
        <w:kinsoku/>
        <w:spacing w:beforeLines="0" w:afterLines="0"/>
        <w:ind w:firstLine="420"/>
        <w:jc w:val="left"/>
        <w:rPr>
          <w:color w:val="auto"/>
          <w:highlight w:val="none"/>
          <w:lang w:eastAsia="zh-CN"/>
        </w:rPr>
      </w:pP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489"/>
        <w:gridCol w:w="294"/>
        <w:gridCol w:w="662"/>
        <w:gridCol w:w="1126"/>
        <w:gridCol w:w="1215"/>
        <w:gridCol w:w="810"/>
        <w:gridCol w:w="858"/>
        <w:gridCol w:w="1000"/>
        <w:gridCol w:w="905"/>
        <w:gridCol w:w="764"/>
      </w:tblGrid>
      <w:tr w14:paraId="5DBD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16" w:type="pct"/>
            <w:tcBorders>
              <w:tl2br w:val="nil"/>
              <w:tr2bl w:val="nil"/>
            </w:tcBorders>
            <w:vAlign w:val="center"/>
          </w:tcPr>
          <w:p w14:paraId="73B6CC7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投标人名称</w:t>
            </w:r>
          </w:p>
        </w:tc>
        <w:tc>
          <w:tcPr>
            <w:tcW w:w="4183" w:type="pct"/>
            <w:gridSpan w:val="9"/>
            <w:tcBorders>
              <w:tl2br w:val="nil"/>
              <w:tr2bl w:val="nil"/>
            </w:tcBorders>
            <w:vAlign w:val="center"/>
          </w:tcPr>
          <w:p w14:paraId="27618782">
            <w:pPr>
              <w:kinsoku/>
              <w:spacing w:beforeLines="0" w:afterLines="0" w:line="0" w:lineRule="atLeast"/>
              <w:ind w:firstLine="0" w:firstLineChars="0"/>
              <w:jc w:val="center"/>
              <w:rPr>
                <w:color w:val="auto"/>
                <w:sz w:val="21"/>
                <w:highlight w:val="none"/>
              </w:rPr>
            </w:pPr>
          </w:p>
        </w:tc>
      </w:tr>
      <w:tr w14:paraId="2FF0E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16" w:type="pct"/>
            <w:tcBorders>
              <w:tl2br w:val="nil"/>
              <w:tr2bl w:val="nil"/>
            </w:tcBorders>
            <w:vAlign w:val="center"/>
          </w:tcPr>
          <w:p w14:paraId="7C453AD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注册地址</w:t>
            </w:r>
          </w:p>
        </w:tc>
        <w:tc>
          <w:tcPr>
            <w:tcW w:w="1806" w:type="pct"/>
            <w:gridSpan w:val="4"/>
            <w:tcBorders>
              <w:tl2br w:val="nil"/>
              <w:tr2bl w:val="nil"/>
            </w:tcBorders>
            <w:vAlign w:val="center"/>
          </w:tcPr>
          <w:p w14:paraId="1F829225">
            <w:pPr>
              <w:kinsoku/>
              <w:spacing w:beforeLines="0" w:afterLines="0" w:line="0" w:lineRule="atLeast"/>
              <w:ind w:firstLine="0" w:firstLineChars="0"/>
              <w:jc w:val="center"/>
              <w:rPr>
                <w:color w:val="auto"/>
                <w:sz w:val="21"/>
                <w:highlight w:val="none"/>
              </w:rPr>
            </w:pPr>
          </w:p>
        </w:tc>
        <w:tc>
          <w:tcPr>
            <w:tcW w:w="914" w:type="pct"/>
            <w:gridSpan w:val="2"/>
            <w:tcBorders>
              <w:tl2br w:val="nil"/>
              <w:tr2bl w:val="nil"/>
            </w:tcBorders>
            <w:vAlign w:val="center"/>
          </w:tcPr>
          <w:p w14:paraId="1FA07C2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邮政编码</w:t>
            </w:r>
          </w:p>
        </w:tc>
        <w:tc>
          <w:tcPr>
            <w:tcW w:w="1462" w:type="pct"/>
            <w:gridSpan w:val="3"/>
            <w:tcBorders>
              <w:tl2br w:val="nil"/>
              <w:tr2bl w:val="nil"/>
            </w:tcBorders>
            <w:vAlign w:val="center"/>
          </w:tcPr>
          <w:p w14:paraId="1872966E">
            <w:pPr>
              <w:kinsoku/>
              <w:spacing w:beforeLines="0" w:afterLines="0" w:line="0" w:lineRule="atLeast"/>
              <w:ind w:firstLine="0" w:firstLineChars="0"/>
              <w:jc w:val="center"/>
              <w:rPr>
                <w:color w:val="auto"/>
                <w:sz w:val="21"/>
                <w:highlight w:val="none"/>
              </w:rPr>
            </w:pPr>
          </w:p>
        </w:tc>
      </w:tr>
      <w:tr w14:paraId="67B40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16" w:type="pct"/>
            <w:vMerge w:val="restart"/>
            <w:tcBorders>
              <w:tl2br w:val="nil"/>
              <w:tr2bl w:val="nil"/>
            </w:tcBorders>
            <w:vAlign w:val="center"/>
          </w:tcPr>
          <w:p w14:paraId="197056E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联系方式</w:t>
            </w:r>
          </w:p>
        </w:tc>
        <w:tc>
          <w:tcPr>
            <w:tcW w:w="523" w:type="pct"/>
            <w:gridSpan w:val="2"/>
            <w:tcBorders>
              <w:tl2br w:val="nil"/>
              <w:tr2bl w:val="nil"/>
            </w:tcBorders>
            <w:vAlign w:val="center"/>
          </w:tcPr>
          <w:p w14:paraId="1F48F3F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联系人</w:t>
            </w:r>
          </w:p>
        </w:tc>
        <w:tc>
          <w:tcPr>
            <w:tcW w:w="1282" w:type="pct"/>
            <w:gridSpan w:val="2"/>
            <w:tcBorders>
              <w:tl2br w:val="nil"/>
              <w:tr2bl w:val="nil"/>
            </w:tcBorders>
            <w:vAlign w:val="center"/>
          </w:tcPr>
          <w:p w14:paraId="39F38E96">
            <w:pPr>
              <w:kinsoku/>
              <w:spacing w:beforeLines="0" w:afterLines="0" w:line="0" w:lineRule="atLeast"/>
              <w:ind w:firstLine="0" w:firstLineChars="0"/>
              <w:jc w:val="center"/>
              <w:rPr>
                <w:color w:val="auto"/>
                <w:sz w:val="21"/>
                <w:highlight w:val="none"/>
              </w:rPr>
            </w:pPr>
          </w:p>
        </w:tc>
        <w:tc>
          <w:tcPr>
            <w:tcW w:w="914" w:type="pct"/>
            <w:gridSpan w:val="2"/>
            <w:tcBorders>
              <w:tl2br w:val="nil"/>
              <w:tr2bl w:val="nil"/>
            </w:tcBorders>
            <w:vAlign w:val="center"/>
          </w:tcPr>
          <w:p w14:paraId="591BFAA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电话</w:t>
            </w:r>
          </w:p>
        </w:tc>
        <w:tc>
          <w:tcPr>
            <w:tcW w:w="1462" w:type="pct"/>
            <w:gridSpan w:val="3"/>
            <w:tcBorders>
              <w:tl2br w:val="nil"/>
              <w:tr2bl w:val="nil"/>
            </w:tcBorders>
            <w:vAlign w:val="center"/>
          </w:tcPr>
          <w:p w14:paraId="074FFBF7">
            <w:pPr>
              <w:kinsoku/>
              <w:spacing w:beforeLines="0" w:afterLines="0" w:line="0" w:lineRule="atLeast"/>
              <w:ind w:firstLine="0" w:firstLineChars="0"/>
              <w:jc w:val="center"/>
              <w:rPr>
                <w:color w:val="auto"/>
                <w:sz w:val="21"/>
                <w:highlight w:val="none"/>
              </w:rPr>
            </w:pPr>
          </w:p>
        </w:tc>
      </w:tr>
      <w:tr w14:paraId="3D4F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16" w:type="pct"/>
            <w:vMerge w:val="continue"/>
            <w:tcBorders>
              <w:tl2br w:val="nil"/>
              <w:tr2bl w:val="nil"/>
            </w:tcBorders>
            <w:vAlign w:val="center"/>
          </w:tcPr>
          <w:p w14:paraId="0B561ED6">
            <w:pPr>
              <w:kinsoku/>
              <w:spacing w:beforeLines="0" w:afterLines="0" w:line="0" w:lineRule="atLeast"/>
              <w:ind w:firstLine="0" w:firstLineChars="0"/>
              <w:jc w:val="center"/>
              <w:rPr>
                <w:color w:val="auto"/>
                <w:sz w:val="21"/>
                <w:highlight w:val="none"/>
              </w:rPr>
            </w:pPr>
          </w:p>
        </w:tc>
        <w:tc>
          <w:tcPr>
            <w:tcW w:w="523" w:type="pct"/>
            <w:gridSpan w:val="2"/>
            <w:tcBorders>
              <w:tl2br w:val="nil"/>
              <w:tr2bl w:val="nil"/>
            </w:tcBorders>
            <w:vAlign w:val="center"/>
          </w:tcPr>
          <w:p w14:paraId="013E4CC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传真</w:t>
            </w:r>
          </w:p>
        </w:tc>
        <w:tc>
          <w:tcPr>
            <w:tcW w:w="1282" w:type="pct"/>
            <w:gridSpan w:val="2"/>
            <w:tcBorders>
              <w:tl2br w:val="nil"/>
              <w:tr2bl w:val="nil"/>
            </w:tcBorders>
            <w:vAlign w:val="center"/>
          </w:tcPr>
          <w:p w14:paraId="290C25AB">
            <w:pPr>
              <w:kinsoku/>
              <w:spacing w:beforeLines="0" w:afterLines="0" w:line="0" w:lineRule="atLeast"/>
              <w:ind w:firstLine="0" w:firstLineChars="0"/>
              <w:jc w:val="center"/>
              <w:rPr>
                <w:color w:val="auto"/>
                <w:sz w:val="21"/>
                <w:highlight w:val="none"/>
              </w:rPr>
            </w:pPr>
          </w:p>
        </w:tc>
        <w:tc>
          <w:tcPr>
            <w:tcW w:w="914" w:type="pct"/>
            <w:gridSpan w:val="2"/>
            <w:tcBorders>
              <w:tl2br w:val="nil"/>
              <w:tr2bl w:val="nil"/>
            </w:tcBorders>
            <w:vAlign w:val="center"/>
          </w:tcPr>
          <w:p w14:paraId="52BC471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电子信箱</w:t>
            </w:r>
          </w:p>
        </w:tc>
        <w:tc>
          <w:tcPr>
            <w:tcW w:w="1462" w:type="pct"/>
            <w:gridSpan w:val="3"/>
            <w:tcBorders>
              <w:tl2br w:val="nil"/>
              <w:tr2bl w:val="nil"/>
            </w:tcBorders>
            <w:vAlign w:val="center"/>
          </w:tcPr>
          <w:p w14:paraId="458F594D">
            <w:pPr>
              <w:kinsoku/>
              <w:spacing w:beforeLines="0" w:afterLines="0" w:line="0" w:lineRule="atLeast"/>
              <w:ind w:firstLine="0" w:firstLineChars="0"/>
              <w:jc w:val="center"/>
              <w:rPr>
                <w:color w:val="auto"/>
                <w:sz w:val="21"/>
                <w:highlight w:val="none"/>
              </w:rPr>
            </w:pPr>
          </w:p>
        </w:tc>
      </w:tr>
      <w:tr w14:paraId="6378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16" w:type="pct"/>
            <w:tcBorders>
              <w:tl2br w:val="nil"/>
              <w:tr2bl w:val="nil"/>
            </w:tcBorders>
            <w:vAlign w:val="center"/>
          </w:tcPr>
          <w:p w14:paraId="3269DCF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企业性质</w:t>
            </w:r>
          </w:p>
        </w:tc>
        <w:tc>
          <w:tcPr>
            <w:tcW w:w="1140" w:type="pct"/>
            <w:gridSpan w:val="3"/>
            <w:tcBorders>
              <w:tl2br w:val="nil"/>
              <w:tr2bl w:val="nil"/>
            </w:tcBorders>
            <w:vAlign w:val="center"/>
          </w:tcPr>
          <w:p w14:paraId="17BDD2BD">
            <w:pPr>
              <w:kinsoku/>
              <w:spacing w:beforeLines="0" w:afterLines="0" w:line="0" w:lineRule="atLeast"/>
              <w:ind w:firstLine="0" w:firstLineChars="0"/>
              <w:jc w:val="center"/>
              <w:rPr>
                <w:color w:val="auto"/>
                <w:sz w:val="21"/>
                <w:highlight w:val="none"/>
              </w:rPr>
            </w:pPr>
          </w:p>
        </w:tc>
        <w:tc>
          <w:tcPr>
            <w:tcW w:w="1579" w:type="pct"/>
            <w:gridSpan w:val="3"/>
            <w:tcBorders>
              <w:tl2br w:val="nil"/>
              <w:tr2bl w:val="nil"/>
            </w:tcBorders>
            <w:vAlign w:val="center"/>
          </w:tcPr>
          <w:p w14:paraId="26E68C3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上级主管单位</w:t>
            </w:r>
          </w:p>
        </w:tc>
        <w:tc>
          <w:tcPr>
            <w:tcW w:w="1462" w:type="pct"/>
            <w:gridSpan w:val="3"/>
            <w:tcBorders>
              <w:tl2br w:val="nil"/>
              <w:tr2bl w:val="nil"/>
            </w:tcBorders>
            <w:vAlign w:val="center"/>
          </w:tcPr>
          <w:p w14:paraId="665EB3A5">
            <w:pPr>
              <w:kinsoku/>
              <w:spacing w:beforeLines="0" w:afterLines="0" w:line="0" w:lineRule="atLeast"/>
              <w:ind w:firstLine="0" w:firstLineChars="0"/>
              <w:jc w:val="center"/>
              <w:rPr>
                <w:color w:val="auto"/>
                <w:sz w:val="21"/>
                <w:highlight w:val="none"/>
              </w:rPr>
            </w:pPr>
          </w:p>
        </w:tc>
      </w:tr>
      <w:tr w14:paraId="5DD3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816" w:type="pct"/>
            <w:tcBorders>
              <w:tl2br w:val="nil"/>
              <w:tr2bl w:val="nil"/>
            </w:tcBorders>
            <w:vAlign w:val="center"/>
          </w:tcPr>
          <w:p w14:paraId="34CDA13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法定代表人</w:t>
            </w:r>
          </w:p>
        </w:tc>
        <w:tc>
          <w:tcPr>
            <w:tcW w:w="523" w:type="pct"/>
            <w:gridSpan w:val="2"/>
            <w:tcBorders>
              <w:tl2br w:val="nil"/>
              <w:tr2bl w:val="nil"/>
            </w:tcBorders>
            <w:vAlign w:val="center"/>
          </w:tcPr>
          <w:p w14:paraId="5F094FD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姓名</w:t>
            </w:r>
          </w:p>
        </w:tc>
        <w:tc>
          <w:tcPr>
            <w:tcW w:w="617" w:type="pct"/>
            <w:tcBorders>
              <w:tl2br w:val="nil"/>
              <w:tr2bl w:val="nil"/>
            </w:tcBorders>
            <w:vAlign w:val="center"/>
          </w:tcPr>
          <w:p w14:paraId="472C11FC">
            <w:pPr>
              <w:kinsoku/>
              <w:spacing w:beforeLines="0" w:afterLines="0" w:line="0" w:lineRule="atLeast"/>
              <w:ind w:firstLine="0" w:firstLineChars="0"/>
              <w:jc w:val="center"/>
              <w:rPr>
                <w:color w:val="auto"/>
                <w:sz w:val="21"/>
                <w:highlight w:val="none"/>
              </w:rPr>
            </w:pPr>
          </w:p>
        </w:tc>
        <w:tc>
          <w:tcPr>
            <w:tcW w:w="665" w:type="pct"/>
            <w:tcBorders>
              <w:tl2br w:val="nil"/>
              <w:tr2bl w:val="nil"/>
            </w:tcBorders>
            <w:vAlign w:val="center"/>
          </w:tcPr>
          <w:p w14:paraId="51C26F5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技术职称</w:t>
            </w:r>
          </w:p>
        </w:tc>
        <w:tc>
          <w:tcPr>
            <w:tcW w:w="914" w:type="pct"/>
            <w:gridSpan w:val="2"/>
            <w:tcBorders>
              <w:tl2br w:val="nil"/>
              <w:tr2bl w:val="nil"/>
            </w:tcBorders>
            <w:vAlign w:val="center"/>
          </w:tcPr>
          <w:p w14:paraId="5D09C1E4">
            <w:pPr>
              <w:kinsoku/>
              <w:spacing w:beforeLines="0" w:afterLines="0" w:line="0" w:lineRule="atLeast"/>
              <w:ind w:firstLine="0" w:firstLineChars="0"/>
              <w:jc w:val="center"/>
              <w:rPr>
                <w:color w:val="auto"/>
                <w:sz w:val="21"/>
                <w:highlight w:val="none"/>
              </w:rPr>
            </w:pPr>
          </w:p>
        </w:tc>
        <w:tc>
          <w:tcPr>
            <w:tcW w:w="548" w:type="pct"/>
            <w:tcBorders>
              <w:tl2br w:val="nil"/>
              <w:tr2bl w:val="nil"/>
            </w:tcBorders>
            <w:vAlign w:val="center"/>
          </w:tcPr>
          <w:p w14:paraId="7502AF7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电话</w:t>
            </w:r>
          </w:p>
        </w:tc>
        <w:tc>
          <w:tcPr>
            <w:tcW w:w="914" w:type="pct"/>
            <w:gridSpan w:val="2"/>
            <w:tcBorders>
              <w:tl2br w:val="nil"/>
              <w:tr2bl w:val="nil"/>
            </w:tcBorders>
            <w:vAlign w:val="center"/>
          </w:tcPr>
          <w:p w14:paraId="0F76D4D6">
            <w:pPr>
              <w:kinsoku/>
              <w:spacing w:beforeLines="0" w:afterLines="0" w:line="0" w:lineRule="atLeast"/>
              <w:ind w:firstLine="0" w:firstLineChars="0"/>
              <w:jc w:val="center"/>
              <w:rPr>
                <w:color w:val="auto"/>
                <w:sz w:val="21"/>
                <w:highlight w:val="none"/>
              </w:rPr>
            </w:pPr>
          </w:p>
        </w:tc>
      </w:tr>
      <w:tr w14:paraId="6769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816" w:type="pct"/>
            <w:tcBorders>
              <w:tl2br w:val="nil"/>
              <w:tr2bl w:val="nil"/>
            </w:tcBorders>
            <w:vAlign w:val="center"/>
          </w:tcPr>
          <w:p w14:paraId="5293032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技术负责人</w:t>
            </w:r>
          </w:p>
        </w:tc>
        <w:tc>
          <w:tcPr>
            <w:tcW w:w="523" w:type="pct"/>
            <w:gridSpan w:val="2"/>
            <w:tcBorders>
              <w:tl2br w:val="nil"/>
              <w:tr2bl w:val="nil"/>
            </w:tcBorders>
            <w:vAlign w:val="center"/>
          </w:tcPr>
          <w:p w14:paraId="0C72809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姓名</w:t>
            </w:r>
          </w:p>
        </w:tc>
        <w:tc>
          <w:tcPr>
            <w:tcW w:w="617" w:type="pct"/>
            <w:tcBorders>
              <w:tl2br w:val="nil"/>
              <w:tr2bl w:val="nil"/>
            </w:tcBorders>
            <w:vAlign w:val="center"/>
          </w:tcPr>
          <w:p w14:paraId="6BE09074">
            <w:pPr>
              <w:kinsoku/>
              <w:spacing w:beforeLines="0" w:afterLines="0" w:line="0" w:lineRule="atLeast"/>
              <w:ind w:firstLine="0" w:firstLineChars="0"/>
              <w:jc w:val="center"/>
              <w:rPr>
                <w:color w:val="auto"/>
                <w:sz w:val="21"/>
                <w:highlight w:val="none"/>
              </w:rPr>
            </w:pPr>
          </w:p>
        </w:tc>
        <w:tc>
          <w:tcPr>
            <w:tcW w:w="665" w:type="pct"/>
            <w:tcBorders>
              <w:tl2br w:val="nil"/>
              <w:tr2bl w:val="nil"/>
            </w:tcBorders>
            <w:vAlign w:val="center"/>
          </w:tcPr>
          <w:p w14:paraId="1315A08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技术职称</w:t>
            </w:r>
          </w:p>
        </w:tc>
        <w:tc>
          <w:tcPr>
            <w:tcW w:w="914" w:type="pct"/>
            <w:gridSpan w:val="2"/>
            <w:tcBorders>
              <w:tl2br w:val="nil"/>
              <w:tr2bl w:val="nil"/>
            </w:tcBorders>
            <w:vAlign w:val="center"/>
          </w:tcPr>
          <w:p w14:paraId="5B0A7A59">
            <w:pPr>
              <w:kinsoku/>
              <w:spacing w:beforeLines="0" w:afterLines="0" w:line="0" w:lineRule="atLeast"/>
              <w:ind w:firstLine="0" w:firstLineChars="0"/>
              <w:jc w:val="center"/>
              <w:rPr>
                <w:color w:val="auto"/>
                <w:sz w:val="21"/>
                <w:highlight w:val="none"/>
              </w:rPr>
            </w:pPr>
          </w:p>
        </w:tc>
        <w:tc>
          <w:tcPr>
            <w:tcW w:w="548" w:type="pct"/>
            <w:tcBorders>
              <w:tl2br w:val="nil"/>
              <w:tr2bl w:val="nil"/>
            </w:tcBorders>
            <w:vAlign w:val="center"/>
          </w:tcPr>
          <w:p w14:paraId="53AD63A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电话</w:t>
            </w:r>
          </w:p>
        </w:tc>
        <w:tc>
          <w:tcPr>
            <w:tcW w:w="914" w:type="pct"/>
            <w:gridSpan w:val="2"/>
            <w:tcBorders>
              <w:tl2br w:val="nil"/>
              <w:tr2bl w:val="nil"/>
            </w:tcBorders>
            <w:vAlign w:val="center"/>
          </w:tcPr>
          <w:p w14:paraId="439BACAC">
            <w:pPr>
              <w:kinsoku/>
              <w:spacing w:beforeLines="0" w:afterLines="0" w:line="0" w:lineRule="atLeast"/>
              <w:ind w:firstLine="0" w:firstLineChars="0"/>
              <w:jc w:val="center"/>
              <w:rPr>
                <w:color w:val="auto"/>
                <w:sz w:val="21"/>
                <w:highlight w:val="none"/>
              </w:rPr>
            </w:pPr>
          </w:p>
        </w:tc>
      </w:tr>
      <w:tr w14:paraId="61446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2E18F1E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成立时间</w:t>
            </w:r>
          </w:p>
        </w:tc>
        <w:tc>
          <w:tcPr>
            <w:tcW w:w="1282" w:type="pct"/>
            <w:gridSpan w:val="2"/>
            <w:tcBorders>
              <w:tl2br w:val="nil"/>
              <w:tr2bl w:val="nil"/>
            </w:tcBorders>
            <w:vAlign w:val="center"/>
          </w:tcPr>
          <w:p w14:paraId="33083C0F">
            <w:pPr>
              <w:kinsoku/>
              <w:spacing w:beforeLines="0" w:afterLines="0" w:line="0" w:lineRule="atLeast"/>
              <w:ind w:firstLine="0" w:firstLineChars="0"/>
              <w:jc w:val="center"/>
              <w:rPr>
                <w:color w:val="auto"/>
                <w:sz w:val="21"/>
                <w:highlight w:val="none"/>
              </w:rPr>
            </w:pPr>
          </w:p>
        </w:tc>
        <w:tc>
          <w:tcPr>
            <w:tcW w:w="1958" w:type="pct"/>
            <w:gridSpan w:val="4"/>
            <w:tcBorders>
              <w:tl2br w:val="nil"/>
              <w:tr2bl w:val="nil"/>
            </w:tcBorders>
            <w:vAlign w:val="center"/>
          </w:tcPr>
          <w:p w14:paraId="30F6EAB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员工总人数（人）</w:t>
            </w:r>
          </w:p>
        </w:tc>
        <w:tc>
          <w:tcPr>
            <w:tcW w:w="418" w:type="pct"/>
            <w:tcBorders>
              <w:tl2br w:val="nil"/>
              <w:tr2bl w:val="nil"/>
            </w:tcBorders>
            <w:vAlign w:val="center"/>
          </w:tcPr>
          <w:p w14:paraId="6E44BC97">
            <w:pPr>
              <w:kinsoku/>
              <w:spacing w:beforeLines="0" w:afterLines="0" w:line="0" w:lineRule="atLeast"/>
              <w:ind w:firstLine="0" w:firstLineChars="0"/>
              <w:jc w:val="center"/>
              <w:rPr>
                <w:color w:val="auto"/>
                <w:sz w:val="21"/>
                <w:highlight w:val="none"/>
              </w:rPr>
            </w:pPr>
          </w:p>
        </w:tc>
      </w:tr>
      <w:tr w14:paraId="5F58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60F338C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企业资质等级</w:t>
            </w:r>
          </w:p>
        </w:tc>
        <w:tc>
          <w:tcPr>
            <w:tcW w:w="1282" w:type="pct"/>
            <w:gridSpan w:val="2"/>
            <w:tcBorders>
              <w:tl2br w:val="nil"/>
              <w:tr2bl w:val="nil"/>
            </w:tcBorders>
            <w:vAlign w:val="center"/>
          </w:tcPr>
          <w:p w14:paraId="2D3F2D7D">
            <w:pPr>
              <w:kinsoku/>
              <w:spacing w:beforeLines="0" w:afterLines="0" w:line="0" w:lineRule="atLeast"/>
              <w:ind w:firstLine="0" w:firstLineChars="0"/>
              <w:jc w:val="center"/>
              <w:rPr>
                <w:color w:val="auto"/>
                <w:sz w:val="21"/>
                <w:highlight w:val="none"/>
              </w:rPr>
            </w:pPr>
          </w:p>
        </w:tc>
        <w:tc>
          <w:tcPr>
            <w:tcW w:w="444" w:type="pct"/>
            <w:vMerge w:val="restart"/>
            <w:tcBorders>
              <w:tl2br w:val="nil"/>
              <w:tr2bl w:val="nil"/>
            </w:tcBorders>
            <w:vAlign w:val="center"/>
          </w:tcPr>
          <w:p w14:paraId="6F2EAAE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其中</w:t>
            </w:r>
          </w:p>
        </w:tc>
        <w:tc>
          <w:tcPr>
            <w:tcW w:w="1513" w:type="pct"/>
            <w:gridSpan w:val="3"/>
            <w:tcBorders>
              <w:tl2br w:val="nil"/>
              <w:tr2bl w:val="nil"/>
            </w:tcBorders>
            <w:vAlign w:val="center"/>
          </w:tcPr>
          <w:p w14:paraId="44363CC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项目负责人（人）</w:t>
            </w:r>
          </w:p>
        </w:tc>
        <w:tc>
          <w:tcPr>
            <w:tcW w:w="418" w:type="pct"/>
            <w:tcBorders>
              <w:tl2br w:val="nil"/>
              <w:tr2bl w:val="nil"/>
            </w:tcBorders>
            <w:vAlign w:val="center"/>
          </w:tcPr>
          <w:p w14:paraId="423C4482">
            <w:pPr>
              <w:kinsoku/>
              <w:spacing w:beforeLines="0" w:afterLines="0" w:line="0" w:lineRule="atLeast"/>
              <w:ind w:firstLine="0" w:firstLineChars="0"/>
              <w:jc w:val="center"/>
              <w:rPr>
                <w:color w:val="auto"/>
                <w:sz w:val="21"/>
                <w:highlight w:val="none"/>
              </w:rPr>
            </w:pPr>
          </w:p>
        </w:tc>
      </w:tr>
      <w:tr w14:paraId="46E3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40E072E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统一社会信用代码</w:t>
            </w:r>
          </w:p>
        </w:tc>
        <w:tc>
          <w:tcPr>
            <w:tcW w:w="1282" w:type="pct"/>
            <w:gridSpan w:val="2"/>
            <w:tcBorders>
              <w:tl2br w:val="nil"/>
              <w:tr2bl w:val="nil"/>
            </w:tcBorders>
            <w:vAlign w:val="center"/>
          </w:tcPr>
          <w:p w14:paraId="0C1AF23A">
            <w:pPr>
              <w:kinsoku/>
              <w:spacing w:beforeLines="0" w:afterLines="0" w:line="0" w:lineRule="atLeast"/>
              <w:ind w:firstLine="0" w:firstLineChars="0"/>
              <w:jc w:val="center"/>
              <w:rPr>
                <w:color w:val="auto"/>
                <w:sz w:val="21"/>
                <w:highlight w:val="none"/>
              </w:rPr>
            </w:pPr>
          </w:p>
        </w:tc>
        <w:tc>
          <w:tcPr>
            <w:tcW w:w="444" w:type="pct"/>
            <w:vMerge w:val="continue"/>
            <w:tcBorders>
              <w:tl2br w:val="nil"/>
              <w:tr2bl w:val="nil"/>
            </w:tcBorders>
            <w:vAlign w:val="center"/>
          </w:tcPr>
          <w:p w14:paraId="1BB9E42C">
            <w:pPr>
              <w:kinsoku/>
              <w:spacing w:beforeLines="0" w:afterLines="0" w:line="0" w:lineRule="atLeast"/>
              <w:ind w:firstLine="0" w:firstLineChars="0"/>
              <w:jc w:val="center"/>
              <w:rPr>
                <w:color w:val="auto"/>
                <w:sz w:val="21"/>
                <w:highlight w:val="none"/>
              </w:rPr>
            </w:pPr>
          </w:p>
        </w:tc>
        <w:tc>
          <w:tcPr>
            <w:tcW w:w="1513" w:type="pct"/>
            <w:gridSpan w:val="3"/>
            <w:tcBorders>
              <w:tl2br w:val="nil"/>
              <w:tr2bl w:val="nil"/>
            </w:tcBorders>
            <w:vAlign w:val="center"/>
          </w:tcPr>
          <w:p w14:paraId="093CDF2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高级职称人员（人）</w:t>
            </w:r>
          </w:p>
        </w:tc>
        <w:tc>
          <w:tcPr>
            <w:tcW w:w="418" w:type="pct"/>
            <w:tcBorders>
              <w:tl2br w:val="nil"/>
              <w:tr2bl w:val="nil"/>
            </w:tcBorders>
            <w:vAlign w:val="center"/>
          </w:tcPr>
          <w:p w14:paraId="6E6E03C8">
            <w:pPr>
              <w:kinsoku/>
              <w:spacing w:beforeLines="0" w:afterLines="0" w:line="0" w:lineRule="atLeast"/>
              <w:ind w:firstLine="0" w:firstLineChars="0"/>
              <w:jc w:val="center"/>
              <w:rPr>
                <w:color w:val="auto"/>
                <w:sz w:val="21"/>
                <w:highlight w:val="none"/>
              </w:rPr>
            </w:pPr>
          </w:p>
        </w:tc>
      </w:tr>
      <w:tr w14:paraId="2F6C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3F0FBCE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注册资金</w:t>
            </w:r>
          </w:p>
        </w:tc>
        <w:tc>
          <w:tcPr>
            <w:tcW w:w="1282" w:type="pct"/>
            <w:gridSpan w:val="2"/>
            <w:tcBorders>
              <w:tl2br w:val="nil"/>
              <w:tr2bl w:val="nil"/>
            </w:tcBorders>
            <w:vAlign w:val="center"/>
          </w:tcPr>
          <w:p w14:paraId="34C7D869">
            <w:pPr>
              <w:kinsoku/>
              <w:spacing w:beforeLines="0" w:afterLines="0" w:line="0" w:lineRule="atLeast"/>
              <w:ind w:firstLine="0" w:firstLineChars="0"/>
              <w:jc w:val="center"/>
              <w:rPr>
                <w:color w:val="auto"/>
                <w:sz w:val="21"/>
                <w:highlight w:val="none"/>
              </w:rPr>
            </w:pPr>
          </w:p>
        </w:tc>
        <w:tc>
          <w:tcPr>
            <w:tcW w:w="444" w:type="pct"/>
            <w:vMerge w:val="continue"/>
            <w:tcBorders>
              <w:tl2br w:val="nil"/>
              <w:tr2bl w:val="nil"/>
            </w:tcBorders>
            <w:vAlign w:val="center"/>
          </w:tcPr>
          <w:p w14:paraId="4D1CE315">
            <w:pPr>
              <w:kinsoku/>
              <w:spacing w:beforeLines="0" w:afterLines="0" w:line="0" w:lineRule="atLeast"/>
              <w:ind w:firstLine="0" w:firstLineChars="0"/>
              <w:jc w:val="center"/>
              <w:rPr>
                <w:color w:val="auto"/>
                <w:sz w:val="21"/>
                <w:highlight w:val="none"/>
              </w:rPr>
            </w:pPr>
          </w:p>
        </w:tc>
        <w:tc>
          <w:tcPr>
            <w:tcW w:w="1513" w:type="pct"/>
            <w:gridSpan w:val="3"/>
            <w:tcBorders>
              <w:tl2br w:val="nil"/>
              <w:tr2bl w:val="nil"/>
            </w:tcBorders>
            <w:vAlign w:val="center"/>
          </w:tcPr>
          <w:p w14:paraId="59A8702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中级职称人员（人）</w:t>
            </w:r>
          </w:p>
        </w:tc>
        <w:tc>
          <w:tcPr>
            <w:tcW w:w="418" w:type="pct"/>
            <w:tcBorders>
              <w:tl2br w:val="nil"/>
              <w:tr2bl w:val="nil"/>
            </w:tcBorders>
            <w:vAlign w:val="center"/>
          </w:tcPr>
          <w:p w14:paraId="62DC8CDA">
            <w:pPr>
              <w:kinsoku/>
              <w:spacing w:beforeLines="0" w:afterLines="0" w:line="0" w:lineRule="atLeast"/>
              <w:ind w:firstLine="0" w:firstLineChars="0"/>
              <w:jc w:val="center"/>
              <w:rPr>
                <w:color w:val="auto"/>
                <w:sz w:val="21"/>
                <w:highlight w:val="none"/>
              </w:rPr>
            </w:pPr>
          </w:p>
        </w:tc>
      </w:tr>
      <w:tr w14:paraId="562C5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30BC18F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基本账户开户银行</w:t>
            </w:r>
          </w:p>
        </w:tc>
        <w:tc>
          <w:tcPr>
            <w:tcW w:w="1282" w:type="pct"/>
            <w:gridSpan w:val="2"/>
            <w:tcBorders>
              <w:tl2br w:val="nil"/>
              <w:tr2bl w:val="nil"/>
            </w:tcBorders>
            <w:vAlign w:val="center"/>
          </w:tcPr>
          <w:p w14:paraId="7286B64F">
            <w:pPr>
              <w:kinsoku/>
              <w:spacing w:beforeLines="0" w:afterLines="0" w:line="0" w:lineRule="atLeast"/>
              <w:ind w:firstLine="0" w:firstLineChars="0"/>
              <w:jc w:val="center"/>
              <w:rPr>
                <w:color w:val="auto"/>
                <w:sz w:val="21"/>
                <w:highlight w:val="none"/>
              </w:rPr>
            </w:pPr>
          </w:p>
        </w:tc>
        <w:tc>
          <w:tcPr>
            <w:tcW w:w="444" w:type="pct"/>
            <w:vMerge w:val="continue"/>
            <w:tcBorders>
              <w:tl2br w:val="nil"/>
              <w:tr2bl w:val="nil"/>
            </w:tcBorders>
            <w:vAlign w:val="center"/>
          </w:tcPr>
          <w:p w14:paraId="3161BF51">
            <w:pPr>
              <w:kinsoku/>
              <w:spacing w:beforeLines="0" w:afterLines="0" w:line="0" w:lineRule="atLeast"/>
              <w:ind w:firstLine="0" w:firstLineChars="0"/>
              <w:jc w:val="center"/>
              <w:rPr>
                <w:color w:val="auto"/>
                <w:sz w:val="21"/>
                <w:highlight w:val="none"/>
              </w:rPr>
            </w:pPr>
          </w:p>
        </w:tc>
        <w:tc>
          <w:tcPr>
            <w:tcW w:w="1513" w:type="pct"/>
            <w:gridSpan w:val="3"/>
            <w:tcBorders>
              <w:tl2br w:val="nil"/>
              <w:tr2bl w:val="nil"/>
            </w:tcBorders>
            <w:vAlign w:val="center"/>
          </w:tcPr>
          <w:p w14:paraId="3C93310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初级职称人员（人）</w:t>
            </w:r>
          </w:p>
        </w:tc>
        <w:tc>
          <w:tcPr>
            <w:tcW w:w="418" w:type="pct"/>
            <w:tcBorders>
              <w:tl2br w:val="nil"/>
              <w:tr2bl w:val="nil"/>
            </w:tcBorders>
            <w:vAlign w:val="center"/>
          </w:tcPr>
          <w:p w14:paraId="2C1BE7B8">
            <w:pPr>
              <w:kinsoku/>
              <w:spacing w:beforeLines="0" w:afterLines="0" w:line="0" w:lineRule="atLeast"/>
              <w:ind w:firstLine="0" w:firstLineChars="0"/>
              <w:jc w:val="center"/>
              <w:rPr>
                <w:color w:val="auto"/>
                <w:sz w:val="21"/>
                <w:highlight w:val="none"/>
              </w:rPr>
            </w:pPr>
          </w:p>
        </w:tc>
      </w:tr>
      <w:tr w14:paraId="625B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45D46DD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账号</w:t>
            </w:r>
          </w:p>
        </w:tc>
        <w:tc>
          <w:tcPr>
            <w:tcW w:w="1282" w:type="pct"/>
            <w:gridSpan w:val="2"/>
            <w:tcBorders>
              <w:tl2br w:val="nil"/>
              <w:tr2bl w:val="nil"/>
            </w:tcBorders>
            <w:vAlign w:val="center"/>
          </w:tcPr>
          <w:p w14:paraId="26A0EE74">
            <w:pPr>
              <w:kinsoku/>
              <w:spacing w:beforeLines="0" w:afterLines="0" w:line="0" w:lineRule="atLeast"/>
              <w:ind w:firstLine="0" w:firstLineChars="0"/>
              <w:jc w:val="center"/>
              <w:rPr>
                <w:color w:val="auto"/>
                <w:sz w:val="21"/>
                <w:highlight w:val="none"/>
              </w:rPr>
            </w:pPr>
          </w:p>
        </w:tc>
        <w:tc>
          <w:tcPr>
            <w:tcW w:w="444" w:type="pct"/>
            <w:vMerge w:val="continue"/>
            <w:tcBorders>
              <w:tl2br w:val="nil"/>
              <w:tr2bl w:val="nil"/>
            </w:tcBorders>
            <w:vAlign w:val="center"/>
          </w:tcPr>
          <w:p w14:paraId="00138703">
            <w:pPr>
              <w:kinsoku/>
              <w:spacing w:beforeLines="0" w:afterLines="0" w:line="0" w:lineRule="atLeast"/>
              <w:ind w:firstLine="0" w:firstLineChars="0"/>
              <w:jc w:val="center"/>
              <w:rPr>
                <w:color w:val="auto"/>
                <w:sz w:val="21"/>
                <w:highlight w:val="none"/>
              </w:rPr>
            </w:pPr>
          </w:p>
        </w:tc>
        <w:tc>
          <w:tcPr>
            <w:tcW w:w="1513" w:type="pct"/>
            <w:gridSpan w:val="3"/>
            <w:tcBorders>
              <w:tl2br w:val="nil"/>
              <w:tr2bl w:val="nil"/>
            </w:tcBorders>
            <w:vAlign w:val="center"/>
          </w:tcPr>
          <w:p w14:paraId="053785B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技工（人）</w:t>
            </w:r>
          </w:p>
        </w:tc>
        <w:tc>
          <w:tcPr>
            <w:tcW w:w="418" w:type="pct"/>
            <w:tcBorders>
              <w:tl2br w:val="nil"/>
              <w:tr2bl w:val="nil"/>
            </w:tcBorders>
            <w:vAlign w:val="center"/>
          </w:tcPr>
          <w:p w14:paraId="7F760DEF">
            <w:pPr>
              <w:kinsoku/>
              <w:spacing w:beforeLines="0" w:afterLines="0" w:line="0" w:lineRule="atLeast"/>
              <w:ind w:firstLine="0" w:firstLineChars="0"/>
              <w:jc w:val="center"/>
              <w:rPr>
                <w:color w:val="auto"/>
                <w:sz w:val="21"/>
                <w:highlight w:val="none"/>
              </w:rPr>
            </w:pPr>
          </w:p>
        </w:tc>
      </w:tr>
      <w:tr w14:paraId="6D63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2623" w:type="pct"/>
            <w:gridSpan w:val="5"/>
            <w:tcBorders>
              <w:tl2br w:val="nil"/>
              <w:tr2bl w:val="nil"/>
            </w:tcBorders>
            <w:vAlign w:val="center"/>
          </w:tcPr>
          <w:p w14:paraId="0A86ED29">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最近</w:t>
            </w:r>
            <w:r>
              <w:rPr>
                <w:rFonts w:ascii="宋体" w:hAnsi="Times New Roman" w:eastAsia="宋体" w:cs="Times New Roman"/>
                <w:b w:val="0"/>
                <w:color w:val="auto"/>
                <w:spacing w:val="0"/>
                <w:sz w:val="21"/>
                <w:szCs w:val="21"/>
                <w:highlight w:val="none"/>
                <w:lang w:eastAsia="zh-CN"/>
              </w:rPr>
              <w:t>5</w:t>
            </w:r>
            <w:r>
              <w:rPr>
                <w:rFonts w:hint="eastAsia" w:ascii="宋体" w:hAnsi="宋体" w:eastAsia="宋体" w:cs="宋体"/>
                <w:b w:val="0"/>
                <w:color w:val="auto"/>
                <w:spacing w:val="0"/>
                <w:sz w:val="21"/>
                <w:szCs w:val="21"/>
                <w:highlight w:val="none"/>
                <w:lang w:eastAsia="zh-CN"/>
              </w:rPr>
              <w:t>年完成的营业额（万元）</w:t>
            </w:r>
          </w:p>
        </w:tc>
        <w:tc>
          <w:tcPr>
            <w:tcW w:w="2376" w:type="pct"/>
            <w:gridSpan w:val="5"/>
            <w:tcBorders>
              <w:tl2br w:val="nil"/>
              <w:tr2bl w:val="nil"/>
            </w:tcBorders>
            <w:vAlign w:val="center"/>
          </w:tcPr>
          <w:p w14:paraId="3E168D5A">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经营范围</w:t>
            </w:r>
          </w:p>
        </w:tc>
      </w:tr>
      <w:tr w14:paraId="0BC1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722E511E">
            <w:pPr>
              <w:pStyle w:val="23"/>
              <w:tabs>
                <w:tab w:val="left" w:pos="964"/>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282" w:type="pct"/>
            <w:gridSpan w:val="2"/>
            <w:tcBorders>
              <w:tl2br w:val="nil"/>
              <w:tr2bl w:val="nil"/>
            </w:tcBorders>
            <w:vAlign w:val="center"/>
          </w:tcPr>
          <w:p w14:paraId="15C97152">
            <w:pPr>
              <w:kinsoku/>
              <w:spacing w:beforeLines="0" w:afterLines="0" w:line="0" w:lineRule="atLeast"/>
              <w:ind w:firstLine="0" w:firstLineChars="0"/>
              <w:jc w:val="center"/>
              <w:rPr>
                <w:color w:val="auto"/>
                <w:sz w:val="21"/>
                <w:highlight w:val="none"/>
              </w:rPr>
            </w:pPr>
          </w:p>
        </w:tc>
        <w:tc>
          <w:tcPr>
            <w:tcW w:w="2376" w:type="pct"/>
            <w:gridSpan w:val="5"/>
            <w:vMerge w:val="restart"/>
            <w:tcBorders>
              <w:tl2br w:val="nil"/>
              <w:tr2bl w:val="nil"/>
            </w:tcBorders>
            <w:vAlign w:val="center"/>
          </w:tcPr>
          <w:p w14:paraId="333EAE78">
            <w:pPr>
              <w:kinsoku/>
              <w:spacing w:beforeLines="0" w:afterLines="0" w:line="0" w:lineRule="atLeast"/>
              <w:ind w:firstLine="0" w:firstLineChars="0"/>
              <w:jc w:val="center"/>
              <w:rPr>
                <w:color w:val="auto"/>
                <w:sz w:val="21"/>
                <w:highlight w:val="none"/>
              </w:rPr>
            </w:pPr>
          </w:p>
        </w:tc>
      </w:tr>
      <w:tr w14:paraId="0006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0BFEF734">
            <w:pPr>
              <w:pStyle w:val="23"/>
              <w:tabs>
                <w:tab w:val="left" w:pos="1006"/>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282" w:type="pct"/>
            <w:gridSpan w:val="2"/>
            <w:tcBorders>
              <w:tl2br w:val="nil"/>
              <w:tr2bl w:val="nil"/>
            </w:tcBorders>
            <w:vAlign w:val="center"/>
          </w:tcPr>
          <w:p w14:paraId="3AFD788F">
            <w:pPr>
              <w:kinsoku/>
              <w:spacing w:beforeLines="0" w:afterLines="0" w:line="0" w:lineRule="atLeast"/>
              <w:ind w:firstLine="0" w:firstLineChars="0"/>
              <w:jc w:val="center"/>
              <w:rPr>
                <w:color w:val="auto"/>
                <w:sz w:val="21"/>
                <w:highlight w:val="none"/>
              </w:rPr>
            </w:pPr>
          </w:p>
        </w:tc>
        <w:tc>
          <w:tcPr>
            <w:tcW w:w="2376" w:type="pct"/>
            <w:gridSpan w:val="5"/>
            <w:vMerge w:val="continue"/>
            <w:tcBorders>
              <w:tl2br w:val="nil"/>
              <w:tr2bl w:val="nil"/>
            </w:tcBorders>
            <w:vAlign w:val="center"/>
          </w:tcPr>
          <w:p w14:paraId="31F73564">
            <w:pPr>
              <w:kinsoku/>
              <w:spacing w:beforeLines="0" w:afterLines="0" w:line="0" w:lineRule="atLeast"/>
              <w:ind w:firstLine="0" w:firstLineChars="0"/>
              <w:jc w:val="center"/>
              <w:rPr>
                <w:color w:val="auto"/>
                <w:sz w:val="21"/>
                <w:highlight w:val="none"/>
              </w:rPr>
            </w:pPr>
          </w:p>
        </w:tc>
      </w:tr>
      <w:tr w14:paraId="3EEC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3CE0AA07">
            <w:pPr>
              <w:pStyle w:val="23"/>
              <w:tabs>
                <w:tab w:val="left" w:pos="1006"/>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282" w:type="pct"/>
            <w:gridSpan w:val="2"/>
            <w:tcBorders>
              <w:tl2br w:val="nil"/>
              <w:tr2bl w:val="nil"/>
            </w:tcBorders>
            <w:vAlign w:val="center"/>
          </w:tcPr>
          <w:p w14:paraId="1D618FD0">
            <w:pPr>
              <w:kinsoku/>
              <w:spacing w:beforeLines="0" w:afterLines="0" w:line="0" w:lineRule="atLeast"/>
              <w:ind w:firstLine="0" w:firstLineChars="0"/>
              <w:jc w:val="center"/>
              <w:rPr>
                <w:color w:val="auto"/>
                <w:sz w:val="21"/>
                <w:highlight w:val="none"/>
              </w:rPr>
            </w:pPr>
          </w:p>
        </w:tc>
        <w:tc>
          <w:tcPr>
            <w:tcW w:w="2376" w:type="pct"/>
            <w:gridSpan w:val="5"/>
            <w:vMerge w:val="continue"/>
            <w:tcBorders>
              <w:tl2br w:val="nil"/>
              <w:tr2bl w:val="nil"/>
            </w:tcBorders>
            <w:vAlign w:val="center"/>
          </w:tcPr>
          <w:p w14:paraId="019D0CF8">
            <w:pPr>
              <w:kinsoku/>
              <w:spacing w:beforeLines="0" w:afterLines="0" w:line="0" w:lineRule="atLeast"/>
              <w:ind w:firstLine="0" w:firstLineChars="0"/>
              <w:jc w:val="center"/>
              <w:rPr>
                <w:color w:val="auto"/>
                <w:sz w:val="21"/>
                <w:highlight w:val="none"/>
              </w:rPr>
            </w:pPr>
          </w:p>
        </w:tc>
      </w:tr>
      <w:tr w14:paraId="6212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2BB151AD">
            <w:pPr>
              <w:pStyle w:val="23"/>
              <w:tabs>
                <w:tab w:val="left" w:pos="1006"/>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282" w:type="pct"/>
            <w:gridSpan w:val="2"/>
            <w:tcBorders>
              <w:tl2br w:val="nil"/>
              <w:tr2bl w:val="nil"/>
            </w:tcBorders>
            <w:vAlign w:val="center"/>
          </w:tcPr>
          <w:p w14:paraId="5229FAA9">
            <w:pPr>
              <w:kinsoku/>
              <w:spacing w:beforeLines="0" w:afterLines="0" w:line="0" w:lineRule="atLeast"/>
              <w:ind w:firstLine="0" w:firstLineChars="0"/>
              <w:jc w:val="center"/>
              <w:rPr>
                <w:color w:val="auto"/>
                <w:sz w:val="21"/>
                <w:highlight w:val="none"/>
              </w:rPr>
            </w:pPr>
          </w:p>
        </w:tc>
        <w:tc>
          <w:tcPr>
            <w:tcW w:w="2376" w:type="pct"/>
            <w:gridSpan w:val="5"/>
            <w:vMerge w:val="continue"/>
            <w:tcBorders>
              <w:tl2br w:val="nil"/>
              <w:tr2bl w:val="nil"/>
            </w:tcBorders>
            <w:vAlign w:val="center"/>
          </w:tcPr>
          <w:p w14:paraId="49DF3406">
            <w:pPr>
              <w:kinsoku/>
              <w:spacing w:beforeLines="0" w:afterLines="0" w:line="0" w:lineRule="atLeast"/>
              <w:ind w:firstLine="0" w:firstLineChars="0"/>
              <w:jc w:val="center"/>
              <w:rPr>
                <w:color w:val="auto"/>
                <w:sz w:val="21"/>
                <w:highlight w:val="none"/>
              </w:rPr>
            </w:pPr>
          </w:p>
        </w:tc>
      </w:tr>
      <w:tr w14:paraId="13C1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340" w:type="pct"/>
            <w:gridSpan w:val="3"/>
            <w:tcBorders>
              <w:tl2br w:val="nil"/>
              <w:tr2bl w:val="nil"/>
            </w:tcBorders>
            <w:vAlign w:val="center"/>
          </w:tcPr>
          <w:p w14:paraId="569D3375">
            <w:pPr>
              <w:pStyle w:val="23"/>
              <w:tabs>
                <w:tab w:val="left" w:pos="1006"/>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282" w:type="pct"/>
            <w:gridSpan w:val="2"/>
            <w:tcBorders>
              <w:tl2br w:val="nil"/>
              <w:tr2bl w:val="nil"/>
            </w:tcBorders>
            <w:vAlign w:val="center"/>
          </w:tcPr>
          <w:p w14:paraId="1109BA39">
            <w:pPr>
              <w:kinsoku/>
              <w:spacing w:beforeLines="0" w:afterLines="0" w:line="0" w:lineRule="atLeast"/>
              <w:ind w:firstLine="0" w:firstLineChars="0"/>
              <w:jc w:val="center"/>
              <w:rPr>
                <w:color w:val="auto"/>
                <w:sz w:val="21"/>
                <w:highlight w:val="none"/>
              </w:rPr>
            </w:pPr>
          </w:p>
        </w:tc>
        <w:tc>
          <w:tcPr>
            <w:tcW w:w="2376" w:type="pct"/>
            <w:gridSpan w:val="5"/>
            <w:vMerge w:val="continue"/>
            <w:tcBorders>
              <w:tl2br w:val="nil"/>
              <w:tr2bl w:val="nil"/>
            </w:tcBorders>
            <w:vAlign w:val="center"/>
          </w:tcPr>
          <w:p w14:paraId="03248434">
            <w:pPr>
              <w:kinsoku/>
              <w:spacing w:beforeLines="0" w:afterLines="0" w:line="0" w:lineRule="atLeast"/>
              <w:ind w:firstLine="0" w:firstLineChars="0"/>
              <w:jc w:val="center"/>
              <w:rPr>
                <w:color w:val="auto"/>
                <w:sz w:val="21"/>
                <w:highlight w:val="none"/>
              </w:rPr>
            </w:pPr>
          </w:p>
        </w:tc>
      </w:tr>
      <w:tr w14:paraId="3C5E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2623" w:type="pct"/>
            <w:gridSpan w:val="5"/>
            <w:tcBorders>
              <w:tl2br w:val="nil"/>
              <w:tr2bl w:val="nil"/>
            </w:tcBorders>
            <w:vAlign w:val="center"/>
          </w:tcPr>
          <w:p w14:paraId="588AB88E">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能承担的年最大建安工作量（万元）</w:t>
            </w:r>
          </w:p>
        </w:tc>
        <w:tc>
          <w:tcPr>
            <w:tcW w:w="2376" w:type="pct"/>
            <w:gridSpan w:val="5"/>
            <w:tcBorders>
              <w:tl2br w:val="nil"/>
              <w:tr2bl w:val="nil"/>
            </w:tcBorders>
            <w:vAlign w:val="center"/>
          </w:tcPr>
          <w:p w14:paraId="022A37F2">
            <w:pPr>
              <w:kinsoku/>
              <w:spacing w:beforeLines="0" w:afterLines="0" w:line="0" w:lineRule="atLeast"/>
              <w:ind w:firstLine="0" w:firstLineChars="0"/>
              <w:jc w:val="center"/>
              <w:rPr>
                <w:color w:val="auto"/>
                <w:sz w:val="21"/>
                <w:highlight w:val="none"/>
                <w:lang w:eastAsia="zh-CN"/>
              </w:rPr>
            </w:pPr>
          </w:p>
        </w:tc>
      </w:tr>
      <w:tr w14:paraId="417E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977" w:type="pct"/>
            <w:gridSpan w:val="2"/>
            <w:tcBorders>
              <w:tl2br w:val="nil"/>
              <w:tr2bl w:val="nil"/>
            </w:tcBorders>
            <w:vAlign w:val="center"/>
          </w:tcPr>
          <w:p w14:paraId="22E0C3F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c>
          <w:tcPr>
            <w:tcW w:w="4022" w:type="pct"/>
            <w:gridSpan w:val="8"/>
            <w:tcBorders>
              <w:tl2br w:val="nil"/>
              <w:tr2bl w:val="nil"/>
            </w:tcBorders>
            <w:vAlign w:val="center"/>
          </w:tcPr>
          <w:p w14:paraId="5DBD4D93">
            <w:pPr>
              <w:kinsoku/>
              <w:spacing w:beforeLines="0" w:afterLines="0" w:line="0" w:lineRule="atLeast"/>
              <w:ind w:firstLine="0" w:firstLineChars="0"/>
              <w:jc w:val="center"/>
              <w:rPr>
                <w:color w:val="auto"/>
                <w:sz w:val="21"/>
                <w:highlight w:val="none"/>
              </w:rPr>
            </w:pPr>
          </w:p>
        </w:tc>
      </w:tr>
    </w:tbl>
    <w:p w14:paraId="1604EF4B">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注：相关材料复制件在“十、原件的复制件”中提供。</w:t>
      </w:r>
    </w:p>
    <w:p w14:paraId="497A1CD7">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2D67BE0B">
      <w:pPr>
        <w:pStyle w:val="4"/>
        <w:kinsoku/>
        <w:spacing w:before="0" w:beforeLines="0" w:afterLines="0"/>
        <w:ind w:left="25"/>
        <w:rPr>
          <w:rFonts w:hint="eastAsia" w:cs="宋体"/>
          <w:bCs/>
          <w:color w:val="auto"/>
          <w:szCs w:val="24"/>
          <w:highlight w:val="none"/>
          <w:lang w:eastAsia="zh-CN"/>
        </w:rPr>
      </w:pPr>
      <w:bookmarkStart w:id="2660" w:name="_Toc12672"/>
      <w:bookmarkStart w:id="2661" w:name="_Toc25218"/>
      <w:bookmarkStart w:id="2662" w:name="_Toc15196"/>
      <w:r>
        <w:rPr>
          <w:rFonts w:hint="eastAsia" w:ascii="宋体" w:cs="宋体"/>
          <w:b/>
          <w:bCs/>
          <w:color w:val="auto"/>
          <w:spacing w:val="0"/>
          <w:sz w:val="24"/>
          <w:szCs w:val="24"/>
          <w:highlight w:val="none"/>
          <w:lang w:eastAsia="zh-CN"/>
        </w:rPr>
        <w:t>（二）近年财务状况</w:t>
      </w:r>
      <w:bookmarkEnd w:id="2660"/>
      <w:bookmarkEnd w:id="2661"/>
      <w:bookmarkEnd w:id="2662"/>
    </w:p>
    <w:p w14:paraId="58D76D0F">
      <w:pPr>
        <w:keepNext/>
        <w:keepLines/>
        <w:tabs>
          <w:tab w:val="left" w:pos="3229"/>
        </w:tabs>
        <w:kinsoku/>
        <w:spacing w:before="0" w:beforeLines="0" w:afterLines="0"/>
        <w:ind w:left="0"/>
        <w:jc w:val="center"/>
        <w:outlineLvl w:val="9"/>
        <w:rPr>
          <w:rFonts w:hint="eastAsia" w:cs="宋体"/>
          <w:bCs/>
          <w:color w:val="auto"/>
          <w:szCs w:val="24"/>
          <w:highlight w:val="none"/>
          <w:lang w:eastAsia="zh-CN"/>
        </w:rPr>
      </w:pPr>
      <w:bookmarkStart w:id="2663" w:name="_Toc20529"/>
      <w:bookmarkStart w:id="2664" w:name="_Toc24514"/>
      <w:bookmarkStart w:id="2665" w:name="_Toc27256"/>
      <w:r>
        <w:rPr>
          <w:rFonts w:hint="eastAsia" w:ascii="宋体" w:cs="宋体"/>
          <w:b/>
          <w:bCs/>
          <w:color w:val="auto"/>
          <w:spacing w:val="0"/>
          <w:sz w:val="24"/>
          <w:szCs w:val="24"/>
          <w:highlight w:val="none"/>
          <w:lang w:eastAsia="zh-CN"/>
        </w:rPr>
        <w:t>财务状况表</w:t>
      </w:r>
      <w:bookmarkEnd w:id="2663"/>
      <w:bookmarkEnd w:id="2664"/>
      <w:bookmarkEnd w:id="2665"/>
    </w:p>
    <w:p w14:paraId="6AFCA0CB">
      <w:pPr>
        <w:kinsoku/>
        <w:spacing w:beforeLines="0" w:afterLines="0"/>
        <w:ind w:firstLine="420"/>
        <w:jc w:val="left"/>
        <w:rPr>
          <w:color w:val="auto"/>
          <w:highlight w:val="none"/>
          <w:lang w:eastAsia="zh-CN"/>
        </w:rPr>
      </w:pP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285"/>
        <w:gridCol w:w="1203"/>
        <w:gridCol w:w="1874"/>
        <w:gridCol w:w="1874"/>
        <w:gridCol w:w="1885"/>
      </w:tblGrid>
      <w:tr w14:paraId="49721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51EE97D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项目名称</w:t>
            </w:r>
          </w:p>
        </w:tc>
        <w:tc>
          <w:tcPr>
            <w:tcW w:w="659" w:type="pct"/>
            <w:tcBorders>
              <w:tl2br w:val="nil"/>
              <w:tr2bl w:val="nil"/>
            </w:tcBorders>
            <w:vAlign w:val="center"/>
          </w:tcPr>
          <w:p w14:paraId="6530C2E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单位</w:t>
            </w:r>
          </w:p>
        </w:tc>
        <w:tc>
          <w:tcPr>
            <w:tcW w:w="1027" w:type="pct"/>
            <w:tcBorders>
              <w:tl2br w:val="nil"/>
              <w:tr2bl w:val="nil"/>
            </w:tcBorders>
            <w:vAlign w:val="center"/>
          </w:tcPr>
          <w:p w14:paraId="64D7CD0D">
            <w:pPr>
              <w:pStyle w:val="23"/>
              <w:tabs>
                <w:tab w:val="left" w:pos="1139"/>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027" w:type="pct"/>
            <w:tcBorders>
              <w:tl2br w:val="nil"/>
              <w:tr2bl w:val="nil"/>
            </w:tcBorders>
            <w:vAlign w:val="center"/>
          </w:tcPr>
          <w:p w14:paraId="2DABBDDF">
            <w:pPr>
              <w:pStyle w:val="23"/>
              <w:tabs>
                <w:tab w:val="left" w:pos="1141"/>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c>
          <w:tcPr>
            <w:tcW w:w="1033" w:type="pct"/>
            <w:tcBorders>
              <w:tl2br w:val="nil"/>
              <w:tr2bl w:val="nil"/>
            </w:tcBorders>
            <w:vAlign w:val="center"/>
          </w:tcPr>
          <w:p w14:paraId="7DBB561B">
            <w:pPr>
              <w:pStyle w:val="23"/>
              <w:tabs>
                <w:tab w:val="left" w:pos="1145"/>
              </w:tabs>
              <w:kinsoku/>
              <w:spacing w:before="0" w:beforeLines="0" w:afterLines="0" w:line="0" w:lineRule="atLeast"/>
              <w:ind w:left="0" w:firstLine="0" w:firstLineChars="0"/>
              <w:jc w:val="center"/>
              <w:rPr>
                <w:color w:val="auto"/>
                <w:sz w:val="21"/>
                <w:szCs w:val="21"/>
                <w:highlight w:val="none"/>
              </w:rPr>
            </w:pPr>
            <w:r>
              <w:rPr>
                <w:rFonts w:ascii="宋体" w:hAnsi="宋体" w:eastAsia="宋体" w:cs="宋体"/>
                <w:b w:val="0"/>
                <w:color w:val="auto"/>
                <w:sz w:val="21"/>
                <w:szCs w:val="21"/>
                <w:highlight w:val="none"/>
                <w:u w:val="single"/>
                <w:lang w:eastAsia="en-US"/>
              </w:rPr>
              <w:tab/>
            </w:r>
            <w:r>
              <w:rPr>
                <w:rFonts w:hint="eastAsia" w:ascii="宋体" w:hAnsi="宋体" w:eastAsia="宋体" w:cs="宋体"/>
                <w:b w:val="0"/>
                <w:color w:val="auto"/>
                <w:sz w:val="21"/>
                <w:szCs w:val="21"/>
                <w:highlight w:val="none"/>
                <w:lang w:eastAsia="en-US"/>
              </w:rPr>
              <w:t>年</w:t>
            </w:r>
          </w:p>
        </w:tc>
      </w:tr>
      <w:tr w14:paraId="5600B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20BCAF5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一、注册资金</w:t>
            </w:r>
          </w:p>
        </w:tc>
        <w:tc>
          <w:tcPr>
            <w:tcW w:w="659" w:type="pct"/>
            <w:tcBorders>
              <w:tl2br w:val="nil"/>
              <w:tr2bl w:val="nil"/>
            </w:tcBorders>
            <w:vAlign w:val="center"/>
          </w:tcPr>
          <w:p w14:paraId="45FCC2AD">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6C576BB5">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169285E3">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22EA9CDE">
            <w:pPr>
              <w:kinsoku/>
              <w:spacing w:beforeLines="0" w:afterLines="0" w:line="0" w:lineRule="atLeast"/>
              <w:ind w:firstLine="0" w:firstLineChars="0"/>
              <w:jc w:val="center"/>
              <w:rPr>
                <w:color w:val="auto"/>
                <w:sz w:val="21"/>
                <w:highlight w:val="none"/>
              </w:rPr>
            </w:pPr>
          </w:p>
        </w:tc>
      </w:tr>
      <w:tr w14:paraId="08D7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1F0CD15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二、净资产</w:t>
            </w:r>
          </w:p>
        </w:tc>
        <w:tc>
          <w:tcPr>
            <w:tcW w:w="659" w:type="pct"/>
            <w:tcBorders>
              <w:tl2br w:val="nil"/>
              <w:tr2bl w:val="nil"/>
            </w:tcBorders>
            <w:vAlign w:val="center"/>
          </w:tcPr>
          <w:p w14:paraId="5245DCC3">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1840C83E">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5C026CE9">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577130B5">
            <w:pPr>
              <w:kinsoku/>
              <w:spacing w:beforeLines="0" w:afterLines="0" w:line="0" w:lineRule="atLeast"/>
              <w:ind w:firstLine="0" w:firstLineChars="0"/>
              <w:jc w:val="center"/>
              <w:rPr>
                <w:color w:val="auto"/>
                <w:sz w:val="21"/>
                <w:highlight w:val="none"/>
              </w:rPr>
            </w:pPr>
          </w:p>
        </w:tc>
      </w:tr>
      <w:tr w14:paraId="7A05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5F5A1B1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三、总资产</w:t>
            </w:r>
          </w:p>
        </w:tc>
        <w:tc>
          <w:tcPr>
            <w:tcW w:w="659" w:type="pct"/>
            <w:tcBorders>
              <w:tl2br w:val="nil"/>
              <w:tr2bl w:val="nil"/>
            </w:tcBorders>
            <w:vAlign w:val="center"/>
          </w:tcPr>
          <w:p w14:paraId="142D7A6E">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278EDD79">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393AA73C">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5AA38AFF">
            <w:pPr>
              <w:kinsoku/>
              <w:spacing w:beforeLines="0" w:afterLines="0" w:line="0" w:lineRule="atLeast"/>
              <w:ind w:firstLine="0" w:firstLineChars="0"/>
              <w:jc w:val="center"/>
              <w:rPr>
                <w:color w:val="auto"/>
                <w:sz w:val="21"/>
                <w:highlight w:val="none"/>
              </w:rPr>
            </w:pPr>
          </w:p>
        </w:tc>
      </w:tr>
      <w:tr w14:paraId="4B58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252" w:type="pct"/>
            <w:tcBorders>
              <w:tl2br w:val="nil"/>
              <w:tr2bl w:val="nil"/>
            </w:tcBorders>
            <w:vAlign w:val="center"/>
          </w:tcPr>
          <w:p w14:paraId="54C6183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四、固定资产</w:t>
            </w:r>
          </w:p>
        </w:tc>
        <w:tc>
          <w:tcPr>
            <w:tcW w:w="659" w:type="pct"/>
            <w:tcBorders>
              <w:tl2br w:val="nil"/>
              <w:tr2bl w:val="nil"/>
            </w:tcBorders>
            <w:vAlign w:val="center"/>
          </w:tcPr>
          <w:p w14:paraId="739422A0">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7C1D64EA">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4E18A0A5">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06E9E09C">
            <w:pPr>
              <w:kinsoku/>
              <w:spacing w:beforeLines="0" w:afterLines="0" w:line="0" w:lineRule="atLeast"/>
              <w:ind w:firstLine="0" w:firstLineChars="0"/>
              <w:jc w:val="center"/>
              <w:rPr>
                <w:color w:val="auto"/>
                <w:sz w:val="21"/>
                <w:highlight w:val="none"/>
              </w:rPr>
            </w:pPr>
          </w:p>
        </w:tc>
      </w:tr>
      <w:tr w14:paraId="334BB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3C3581D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五、流动资产</w:t>
            </w:r>
          </w:p>
        </w:tc>
        <w:tc>
          <w:tcPr>
            <w:tcW w:w="659" w:type="pct"/>
            <w:tcBorders>
              <w:tl2br w:val="nil"/>
              <w:tr2bl w:val="nil"/>
            </w:tcBorders>
            <w:vAlign w:val="center"/>
          </w:tcPr>
          <w:p w14:paraId="1CA3589D">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790FEE85">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64C024B0">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41BDFEC6">
            <w:pPr>
              <w:kinsoku/>
              <w:spacing w:beforeLines="0" w:afterLines="0" w:line="0" w:lineRule="atLeast"/>
              <w:ind w:firstLine="0" w:firstLineChars="0"/>
              <w:jc w:val="center"/>
              <w:rPr>
                <w:color w:val="auto"/>
                <w:sz w:val="21"/>
                <w:highlight w:val="none"/>
              </w:rPr>
            </w:pPr>
          </w:p>
        </w:tc>
      </w:tr>
      <w:tr w14:paraId="0104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175DFCF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六、流动负债</w:t>
            </w:r>
          </w:p>
        </w:tc>
        <w:tc>
          <w:tcPr>
            <w:tcW w:w="659" w:type="pct"/>
            <w:tcBorders>
              <w:tl2br w:val="nil"/>
              <w:tr2bl w:val="nil"/>
            </w:tcBorders>
            <w:vAlign w:val="center"/>
          </w:tcPr>
          <w:p w14:paraId="449995F0">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3A0D6541">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68ED25C2">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5ADF60AA">
            <w:pPr>
              <w:kinsoku/>
              <w:spacing w:beforeLines="0" w:afterLines="0" w:line="0" w:lineRule="atLeast"/>
              <w:ind w:firstLine="0" w:firstLineChars="0"/>
              <w:jc w:val="center"/>
              <w:rPr>
                <w:color w:val="auto"/>
                <w:sz w:val="21"/>
                <w:highlight w:val="none"/>
              </w:rPr>
            </w:pPr>
          </w:p>
        </w:tc>
      </w:tr>
      <w:tr w14:paraId="6E2C8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2F1F79F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七、负债合计</w:t>
            </w:r>
          </w:p>
        </w:tc>
        <w:tc>
          <w:tcPr>
            <w:tcW w:w="659" w:type="pct"/>
            <w:tcBorders>
              <w:tl2br w:val="nil"/>
              <w:tr2bl w:val="nil"/>
            </w:tcBorders>
            <w:vAlign w:val="center"/>
          </w:tcPr>
          <w:p w14:paraId="19693384">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427136B6">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2555C6E0">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6D48BC9C">
            <w:pPr>
              <w:kinsoku/>
              <w:spacing w:beforeLines="0" w:afterLines="0" w:line="0" w:lineRule="atLeast"/>
              <w:ind w:firstLine="0" w:firstLineChars="0"/>
              <w:jc w:val="center"/>
              <w:rPr>
                <w:color w:val="auto"/>
                <w:sz w:val="21"/>
                <w:highlight w:val="none"/>
              </w:rPr>
            </w:pPr>
          </w:p>
        </w:tc>
      </w:tr>
      <w:tr w14:paraId="3242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0136DFF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八、营业收入</w:t>
            </w:r>
          </w:p>
        </w:tc>
        <w:tc>
          <w:tcPr>
            <w:tcW w:w="659" w:type="pct"/>
            <w:tcBorders>
              <w:tl2br w:val="nil"/>
              <w:tr2bl w:val="nil"/>
            </w:tcBorders>
            <w:vAlign w:val="center"/>
          </w:tcPr>
          <w:p w14:paraId="01299BB7">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63F1F8AB">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408CE1CD">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1C3AA613">
            <w:pPr>
              <w:kinsoku/>
              <w:spacing w:beforeLines="0" w:afterLines="0" w:line="0" w:lineRule="atLeast"/>
              <w:ind w:firstLine="0" w:firstLineChars="0"/>
              <w:jc w:val="center"/>
              <w:rPr>
                <w:color w:val="auto"/>
                <w:sz w:val="21"/>
                <w:highlight w:val="none"/>
              </w:rPr>
            </w:pPr>
          </w:p>
        </w:tc>
      </w:tr>
      <w:tr w14:paraId="4090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29E914B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九、净利润</w:t>
            </w:r>
          </w:p>
        </w:tc>
        <w:tc>
          <w:tcPr>
            <w:tcW w:w="659" w:type="pct"/>
            <w:tcBorders>
              <w:tl2br w:val="nil"/>
              <w:tr2bl w:val="nil"/>
            </w:tcBorders>
            <w:vAlign w:val="center"/>
          </w:tcPr>
          <w:p w14:paraId="4110F9E1">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555A6F62">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19494888">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21BC748D">
            <w:pPr>
              <w:kinsoku/>
              <w:spacing w:beforeLines="0" w:afterLines="0" w:line="0" w:lineRule="atLeast"/>
              <w:ind w:firstLine="0" w:firstLineChars="0"/>
              <w:jc w:val="center"/>
              <w:rPr>
                <w:color w:val="auto"/>
                <w:sz w:val="21"/>
                <w:highlight w:val="none"/>
              </w:rPr>
            </w:pPr>
          </w:p>
        </w:tc>
      </w:tr>
      <w:tr w14:paraId="778A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2" w:type="pct"/>
            <w:tcBorders>
              <w:tl2br w:val="nil"/>
              <w:tr2bl w:val="nil"/>
            </w:tcBorders>
            <w:vAlign w:val="center"/>
          </w:tcPr>
          <w:p w14:paraId="5A9AC0C5">
            <w:pPr>
              <w:kinsoku/>
              <w:spacing w:beforeLines="0" w:afterLines="0" w:line="0" w:lineRule="atLeast"/>
              <w:ind w:firstLine="0" w:firstLineChars="0"/>
              <w:jc w:val="center"/>
              <w:rPr>
                <w:color w:val="auto"/>
                <w:sz w:val="21"/>
                <w:highlight w:val="none"/>
              </w:rPr>
            </w:pPr>
          </w:p>
          <w:p w14:paraId="5F9F80C5">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val="0"/>
                <w:color w:val="auto"/>
                <w:spacing w:val="0"/>
                <w:position w:val="0"/>
                <w:sz w:val="21"/>
                <w:szCs w:val="21"/>
                <w:highlight w:val="none"/>
                <w:lang w:eastAsia="en-US"/>
              </w:rPr>
              <w:t>……</w:t>
            </w:r>
          </w:p>
        </w:tc>
        <w:tc>
          <w:tcPr>
            <w:tcW w:w="659" w:type="pct"/>
            <w:tcBorders>
              <w:tl2br w:val="nil"/>
              <w:tr2bl w:val="nil"/>
            </w:tcBorders>
            <w:vAlign w:val="center"/>
          </w:tcPr>
          <w:p w14:paraId="55B67DF6">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36125ABF">
            <w:pPr>
              <w:kinsoku/>
              <w:spacing w:beforeLines="0" w:afterLines="0" w:line="0" w:lineRule="atLeast"/>
              <w:ind w:firstLine="0" w:firstLineChars="0"/>
              <w:jc w:val="center"/>
              <w:rPr>
                <w:color w:val="auto"/>
                <w:sz w:val="21"/>
                <w:highlight w:val="none"/>
              </w:rPr>
            </w:pPr>
          </w:p>
        </w:tc>
        <w:tc>
          <w:tcPr>
            <w:tcW w:w="1027" w:type="pct"/>
            <w:tcBorders>
              <w:tl2br w:val="nil"/>
              <w:tr2bl w:val="nil"/>
            </w:tcBorders>
            <w:vAlign w:val="center"/>
          </w:tcPr>
          <w:p w14:paraId="73F71142">
            <w:pPr>
              <w:kinsoku/>
              <w:spacing w:beforeLines="0" w:afterLines="0" w:line="0" w:lineRule="atLeast"/>
              <w:ind w:firstLine="0" w:firstLineChars="0"/>
              <w:jc w:val="center"/>
              <w:rPr>
                <w:color w:val="auto"/>
                <w:sz w:val="21"/>
                <w:highlight w:val="none"/>
              </w:rPr>
            </w:pPr>
          </w:p>
        </w:tc>
        <w:tc>
          <w:tcPr>
            <w:tcW w:w="1033" w:type="pct"/>
            <w:tcBorders>
              <w:tl2br w:val="nil"/>
              <w:tr2bl w:val="nil"/>
            </w:tcBorders>
            <w:vAlign w:val="center"/>
          </w:tcPr>
          <w:p w14:paraId="16CD2BF5">
            <w:pPr>
              <w:kinsoku/>
              <w:spacing w:beforeLines="0" w:afterLines="0" w:line="0" w:lineRule="atLeast"/>
              <w:ind w:firstLine="0" w:firstLineChars="0"/>
              <w:jc w:val="center"/>
              <w:rPr>
                <w:color w:val="auto"/>
                <w:sz w:val="21"/>
                <w:highlight w:val="none"/>
              </w:rPr>
            </w:pPr>
          </w:p>
        </w:tc>
      </w:tr>
    </w:tbl>
    <w:p w14:paraId="728B6FC7">
      <w:pPr>
        <w:pStyle w:val="7"/>
        <w:kinsoku/>
        <w:spacing w:beforeLines="0" w:afterLines="0"/>
        <w:ind w:firstLine="420"/>
        <w:jc w:val="left"/>
        <w:rPr>
          <w:color w:val="auto"/>
          <w:highlight w:val="none"/>
        </w:rPr>
      </w:pPr>
    </w:p>
    <w:p w14:paraId="354B1115">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5D640E85">
      <w:pPr>
        <w:pStyle w:val="4"/>
        <w:kinsoku/>
        <w:spacing w:before="0" w:beforeLines="0" w:afterLines="0"/>
        <w:ind w:left="25"/>
        <w:rPr>
          <w:rFonts w:hint="eastAsia" w:cs="宋体"/>
          <w:bCs/>
          <w:color w:val="auto"/>
          <w:szCs w:val="24"/>
          <w:highlight w:val="none"/>
          <w:lang w:eastAsia="zh-CN"/>
        </w:rPr>
      </w:pPr>
      <w:bookmarkStart w:id="2666" w:name="_Toc28001"/>
      <w:bookmarkStart w:id="2667" w:name="_Toc16279"/>
      <w:bookmarkStart w:id="2668" w:name="_Toc9387"/>
      <w:r>
        <w:rPr>
          <w:rFonts w:hint="eastAsia" w:ascii="宋体" w:cs="宋体"/>
          <w:b/>
          <w:bCs/>
          <w:color w:val="auto"/>
          <w:spacing w:val="0"/>
          <w:sz w:val="24"/>
          <w:szCs w:val="24"/>
          <w:highlight w:val="none"/>
          <w:lang w:eastAsia="zh-CN"/>
        </w:rPr>
        <w:t>（三）近年完成的类似项目情况表</w:t>
      </w:r>
      <w:bookmarkEnd w:id="2666"/>
      <w:bookmarkEnd w:id="2667"/>
      <w:bookmarkEnd w:id="2668"/>
    </w:p>
    <w:p w14:paraId="364D5F7D">
      <w:pPr>
        <w:keepNext/>
        <w:keepLines/>
        <w:tabs>
          <w:tab w:val="left" w:pos="3229"/>
        </w:tabs>
        <w:kinsoku/>
        <w:spacing w:before="0" w:beforeLines="0" w:afterLines="0"/>
        <w:ind w:left="0"/>
        <w:jc w:val="center"/>
        <w:outlineLvl w:val="9"/>
        <w:rPr>
          <w:rFonts w:hint="eastAsia" w:cs="宋体"/>
          <w:bCs/>
          <w:color w:val="auto"/>
          <w:szCs w:val="24"/>
          <w:highlight w:val="none"/>
          <w:lang w:eastAsia="zh-CN"/>
        </w:rPr>
      </w:pPr>
      <w:bookmarkStart w:id="2669" w:name="_Toc29965"/>
      <w:bookmarkStart w:id="2670" w:name="_Toc24295"/>
      <w:bookmarkStart w:id="2671" w:name="_Toc22521"/>
      <w:r>
        <w:rPr>
          <w:rFonts w:hint="eastAsia" w:ascii="宋体" w:cs="宋体"/>
          <w:b/>
          <w:bCs/>
          <w:color w:val="auto"/>
          <w:spacing w:val="0"/>
          <w:sz w:val="24"/>
          <w:szCs w:val="24"/>
          <w:highlight w:val="none"/>
          <w:lang w:eastAsia="zh-CN"/>
        </w:rPr>
        <w:t>近年完成的类似项目情况表</w:t>
      </w:r>
      <w:bookmarkEnd w:id="2669"/>
      <w:bookmarkEnd w:id="2670"/>
      <w:bookmarkEnd w:id="2671"/>
    </w:p>
    <w:p w14:paraId="301F8E8E">
      <w:pPr>
        <w:kinsoku/>
        <w:spacing w:before="0"/>
        <w:ind w:left="0" w:firstLine="0" w:firstLineChars="0"/>
        <w:jc w:val="center"/>
        <w:rPr>
          <w:color w:val="auto"/>
          <w:highlight w:val="none"/>
          <w:lang w:eastAsia="zh-CN"/>
        </w:rPr>
      </w:pPr>
      <w:r>
        <w:rPr>
          <w:rFonts w:ascii="宋体" w:cs="Arial"/>
          <w:b w:val="0"/>
          <w:color w:val="auto"/>
          <w:spacing w:val="0"/>
          <w:sz w:val="24"/>
          <w:szCs w:val="24"/>
          <w:highlight w:val="none"/>
          <w:lang w:eastAsia="zh-CN"/>
        </w:rPr>
        <w:t>（近年指年月日至投标截止时间）</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292"/>
        <w:gridCol w:w="6831"/>
      </w:tblGrid>
      <w:tr w14:paraId="00A9C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1C238D1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合同名称</w:t>
            </w:r>
          </w:p>
        </w:tc>
        <w:tc>
          <w:tcPr>
            <w:tcW w:w="3743" w:type="pct"/>
            <w:tcBorders>
              <w:tl2br w:val="nil"/>
              <w:tr2bl w:val="nil"/>
            </w:tcBorders>
            <w:vAlign w:val="center"/>
          </w:tcPr>
          <w:p w14:paraId="08F02F54">
            <w:pPr>
              <w:kinsoku/>
              <w:spacing w:beforeLines="0" w:afterLines="0" w:line="0" w:lineRule="atLeast"/>
              <w:ind w:firstLine="0" w:firstLineChars="0"/>
              <w:jc w:val="center"/>
              <w:rPr>
                <w:color w:val="auto"/>
                <w:sz w:val="21"/>
                <w:highlight w:val="none"/>
              </w:rPr>
            </w:pPr>
          </w:p>
        </w:tc>
      </w:tr>
      <w:tr w14:paraId="752B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423F807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合同项目所在地</w:t>
            </w:r>
          </w:p>
        </w:tc>
        <w:tc>
          <w:tcPr>
            <w:tcW w:w="3743" w:type="pct"/>
            <w:tcBorders>
              <w:tl2br w:val="nil"/>
              <w:tr2bl w:val="nil"/>
            </w:tcBorders>
            <w:vAlign w:val="center"/>
          </w:tcPr>
          <w:p w14:paraId="4D2AFC18">
            <w:pPr>
              <w:kinsoku/>
              <w:spacing w:beforeLines="0" w:afterLines="0" w:line="0" w:lineRule="atLeast"/>
              <w:ind w:firstLine="0" w:firstLineChars="0"/>
              <w:jc w:val="center"/>
              <w:rPr>
                <w:color w:val="auto"/>
                <w:sz w:val="21"/>
                <w:highlight w:val="none"/>
              </w:rPr>
            </w:pPr>
          </w:p>
        </w:tc>
      </w:tr>
      <w:tr w14:paraId="606C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61CF969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发包人名称</w:t>
            </w:r>
          </w:p>
        </w:tc>
        <w:tc>
          <w:tcPr>
            <w:tcW w:w="3743" w:type="pct"/>
            <w:tcBorders>
              <w:tl2br w:val="nil"/>
              <w:tr2bl w:val="nil"/>
            </w:tcBorders>
            <w:vAlign w:val="center"/>
          </w:tcPr>
          <w:p w14:paraId="7115497E">
            <w:pPr>
              <w:kinsoku/>
              <w:spacing w:beforeLines="0" w:afterLines="0" w:line="0" w:lineRule="atLeast"/>
              <w:ind w:firstLine="0" w:firstLineChars="0"/>
              <w:jc w:val="center"/>
              <w:rPr>
                <w:color w:val="auto"/>
                <w:sz w:val="21"/>
                <w:highlight w:val="none"/>
              </w:rPr>
            </w:pPr>
          </w:p>
        </w:tc>
      </w:tr>
      <w:tr w14:paraId="57E3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5CA99A7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发包人地址</w:t>
            </w:r>
          </w:p>
        </w:tc>
        <w:tc>
          <w:tcPr>
            <w:tcW w:w="3743" w:type="pct"/>
            <w:tcBorders>
              <w:tl2br w:val="nil"/>
              <w:tr2bl w:val="nil"/>
            </w:tcBorders>
            <w:vAlign w:val="center"/>
          </w:tcPr>
          <w:p w14:paraId="3E7F2BA3">
            <w:pPr>
              <w:kinsoku/>
              <w:spacing w:beforeLines="0" w:afterLines="0" w:line="0" w:lineRule="atLeast"/>
              <w:ind w:firstLine="0" w:firstLineChars="0"/>
              <w:jc w:val="center"/>
              <w:rPr>
                <w:color w:val="auto"/>
                <w:sz w:val="21"/>
                <w:highlight w:val="none"/>
              </w:rPr>
            </w:pPr>
          </w:p>
        </w:tc>
      </w:tr>
      <w:tr w14:paraId="26D1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6F36BB3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发包人电话</w:t>
            </w:r>
          </w:p>
        </w:tc>
        <w:tc>
          <w:tcPr>
            <w:tcW w:w="3743" w:type="pct"/>
            <w:tcBorders>
              <w:tl2br w:val="nil"/>
              <w:tr2bl w:val="nil"/>
            </w:tcBorders>
            <w:vAlign w:val="center"/>
          </w:tcPr>
          <w:p w14:paraId="53517E4C">
            <w:pPr>
              <w:kinsoku/>
              <w:spacing w:beforeLines="0" w:afterLines="0" w:line="0" w:lineRule="atLeast"/>
              <w:ind w:firstLine="0" w:firstLineChars="0"/>
              <w:jc w:val="center"/>
              <w:rPr>
                <w:color w:val="auto"/>
                <w:sz w:val="21"/>
                <w:highlight w:val="none"/>
              </w:rPr>
            </w:pPr>
          </w:p>
        </w:tc>
      </w:tr>
      <w:tr w14:paraId="002C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71B1531D">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签约合同价</w:t>
            </w:r>
          </w:p>
        </w:tc>
        <w:tc>
          <w:tcPr>
            <w:tcW w:w="3743" w:type="pct"/>
            <w:tcBorders>
              <w:tl2br w:val="nil"/>
              <w:tr2bl w:val="nil"/>
            </w:tcBorders>
            <w:vAlign w:val="center"/>
          </w:tcPr>
          <w:p w14:paraId="7CACD092">
            <w:pPr>
              <w:kinsoku/>
              <w:spacing w:beforeLines="0" w:afterLines="0" w:line="0" w:lineRule="atLeast"/>
              <w:ind w:firstLine="0" w:firstLineChars="0"/>
              <w:jc w:val="center"/>
              <w:rPr>
                <w:color w:val="auto"/>
                <w:sz w:val="21"/>
                <w:highlight w:val="none"/>
              </w:rPr>
            </w:pPr>
          </w:p>
        </w:tc>
      </w:tr>
      <w:tr w14:paraId="1B84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47B4E8B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开工日期</w:t>
            </w:r>
          </w:p>
        </w:tc>
        <w:tc>
          <w:tcPr>
            <w:tcW w:w="3743" w:type="pct"/>
            <w:tcBorders>
              <w:tl2br w:val="nil"/>
              <w:tr2bl w:val="nil"/>
            </w:tcBorders>
            <w:vAlign w:val="center"/>
          </w:tcPr>
          <w:p w14:paraId="335128C5">
            <w:pPr>
              <w:kinsoku/>
              <w:spacing w:beforeLines="0" w:afterLines="0" w:line="0" w:lineRule="atLeast"/>
              <w:ind w:firstLine="0" w:firstLineChars="0"/>
              <w:jc w:val="center"/>
              <w:rPr>
                <w:color w:val="auto"/>
                <w:sz w:val="21"/>
                <w:highlight w:val="none"/>
              </w:rPr>
            </w:pPr>
          </w:p>
        </w:tc>
      </w:tr>
      <w:tr w14:paraId="0D91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538A409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完工日期</w:t>
            </w:r>
          </w:p>
        </w:tc>
        <w:tc>
          <w:tcPr>
            <w:tcW w:w="3743" w:type="pct"/>
            <w:tcBorders>
              <w:tl2br w:val="nil"/>
              <w:tr2bl w:val="nil"/>
            </w:tcBorders>
            <w:vAlign w:val="center"/>
          </w:tcPr>
          <w:p w14:paraId="489A045F">
            <w:pPr>
              <w:kinsoku/>
              <w:spacing w:beforeLines="0" w:afterLines="0" w:line="0" w:lineRule="atLeast"/>
              <w:ind w:firstLine="0" w:firstLineChars="0"/>
              <w:jc w:val="center"/>
              <w:rPr>
                <w:color w:val="auto"/>
                <w:sz w:val="21"/>
                <w:highlight w:val="none"/>
              </w:rPr>
            </w:pPr>
          </w:p>
        </w:tc>
      </w:tr>
      <w:tr w14:paraId="40C5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6C778F06">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承担的工作</w:t>
            </w:r>
          </w:p>
        </w:tc>
        <w:tc>
          <w:tcPr>
            <w:tcW w:w="3743" w:type="pct"/>
            <w:tcBorders>
              <w:tl2br w:val="nil"/>
              <w:tr2bl w:val="nil"/>
            </w:tcBorders>
            <w:vAlign w:val="center"/>
          </w:tcPr>
          <w:p w14:paraId="6C843C77">
            <w:pPr>
              <w:kinsoku/>
              <w:spacing w:beforeLines="0" w:afterLines="0" w:line="0" w:lineRule="atLeast"/>
              <w:ind w:firstLine="0" w:firstLineChars="0"/>
              <w:jc w:val="center"/>
              <w:rPr>
                <w:color w:val="auto"/>
                <w:sz w:val="21"/>
                <w:highlight w:val="none"/>
              </w:rPr>
            </w:pPr>
          </w:p>
        </w:tc>
      </w:tr>
      <w:tr w14:paraId="6A2F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256F28C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工程质量</w:t>
            </w:r>
          </w:p>
        </w:tc>
        <w:tc>
          <w:tcPr>
            <w:tcW w:w="3743" w:type="pct"/>
            <w:tcBorders>
              <w:tl2br w:val="nil"/>
              <w:tr2bl w:val="nil"/>
            </w:tcBorders>
            <w:vAlign w:val="center"/>
          </w:tcPr>
          <w:p w14:paraId="39ABEBB9">
            <w:pPr>
              <w:kinsoku/>
              <w:spacing w:beforeLines="0" w:afterLines="0" w:line="0" w:lineRule="atLeast"/>
              <w:ind w:firstLine="0" w:firstLineChars="0"/>
              <w:jc w:val="center"/>
              <w:rPr>
                <w:color w:val="auto"/>
                <w:sz w:val="21"/>
                <w:highlight w:val="none"/>
              </w:rPr>
            </w:pPr>
          </w:p>
        </w:tc>
      </w:tr>
      <w:tr w14:paraId="1F547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2F96722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项目负责人</w:t>
            </w:r>
          </w:p>
        </w:tc>
        <w:tc>
          <w:tcPr>
            <w:tcW w:w="3743" w:type="pct"/>
            <w:tcBorders>
              <w:tl2br w:val="nil"/>
              <w:tr2bl w:val="nil"/>
            </w:tcBorders>
            <w:vAlign w:val="center"/>
          </w:tcPr>
          <w:p w14:paraId="7F404506">
            <w:pPr>
              <w:kinsoku/>
              <w:spacing w:beforeLines="0" w:afterLines="0" w:line="0" w:lineRule="atLeast"/>
              <w:ind w:firstLine="0" w:firstLineChars="0"/>
              <w:jc w:val="center"/>
              <w:rPr>
                <w:color w:val="auto"/>
                <w:sz w:val="21"/>
                <w:highlight w:val="none"/>
              </w:rPr>
            </w:pPr>
          </w:p>
        </w:tc>
      </w:tr>
      <w:tr w14:paraId="27DD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174DE03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项目技术负责人</w:t>
            </w:r>
          </w:p>
        </w:tc>
        <w:tc>
          <w:tcPr>
            <w:tcW w:w="3743" w:type="pct"/>
            <w:tcBorders>
              <w:tl2br w:val="nil"/>
              <w:tr2bl w:val="nil"/>
            </w:tcBorders>
            <w:vAlign w:val="center"/>
          </w:tcPr>
          <w:p w14:paraId="691407C9">
            <w:pPr>
              <w:kinsoku/>
              <w:spacing w:beforeLines="0" w:afterLines="0" w:line="0" w:lineRule="atLeast"/>
              <w:ind w:firstLine="0" w:firstLineChars="0"/>
              <w:jc w:val="center"/>
              <w:rPr>
                <w:color w:val="auto"/>
                <w:sz w:val="21"/>
                <w:highlight w:val="none"/>
              </w:rPr>
            </w:pPr>
          </w:p>
        </w:tc>
      </w:tr>
      <w:tr w14:paraId="39B7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5B9A35D6">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position w:val="0"/>
                <w:sz w:val="21"/>
                <w:szCs w:val="21"/>
                <w:highlight w:val="none"/>
                <w:lang w:eastAsia="zh-CN"/>
              </w:rPr>
              <w:t>监理人和总监理工</w:t>
            </w:r>
          </w:p>
          <w:p w14:paraId="2B9FC950">
            <w:pPr>
              <w:pStyle w:val="23"/>
              <w:kinsoku/>
              <w:spacing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程师以及电话</w:t>
            </w:r>
          </w:p>
        </w:tc>
        <w:tc>
          <w:tcPr>
            <w:tcW w:w="3743" w:type="pct"/>
            <w:tcBorders>
              <w:tl2br w:val="nil"/>
              <w:tr2bl w:val="nil"/>
            </w:tcBorders>
            <w:vAlign w:val="center"/>
          </w:tcPr>
          <w:p w14:paraId="0F55F788">
            <w:pPr>
              <w:kinsoku/>
              <w:spacing w:beforeLines="0" w:afterLines="0" w:line="0" w:lineRule="atLeast"/>
              <w:ind w:firstLine="0" w:firstLineChars="0"/>
              <w:jc w:val="center"/>
              <w:rPr>
                <w:color w:val="auto"/>
                <w:sz w:val="21"/>
                <w:highlight w:val="none"/>
                <w:lang w:eastAsia="zh-CN"/>
              </w:rPr>
            </w:pPr>
          </w:p>
        </w:tc>
      </w:tr>
      <w:tr w14:paraId="56F95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68980D5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合同项目描述</w:t>
            </w:r>
          </w:p>
        </w:tc>
        <w:tc>
          <w:tcPr>
            <w:tcW w:w="3743" w:type="pct"/>
            <w:tcBorders>
              <w:tl2br w:val="nil"/>
              <w:tr2bl w:val="nil"/>
            </w:tcBorders>
            <w:vAlign w:val="center"/>
          </w:tcPr>
          <w:p w14:paraId="269AC6C5">
            <w:pPr>
              <w:kinsoku/>
              <w:spacing w:beforeLines="0" w:afterLines="0" w:line="0" w:lineRule="atLeast"/>
              <w:ind w:firstLine="0" w:firstLineChars="0"/>
              <w:jc w:val="center"/>
              <w:rPr>
                <w:color w:val="auto"/>
                <w:sz w:val="21"/>
                <w:highlight w:val="none"/>
              </w:rPr>
            </w:pPr>
          </w:p>
        </w:tc>
      </w:tr>
      <w:tr w14:paraId="7001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256" w:type="pct"/>
            <w:tcBorders>
              <w:tl2br w:val="nil"/>
              <w:tr2bl w:val="nil"/>
            </w:tcBorders>
            <w:vAlign w:val="center"/>
          </w:tcPr>
          <w:p w14:paraId="4737F39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c>
          <w:tcPr>
            <w:tcW w:w="3743" w:type="pct"/>
            <w:tcBorders>
              <w:tl2br w:val="nil"/>
              <w:tr2bl w:val="nil"/>
            </w:tcBorders>
            <w:vAlign w:val="center"/>
          </w:tcPr>
          <w:p w14:paraId="1B536ACA">
            <w:pPr>
              <w:pStyle w:val="23"/>
              <w:kinsoku/>
              <w:spacing w:beforeLines="0" w:afterLines="0" w:line="0" w:lineRule="atLeast"/>
              <w:ind w:left="0" w:firstLine="0" w:firstLineChars="0"/>
              <w:jc w:val="left"/>
              <w:rPr>
                <w:color w:val="auto"/>
                <w:sz w:val="21"/>
                <w:szCs w:val="21"/>
                <w:highlight w:val="none"/>
              </w:rPr>
            </w:pPr>
            <w:r>
              <w:rPr>
                <w:rFonts w:hint="eastAsia" w:ascii="宋体" w:hAnsi="宋体" w:eastAsia="宋体" w:cs="宋体"/>
                <w:b w:val="0"/>
                <w:color w:val="auto"/>
                <w:spacing w:val="0"/>
                <w:sz w:val="21"/>
                <w:szCs w:val="21"/>
                <w:highlight w:val="none"/>
                <w:lang w:eastAsia="zh-CN"/>
              </w:rPr>
              <w:t>合同项目描述内容至少包括项目概况、本合同在项目中的地位（部位、合同价格所占比例）和合同工程完工验收鉴定书</w:t>
            </w:r>
            <w:r>
              <w:rPr>
                <w:rFonts w:hint="eastAsia" w:ascii="宋体" w:hAnsi="宋体" w:eastAsia="宋体" w:cs="宋体"/>
                <w:b w:val="0"/>
                <w:color w:val="auto"/>
                <w:spacing w:val="0"/>
                <w:sz w:val="21"/>
                <w:szCs w:val="21"/>
                <w:highlight w:val="none"/>
                <w:lang w:eastAsia="en-US"/>
              </w:rPr>
              <w:t>有关验收结论。</w:t>
            </w:r>
          </w:p>
        </w:tc>
      </w:tr>
    </w:tbl>
    <w:p w14:paraId="57D5A282">
      <w:pPr>
        <w:kinsoku/>
        <w:spacing w:before="0"/>
        <w:ind w:left="0"/>
        <w:rPr>
          <w:color w:val="auto"/>
          <w:highlight w:val="none"/>
          <w:lang w:eastAsia="zh-CN"/>
        </w:rPr>
      </w:pPr>
      <w:r>
        <w:rPr>
          <w:rFonts w:ascii="宋体" w:cs="Arial"/>
          <w:b w:val="0"/>
          <w:color w:val="auto"/>
          <w:spacing w:val="0"/>
          <w:sz w:val="24"/>
          <w:szCs w:val="24"/>
          <w:highlight w:val="none"/>
          <w:lang w:eastAsia="zh-CN"/>
        </w:rPr>
        <w:t>注：相关材料复制件在“十、原件的复制件”中提供。</w:t>
      </w:r>
    </w:p>
    <w:p w14:paraId="453BC4CB">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6066EFEB">
      <w:pPr>
        <w:pStyle w:val="4"/>
        <w:kinsoku/>
        <w:spacing w:before="0" w:beforeLines="0" w:afterLines="0"/>
        <w:ind w:left="25"/>
        <w:rPr>
          <w:rFonts w:hint="eastAsia" w:cs="宋体"/>
          <w:bCs/>
          <w:color w:val="auto"/>
          <w:szCs w:val="24"/>
          <w:highlight w:val="none"/>
          <w:lang w:eastAsia="zh-CN"/>
        </w:rPr>
      </w:pPr>
      <w:bookmarkStart w:id="2672" w:name="_Toc19074"/>
      <w:bookmarkStart w:id="2673" w:name="_Toc16415"/>
      <w:bookmarkStart w:id="2674" w:name="_Toc30566"/>
      <w:r>
        <w:rPr>
          <w:rFonts w:hint="eastAsia" w:ascii="宋体" w:cs="宋体"/>
          <w:b/>
          <w:bCs/>
          <w:color w:val="auto"/>
          <w:spacing w:val="0"/>
          <w:sz w:val="24"/>
          <w:szCs w:val="24"/>
          <w:highlight w:val="none"/>
          <w:lang w:eastAsia="zh-CN"/>
        </w:rPr>
        <w:t>（四）正在施工的和新承接的项目情况表</w:t>
      </w:r>
      <w:bookmarkEnd w:id="2672"/>
      <w:bookmarkEnd w:id="2673"/>
      <w:bookmarkEnd w:id="2674"/>
    </w:p>
    <w:p w14:paraId="24705CCA">
      <w:pPr>
        <w:keepNext/>
        <w:keepLines/>
        <w:tabs>
          <w:tab w:val="left" w:pos="3229"/>
        </w:tabs>
        <w:kinsoku/>
        <w:spacing w:before="0" w:beforeLines="0" w:afterLines="0"/>
        <w:ind w:left="0"/>
        <w:jc w:val="center"/>
        <w:outlineLvl w:val="9"/>
        <w:rPr>
          <w:rFonts w:hint="eastAsia" w:cs="宋体"/>
          <w:bCs/>
          <w:color w:val="auto"/>
          <w:szCs w:val="24"/>
          <w:highlight w:val="none"/>
          <w:lang w:eastAsia="zh-CN"/>
        </w:rPr>
      </w:pPr>
      <w:bookmarkStart w:id="2675" w:name="_Toc9766"/>
      <w:bookmarkStart w:id="2676" w:name="_Toc4932"/>
      <w:bookmarkStart w:id="2677" w:name="_Toc10491"/>
      <w:r>
        <w:rPr>
          <w:rFonts w:hint="eastAsia" w:ascii="宋体" w:cs="宋体"/>
          <w:b/>
          <w:bCs/>
          <w:color w:val="auto"/>
          <w:spacing w:val="0"/>
          <w:sz w:val="24"/>
          <w:szCs w:val="24"/>
          <w:highlight w:val="none"/>
          <w:lang w:eastAsia="zh-CN"/>
        </w:rPr>
        <w:t>正在施工的和新承接的项目情况表</w:t>
      </w:r>
      <w:bookmarkEnd w:id="2675"/>
      <w:bookmarkEnd w:id="2676"/>
      <w:bookmarkEnd w:id="2677"/>
    </w:p>
    <w:p w14:paraId="5675472B">
      <w:pPr>
        <w:kinsoku/>
        <w:spacing w:beforeLines="0" w:afterLines="0"/>
        <w:ind w:firstLine="420"/>
        <w:jc w:val="left"/>
        <w:rPr>
          <w:color w:val="auto"/>
          <w:highlight w:val="none"/>
          <w:lang w:eastAsia="zh-CN"/>
        </w:rPr>
      </w:pP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042"/>
        <w:gridCol w:w="7079"/>
      </w:tblGrid>
      <w:tr w14:paraId="0110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298DB35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合同名称</w:t>
            </w:r>
          </w:p>
        </w:tc>
        <w:tc>
          <w:tcPr>
            <w:tcW w:w="3880" w:type="pct"/>
            <w:tcBorders>
              <w:tl2br w:val="nil"/>
              <w:tr2bl w:val="nil"/>
            </w:tcBorders>
            <w:vAlign w:val="center"/>
          </w:tcPr>
          <w:p w14:paraId="41457FA6">
            <w:pPr>
              <w:kinsoku/>
              <w:spacing w:beforeLines="0" w:afterLines="0" w:line="0" w:lineRule="atLeast"/>
              <w:ind w:firstLine="0" w:firstLineChars="0"/>
              <w:jc w:val="center"/>
              <w:rPr>
                <w:color w:val="auto"/>
                <w:sz w:val="21"/>
                <w:highlight w:val="none"/>
              </w:rPr>
            </w:pPr>
          </w:p>
        </w:tc>
      </w:tr>
      <w:tr w14:paraId="5EEEB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1E098AB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合同项目所在地</w:t>
            </w:r>
          </w:p>
        </w:tc>
        <w:tc>
          <w:tcPr>
            <w:tcW w:w="3880" w:type="pct"/>
            <w:tcBorders>
              <w:tl2br w:val="nil"/>
              <w:tr2bl w:val="nil"/>
            </w:tcBorders>
            <w:vAlign w:val="center"/>
          </w:tcPr>
          <w:p w14:paraId="4B216B1A">
            <w:pPr>
              <w:kinsoku/>
              <w:spacing w:beforeLines="0" w:afterLines="0" w:line="0" w:lineRule="atLeast"/>
              <w:ind w:firstLine="0" w:firstLineChars="0"/>
              <w:jc w:val="center"/>
              <w:rPr>
                <w:color w:val="auto"/>
                <w:sz w:val="21"/>
                <w:highlight w:val="none"/>
              </w:rPr>
            </w:pPr>
          </w:p>
        </w:tc>
      </w:tr>
      <w:tr w14:paraId="2180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7EF68E7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发包人名称</w:t>
            </w:r>
          </w:p>
        </w:tc>
        <w:tc>
          <w:tcPr>
            <w:tcW w:w="3880" w:type="pct"/>
            <w:tcBorders>
              <w:tl2br w:val="nil"/>
              <w:tr2bl w:val="nil"/>
            </w:tcBorders>
            <w:vAlign w:val="center"/>
          </w:tcPr>
          <w:p w14:paraId="02B8809A">
            <w:pPr>
              <w:kinsoku/>
              <w:spacing w:beforeLines="0" w:afterLines="0" w:line="0" w:lineRule="atLeast"/>
              <w:ind w:firstLine="0" w:firstLineChars="0"/>
              <w:jc w:val="center"/>
              <w:rPr>
                <w:color w:val="auto"/>
                <w:sz w:val="21"/>
                <w:highlight w:val="none"/>
              </w:rPr>
            </w:pPr>
          </w:p>
        </w:tc>
      </w:tr>
      <w:tr w14:paraId="578DF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74EED67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发包人地址</w:t>
            </w:r>
          </w:p>
        </w:tc>
        <w:tc>
          <w:tcPr>
            <w:tcW w:w="3880" w:type="pct"/>
            <w:tcBorders>
              <w:tl2br w:val="nil"/>
              <w:tr2bl w:val="nil"/>
            </w:tcBorders>
            <w:vAlign w:val="center"/>
          </w:tcPr>
          <w:p w14:paraId="2358C5CC">
            <w:pPr>
              <w:kinsoku/>
              <w:spacing w:beforeLines="0" w:afterLines="0" w:line="0" w:lineRule="atLeast"/>
              <w:ind w:firstLine="0" w:firstLineChars="0"/>
              <w:jc w:val="center"/>
              <w:rPr>
                <w:color w:val="auto"/>
                <w:sz w:val="21"/>
                <w:highlight w:val="none"/>
              </w:rPr>
            </w:pPr>
          </w:p>
        </w:tc>
      </w:tr>
      <w:tr w14:paraId="72210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5831F81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发包人电话</w:t>
            </w:r>
          </w:p>
        </w:tc>
        <w:tc>
          <w:tcPr>
            <w:tcW w:w="3880" w:type="pct"/>
            <w:tcBorders>
              <w:tl2br w:val="nil"/>
              <w:tr2bl w:val="nil"/>
            </w:tcBorders>
            <w:vAlign w:val="center"/>
          </w:tcPr>
          <w:p w14:paraId="22616877">
            <w:pPr>
              <w:kinsoku/>
              <w:spacing w:beforeLines="0" w:afterLines="0" w:line="0" w:lineRule="atLeast"/>
              <w:ind w:firstLine="0" w:firstLineChars="0"/>
              <w:jc w:val="center"/>
              <w:rPr>
                <w:color w:val="auto"/>
                <w:sz w:val="21"/>
                <w:highlight w:val="none"/>
              </w:rPr>
            </w:pPr>
          </w:p>
        </w:tc>
      </w:tr>
      <w:tr w14:paraId="226D0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43E33FB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签约合同价</w:t>
            </w:r>
          </w:p>
        </w:tc>
        <w:tc>
          <w:tcPr>
            <w:tcW w:w="3880" w:type="pct"/>
            <w:tcBorders>
              <w:tl2br w:val="nil"/>
              <w:tr2bl w:val="nil"/>
            </w:tcBorders>
            <w:vAlign w:val="center"/>
          </w:tcPr>
          <w:p w14:paraId="4DF7A95B">
            <w:pPr>
              <w:kinsoku/>
              <w:spacing w:beforeLines="0" w:afterLines="0" w:line="0" w:lineRule="atLeast"/>
              <w:ind w:firstLine="0" w:firstLineChars="0"/>
              <w:jc w:val="center"/>
              <w:rPr>
                <w:color w:val="auto"/>
                <w:sz w:val="21"/>
                <w:highlight w:val="none"/>
              </w:rPr>
            </w:pPr>
          </w:p>
        </w:tc>
      </w:tr>
      <w:tr w14:paraId="2629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24DF7B01">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开工日期</w:t>
            </w:r>
          </w:p>
        </w:tc>
        <w:tc>
          <w:tcPr>
            <w:tcW w:w="3880" w:type="pct"/>
            <w:tcBorders>
              <w:tl2br w:val="nil"/>
              <w:tr2bl w:val="nil"/>
            </w:tcBorders>
            <w:vAlign w:val="center"/>
          </w:tcPr>
          <w:p w14:paraId="6A0AB962">
            <w:pPr>
              <w:kinsoku/>
              <w:spacing w:beforeLines="0" w:afterLines="0" w:line="0" w:lineRule="atLeast"/>
              <w:ind w:firstLine="0" w:firstLineChars="0"/>
              <w:jc w:val="center"/>
              <w:rPr>
                <w:color w:val="auto"/>
                <w:sz w:val="21"/>
                <w:highlight w:val="none"/>
              </w:rPr>
            </w:pPr>
          </w:p>
        </w:tc>
      </w:tr>
      <w:tr w14:paraId="6E81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429637D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计划完工日期</w:t>
            </w:r>
          </w:p>
        </w:tc>
        <w:tc>
          <w:tcPr>
            <w:tcW w:w="3880" w:type="pct"/>
            <w:tcBorders>
              <w:tl2br w:val="nil"/>
              <w:tr2bl w:val="nil"/>
            </w:tcBorders>
            <w:vAlign w:val="center"/>
          </w:tcPr>
          <w:p w14:paraId="2F9F1DB1">
            <w:pPr>
              <w:kinsoku/>
              <w:spacing w:beforeLines="0" w:afterLines="0" w:line="0" w:lineRule="atLeast"/>
              <w:ind w:firstLine="0" w:firstLineChars="0"/>
              <w:jc w:val="center"/>
              <w:rPr>
                <w:color w:val="auto"/>
                <w:sz w:val="21"/>
                <w:highlight w:val="none"/>
              </w:rPr>
            </w:pPr>
          </w:p>
        </w:tc>
      </w:tr>
      <w:tr w14:paraId="014B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7FDB8F5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承担的工作</w:t>
            </w:r>
          </w:p>
        </w:tc>
        <w:tc>
          <w:tcPr>
            <w:tcW w:w="3880" w:type="pct"/>
            <w:tcBorders>
              <w:tl2br w:val="nil"/>
              <w:tr2bl w:val="nil"/>
            </w:tcBorders>
            <w:vAlign w:val="center"/>
          </w:tcPr>
          <w:p w14:paraId="18722B76">
            <w:pPr>
              <w:kinsoku/>
              <w:spacing w:beforeLines="0" w:afterLines="0" w:line="0" w:lineRule="atLeast"/>
              <w:ind w:firstLine="0" w:firstLineChars="0"/>
              <w:jc w:val="center"/>
              <w:rPr>
                <w:color w:val="auto"/>
                <w:sz w:val="21"/>
                <w:highlight w:val="none"/>
              </w:rPr>
            </w:pPr>
          </w:p>
        </w:tc>
      </w:tr>
      <w:tr w14:paraId="2A6E9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65D818E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工程质量</w:t>
            </w:r>
          </w:p>
        </w:tc>
        <w:tc>
          <w:tcPr>
            <w:tcW w:w="3880" w:type="pct"/>
            <w:tcBorders>
              <w:tl2br w:val="nil"/>
              <w:tr2bl w:val="nil"/>
            </w:tcBorders>
            <w:vAlign w:val="center"/>
          </w:tcPr>
          <w:p w14:paraId="4C79BCCA">
            <w:pPr>
              <w:kinsoku/>
              <w:spacing w:beforeLines="0" w:afterLines="0" w:line="0" w:lineRule="atLeast"/>
              <w:ind w:firstLine="0" w:firstLineChars="0"/>
              <w:jc w:val="center"/>
              <w:rPr>
                <w:color w:val="auto"/>
                <w:sz w:val="21"/>
                <w:highlight w:val="none"/>
              </w:rPr>
            </w:pPr>
          </w:p>
        </w:tc>
      </w:tr>
      <w:tr w14:paraId="2B0A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7281C73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项目负责人</w:t>
            </w:r>
          </w:p>
        </w:tc>
        <w:tc>
          <w:tcPr>
            <w:tcW w:w="3880" w:type="pct"/>
            <w:tcBorders>
              <w:tl2br w:val="nil"/>
              <w:tr2bl w:val="nil"/>
            </w:tcBorders>
            <w:vAlign w:val="center"/>
          </w:tcPr>
          <w:p w14:paraId="1649A62F">
            <w:pPr>
              <w:kinsoku/>
              <w:spacing w:beforeLines="0" w:afterLines="0" w:line="0" w:lineRule="atLeast"/>
              <w:ind w:firstLine="0" w:firstLineChars="0"/>
              <w:jc w:val="center"/>
              <w:rPr>
                <w:color w:val="auto"/>
                <w:sz w:val="21"/>
                <w:highlight w:val="none"/>
              </w:rPr>
            </w:pPr>
          </w:p>
        </w:tc>
      </w:tr>
      <w:tr w14:paraId="36F4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4B57004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技术负责人</w:t>
            </w:r>
          </w:p>
        </w:tc>
        <w:tc>
          <w:tcPr>
            <w:tcW w:w="3880" w:type="pct"/>
            <w:tcBorders>
              <w:tl2br w:val="nil"/>
              <w:tr2bl w:val="nil"/>
            </w:tcBorders>
            <w:vAlign w:val="center"/>
          </w:tcPr>
          <w:p w14:paraId="0BE88417">
            <w:pPr>
              <w:kinsoku/>
              <w:spacing w:beforeLines="0" w:afterLines="0" w:line="0" w:lineRule="atLeast"/>
              <w:ind w:firstLine="0" w:firstLineChars="0"/>
              <w:jc w:val="center"/>
              <w:rPr>
                <w:color w:val="auto"/>
                <w:sz w:val="21"/>
                <w:highlight w:val="none"/>
              </w:rPr>
            </w:pPr>
          </w:p>
        </w:tc>
      </w:tr>
      <w:tr w14:paraId="7936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44033E14">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position w:val="0"/>
                <w:sz w:val="21"/>
                <w:szCs w:val="21"/>
                <w:highlight w:val="none"/>
                <w:lang w:eastAsia="zh-CN"/>
              </w:rPr>
              <w:t>监理人和总监理工</w:t>
            </w:r>
          </w:p>
          <w:p w14:paraId="382D38EE">
            <w:pPr>
              <w:pStyle w:val="23"/>
              <w:kinsoku/>
              <w:spacing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程师以及电话</w:t>
            </w:r>
          </w:p>
        </w:tc>
        <w:tc>
          <w:tcPr>
            <w:tcW w:w="3880" w:type="pct"/>
            <w:tcBorders>
              <w:tl2br w:val="nil"/>
              <w:tr2bl w:val="nil"/>
            </w:tcBorders>
            <w:vAlign w:val="center"/>
          </w:tcPr>
          <w:p w14:paraId="731991FA">
            <w:pPr>
              <w:kinsoku/>
              <w:spacing w:beforeLines="0" w:afterLines="0" w:line="0" w:lineRule="atLeast"/>
              <w:ind w:firstLine="0" w:firstLineChars="0"/>
              <w:jc w:val="center"/>
              <w:rPr>
                <w:color w:val="auto"/>
                <w:sz w:val="21"/>
                <w:highlight w:val="none"/>
                <w:lang w:eastAsia="zh-CN"/>
              </w:rPr>
            </w:pPr>
          </w:p>
        </w:tc>
      </w:tr>
      <w:tr w14:paraId="5859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3D56E483">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项目描述</w:t>
            </w:r>
          </w:p>
        </w:tc>
        <w:tc>
          <w:tcPr>
            <w:tcW w:w="3880" w:type="pct"/>
            <w:tcBorders>
              <w:tl2br w:val="nil"/>
              <w:tr2bl w:val="nil"/>
            </w:tcBorders>
            <w:vAlign w:val="center"/>
          </w:tcPr>
          <w:p w14:paraId="0ECBE742">
            <w:pPr>
              <w:kinsoku/>
              <w:spacing w:beforeLines="0" w:afterLines="0" w:line="0" w:lineRule="atLeast"/>
              <w:ind w:firstLine="0" w:firstLineChars="0"/>
              <w:jc w:val="center"/>
              <w:rPr>
                <w:color w:val="auto"/>
                <w:sz w:val="21"/>
                <w:highlight w:val="none"/>
              </w:rPr>
            </w:pPr>
          </w:p>
        </w:tc>
      </w:tr>
      <w:tr w14:paraId="5DC8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19" w:type="pct"/>
            <w:tcBorders>
              <w:tl2br w:val="nil"/>
              <w:tr2bl w:val="nil"/>
            </w:tcBorders>
            <w:vAlign w:val="center"/>
          </w:tcPr>
          <w:p w14:paraId="25FF6830">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c>
          <w:tcPr>
            <w:tcW w:w="3880" w:type="pct"/>
            <w:tcBorders>
              <w:tl2br w:val="nil"/>
              <w:tr2bl w:val="nil"/>
            </w:tcBorders>
            <w:vAlign w:val="center"/>
          </w:tcPr>
          <w:p w14:paraId="56F43852">
            <w:pPr>
              <w:pStyle w:val="23"/>
              <w:kinsoku/>
              <w:spacing w:beforeLines="0" w:afterLines="0" w:line="0" w:lineRule="atLeast"/>
              <w:ind w:left="0" w:firstLine="0" w:firstLineChars="0"/>
              <w:jc w:val="left"/>
              <w:rPr>
                <w:color w:val="auto"/>
                <w:sz w:val="21"/>
                <w:szCs w:val="21"/>
                <w:highlight w:val="none"/>
              </w:rPr>
            </w:pPr>
            <w:r>
              <w:rPr>
                <w:rFonts w:hint="eastAsia" w:ascii="宋体" w:hAnsi="宋体" w:eastAsia="宋体" w:cs="宋体"/>
                <w:b w:val="0"/>
                <w:color w:val="auto"/>
                <w:spacing w:val="0"/>
                <w:position w:val="0"/>
                <w:sz w:val="21"/>
                <w:szCs w:val="21"/>
                <w:highlight w:val="none"/>
                <w:lang w:eastAsia="zh-CN"/>
              </w:rPr>
              <w:t>项目描述内容至少包括项目概况、本合同在项目中的地位（部</w:t>
            </w:r>
            <w:r>
              <w:rPr>
                <w:rFonts w:hint="eastAsia" w:ascii="宋体" w:hAnsi="宋体" w:eastAsia="宋体" w:cs="宋体"/>
                <w:b w:val="0"/>
                <w:color w:val="auto"/>
                <w:spacing w:val="0"/>
                <w:sz w:val="21"/>
                <w:szCs w:val="21"/>
                <w:highlight w:val="none"/>
                <w:lang w:eastAsia="en-US"/>
              </w:rPr>
              <w:t>位、合同价格所占比例）。</w:t>
            </w:r>
          </w:p>
        </w:tc>
      </w:tr>
    </w:tbl>
    <w:p w14:paraId="42093D6F">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注：相关材料复制件在“十、原件的复制件”中提供。</w:t>
      </w:r>
    </w:p>
    <w:p w14:paraId="187833C2">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490B39BE">
      <w:pPr>
        <w:pStyle w:val="4"/>
        <w:kinsoku/>
        <w:spacing w:before="0" w:beforeLines="0" w:afterLines="0"/>
        <w:ind w:left="35"/>
        <w:rPr>
          <w:rFonts w:hint="eastAsia" w:cs="宋体"/>
          <w:bCs/>
          <w:color w:val="auto"/>
          <w:szCs w:val="24"/>
          <w:highlight w:val="none"/>
          <w:lang w:eastAsia="zh-CN"/>
        </w:rPr>
      </w:pPr>
      <w:bookmarkStart w:id="2678" w:name="_Toc10991"/>
      <w:bookmarkStart w:id="2679" w:name="_Toc7883"/>
      <w:bookmarkStart w:id="2680" w:name="_Toc23264"/>
      <w:r>
        <w:rPr>
          <w:rFonts w:hint="eastAsia" w:ascii="宋体" w:cs="宋体"/>
          <w:b/>
          <w:bCs/>
          <w:color w:val="auto"/>
          <w:spacing w:val="0"/>
          <w:sz w:val="24"/>
          <w:szCs w:val="24"/>
          <w:highlight w:val="none"/>
          <w:lang w:eastAsia="zh-CN"/>
        </w:rPr>
        <w:t>（五）近年发生的诉讼及仲裁情况表</w:t>
      </w:r>
      <w:bookmarkEnd w:id="2678"/>
      <w:bookmarkEnd w:id="2679"/>
      <w:bookmarkEnd w:id="2680"/>
    </w:p>
    <w:p w14:paraId="44D4CF2D">
      <w:pPr>
        <w:keepNext/>
        <w:keepLines/>
        <w:tabs>
          <w:tab w:val="left" w:pos="3229"/>
        </w:tabs>
        <w:kinsoku/>
        <w:spacing w:before="0" w:beforeLines="0" w:afterLines="0"/>
        <w:ind w:left="0"/>
        <w:jc w:val="center"/>
        <w:outlineLvl w:val="9"/>
        <w:rPr>
          <w:rFonts w:hint="eastAsia" w:cs="宋体"/>
          <w:bCs/>
          <w:color w:val="auto"/>
          <w:szCs w:val="24"/>
          <w:highlight w:val="none"/>
          <w:lang w:eastAsia="zh-CN"/>
        </w:rPr>
      </w:pPr>
      <w:bookmarkStart w:id="2681" w:name="_Toc20010"/>
      <w:bookmarkStart w:id="2682" w:name="_Toc9073"/>
      <w:bookmarkStart w:id="2683" w:name="_Toc4784"/>
      <w:r>
        <w:rPr>
          <w:rFonts w:hint="eastAsia" w:ascii="宋体" w:cs="宋体"/>
          <w:b/>
          <w:bCs/>
          <w:color w:val="auto"/>
          <w:spacing w:val="0"/>
          <w:sz w:val="24"/>
          <w:szCs w:val="24"/>
          <w:highlight w:val="none"/>
          <w:lang w:eastAsia="zh-CN"/>
        </w:rPr>
        <w:t>近年发生的诉讼及仲裁情况表</w:t>
      </w:r>
      <w:bookmarkEnd w:id="2681"/>
      <w:bookmarkEnd w:id="2682"/>
      <w:bookmarkEnd w:id="2683"/>
    </w:p>
    <w:p w14:paraId="7012D5A0">
      <w:pPr>
        <w:kinsoku/>
        <w:spacing w:before="0"/>
        <w:ind w:left="0" w:firstLine="0" w:firstLineChars="0"/>
        <w:jc w:val="center"/>
        <w:rPr>
          <w:color w:val="auto"/>
          <w:highlight w:val="none"/>
          <w:lang w:eastAsia="zh-CN"/>
        </w:rPr>
      </w:pPr>
      <w:r>
        <w:rPr>
          <w:rFonts w:ascii="宋体" w:cs="Arial"/>
          <w:b w:val="0"/>
          <w:color w:val="auto"/>
          <w:spacing w:val="0"/>
          <w:sz w:val="24"/>
          <w:szCs w:val="24"/>
          <w:highlight w:val="none"/>
          <w:lang w:eastAsia="zh-CN"/>
        </w:rPr>
        <w:t>（近年指年月日至投标截止时间）</w:t>
      </w:r>
    </w:p>
    <w:p w14:paraId="2756941A">
      <w:pPr>
        <w:kinsoku/>
        <w:spacing w:beforeLines="0" w:afterLines="0"/>
        <w:ind w:firstLine="420"/>
        <w:jc w:val="left"/>
        <w:rPr>
          <w:color w:val="auto"/>
          <w:highlight w:val="none"/>
          <w:lang w:eastAsia="zh-CN"/>
        </w:rPr>
      </w:pPr>
    </w:p>
    <w:tbl>
      <w:tblPr>
        <w:tblStyle w:val="24"/>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2"/>
        <w:gridCol w:w="2215"/>
        <w:gridCol w:w="1655"/>
        <w:gridCol w:w="1342"/>
        <w:gridCol w:w="1344"/>
        <w:gridCol w:w="1354"/>
      </w:tblGrid>
      <w:tr w14:paraId="2F56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261B20A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2215" w:type="dxa"/>
            <w:tcBorders>
              <w:tl2br w:val="nil"/>
              <w:tr2bl w:val="nil"/>
            </w:tcBorders>
            <w:vAlign w:val="center"/>
          </w:tcPr>
          <w:p w14:paraId="7E710D3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诉讼或仲裁事项</w:t>
            </w:r>
          </w:p>
        </w:tc>
        <w:tc>
          <w:tcPr>
            <w:tcW w:w="1655" w:type="dxa"/>
            <w:tcBorders>
              <w:tl2br w:val="nil"/>
              <w:tr2bl w:val="nil"/>
            </w:tcBorders>
            <w:vAlign w:val="center"/>
          </w:tcPr>
          <w:p w14:paraId="5BEB3E9C">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诉讼或仲裁中</w:t>
            </w:r>
          </w:p>
          <w:p w14:paraId="3373AE0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的地位</w:t>
            </w:r>
          </w:p>
        </w:tc>
        <w:tc>
          <w:tcPr>
            <w:tcW w:w="1342" w:type="dxa"/>
            <w:tcBorders>
              <w:tl2br w:val="nil"/>
              <w:tr2bl w:val="nil"/>
            </w:tcBorders>
            <w:vAlign w:val="center"/>
          </w:tcPr>
          <w:p w14:paraId="6A8CD81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缘由</w:t>
            </w:r>
          </w:p>
        </w:tc>
        <w:tc>
          <w:tcPr>
            <w:tcW w:w="1344" w:type="dxa"/>
            <w:tcBorders>
              <w:tl2br w:val="nil"/>
              <w:tr2bl w:val="nil"/>
            </w:tcBorders>
            <w:vAlign w:val="center"/>
          </w:tcPr>
          <w:p w14:paraId="25375F4E">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结果</w:t>
            </w:r>
          </w:p>
        </w:tc>
        <w:tc>
          <w:tcPr>
            <w:tcW w:w="1354" w:type="dxa"/>
            <w:tcBorders>
              <w:tl2br w:val="nil"/>
              <w:tr2bl w:val="nil"/>
            </w:tcBorders>
            <w:vAlign w:val="center"/>
          </w:tcPr>
          <w:p w14:paraId="02D5534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备注</w:t>
            </w:r>
          </w:p>
        </w:tc>
      </w:tr>
      <w:tr w14:paraId="6C37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5B095242">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position w:val="0"/>
                <w:sz w:val="21"/>
                <w:szCs w:val="21"/>
                <w:highlight w:val="none"/>
                <w:lang w:eastAsia="en-US"/>
              </w:rPr>
              <w:t>一</w:t>
            </w:r>
          </w:p>
        </w:tc>
        <w:tc>
          <w:tcPr>
            <w:tcW w:w="2215" w:type="dxa"/>
            <w:tcBorders>
              <w:tl2br w:val="nil"/>
              <w:tr2bl w:val="nil"/>
            </w:tcBorders>
            <w:vAlign w:val="center"/>
          </w:tcPr>
          <w:p w14:paraId="376595D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诉讼事项</w:t>
            </w:r>
          </w:p>
        </w:tc>
        <w:tc>
          <w:tcPr>
            <w:tcW w:w="1655" w:type="dxa"/>
            <w:tcBorders>
              <w:tl2br w:val="nil"/>
              <w:tr2bl w:val="nil"/>
            </w:tcBorders>
            <w:vAlign w:val="center"/>
          </w:tcPr>
          <w:p w14:paraId="5BBC7CE0">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28BD8B16">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5D4A95B5">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0EFBBCF7">
            <w:pPr>
              <w:kinsoku/>
              <w:spacing w:beforeLines="0" w:afterLines="0" w:line="0" w:lineRule="atLeast"/>
              <w:ind w:firstLine="0" w:firstLineChars="0"/>
              <w:jc w:val="center"/>
              <w:rPr>
                <w:color w:val="auto"/>
                <w:sz w:val="21"/>
                <w:highlight w:val="none"/>
              </w:rPr>
            </w:pPr>
          </w:p>
        </w:tc>
      </w:tr>
      <w:tr w14:paraId="428F3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033C0A7F">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5A301E56">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5C8D7785">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16CD77E5">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12FE8797">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715F1702">
            <w:pPr>
              <w:kinsoku/>
              <w:spacing w:beforeLines="0" w:afterLines="0" w:line="0" w:lineRule="atLeast"/>
              <w:ind w:firstLine="0" w:firstLineChars="0"/>
              <w:jc w:val="center"/>
              <w:rPr>
                <w:color w:val="auto"/>
                <w:sz w:val="21"/>
                <w:highlight w:val="none"/>
              </w:rPr>
            </w:pPr>
          </w:p>
        </w:tc>
      </w:tr>
      <w:tr w14:paraId="5B22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6D08DD23">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15AF7BEC">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4FB89E3E">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0CC6AF4D">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190BF3F9">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2F086D1F">
            <w:pPr>
              <w:kinsoku/>
              <w:spacing w:beforeLines="0" w:afterLines="0" w:line="0" w:lineRule="atLeast"/>
              <w:ind w:firstLine="0" w:firstLineChars="0"/>
              <w:jc w:val="center"/>
              <w:rPr>
                <w:color w:val="auto"/>
                <w:sz w:val="21"/>
                <w:highlight w:val="none"/>
              </w:rPr>
            </w:pPr>
          </w:p>
        </w:tc>
      </w:tr>
      <w:tr w14:paraId="7E8D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6647600A">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5D4C5DD1">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22740B07">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1E39A780">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57A8F1E4">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329E9EED">
            <w:pPr>
              <w:kinsoku/>
              <w:spacing w:beforeLines="0" w:afterLines="0" w:line="0" w:lineRule="atLeast"/>
              <w:ind w:firstLine="0" w:firstLineChars="0"/>
              <w:jc w:val="center"/>
              <w:rPr>
                <w:color w:val="auto"/>
                <w:sz w:val="21"/>
                <w:highlight w:val="none"/>
              </w:rPr>
            </w:pPr>
          </w:p>
        </w:tc>
      </w:tr>
      <w:tr w14:paraId="48CE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4ACD20A8">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626265A9">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30DC19F5">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443D59D9">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7A5A715D">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1ED0AA35">
            <w:pPr>
              <w:kinsoku/>
              <w:spacing w:beforeLines="0" w:afterLines="0" w:line="0" w:lineRule="atLeast"/>
              <w:ind w:firstLine="0" w:firstLineChars="0"/>
              <w:jc w:val="center"/>
              <w:rPr>
                <w:color w:val="auto"/>
                <w:sz w:val="21"/>
                <w:highlight w:val="none"/>
              </w:rPr>
            </w:pPr>
          </w:p>
        </w:tc>
      </w:tr>
      <w:tr w14:paraId="5972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79389FE7">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42BE47E9">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0616F3E4">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2E16EB80">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00587BFE">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0410774D">
            <w:pPr>
              <w:kinsoku/>
              <w:spacing w:beforeLines="0" w:afterLines="0" w:line="0" w:lineRule="atLeast"/>
              <w:ind w:firstLine="0" w:firstLineChars="0"/>
              <w:jc w:val="center"/>
              <w:rPr>
                <w:color w:val="auto"/>
                <w:sz w:val="21"/>
                <w:highlight w:val="none"/>
              </w:rPr>
            </w:pPr>
          </w:p>
        </w:tc>
      </w:tr>
      <w:tr w14:paraId="4B14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5CB0CF06">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18B388B3">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0E78FF1C">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1661C99E">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2B7A1305">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1D2579EC">
            <w:pPr>
              <w:kinsoku/>
              <w:spacing w:beforeLines="0" w:afterLines="0" w:line="0" w:lineRule="atLeast"/>
              <w:ind w:firstLine="0" w:firstLineChars="0"/>
              <w:jc w:val="center"/>
              <w:rPr>
                <w:color w:val="auto"/>
                <w:sz w:val="21"/>
                <w:highlight w:val="none"/>
              </w:rPr>
            </w:pPr>
          </w:p>
        </w:tc>
      </w:tr>
      <w:tr w14:paraId="47911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44F83AFD">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1837A70A">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5CAB0FA9">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1780B22F">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282A2562">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526F9E39">
            <w:pPr>
              <w:kinsoku/>
              <w:spacing w:beforeLines="0" w:afterLines="0" w:line="0" w:lineRule="atLeast"/>
              <w:ind w:firstLine="0" w:firstLineChars="0"/>
              <w:jc w:val="center"/>
              <w:rPr>
                <w:color w:val="auto"/>
                <w:sz w:val="21"/>
                <w:highlight w:val="none"/>
              </w:rPr>
            </w:pPr>
          </w:p>
        </w:tc>
      </w:tr>
      <w:tr w14:paraId="700B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05D70A70">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7928B439">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592A1C41">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0A941D60">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2AA1D6FC">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3803CA5B">
            <w:pPr>
              <w:kinsoku/>
              <w:spacing w:beforeLines="0" w:afterLines="0" w:line="0" w:lineRule="atLeast"/>
              <w:ind w:firstLine="0" w:firstLineChars="0"/>
              <w:jc w:val="center"/>
              <w:rPr>
                <w:color w:val="auto"/>
                <w:sz w:val="21"/>
                <w:highlight w:val="none"/>
              </w:rPr>
            </w:pPr>
          </w:p>
        </w:tc>
      </w:tr>
      <w:tr w14:paraId="7C05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61A67F5F">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z w:val="21"/>
                <w:szCs w:val="21"/>
                <w:highlight w:val="none"/>
                <w:lang w:eastAsia="en-US"/>
              </w:rPr>
              <w:t>二</w:t>
            </w:r>
          </w:p>
        </w:tc>
        <w:tc>
          <w:tcPr>
            <w:tcW w:w="2215" w:type="dxa"/>
            <w:tcBorders>
              <w:tl2br w:val="nil"/>
              <w:tr2bl w:val="nil"/>
            </w:tcBorders>
            <w:vAlign w:val="center"/>
          </w:tcPr>
          <w:p w14:paraId="7B639519">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仲裁事项</w:t>
            </w:r>
          </w:p>
        </w:tc>
        <w:tc>
          <w:tcPr>
            <w:tcW w:w="1655" w:type="dxa"/>
            <w:tcBorders>
              <w:tl2br w:val="nil"/>
              <w:tr2bl w:val="nil"/>
            </w:tcBorders>
            <w:vAlign w:val="center"/>
          </w:tcPr>
          <w:p w14:paraId="338F54CE">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5EE61D02">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0D87E998">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7CB96066">
            <w:pPr>
              <w:kinsoku/>
              <w:spacing w:beforeLines="0" w:afterLines="0" w:line="0" w:lineRule="atLeast"/>
              <w:ind w:firstLine="0" w:firstLineChars="0"/>
              <w:jc w:val="center"/>
              <w:rPr>
                <w:color w:val="auto"/>
                <w:sz w:val="21"/>
                <w:highlight w:val="none"/>
              </w:rPr>
            </w:pPr>
          </w:p>
        </w:tc>
      </w:tr>
      <w:tr w14:paraId="790B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2BE57261">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7010FF18">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0DC8AD3F">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0C0DC5D6">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4BB6E6CB">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0A867529">
            <w:pPr>
              <w:kinsoku/>
              <w:spacing w:beforeLines="0" w:afterLines="0" w:line="0" w:lineRule="atLeast"/>
              <w:ind w:firstLine="0" w:firstLineChars="0"/>
              <w:jc w:val="center"/>
              <w:rPr>
                <w:color w:val="auto"/>
                <w:sz w:val="21"/>
                <w:highlight w:val="none"/>
              </w:rPr>
            </w:pPr>
          </w:p>
        </w:tc>
      </w:tr>
      <w:tr w14:paraId="774F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2B750CCA">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0E28A5FE">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3A8E88EB">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6B815528">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78D2EB06">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46D40645">
            <w:pPr>
              <w:kinsoku/>
              <w:spacing w:beforeLines="0" w:afterLines="0" w:line="0" w:lineRule="atLeast"/>
              <w:ind w:firstLine="0" w:firstLineChars="0"/>
              <w:jc w:val="center"/>
              <w:rPr>
                <w:color w:val="auto"/>
                <w:sz w:val="21"/>
                <w:highlight w:val="none"/>
              </w:rPr>
            </w:pPr>
          </w:p>
        </w:tc>
      </w:tr>
      <w:tr w14:paraId="4F49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2D0ACAE4">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6E95B311">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57FF74CA">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6E5583CA">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234FDB9D">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5B817A09">
            <w:pPr>
              <w:kinsoku/>
              <w:spacing w:beforeLines="0" w:afterLines="0" w:line="0" w:lineRule="atLeast"/>
              <w:ind w:firstLine="0" w:firstLineChars="0"/>
              <w:jc w:val="center"/>
              <w:rPr>
                <w:color w:val="auto"/>
                <w:sz w:val="21"/>
                <w:highlight w:val="none"/>
              </w:rPr>
            </w:pPr>
          </w:p>
        </w:tc>
      </w:tr>
      <w:tr w14:paraId="6CE6E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368FEBF0">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1A763D2D">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2CFD75C0">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4E06DFB9">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138C72CD">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615089F5">
            <w:pPr>
              <w:kinsoku/>
              <w:spacing w:beforeLines="0" w:afterLines="0" w:line="0" w:lineRule="atLeast"/>
              <w:ind w:firstLine="0" w:firstLineChars="0"/>
              <w:jc w:val="center"/>
              <w:rPr>
                <w:color w:val="auto"/>
                <w:sz w:val="21"/>
                <w:highlight w:val="none"/>
              </w:rPr>
            </w:pPr>
          </w:p>
        </w:tc>
      </w:tr>
      <w:tr w14:paraId="4ED8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06F836ED">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2FBFAC7A">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3ED9823F">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5867B132">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43E81393">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5DB77342">
            <w:pPr>
              <w:kinsoku/>
              <w:spacing w:beforeLines="0" w:afterLines="0" w:line="0" w:lineRule="atLeast"/>
              <w:ind w:firstLine="0" w:firstLineChars="0"/>
              <w:jc w:val="center"/>
              <w:rPr>
                <w:color w:val="auto"/>
                <w:sz w:val="21"/>
                <w:highlight w:val="none"/>
              </w:rPr>
            </w:pPr>
          </w:p>
        </w:tc>
      </w:tr>
      <w:tr w14:paraId="1C35A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40E7887B">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4FD54F33">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112B6728">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5FD6ACDF">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6C4E3309">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201889A5">
            <w:pPr>
              <w:kinsoku/>
              <w:spacing w:beforeLines="0" w:afterLines="0" w:line="0" w:lineRule="atLeast"/>
              <w:ind w:firstLine="0" w:firstLineChars="0"/>
              <w:jc w:val="center"/>
              <w:rPr>
                <w:color w:val="auto"/>
                <w:sz w:val="21"/>
                <w:highlight w:val="none"/>
              </w:rPr>
            </w:pPr>
          </w:p>
        </w:tc>
      </w:tr>
      <w:tr w14:paraId="2604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902" w:type="dxa"/>
            <w:tcBorders>
              <w:tl2br w:val="nil"/>
              <w:tr2bl w:val="nil"/>
            </w:tcBorders>
            <w:vAlign w:val="center"/>
          </w:tcPr>
          <w:p w14:paraId="1AE98058">
            <w:pPr>
              <w:kinsoku/>
              <w:spacing w:beforeLines="0" w:afterLines="0" w:line="0" w:lineRule="atLeast"/>
              <w:ind w:firstLine="0" w:firstLineChars="0"/>
              <w:jc w:val="center"/>
              <w:rPr>
                <w:color w:val="auto"/>
                <w:sz w:val="21"/>
                <w:highlight w:val="none"/>
              </w:rPr>
            </w:pPr>
          </w:p>
        </w:tc>
        <w:tc>
          <w:tcPr>
            <w:tcW w:w="2215" w:type="dxa"/>
            <w:tcBorders>
              <w:tl2br w:val="nil"/>
              <w:tr2bl w:val="nil"/>
            </w:tcBorders>
            <w:vAlign w:val="center"/>
          </w:tcPr>
          <w:p w14:paraId="1531C23A">
            <w:pPr>
              <w:kinsoku/>
              <w:spacing w:beforeLines="0" w:afterLines="0" w:line="0" w:lineRule="atLeast"/>
              <w:ind w:firstLine="0" w:firstLineChars="0"/>
              <w:jc w:val="center"/>
              <w:rPr>
                <w:color w:val="auto"/>
                <w:sz w:val="21"/>
                <w:highlight w:val="none"/>
              </w:rPr>
            </w:pPr>
          </w:p>
        </w:tc>
        <w:tc>
          <w:tcPr>
            <w:tcW w:w="1655" w:type="dxa"/>
            <w:tcBorders>
              <w:tl2br w:val="nil"/>
              <w:tr2bl w:val="nil"/>
            </w:tcBorders>
            <w:vAlign w:val="center"/>
          </w:tcPr>
          <w:p w14:paraId="0C731091">
            <w:pPr>
              <w:kinsoku/>
              <w:spacing w:beforeLines="0" w:afterLines="0" w:line="0" w:lineRule="atLeast"/>
              <w:ind w:firstLine="0" w:firstLineChars="0"/>
              <w:jc w:val="center"/>
              <w:rPr>
                <w:color w:val="auto"/>
                <w:sz w:val="21"/>
                <w:highlight w:val="none"/>
              </w:rPr>
            </w:pPr>
          </w:p>
        </w:tc>
        <w:tc>
          <w:tcPr>
            <w:tcW w:w="1342" w:type="dxa"/>
            <w:tcBorders>
              <w:tl2br w:val="nil"/>
              <w:tr2bl w:val="nil"/>
            </w:tcBorders>
            <w:vAlign w:val="center"/>
          </w:tcPr>
          <w:p w14:paraId="4D846168">
            <w:pPr>
              <w:kinsoku/>
              <w:spacing w:beforeLines="0" w:afterLines="0" w:line="0" w:lineRule="atLeast"/>
              <w:ind w:firstLine="0" w:firstLineChars="0"/>
              <w:jc w:val="center"/>
              <w:rPr>
                <w:color w:val="auto"/>
                <w:sz w:val="21"/>
                <w:highlight w:val="none"/>
              </w:rPr>
            </w:pPr>
          </w:p>
        </w:tc>
        <w:tc>
          <w:tcPr>
            <w:tcW w:w="1344" w:type="dxa"/>
            <w:tcBorders>
              <w:tl2br w:val="nil"/>
              <w:tr2bl w:val="nil"/>
            </w:tcBorders>
            <w:vAlign w:val="center"/>
          </w:tcPr>
          <w:p w14:paraId="6BC3AABD">
            <w:pPr>
              <w:kinsoku/>
              <w:spacing w:beforeLines="0" w:afterLines="0" w:line="0" w:lineRule="atLeast"/>
              <w:ind w:firstLine="0" w:firstLineChars="0"/>
              <w:jc w:val="center"/>
              <w:rPr>
                <w:color w:val="auto"/>
                <w:sz w:val="21"/>
                <w:highlight w:val="none"/>
              </w:rPr>
            </w:pPr>
          </w:p>
        </w:tc>
        <w:tc>
          <w:tcPr>
            <w:tcW w:w="1354" w:type="dxa"/>
            <w:tcBorders>
              <w:tl2br w:val="nil"/>
              <w:tr2bl w:val="nil"/>
            </w:tcBorders>
            <w:vAlign w:val="center"/>
          </w:tcPr>
          <w:p w14:paraId="01E94C4A">
            <w:pPr>
              <w:kinsoku/>
              <w:spacing w:beforeLines="0" w:afterLines="0" w:line="0" w:lineRule="atLeast"/>
              <w:ind w:firstLine="0" w:firstLineChars="0"/>
              <w:jc w:val="center"/>
              <w:rPr>
                <w:color w:val="auto"/>
                <w:sz w:val="21"/>
                <w:highlight w:val="none"/>
              </w:rPr>
            </w:pPr>
          </w:p>
        </w:tc>
      </w:tr>
    </w:tbl>
    <w:p w14:paraId="0031A8D6">
      <w:pPr>
        <w:kinsoku/>
        <w:spacing w:before="0" w:beforeLines="0" w:afterLines="0"/>
        <w:ind w:left="0" w:firstLine="420"/>
        <w:jc w:val="left"/>
        <w:rPr>
          <w:rFonts w:cs="宋体"/>
          <w:color w:val="auto"/>
          <w:szCs w:val="24"/>
          <w:highlight w:val="none"/>
          <w:lang w:eastAsia="zh-CN"/>
        </w:rPr>
      </w:pPr>
      <w:r>
        <w:rPr>
          <w:rFonts w:ascii="宋体" w:cs="宋体"/>
          <w:b w:val="0"/>
          <w:color w:val="auto"/>
          <w:spacing w:val="0"/>
          <w:sz w:val="24"/>
          <w:szCs w:val="24"/>
          <w:highlight w:val="none"/>
          <w:lang w:eastAsia="zh-CN"/>
        </w:rPr>
        <w:t>注：相关材料复制件在“十、原件的复制件”提供。</w:t>
      </w:r>
    </w:p>
    <w:p w14:paraId="4C2CC032">
      <w:pPr>
        <w:kinsoku/>
        <w:adjustRightInd/>
        <w:snapToGrid/>
        <w:spacing w:beforeLines="0" w:afterLines="0" w:line="240" w:lineRule="auto"/>
        <w:ind w:firstLine="420"/>
        <w:jc w:val="left"/>
        <w:textAlignment w:val="auto"/>
        <w:rPr>
          <w:rFonts w:cs="宋体"/>
          <w:color w:val="auto"/>
          <w:szCs w:val="24"/>
          <w:highlight w:val="none"/>
          <w:lang w:eastAsia="zh-CN"/>
        </w:rPr>
      </w:pPr>
      <w:r>
        <w:rPr>
          <w:rFonts w:cs="宋体"/>
          <w:color w:val="auto"/>
          <w:szCs w:val="24"/>
          <w:highlight w:val="none"/>
          <w:lang w:eastAsia="zh-CN"/>
        </w:rPr>
        <w:br w:type="page"/>
      </w:r>
    </w:p>
    <w:p w14:paraId="18F8B430">
      <w:pPr>
        <w:pStyle w:val="4"/>
        <w:kinsoku/>
        <w:spacing w:before="0" w:beforeLines="0" w:afterLines="0"/>
        <w:ind w:left="35"/>
        <w:rPr>
          <w:rFonts w:hint="eastAsia" w:cs="宋体"/>
          <w:bCs/>
          <w:color w:val="auto"/>
          <w:szCs w:val="24"/>
          <w:highlight w:val="none"/>
          <w:lang w:eastAsia="zh-CN"/>
        </w:rPr>
      </w:pPr>
      <w:bookmarkStart w:id="2684" w:name="_Toc8825"/>
      <w:bookmarkStart w:id="2685" w:name="_Toc3362"/>
      <w:bookmarkStart w:id="2686" w:name="_Toc13853"/>
      <w:r>
        <w:rPr>
          <w:rFonts w:hint="eastAsia" w:ascii="宋体" w:cs="宋体"/>
          <w:b/>
          <w:bCs/>
          <w:color w:val="auto"/>
          <w:spacing w:val="0"/>
          <w:sz w:val="24"/>
          <w:szCs w:val="24"/>
          <w:highlight w:val="none"/>
          <w:lang w:eastAsia="zh-CN"/>
        </w:rPr>
        <w:t>（六）资格审查自审表</w:t>
      </w:r>
      <w:bookmarkEnd w:id="2684"/>
      <w:bookmarkEnd w:id="2685"/>
      <w:bookmarkEnd w:id="2686"/>
    </w:p>
    <w:p w14:paraId="0A57F9B3">
      <w:pPr>
        <w:keepNext/>
        <w:keepLines/>
        <w:tabs>
          <w:tab w:val="left" w:pos="3229"/>
        </w:tabs>
        <w:kinsoku/>
        <w:spacing w:before="0" w:beforeLines="0" w:afterLines="0"/>
        <w:ind w:left="0"/>
        <w:jc w:val="center"/>
        <w:outlineLvl w:val="9"/>
        <w:rPr>
          <w:rFonts w:hint="eastAsia" w:cs="宋体"/>
          <w:bCs/>
          <w:color w:val="auto"/>
          <w:szCs w:val="24"/>
          <w:highlight w:val="none"/>
          <w:lang w:eastAsia="zh-CN"/>
        </w:rPr>
      </w:pPr>
      <w:bookmarkStart w:id="2687" w:name="_Toc25055"/>
      <w:bookmarkStart w:id="2688" w:name="_Toc10869"/>
      <w:bookmarkStart w:id="2689" w:name="_Toc20625"/>
      <w:r>
        <w:rPr>
          <w:rFonts w:hint="eastAsia" w:ascii="宋体" w:cs="宋体"/>
          <w:b/>
          <w:bCs/>
          <w:color w:val="auto"/>
          <w:spacing w:val="0"/>
          <w:sz w:val="24"/>
          <w:szCs w:val="24"/>
          <w:highlight w:val="none"/>
          <w:lang w:eastAsia="zh-CN"/>
        </w:rPr>
        <w:t>资格审查自审表</w:t>
      </w:r>
      <w:bookmarkEnd w:id="2687"/>
      <w:bookmarkEnd w:id="2688"/>
      <w:bookmarkEnd w:id="2689"/>
    </w:p>
    <w:p w14:paraId="6A911945">
      <w:pPr>
        <w:kinsoku/>
        <w:spacing w:beforeLines="0" w:afterLines="0"/>
        <w:ind w:firstLine="420"/>
        <w:jc w:val="left"/>
        <w:rPr>
          <w:color w:val="auto"/>
          <w:highlight w:val="none"/>
          <w:lang w:eastAsia="zh-CN"/>
        </w:rPr>
      </w:pPr>
    </w:p>
    <w:tbl>
      <w:tblPr>
        <w:tblStyle w:val="24"/>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10"/>
        <w:gridCol w:w="4741"/>
        <w:gridCol w:w="969"/>
        <w:gridCol w:w="969"/>
        <w:gridCol w:w="1523"/>
      </w:tblGrid>
      <w:tr w14:paraId="72C7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1CB4C8E5">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序号</w:t>
            </w:r>
          </w:p>
        </w:tc>
        <w:tc>
          <w:tcPr>
            <w:tcW w:w="4741" w:type="dxa"/>
            <w:tcBorders>
              <w:tl2br w:val="nil"/>
              <w:tr2bl w:val="nil"/>
            </w:tcBorders>
            <w:vAlign w:val="center"/>
          </w:tcPr>
          <w:p w14:paraId="69407807">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审查因素</w:t>
            </w:r>
          </w:p>
        </w:tc>
        <w:tc>
          <w:tcPr>
            <w:tcW w:w="969" w:type="dxa"/>
            <w:tcBorders>
              <w:tl2br w:val="nil"/>
              <w:tr2bl w:val="nil"/>
            </w:tcBorders>
            <w:vAlign w:val="center"/>
          </w:tcPr>
          <w:p w14:paraId="1FCA255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审查</w:t>
            </w:r>
          </w:p>
          <w:p w14:paraId="205FE16D">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标准</w:t>
            </w:r>
          </w:p>
        </w:tc>
        <w:tc>
          <w:tcPr>
            <w:tcW w:w="969" w:type="dxa"/>
            <w:tcBorders>
              <w:tl2br w:val="nil"/>
              <w:tr2bl w:val="nil"/>
            </w:tcBorders>
            <w:vAlign w:val="center"/>
          </w:tcPr>
          <w:p w14:paraId="732B344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position w:val="0"/>
                <w:sz w:val="21"/>
                <w:szCs w:val="21"/>
                <w:highlight w:val="none"/>
                <w:lang w:eastAsia="en-US"/>
              </w:rPr>
              <w:t>审查</w:t>
            </w:r>
          </w:p>
          <w:p w14:paraId="3926B785">
            <w:pPr>
              <w:pStyle w:val="23"/>
              <w:kinsoku/>
              <w:spacing w:beforeLines="0" w:afterLines="0" w:line="0" w:lineRule="atLeast"/>
              <w:ind w:left="0" w:firstLine="0" w:firstLineChars="0"/>
              <w:jc w:val="center"/>
              <w:rPr>
                <w:color w:val="auto"/>
                <w:sz w:val="21"/>
                <w:szCs w:val="21"/>
                <w:highlight w:val="none"/>
              </w:rPr>
            </w:pPr>
            <w:r>
              <w:rPr>
                <w:rFonts w:hint="eastAsia" w:ascii="宋体" w:hAnsi="宋体" w:eastAsia="宋体" w:cs="宋体"/>
                <w:b w:val="0"/>
                <w:color w:val="auto"/>
                <w:spacing w:val="0"/>
                <w:sz w:val="21"/>
                <w:szCs w:val="21"/>
                <w:highlight w:val="none"/>
                <w:lang w:eastAsia="en-US"/>
              </w:rPr>
              <w:t>结果</w:t>
            </w:r>
          </w:p>
        </w:tc>
        <w:tc>
          <w:tcPr>
            <w:tcW w:w="1523" w:type="dxa"/>
            <w:tcBorders>
              <w:tl2br w:val="nil"/>
              <w:tr2bl w:val="nil"/>
            </w:tcBorders>
            <w:vAlign w:val="center"/>
          </w:tcPr>
          <w:p w14:paraId="6B8385EB">
            <w:pPr>
              <w:pStyle w:val="23"/>
              <w:kinsoku/>
              <w:spacing w:before="0"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position w:val="0"/>
                <w:sz w:val="21"/>
                <w:szCs w:val="21"/>
                <w:highlight w:val="none"/>
                <w:lang w:eastAsia="zh-CN"/>
              </w:rPr>
              <w:t>引用的证明材</w:t>
            </w:r>
          </w:p>
          <w:p w14:paraId="4C72026A">
            <w:pPr>
              <w:pStyle w:val="23"/>
              <w:kinsoku/>
              <w:spacing w:beforeLines="0" w:afterLines="0" w:line="0" w:lineRule="atLeast"/>
              <w:ind w:left="0" w:firstLine="0" w:firstLineChars="0"/>
              <w:jc w:val="center"/>
              <w:rPr>
                <w:color w:val="auto"/>
                <w:sz w:val="21"/>
                <w:szCs w:val="21"/>
                <w:highlight w:val="none"/>
                <w:lang w:eastAsia="zh-CN"/>
              </w:rPr>
            </w:pPr>
            <w:r>
              <w:rPr>
                <w:rFonts w:hint="eastAsia" w:ascii="宋体" w:hAnsi="宋体" w:eastAsia="宋体" w:cs="宋体"/>
                <w:b w:val="0"/>
                <w:color w:val="auto"/>
                <w:spacing w:val="0"/>
                <w:sz w:val="21"/>
                <w:szCs w:val="21"/>
                <w:highlight w:val="none"/>
                <w:lang w:eastAsia="zh-CN"/>
              </w:rPr>
              <w:t>料对应页码</w:t>
            </w:r>
          </w:p>
        </w:tc>
      </w:tr>
      <w:tr w14:paraId="6AFB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6A49834E">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bCs/>
                <w:color w:val="auto"/>
                <w:sz w:val="21"/>
                <w:szCs w:val="21"/>
                <w:highlight w:val="none"/>
                <w:lang w:eastAsia="en-US"/>
              </w:rPr>
              <w:t>1</w:t>
            </w:r>
          </w:p>
        </w:tc>
        <w:tc>
          <w:tcPr>
            <w:tcW w:w="4741" w:type="dxa"/>
            <w:tcBorders>
              <w:tl2br w:val="nil"/>
              <w:tr2bl w:val="nil"/>
            </w:tcBorders>
            <w:vAlign w:val="center"/>
          </w:tcPr>
          <w:p w14:paraId="6B35EC88">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bCs/>
                <w:color w:val="auto"/>
                <w:spacing w:val="0"/>
                <w:sz w:val="21"/>
                <w:szCs w:val="21"/>
                <w:highlight w:val="none"/>
                <w:lang w:eastAsia="en-US"/>
              </w:rPr>
              <w:t>企业</w:t>
            </w:r>
          </w:p>
        </w:tc>
        <w:tc>
          <w:tcPr>
            <w:tcW w:w="969" w:type="dxa"/>
            <w:tcBorders>
              <w:tl2br w:val="nil"/>
              <w:tr2bl w:val="nil"/>
            </w:tcBorders>
            <w:vAlign w:val="center"/>
          </w:tcPr>
          <w:p w14:paraId="067CE6E5">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7FEF28FA">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0DE24C31">
            <w:pPr>
              <w:kinsoku/>
              <w:spacing w:beforeLines="0" w:afterLines="0" w:line="0" w:lineRule="atLeast"/>
              <w:ind w:firstLine="0" w:firstLineChars="0"/>
              <w:jc w:val="center"/>
              <w:rPr>
                <w:color w:val="auto"/>
                <w:sz w:val="21"/>
                <w:highlight w:val="none"/>
              </w:rPr>
            </w:pPr>
          </w:p>
        </w:tc>
      </w:tr>
      <w:tr w14:paraId="7EB3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75764EF9">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71A1EB01">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027352E9">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6AC90529">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6A8F3E4C">
            <w:pPr>
              <w:kinsoku/>
              <w:spacing w:beforeLines="0" w:afterLines="0" w:line="0" w:lineRule="atLeast"/>
              <w:ind w:firstLine="0" w:firstLineChars="0"/>
              <w:jc w:val="center"/>
              <w:rPr>
                <w:color w:val="auto"/>
                <w:sz w:val="21"/>
                <w:highlight w:val="none"/>
              </w:rPr>
            </w:pPr>
          </w:p>
        </w:tc>
      </w:tr>
      <w:tr w14:paraId="1E71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1A7EF5D6">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3A0A5437">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12020612">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45EE131A">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059F887D">
            <w:pPr>
              <w:kinsoku/>
              <w:spacing w:beforeLines="0" w:afterLines="0" w:line="0" w:lineRule="atLeast"/>
              <w:ind w:firstLine="0" w:firstLineChars="0"/>
              <w:jc w:val="center"/>
              <w:rPr>
                <w:color w:val="auto"/>
                <w:sz w:val="21"/>
                <w:highlight w:val="none"/>
              </w:rPr>
            </w:pPr>
          </w:p>
        </w:tc>
      </w:tr>
      <w:tr w14:paraId="495BD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1C82CF12">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0F1DA2BA">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4BB22650">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17E013D1">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6FCA8BC8">
            <w:pPr>
              <w:kinsoku/>
              <w:spacing w:beforeLines="0" w:afterLines="0" w:line="0" w:lineRule="atLeast"/>
              <w:ind w:firstLine="0" w:firstLineChars="0"/>
              <w:jc w:val="center"/>
              <w:rPr>
                <w:color w:val="auto"/>
                <w:sz w:val="21"/>
                <w:highlight w:val="none"/>
              </w:rPr>
            </w:pPr>
          </w:p>
        </w:tc>
      </w:tr>
      <w:tr w14:paraId="38FB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0A514745">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bCs/>
                <w:color w:val="auto"/>
                <w:sz w:val="21"/>
                <w:szCs w:val="21"/>
                <w:highlight w:val="none"/>
                <w:lang w:eastAsia="en-US"/>
              </w:rPr>
              <w:t>2</w:t>
            </w:r>
          </w:p>
        </w:tc>
        <w:tc>
          <w:tcPr>
            <w:tcW w:w="4741" w:type="dxa"/>
            <w:tcBorders>
              <w:tl2br w:val="nil"/>
              <w:tr2bl w:val="nil"/>
            </w:tcBorders>
            <w:vAlign w:val="center"/>
          </w:tcPr>
          <w:p w14:paraId="594B5F3B">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bCs/>
                <w:color w:val="auto"/>
                <w:spacing w:val="0"/>
                <w:sz w:val="21"/>
                <w:szCs w:val="21"/>
                <w:highlight w:val="none"/>
                <w:lang w:eastAsia="en-US"/>
              </w:rPr>
              <w:t>拟派项目组主要人员</w:t>
            </w:r>
          </w:p>
        </w:tc>
        <w:tc>
          <w:tcPr>
            <w:tcW w:w="969" w:type="dxa"/>
            <w:tcBorders>
              <w:tl2br w:val="nil"/>
              <w:tr2bl w:val="nil"/>
            </w:tcBorders>
            <w:vAlign w:val="center"/>
          </w:tcPr>
          <w:p w14:paraId="05F251D7">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1E29FFFF">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76D694DC">
            <w:pPr>
              <w:kinsoku/>
              <w:spacing w:beforeLines="0" w:afterLines="0" w:line="0" w:lineRule="atLeast"/>
              <w:ind w:firstLine="0" w:firstLineChars="0"/>
              <w:jc w:val="center"/>
              <w:rPr>
                <w:color w:val="auto"/>
                <w:sz w:val="21"/>
                <w:highlight w:val="none"/>
              </w:rPr>
            </w:pPr>
          </w:p>
        </w:tc>
      </w:tr>
      <w:tr w14:paraId="1A6B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0ED91CC7">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37A72E4D">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04CBFE08">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76FAD91E">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33BB27EA">
            <w:pPr>
              <w:kinsoku/>
              <w:spacing w:beforeLines="0" w:afterLines="0" w:line="0" w:lineRule="atLeast"/>
              <w:ind w:firstLine="0" w:firstLineChars="0"/>
              <w:jc w:val="center"/>
              <w:rPr>
                <w:color w:val="auto"/>
                <w:sz w:val="21"/>
                <w:highlight w:val="none"/>
              </w:rPr>
            </w:pPr>
          </w:p>
        </w:tc>
      </w:tr>
      <w:tr w14:paraId="6FB57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4BB078D1">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5505F812">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37EF1AAF">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62581A94">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103CEF11">
            <w:pPr>
              <w:kinsoku/>
              <w:spacing w:beforeLines="0" w:afterLines="0" w:line="0" w:lineRule="atLeast"/>
              <w:ind w:firstLine="0" w:firstLineChars="0"/>
              <w:jc w:val="center"/>
              <w:rPr>
                <w:color w:val="auto"/>
                <w:sz w:val="21"/>
                <w:highlight w:val="none"/>
              </w:rPr>
            </w:pPr>
          </w:p>
        </w:tc>
      </w:tr>
      <w:tr w14:paraId="742D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12FB21A5">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677FDD05">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761621FC">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6BCC19B6">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39087360">
            <w:pPr>
              <w:kinsoku/>
              <w:spacing w:beforeLines="0" w:afterLines="0" w:line="0" w:lineRule="atLeast"/>
              <w:ind w:firstLine="0" w:firstLineChars="0"/>
              <w:jc w:val="center"/>
              <w:rPr>
                <w:color w:val="auto"/>
                <w:sz w:val="21"/>
                <w:highlight w:val="none"/>
              </w:rPr>
            </w:pPr>
          </w:p>
        </w:tc>
      </w:tr>
      <w:tr w14:paraId="1434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0BBE1D9A">
            <w:pPr>
              <w:kinsoku/>
              <w:spacing w:before="0" w:beforeLines="0" w:afterLines="0" w:line="0" w:lineRule="atLeast"/>
              <w:ind w:left="0" w:firstLine="0" w:firstLineChars="0"/>
              <w:jc w:val="center"/>
              <w:rPr>
                <w:rFonts w:ascii="宋体" w:hAnsi="Times New Roman" w:eastAsia="宋体" w:cs="Times New Roman"/>
                <w:color w:val="auto"/>
                <w:sz w:val="21"/>
                <w:szCs w:val="21"/>
                <w:highlight w:val="none"/>
              </w:rPr>
            </w:pPr>
            <w:r>
              <w:rPr>
                <w:rFonts w:ascii="宋体" w:hAnsi="Times New Roman" w:eastAsia="宋体" w:cs="Times New Roman"/>
                <w:b/>
                <w:bCs/>
                <w:color w:val="auto"/>
                <w:sz w:val="21"/>
                <w:szCs w:val="21"/>
                <w:highlight w:val="none"/>
                <w:lang w:eastAsia="en-US"/>
              </w:rPr>
              <w:t>3</w:t>
            </w:r>
          </w:p>
        </w:tc>
        <w:tc>
          <w:tcPr>
            <w:tcW w:w="4741" w:type="dxa"/>
            <w:tcBorders>
              <w:tl2br w:val="nil"/>
              <w:tr2bl w:val="nil"/>
            </w:tcBorders>
            <w:vAlign w:val="center"/>
          </w:tcPr>
          <w:p w14:paraId="7EC6D764">
            <w:pPr>
              <w:pStyle w:val="23"/>
              <w:kinsoku/>
              <w:spacing w:before="0" w:beforeLines="0" w:afterLines="0" w:line="0" w:lineRule="atLeast"/>
              <w:ind w:left="0" w:firstLine="0" w:firstLineChars="0"/>
              <w:jc w:val="center"/>
              <w:rPr>
                <w:color w:val="auto"/>
                <w:sz w:val="21"/>
                <w:szCs w:val="21"/>
                <w:highlight w:val="none"/>
              </w:rPr>
            </w:pPr>
            <w:r>
              <w:rPr>
                <w:rFonts w:hint="eastAsia" w:ascii="宋体" w:hAnsi="宋体" w:eastAsia="宋体" w:cs="宋体"/>
                <w:b/>
                <w:bCs/>
                <w:color w:val="auto"/>
                <w:spacing w:val="0"/>
                <w:sz w:val="21"/>
                <w:szCs w:val="21"/>
                <w:highlight w:val="none"/>
                <w:lang w:eastAsia="en-US"/>
              </w:rPr>
              <w:t>其他</w:t>
            </w:r>
          </w:p>
        </w:tc>
        <w:tc>
          <w:tcPr>
            <w:tcW w:w="969" w:type="dxa"/>
            <w:tcBorders>
              <w:tl2br w:val="nil"/>
              <w:tr2bl w:val="nil"/>
            </w:tcBorders>
            <w:vAlign w:val="center"/>
          </w:tcPr>
          <w:p w14:paraId="0DEE8EF0">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3EB94C11">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4526DBA8">
            <w:pPr>
              <w:kinsoku/>
              <w:spacing w:beforeLines="0" w:afterLines="0" w:line="0" w:lineRule="atLeast"/>
              <w:ind w:firstLine="0" w:firstLineChars="0"/>
              <w:jc w:val="center"/>
              <w:rPr>
                <w:color w:val="auto"/>
                <w:sz w:val="21"/>
                <w:highlight w:val="none"/>
              </w:rPr>
            </w:pPr>
          </w:p>
        </w:tc>
      </w:tr>
      <w:tr w14:paraId="167E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071BB436">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3184D4B1">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47FE2F7A">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198D6607">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316CD57B">
            <w:pPr>
              <w:kinsoku/>
              <w:spacing w:beforeLines="0" w:afterLines="0" w:line="0" w:lineRule="atLeast"/>
              <w:ind w:firstLine="0" w:firstLineChars="0"/>
              <w:jc w:val="center"/>
              <w:rPr>
                <w:color w:val="auto"/>
                <w:sz w:val="21"/>
                <w:highlight w:val="none"/>
              </w:rPr>
            </w:pPr>
          </w:p>
        </w:tc>
      </w:tr>
      <w:tr w14:paraId="6BB2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13D76CC3">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50A3E375">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29F9E993">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7598762A">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2C903424">
            <w:pPr>
              <w:kinsoku/>
              <w:spacing w:beforeLines="0" w:afterLines="0" w:line="0" w:lineRule="atLeast"/>
              <w:ind w:firstLine="0" w:firstLineChars="0"/>
              <w:jc w:val="center"/>
              <w:rPr>
                <w:color w:val="auto"/>
                <w:sz w:val="21"/>
                <w:highlight w:val="none"/>
              </w:rPr>
            </w:pPr>
          </w:p>
        </w:tc>
      </w:tr>
      <w:tr w14:paraId="5AD97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6183090A">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3E94602D">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6559471F">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0AC4F007">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4DB65D94">
            <w:pPr>
              <w:kinsoku/>
              <w:spacing w:beforeLines="0" w:afterLines="0" w:line="0" w:lineRule="atLeast"/>
              <w:ind w:firstLine="0" w:firstLineChars="0"/>
              <w:jc w:val="center"/>
              <w:rPr>
                <w:color w:val="auto"/>
                <w:sz w:val="21"/>
                <w:highlight w:val="none"/>
              </w:rPr>
            </w:pPr>
          </w:p>
        </w:tc>
      </w:tr>
      <w:tr w14:paraId="00FA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6E105A86">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0F3C0D00">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5B5FD13E">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3FF4E807">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48C4D7ED">
            <w:pPr>
              <w:kinsoku/>
              <w:spacing w:beforeLines="0" w:afterLines="0" w:line="0" w:lineRule="atLeast"/>
              <w:ind w:firstLine="0" w:firstLineChars="0"/>
              <w:jc w:val="center"/>
              <w:rPr>
                <w:color w:val="auto"/>
                <w:sz w:val="21"/>
                <w:highlight w:val="none"/>
              </w:rPr>
            </w:pPr>
          </w:p>
        </w:tc>
      </w:tr>
      <w:tr w14:paraId="12EF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59635242">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1BF05167">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05468A78">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356B4A2E">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4E68CB49">
            <w:pPr>
              <w:kinsoku/>
              <w:spacing w:beforeLines="0" w:afterLines="0" w:line="0" w:lineRule="atLeast"/>
              <w:ind w:firstLine="0" w:firstLineChars="0"/>
              <w:jc w:val="center"/>
              <w:rPr>
                <w:color w:val="auto"/>
                <w:sz w:val="21"/>
                <w:highlight w:val="none"/>
              </w:rPr>
            </w:pPr>
          </w:p>
        </w:tc>
      </w:tr>
      <w:tr w14:paraId="7887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57B9E5F6">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30A308EE">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3876D886">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564353B6">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0C232B31">
            <w:pPr>
              <w:kinsoku/>
              <w:spacing w:beforeLines="0" w:afterLines="0" w:line="0" w:lineRule="atLeast"/>
              <w:ind w:firstLine="0" w:firstLineChars="0"/>
              <w:jc w:val="center"/>
              <w:rPr>
                <w:color w:val="auto"/>
                <w:sz w:val="21"/>
                <w:highlight w:val="none"/>
              </w:rPr>
            </w:pPr>
          </w:p>
        </w:tc>
      </w:tr>
      <w:tr w14:paraId="0D73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0F5987BF">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45DE6C90">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41BA30CE">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2381874C">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201F2FEA">
            <w:pPr>
              <w:kinsoku/>
              <w:spacing w:beforeLines="0" w:afterLines="0" w:line="0" w:lineRule="atLeast"/>
              <w:ind w:firstLine="0" w:firstLineChars="0"/>
              <w:jc w:val="center"/>
              <w:rPr>
                <w:color w:val="auto"/>
                <w:sz w:val="21"/>
                <w:highlight w:val="none"/>
              </w:rPr>
            </w:pPr>
          </w:p>
        </w:tc>
      </w:tr>
      <w:tr w14:paraId="6410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25F7F28D">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567121E7">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63CEC226">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5CB0472E">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167FDA69">
            <w:pPr>
              <w:kinsoku/>
              <w:spacing w:beforeLines="0" w:afterLines="0" w:line="0" w:lineRule="atLeast"/>
              <w:ind w:firstLine="0" w:firstLineChars="0"/>
              <w:jc w:val="center"/>
              <w:rPr>
                <w:color w:val="auto"/>
                <w:sz w:val="21"/>
                <w:highlight w:val="none"/>
              </w:rPr>
            </w:pPr>
          </w:p>
        </w:tc>
      </w:tr>
      <w:tr w14:paraId="3CEB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10" w:type="dxa"/>
            <w:tcBorders>
              <w:tl2br w:val="nil"/>
              <w:tr2bl w:val="nil"/>
            </w:tcBorders>
            <w:vAlign w:val="center"/>
          </w:tcPr>
          <w:p w14:paraId="34391573">
            <w:pPr>
              <w:kinsoku/>
              <w:spacing w:beforeLines="0" w:afterLines="0" w:line="0" w:lineRule="atLeast"/>
              <w:ind w:firstLine="0" w:firstLineChars="0"/>
              <w:jc w:val="center"/>
              <w:rPr>
                <w:color w:val="auto"/>
                <w:sz w:val="21"/>
                <w:highlight w:val="none"/>
              </w:rPr>
            </w:pPr>
          </w:p>
        </w:tc>
        <w:tc>
          <w:tcPr>
            <w:tcW w:w="4741" w:type="dxa"/>
            <w:tcBorders>
              <w:tl2br w:val="nil"/>
              <w:tr2bl w:val="nil"/>
            </w:tcBorders>
            <w:vAlign w:val="center"/>
          </w:tcPr>
          <w:p w14:paraId="27F0B1A9">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4B89051D">
            <w:pPr>
              <w:kinsoku/>
              <w:spacing w:beforeLines="0" w:afterLines="0" w:line="0" w:lineRule="atLeast"/>
              <w:ind w:firstLine="0" w:firstLineChars="0"/>
              <w:jc w:val="center"/>
              <w:rPr>
                <w:color w:val="auto"/>
                <w:sz w:val="21"/>
                <w:highlight w:val="none"/>
              </w:rPr>
            </w:pPr>
          </w:p>
        </w:tc>
        <w:tc>
          <w:tcPr>
            <w:tcW w:w="969" w:type="dxa"/>
            <w:tcBorders>
              <w:tl2br w:val="nil"/>
              <w:tr2bl w:val="nil"/>
            </w:tcBorders>
            <w:vAlign w:val="center"/>
          </w:tcPr>
          <w:p w14:paraId="05D1B855">
            <w:pPr>
              <w:kinsoku/>
              <w:spacing w:beforeLines="0" w:afterLines="0" w:line="0" w:lineRule="atLeast"/>
              <w:ind w:firstLine="0" w:firstLineChars="0"/>
              <w:jc w:val="center"/>
              <w:rPr>
                <w:color w:val="auto"/>
                <w:sz w:val="21"/>
                <w:highlight w:val="none"/>
              </w:rPr>
            </w:pPr>
          </w:p>
        </w:tc>
        <w:tc>
          <w:tcPr>
            <w:tcW w:w="1523" w:type="dxa"/>
            <w:tcBorders>
              <w:tl2br w:val="nil"/>
              <w:tr2bl w:val="nil"/>
            </w:tcBorders>
            <w:vAlign w:val="center"/>
          </w:tcPr>
          <w:p w14:paraId="3EF84446">
            <w:pPr>
              <w:kinsoku/>
              <w:spacing w:beforeLines="0" w:afterLines="0" w:line="0" w:lineRule="atLeast"/>
              <w:ind w:firstLine="0" w:firstLineChars="0"/>
              <w:jc w:val="center"/>
              <w:rPr>
                <w:color w:val="auto"/>
                <w:sz w:val="21"/>
                <w:highlight w:val="none"/>
              </w:rPr>
            </w:pPr>
          </w:p>
        </w:tc>
      </w:tr>
    </w:tbl>
    <w:p w14:paraId="56C3BA2C">
      <w:pPr>
        <w:pStyle w:val="7"/>
        <w:kinsoku/>
        <w:spacing w:beforeLines="0" w:afterLines="0"/>
        <w:ind w:firstLine="420"/>
        <w:jc w:val="left"/>
        <w:rPr>
          <w:color w:val="auto"/>
          <w:highlight w:val="none"/>
        </w:rPr>
      </w:pPr>
    </w:p>
    <w:p w14:paraId="5A1E84F0">
      <w:pPr>
        <w:kinsoku/>
        <w:adjustRightInd/>
        <w:snapToGrid/>
        <w:spacing w:beforeLines="0" w:afterLines="0" w:line="240" w:lineRule="auto"/>
        <w:ind w:firstLine="420"/>
        <w:jc w:val="left"/>
        <w:textAlignment w:val="auto"/>
        <w:rPr>
          <w:color w:val="auto"/>
          <w:highlight w:val="none"/>
        </w:rPr>
      </w:pPr>
      <w:r>
        <w:rPr>
          <w:color w:val="auto"/>
          <w:highlight w:val="none"/>
        </w:rPr>
        <w:br w:type="page"/>
      </w:r>
    </w:p>
    <w:p w14:paraId="4C204E5B">
      <w:pPr>
        <w:pStyle w:val="3"/>
        <w:kinsoku/>
        <w:spacing w:before="56" w:beforeLines="0" w:afterLines="0"/>
        <w:ind w:left="0"/>
        <w:jc w:val="center"/>
        <w:outlineLvl w:val="1"/>
        <w:rPr>
          <w:rFonts w:cs="宋体"/>
          <w:color w:val="auto"/>
          <w:sz w:val="30"/>
          <w:szCs w:val="30"/>
          <w:highlight w:val="none"/>
          <w:lang w:eastAsia="zh-CN"/>
        </w:rPr>
      </w:pPr>
      <w:bookmarkStart w:id="2690" w:name="_Toc21843"/>
      <w:bookmarkStart w:id="2691" w:name="_Toc29854"/>
      <w:bookmarkStart w:id="2692" w:name="_Toc14009"/>
      <w:bookmarkStart w:id="2693" w:name="_Toc18930"/>
      <w:bookmarkStart w:id="2694" w:name="_Toc29742"/>
      <w:bookmarkStart w:id="2695" w:name="_Toc1925"/>
      <w:bookmarkStart w:id="2696" w:name="_Toc9645"/>
      <w:bookmarkStart w:id="2697" w:name="_Toc24385"/>
      <w:bookmarkStart w:id="2698" w:name="_Toc5355"/>
      <w:bookmarkStart w:id="2699" w:name="_Toc1853"/>
      <w:bookmarkStart w:id="2700" w:name="_Toc28837"/>
      <w:bookmarkStart w:id="2701" w:name="_Toc32354"/>
      <w:bookmarkStart w:id="2702" w:name="_Toc25983"/>
      <w:bookmarkStart w:id="2703" w:name="_Toc16182"/>
      <w:bookmarkStart w:id="2704" w:name="_Toc10"/>
      <w:bookmarkStart w:id="2705" w:name="_Toc23067"/>
      <w:r>
        <w:rPr>
          <w:rFonts w:ascii="宋体" w:cs="宋体"/>
          <w:b/>
          <w:bCs/>
          <w:color w:val="auto"/>
          <w:spacing w:val="0"/>
          <w:sz w:val="30"/>
          <w:szCs w:val="30"/>
          <w:highlight w:val="none"/>
          <w:lang w:eastAsia="zh-CN"/>
        </w:rPr>
        <w:t>十</w:t>
      </w:r>
      <w:r>
        <w:rPr>
          <w:rFonts w:hint="eastAsia" w:ascii="宋体" w:cs="宋体"/>
          <w:b/>
          <w:bCs/>
          <w:color w:val="auto"/>
          <w:spacing w:val="0"/>
          <w:sz w:val="30"/>
          <w:szCs w:val="30"/>
          <w:highlight w:val="none"/>
          <w:lang w:eastAsia="zh-CN"/>
        </w:rPr>
        <w:t>一</w:t>
      </w:r>
      <w:r>
        <w:rPr>
          <w:rFonts w:ascii="宋体" w:cs="宋体"/>
          <w:b/>
          <w:bCs/>
          <w:color w:val="auto"/>
          <w:spacing w:val="0"/>
          <w:sz w:val="30"/>
          <w:szCs w:val="30"/>
          <w:highlight w:val="none"/>
          <w:lang w:eastAsia="zh-CN"/>
        </w:rPr>
        <w:t>、原件的复制件</w:t>
      </w:r>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p>
    <w:p w14:paraId="70BF6B36">
      <w:pPr>
        <w:pStyle w:val="7"/>
        <w:kinsoku/>
        <w:spacing w:beforeLines="0" w:afterLines="0"/>
        <w:ind w:firstLine="420"/>
        <w:jc w:val="left"/>
        <w:rPr>
          <w:color w:val="auto"/>
          <w:highlight w:val="none"/>
          <w:lang w:eastAsia="zh-CN"/>
        </w:rPr>
      </w:pPr>
    </w:p>
    <w:p w14:paraId="73BA2811">
      <w:pPr>
        <w:pStyle w:val="7"/>
        <w:kinsoku/>
        <w:spacing w:beforeLines="0" w:afterLines="0"/>
        <w:ind w:firstLine="420"/>
        <w:jc w:val="left"/>
        <w:rPr>
          <w:color w:val="auto"/>
          <w:highlight w:val="none"/>
          <w:lang w:eastAsia="zh-CN"/>
        </w:rPr>
      </w:pPr>
    </w:p>
    <w:p w14:paraId="2A306B56">
      <w:pPr>
        <w:kinsoku/>
        <w:spacing w:before="0"/>
        <w:ind w:left="0"/>
        <w:rPr>
          <w:rFonts w:cs="宋体"/>
          <w:color w:val="auto"/>
          <w:szCs w:val="21"/>
          <w:highlight w:val="none"/>
          <w:lang w:eastAsia="zh-CN"/>
        </w:rPr>
      </w:pPr>
      <w:r>
        <w:rPr>
          <w:rFonts w:ascii="宋体" w:eastAsia="宋体" w:cs="宋体"/>
          <w:b w:val="0"/>
          <w:color w:val="auto"/>
          <w:spacing w:val="0"/>
          <w:sz w:val="24"/>
          <w:szCs w:val="24"/>
          <w:highlight w:val="none"/>
          <w:lang w:eastAsia="zh-CN"/>
        </w:rPr>
        <w:t>（</w:t>
      </w:r>
      <w:r>
        <w:rPr>
          <w:rFonts w:ascii="宋体" w:hAnsi="Times New Roman" w:eastAsia="宋体" w:cs="Times New Roman"/>
          <w:b w:val="0"/>
          <w:color w:val="auto"/>
          <w:spacing w:val="0"/>
          <w:sz w:val="24"/>
          <w:szCs w:val="24"/>
          <w:highlight w:val="none"/>
          <w:lang w:eastAsia="zh-CN"/>
        </w:rPr>
        <w:t>1</w:t>
      </w:r>
      <w:r>
        <w:rPr>
          <w:rFonts w:ascii="宋体" w:eastAsia="宋体" w:cs="宋体"/>
          <w:b w:val="0"/>
          <w:color w:val="auto"/>
          <w:spacing w:val="0"/>
          <w:sz w:val="24"/>
          <w:szCs w:val="24"/>
          <w:highlight w:val="none"/>
          <w:lang w:eastAsia="zh-CN"/>
        </w:rPr>
        <w:t>）需要备查的原件清单详见投标人须知前附表第</w:t>
      </w:r>
      <w:r>
        <w:rPr>
          <w:rFonts w:ascii="宋体" w:hAnsi="Times New Roman" w:eastAsia="宋体" w:cs="Times New Roman"/>
          <w:b w:val="0"/>
          <w:color w:val="auto"/>
          <w:spacing w:val="0"/>
          <w:sz w:val="24"/>
          <w:szCs w:val="24"/>
          <w:highlight w:val="none"/>
          <w:lang w:eastAsia="zh-CN"/>
        </w:rPr>
        <w:t>10.3</w:t>
      </w:r>
      <w:r>
        <w:rPr>
          <w:rFonts w:ascii="宋体" w:eastAsia="宋体" w:cs="宋体"/>
          <w:b w:val="0"/>
          <w:color w:val="auto"/>
          <w:spacing w:val="0"/>
          <w:sz w:val="24"/>
          <w:szCs w:val="24"/>
          <w:highlight w:val="none"/>
          <w:lang w:eastAsia="zh-CN"/>
        </w:rPr>
        <w:t>款规定。</w:t>
      </w:r>
    </w:p>
    <w:p w14:paraId="4FA466A5">
      <w:pPr>
        <w:kinsoku/>
        <w:spacing w:before="0"/>
        <w:jc w:val="left"/>
        <w:rPr>
          <w:rFonts w:cs="宋体"/>
          <w:color w:val="auto"/>
          <w:szCs w:val="21"/>
          <w:highlight w:val="none"/>
          <w:lang w:eastAsia="zh-CN"/>
        </w:rPr>
      </w:pPr>
      <w:r>
        <w:rPr>
          <w:rFonts w:ascii="宋体" w:eastAsia="宋体" w:cs="宋体"/>
          <w:b w:val="0"/>
          <w:color w:val="auto"/>
          <w:spacing w:val="0"/>
          <w:sz w:val="24"/>
          <w:szCs w:val="24"/>
          <w:highlight w:val="none"/>
          <w:lang w:eastAsia="zh-CN"/>
        </w:rPr>
        <w:t>（</w:t>
      </w:r>
      <w:r>
        <w:rPr>
          <w:rFonts w:ascii="宋体" w:hAnsi="Times New Roman" w:eastAsia="宋体" w:cs="Times New Roman"/>
          <w:b w:val="0"/>
          <w:color w:val="auto"/>
          <w:spacing w:val="0"/>
          <w:sz w:val="24"/>
          <w:szCs w:val="24"/>
          <w:highlight w:val="none"/>
          <w:lang w:eastAsia="zh-CN"/>
        </w:rPr>
        <w:t>2</w:t>
      </w:r>
      <w:r>
        <w:rPr>
          <w:rFonts w:ascii="宋体" w:eastAsia="宋体" w:cs="宋体"/>
          <w:b w:val="0"/>
          <w:color w:val="auto"/>
          <w:spacing w:val="0"/>
          <w:sz w:val="24"/>
          <w:szCs w:val="24"/>
          <w:highlight w:val="none"/>
          <w:lang w:eastAsia="zh-CN"/>
        </w:rPr>
        <w:t>）投标人须将上述原件的复制件及其它认为必须的复制件装订入投标文件中。</w:t>
      </w:r>
    </w:p>
    <w:p w14:paraId="24F18E84">
      <w:pPr>
        <w:kinsoku/>
        <w:spacing w:beforeLines="0" w:afterLines="0"/>
        <w:ind w:firstLine="420"/>
        <w:jc w:val="left"/>
        <w:rPr>
          <w:rFonts w:cs="宋体"/>
          <w:color w:val="auto"/>
          <w:szCs w:val="21"/>
          <w:highlight w:val="none"/>
          <w:lang w:eastAsia="zh-CN"/>
        </w:rPr>
      </w:pPr>
    </w:p>
    <w:p w14:paraId="5B9C8B64">
      <w:pPr>
        <w:kinsoku/>
        <w:adjustRightInd/>
        <w:snapToGrid/>
        <w:spacing w:beforeLines="0" w:afterLines="0" w:line="360" w:lineRule="auto"/>
        <w:ind w:firstLine="420"/>
        <w:jc w:val="left"/>
        <w:textAlignment w:val="auto"/>
        <w:rPr>
          <w:rFonts w:cs="宋体"/>
          <w:color w:val="auto"/>
          <w:szCs w:val="21"/>
          <w:highlight w:val="none"/>
          <w:lang w:eastAsia="zh-CN"/>
        </w:rPr>
      </w:pPr>
      <w:r>
        <w:rPr>
          <w:rFonts w:ascii="宋体" w:eastAsia="宋体" w:cs="宋体"/>
          <w:b w:val="0"/>
          <w:color w:val="auto"/>
          <w:sz w:val="24"/>
          <w:szCs w:val="24"/>
          <w:highlight w:val="none"/>
          <w:lang w:eastAsia="zh-CN"/>
        </w:rPr>
        <w:br w:type="page"/>
      </w:r>
    </w:p>
    <w:p w14:paraId="40B029E9">
      <w:pPr>
        <w:pStyle w:val="3"/>
        <w:kinsoku/>
        <w:spacing w:before="169" w:beforeLines="0" w:afterLines="0"/>
        <w:ind w:left="0"/>
        <w:jc w:val="center"/>
        <w:outlineLvl w:val="1"/>
        <w:rPr>
          <w:rFonts w:cs="宋体"/>
          <w:color w:val="auto"/>
          <w:sz w:val="30"/>
          <w:szCs w:val="30"/>
          <w:highlight w:val="none"/>
          <w:lang w:eastAsia="zh-CN"/>
        </w:rPr>
      </w:pPr>
      <w:bookmarkStart w:id="2706" w:name="_Toc26682"/>
      <w:bookmarkStart w:id="2707" w:name="_Toc10503"/>
      <w:bookmarkStart w:id="2708" w:name="_Toc1552"/>
      <w:bookmarkStart w:id="2709" w:name="_Toc30269"/>
      <w:bookmarkStart w:id="2710" w:name="_Toc5058"/>
      <w:bookmarkStart w:id="2711" w:name="_Toc21571"/>
      <w:bookmarkStart w:id="2712" w:name="_Toc23049"/>
      <w:bookmarkStart w:id="2713" w:name="_Toc24009"/>
      <w:bookmarkStart w:id="2714" w:name="_Toc26600"/>
      <w:bookmarkStart w:id="2715" w:name="_Toc16257"/>
      <w:bookmarkStart w:id="2716" w:name="_Toc22715"/>
      <w:bookmarkStart w:id="2717" w:name="_Toc1916"/>
      <w:bookmarkStart w:id="2718" w:name="_Toc23290"/>
      <w:bookmarkStart w:id="2719" w:name="_Toc24568"/>
      <w:bookmarkStart w:id="2720" w:name="_Toc13153"/>
      <w:bookmarkStart w:id="2721" w:name="_Toc17337"/>
      <w:r>
        <w:rPr>
          <w:rFonts w:ascii="宋体" w:eastAsia="宋体" w:cs="宋体"/>
          <w:b/>
          <w:bCs/>
          <w:color w:val="auto"/>
          <w:spacing w:val="0"/>
          <w:sz w:val="30"/>
          <w:szCs w:val="30"/>
          <w:highlight w:val="none"/>
          <w:lang w:eastAsia="zh-CN"/>
        </w:rPr>
        <w:t>十</w:t>
      </w:r>
      <w:r>
        <w:rPr>
          <w:rFonts w:hint="eastAsia" w:ascii="宋体" w:eastAsia="宋体" w:cs="宋体"/>
          <w:b/>
          <w:bCs/>
          <w:color w:val="auto"/>
          <w:spacing w:val="0"/>
          <w:sz w:val="30"/>
          <w:szCs w:val="30"/>
          <w:highlight w:val="none"/>
          <w:lang w:eastAsia="zh-CN"/>
        </w:rPr>
        <w:t>二</w:t>
      </w:r>
      <w:r>
        <w:rPr>
          <w:rFonts w:ascii="宋体" w:eastAsia="宋体" w:cs="宋体"/>
          <w:b/>
          <w:bCs/>
          <w:color w:val="auto"/>
          <w:spacing w:val="0"/>
          <w:sz w:val="30"/>
          <w:szCs w:val="30"/>
          <w:highlight w:val="none"/>
          <w:lang w:eastAsia="zh-CN"/>
        </w:rPr>
        <w:t>、其他材料</w:t>
      </w:r>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p>
    <w:p w14:paraId="6E85450F">
      <w:pPr>
        <w:pStyle w:val="7"/>
        <w:kinsoku/>
        <w:spacing w:beforeLines="0" w:afterLines="0"/>
        <w:ind w:firstLine="420"/>
        <w:jc w:val="left"/>
        <w:rPr>
          <w:color w:val="auto"/>
          <w:highlight w:val="none"/>
          <w:lang w:eastAsia="zh-CN"/>
        </w:rPr>
      </w:pPr>
    </w:p>
    <w:p w14:paraId="7FB1CC49">
      <w:pPr>
        <w:pStyle w:val="7"/>
        <w:kinsoku/>
        <w:spacing w:beforeLines="0" w:afterLines="0"/>
        <w:ind w:firstLine="420"/>
        <w:jc w:val="left"/>
        <w:rPr>
          <w:color w:val="auto"/>
          <w:highlight w:val="none"/>
          <w:lang w:eastAsia="zh-CN"/>
        </w:rPr>
      </w:pPr>
    </w:p>
    <w:p w14:paraId="40674D8A">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sz w:val="24"/>
          <w:szCs w:val="24"/>
          <w:highlight w:val="none"/>
          <w:lang w:eastAsia="zh-CN"/>
        </w:rPr>
        <w:t>（</w:t>
      </w:r>
      <w:r>
        <w:rPr>
          <w:rFonts w:ascii="宋体" w:hAnsi="Times New Roman" w:eastAsia="宋体" w:cs="Times New Roman"/>
          <w:b w:val="0"/>
          <w:color w:val="auto"/>
          <w:spacing w:val="0"/>
          <w:sz w:val="24"/>
          <w:szCs w:val="24"/>
          <w:highlight w:val="none"/>
          <w:lang w:eastAsia="zh-CN"/>
        </w:rPr>
        <w:t>1</w:t>
      </w:r>
      <w:r>
        <w:rPr>
          <w:rFonts w:ascii="宋体" w:eastAsia="宋体" w:cs="宋体"/>
          <w:b w:val="0"/>
          <w:color w:val="auto"/>
          <w:spacing w:val="0"/>
          <w:sz w:val="24"/>
          <w:szCs w:val="24"/>
          <w:highlight w:val="none"/>
          <w:lang w:eastAsia="zh-CN"/>
        </w:rPr>
        <w:t>）投标承诺书</w:t>
      </w:r>
    </w:p>
    <w:p w14:paraId="5F33AD06">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position w:val="0"/>
          <w:sz w:val="24"/>
          <w:szCs w:val="24"/>
          <w:highlight w:val="none"/>
          <w:lang w:eastAsia="zh-CN"/>
        </w:rPr>
        <w:t>（</w:t>
      </w:r>
      <w:r>
        <w:rPr>
          <w:rFonts w:ascii="宋体" w:hAnsi="Times New Roman" w:eastAsia="宋体" w:cs="Times New Roman"/>
          <w:b w:val="0"/>
          <w:color w:val="auto"/>
          <w:spacing w:val="0"/>
          <w:position w:val="0"/>
          <w:sz w:val="24"/>
          <w:szCs w:val="24"/>
          <w:highlight w:val="none"/>
          <w:lang w:eastAsia="zh-CN"/>
        </w:rPr>
        <w:t>2</w:t>
      </w:r>
      <w:r>
        <w:rPr>
          <w:rFonts w:ascii="宋体" w:eastAsia="宋体" w:cs="宋体"/>
          <w:b w:val="0"/>
          <w:color w:val="auto"/>
          <w:spacing w:val="0"/>
          <w:position w:val="0"/>
          <w:sz w:val="24"/>
          <w:szCs w:val="24"/>
          <w:highlight w:val="none"/>
          <w:lang w:eastAsia="zh-CN"/>
        </w:rPr>
        <w:t>）中小企业声明函（如有）</w:t>
      </w:r>
    </w:p>
    <w:p w14:paraId="59423DEF">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sz w:val="24"/>
          <w:szCs w:val="24"/>
          <w:highlight w:val="none"/>
          <w:lang w:eastAsia="zh-CN"/>
        </w:rPr>
        <w:t>（</w:t>
      </w:r>
      <w:r>
        <w:rPr>
          <w:rFonts w:ascii="宋体" w:hAnsi="Times New Roman" w:eastAsia="宋体" w:cs="Times New Roman"/>
          <w:b w:val="0"/>
          <w:color w:val="auto"/>
          <w:spacing w:val="0"/>
          <w:sz w:val="24"/>
          <w:szCs w:val="24"/>
          <w:highlight w:val="none"/>
          <w:lang w:eastAsia="zh-CN"/>
        </w:rPr>
        <w:t>3</w:t>
      </w:r>
      <w:r>
        <w:rPr>
          <w:rFonts w:ascii="宋体" w:eastAsia="宋体" w:cs="宋体"/>
          <w:b w:val="0"/>
          <w:color w:val="auto"/>
          <w:spacing w:val="0"/>
          <w:sz w:val="24"/>
          <w:szCs w:val="24"/>
          <w:highlight w:val="none"/>
          <w:lang w:eastAsia="zh-CN"/>
        </w:rPr>
        <w:t>）其他材料</w:t>
      </w:r>
    </w:p>
    <w:p w14:paraId="341C6449">
      <w:pPr>
        <w:kinsoku/>
        <w:spacing w:beforeLines="0" w:afterLines="0"/>
        <w:ind w:firstLine="420"/>
        <w:jc w:val="left"/>
        <w:rPr>
          <w:rFonts w:cs="宋体"/>
          <w:color w:val="auto"/>
          <w:szCs w:val="21"/>
          <w:highlight w:val="none"/>
          <w:lang w:eastAsia="zh-CN"/>
        </w:rPr>
      </w:pPr>
    </w:p>
    <w:p w14:paraId="4A9F093D">
      <w:pPr>
        <w:kinsoku/>
        <w:adjustRightInd/>
        <w:snapToGrid/>
        <w:spacing w:beforeLines="0" w:afterLines="0" w:line="360" w:lineRule="auto"/>
        <w:ind w:firstLine="420"/>
        <w:jc w:val="left"/>
        <w:textAlignment w:val="auto"/>
        <w:rPr>
          <w:rFonts w:cs="宋体"/>
          <w:color w:val="auto"/>
          <w:szCs w:val="21"/>
          <w:highlight w:val="none"/>
          <w:lang w:eastAsia="zh-CN"/>
        </w:rPr>
      </w:pPr>
      <w:r>
        <w:rPr>
          <w:rFonts w:ascii="宋体" w:eastAsia="宋体" w:cs="宋体"/>
          <w:b w:val="0"/>
          <w:color w:val="auto"/>
          <w:sz w:val="24"/>
          <w:szCs w:val="24"/>
          <w:highlight w:val="none"/>
          <w:lang w:eastAsia="zh-CN"/>
        </w:rPr>
        <w:br w:type="page"/>
      </w:r>
    </w:p>
    <w:p w14:paraId="1B57C0DF">
      <w:pPr>
        <w:pStyle w:val="4"/>
        <w:kinsoku/>
        <w:spacing w:before="0" w:beforeLines="0" w:afterLines="0"/>
        <w:ind w:left="0"/>
        <w:jc w:val="center"/>
        <w:rPr>
          <w:rFonts w:hint="eastAsia" w:cs="宋体"/>
          <w:bCs/>
          <w:color w:val="auto"/>
          <w:sz w:val="24"/>
          <w:szCs w:val="24"/>
          <w:highlight w:val="none"/>
          <w:lang w:eastAsia="zh-CN"/>
        </w:rPr>
      </w:pPr>
      <w:bookmarkStart w:id="2722" w:name="_Toc23655"/>
      <w:bookmarkStart w:id="2723" w:name="_Toc13948"/>
      <w:bookmarkStart w:id="2724" w:name="_Toc31899"/>
      <w:r>
        <w:rPr>
          <w:rFonts w:hint="eastAsia" w:ascii="宋体" w:eastAsia="宋体" w:cs="宋体"/>
          <w:b/>
          <w:bCs/>
          <w:color w:val="auto"/>
          <w:spacing w:val="0"/>
          <w:sz w:val="24"/>
          <w:szCs w:val="24"/>
          <w:highlight w:val="none"/>
          <w:lang w:eastAsia="zh-CN"/>
        </w:rPr>
        <w:t>投标承诺书</w:t>
      </w:r>
      <w:bookmarkEnd w:id="2722"/>
      <w:bookmarkEnd w:id="2723"/>
      <w:bookmarkEnd w:id="2724"/>
    </w:p>
    <w:p w14:paraId="716C491D">
      <w:pPr>
        <w:tabs>
          <w:tab w:val="left" w:pos="2760"/>
        </w:tabs>
        <w:kinsoku/>
        <w:spacing w:before="0" w:beforeLines="0" w:afterLines="0"/>
        <w:ind w:firstLine="420"/>
        <w:jc w:val="left"/>
        <w:rPr>
          <w:rFonts w:cs="宋体"/>
          <w:color w:val="auto"/>
          <w:szCs w:val="21"/>
          <w:highlight w:val="none"/>
          <w:lang w:eastAsia="zh-CN"/>
        </w:rPr>
      </w:pPr>
      <w:r>
        <w:rPr>
          <w:rFonts w:ascii="宋体" w:eastAsia="宋体" w:cs="宋体"/>
          <w:b w:val="0"/>
          <w:color w:val="auto"/>
          <w:sz w:val="24"/>
          <w:szCs w:val="24"/>
          <w:highlight w:val="none"/>
          <w:u w:val="single"/>
          <w:lang w:eastAsia="zh-CN"/>
        </w:rPr>
        <w:tab/>
      </w:r>
      <w:r>
        <w:rPr>
          <w:rFonts w:ascii="宋体" w:eastAsia="宋体" w:cs="宋体"/>
          <w:b w:val="0"/>
          <w:color w:val="auto"/>
          <w:spacing w:val="0"/>
          <w:sz w:val="24"/>
          <w:szCs w:val="24"/>
          <w:highlight w:val="none"/>
          <w:lang w:eastAsia="zh-CN"/>
        </w:rPr>
        <w:t>（招标人名称）：</w:t>
      </w:r>
    </w:p>
    <w:p w14:paraId="5B57D335">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sz w:val="24"/>
          <w:szCs w:val="24"/>
          <w:highlight w:val="none"/>
          <w:lang w:eastAsia="zh-CN"/>
        </w:rPr>
        <w:t>本投标人（投标人名称）郑重承诺：</w:t>
      </w:r>
    </w:p>
    <w:p w14:paraId="197A0DD2">
      <w:pPr>
        <w:kinsoku/>
        <w:spacing w:before="0" w:beforeLines="0" w:afterLines="0"/>
        <w:ind w:left="0" w:firstLine="420"/>
        <w:jc w:val="left"/>
        <w:rPr>
          <w:rFonts w:cs="宋体"/>
          <w:color w:val="auto"/>
          <w:szCs w:val="21"/>
          <w:highlight w:val="none"/>
        </w:rPr>
      </w:pPr>
      <w:r>
        <w:rPr>
          <w:rFonts w:ascii="宋体" w:hAnsi="Times New Roman" w:eastAsia="宋体" w:cs="Times New Roman"/>
          <w:b w:val="0"/>
          <w:color w:val="auto"/>
          <w:spacing w:val="0"/>
          <w:sz w:val="24"/>
          <w:szCs w:val="24"/>
          <w:highlight w:val="none"/>
          <w:lang w:eastAsia="zh-CN"/>
        </w:rPr>
        <w:t>1</w:t>
      </w:r>
      <w:r>
        <w:rPr>
          <w:rFonts w:ascii="宋体" w:eastAsia="宋体" w:cs="宋体"/>
          <w:b w:val="0"/>
          <w:color w:val="auto"/>
          <w:spacing w:val="0"/>
          <w:sz w:val="24"/>
          <w:szCs w:val="24"/>
          <w:highlight w:val="none"/>
          <w:lang w:eastAsia="zh-CN"/>
        </w:rPr>
        <w:t>、拟派本招标项目 （招标项目名称）（标段名称）的项目负责人（姓名）（建造师注册证书号：）在投标截止时间无在其他任何在建合同工程上担任项目负责人（包括工程总承包项目中的施工负责人）的情形。在建合同工程的开始时间为合同工程中标通知书发出之日（不通过招标方式的，开始时间为合同签订之日），结束时间为该合同通过验收或合同解除之</w:t>
      </w:r>
      <w:r>
        <w:rPr>
          <w:rFonts w:ascii="宋体" w:eastAsia="宋体" w:cs="宋体"/>
          <w:b w:val="0"/>
          <w:color w:val="auto"/>
          <w:spacing w:val="0"/>
          <w:sz w:val="24"/>
          <w:szCs w:val="24"/>
          <w:highlight w:val="none"/>
          <w:lang w:eastAsia="en-US"/>
        </w:rPr>
        <w:t>日。</w:t>
      </w:r>
    </w:p>
    <w:p w14:paraId="0D75C9A3">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b w:val="0"/>
          <w:color w:val="auto"/>
          <w:spacing w:val="0"/>
          <w:sz w:val="24"/>
          <w:szCs w:val="24"/>
          <w:highlight w:val="none"/>
          <w:lang w:eastAsia="en-US"/>
        </w:rPr>
        <w:t>2</w:t>
      </w:r>
      <w:r>
        <w:rPr>
          <w:rFonts w:ascii="宋体" w:eastAsia="宋体" w:cs="宋体"/>
          <w:b w:val="0"/>
          <w:color w:val="auto"/>
          <w:spacing w:val="0"/>
          <w:sz w:val="24"/>
          <w:szCs w:val="24"/>
          <w:highlight w:val="none"/>
          <w:lang w:eastAsia="en-US"/>
        </w:rPr>
        <w:t>、投标人及法定代表人（身份证号码：）、拟派本招标项目项目负责人（身份证号码：）自年月日以来至投标截止时间，无行贿犯罪记录（以中国裁判文书网（</w:t>
      </w:r>
      <w:r>
        <w:rPr>
          <w:rFonts w:ascii="宋体" w:hAnsi="Arial" w:eastAsia="宋体"/>
          <w:b w:val="0"/>
          <w:color w:val="auto"/>
          <w:sz w:val="24"/>
          <w:szCs w:val="24"/>
          <w:highlight w:val="none"/>
          <w:lang w:eastAsia="en-US"/>
        </w:rPr>
        <w:fldChar w:fldCharType="begin"/>
      </w:r>
      <w:r>
        <w:rPr>
          <w:rFonts w:ascii="宋体" w:hAnsi="Arial" w:eastAsia="宋体"/>
          <w:b w:val="0"/>
          <w:color w:val="auto"/>
          <w:sz w:val="24"/>
          <w:szCs w:val="24"/>
          <w:highlight w:val="none"/>
          <w:lang w:eastAsia="en-US"/>
        </w:rPr>
        <w:instrText xml:space="preserve">HYPERLINK "http://wenshu.court.gov.cn/"</w:instrText>
      </w:r>
      <w:r>
        <w:rPr>
          <w:rFonts w:ascii="宋体" w:hAnsi="Arial" w:eastAsia="宋体"/>
          <w:b w:val="0"/>
          <w:color w:val="auto"/>
          <w:sz w:val="24"/>
          <w:szCs w:val="24"/>
          <w:highlight w:val="none"/>
          <w:lang w:eastAsia="en-US"/>
        </w:rPr>
        <w:fldChar w:fldCharType="separate"/>
      </w:r>
      <w:r>
        <w:rPr>
          <w:rFonts w:ascii="宋体" w:hAnsi="Times New Roman" w:eastAsia="宋体" w:cs="Times New Roman"/>
          <w:b w:val="0"/>
          <w:color w:val="auto"/>
          <w:spacing w:val="0"/>
          <w:sz w:val="24"/>
          <w:szCs w:val="24"/>
          <w:highlight w:val="none"/>
          <w:lang w:eastAsia="en-US"/>
        </w:rPr>
        <w:t>http://wenshu.court.gov.cn/</w:t>
      </w:r>
      <w:r>
        <w:rPr>
          <w:rFonts w:ascii="宋体" w:hAnsi="Arial" w:eastAsia="宋体"/>
          <w:b w:val="0"/>
          <w:color w:val="auto"/>
          <w:sz w:val="24"/>
          <w:szCs w:val="24"/>
          <w:highlight w:val="none"/>
          <w:lang w:eastAsia="en-US"/>
        </w:rPr>
        <w:fldChar w:fldCharType="end"/>
      </w:r>
      <w:r>
        <w:rPr>
          <w:rFonts w:ascii="宋体" w:eastAsia="宋体" w:cs="宋体"/>
          <w:b w:val="0"/>
          <w:color w:val="auto"/>
          <w:spacing w:val="0"/>
          <w:sz w:val="24"/>
          <w:szCs w:val="24"/>
          <w:highlight w:val="none"/>
          <w:lang w:eastAsia="en-US"/>
        </w:rPr>
        <w:t>）查</w:t>
      </w:r>
      <w:r>
        <w:rPr>
          <w:rFonts w:ascii="宋体" w:eastAsia="宋体" w:cs="宋体"/>
          <w:b w:val="0"/>
          <w:color w:val="auto"/>
          <w:spacing w:val="0"/>
          <w:sz w:val="24"/>
          <w:szCs w:val="24"/>
          <w:highlight w:val="none"/>
          <w:lang w:eastAsia="zh-CN"/>
        </w:rPr>
        <w:t>询结果为准）。</w:t>
      </w:r>
    </w:p>
    <w:p w14:paraId="7B9003B3">
      <w:pPr>
        <w:kinsoku/>
        <w:spacing w:beforeLines="0" w:afterLines="0"/>
        <w:ind w:left="0" w:firstLine="420"/>
        <w:jc w:val="left"/>
        <w:rPr>
          <w:rFonts w:cs="宋体"/>
          <w:color w:val="auto"/>
          <w:szCs w:val="21"/>
          <w:highlight w:val="none"/>
        </w:rPr>
      </w:pPr>
      <w:r>
        <w:rPr>
          <w:rFonts w:ascii="宋体" w:hAnsi="Times New Roman" w:eastAsia="宋体" w:cs="Times New Roman"/>
          <w:b w:val="0"/>
          <w:color w:val="auto"/>
          <w:spacing w:val="0"/>
          <w:position w:val="0"/>
          <w:sz w:val="24"/>
          <w:szCs w:val="24"/>
          <w:highlight w:val="none"/>
          <w:lang w:eastAsia="zh-CN"/>
        </w:rPr>
        <w:t>3</w:t>
      </w:r>
      <w:r>
        <w:rPr>
          <w:rFonts w:ascii="宋体" w:eastAsia="宋体" w:cs="宋体"/>
          <w:b w:val="0"/>
          <w:color w:val="auto"/>
          <w:spacing w:val="0"/>
          <w:position w:val="0"/>
          <w:sz w:val="24"/>
          <w:szCs w:val="24"/>
          <w:highlight w:val="none"/>
          <w:lang w:eastAsia="zh-CN"/>
        </w:rPr>
        <w:t>、投标人及其法定代表人、拟派项目负责人未被列入失信被执行人名单（以“信</w:t>
      </w:r>
      <w:r>
        <w:rPr>
          <w:rFonts w:ascii="宋体" w:eastAsia="宋体" w:cs="宋体"/>
          <w:b w:val="0"/>
          <w:color w:val="auto"/>
          <w:spacing w:val="0"/>
          <w:sz w:val="24"/>
          <w:szCs w:val="24"/>
          <w:highlight w:val="none"/>
          <w:lang w:eastAsia="en-US"/>
        </w:rPr>
        <w:t>用中国”网站（</w:t>
      </w:r>
      <w:r>
        <w:rPr>
          <w:rFonts w:ascii="宋体" w:hAnsi="Times New Roman" w:eastAsia="宋体" w:cs="Times New Roman"/>
          <w:b w:val="0"/>
          <w:color w:val="auto"/>
          <w:spacing w:val="0"/>
          <w:sz w:val="24"/>
          <w:szCs w:val="24"/>
          <w:highlight w:val="none"/>
          <w:lang w:eastAsia="en-US"/>
        </w:rPr>
        <w:t>www.creditchina.gov.cn</w:t>
      </w:r>
      <w:r>
        <w:rPr>
          <w:rFonts w:ascii="宋体" w:eastAsia="宋体" w:cs="宋体"/>
          <w:b w:val="0"/>
          <w:color w:val="auto"/>
          <w:spacing w:val="0"/>
          <w:sz w:val="24"/>
          <w:szCs w:val="24"/>
          <w:highlight w:val="none"/>
          <w:lang w:eastAsia="en-US"/>
        </w:rPr>
        <w:t>）查询为准）。</w:t>
      </w:r>
    </w:p>
    <w:p w14:paraId="2CA0DB2C">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b w:val="0"/>
          <w:color w:val="auto"/>
          <w:position w:val="0"/>
          <w:sz w:val="24"/>
          <w:szCs w:val="24"/>
          <w:highlight w:val="none"/>
          <w:lang w:eastAsia="zh-CN"/>
        </w:rPr>
        <w:t>4</w:t>
      </w:r>
      <w:r>
        <w:rPr>
          <w:rFonts w:ascii="宋体" w:eastAsia="宋体" w:cs="宋体"/>
          <w:b w:val="0"/>
          <w:color w:val="auto"/>
          <w:position w:val="0"/>
          <w:sz w:val="24"/>
          <w:szCs w:val="24"/>
          <w:highlight w:val="none"/>
          <w:lang w:eastAsia="zh-CN"/>
        </w:rPr>
        <w:t>、投标人资质条件在“浙江省建筑市场监管公共服务系统”上动态核查结果处</w:t>
      </w:r>
      <w:r>
        <w:rPr>
          <w:rFonts w:ascii="宋体" w:eastAsia="宋体" w:cs="宋体"/>
          <w:b w:val="0"/>
          <w:color w:val="auto"/>
          <w:spacing w:val="0"/>
          <w:sz w:val="24"/>
          <w:szCs w:val="24"/>
          <w:highlight w:val="none"/>
          <w:lang w:eastAsia="zh-CN"/>
        </w:rPr>
        <w:t>于“合格”状态。</w:t>
      </w:r>
    </w:p>
    <w:p w14:paraId="5756D740">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b w:val="0"/>
          <w:color w:val="auto"/>
          <w:spacing w:val="0"/>
          <w:position w:val="0"/>
          <w:sz w:val="24"/>
          <w:szCs w:val="24"/>
          <w:highlight w:val="none"/>
          <w:lang w:eastAsia="zh-CN"/>
        </w:rPr>
        <w:t>5</w:t>
      </w:r>
      <w:r>
        <w:rPr>
          <w:rFonts w:ascii="宋体" w:eastAsia="宋体" w:cs="宋体"/>
          <w:b w:val="0"/>
          <w:color w:val="auto"/>
          <w:spacing w:val="0"/>
          <w:position w:val="0"/>
          <w:sz w:val="24"/>
          <w:szCs w:val="24"/>
          <w:highlight w:val="none"/>
          <w:lang w:eastAsia="zh-CN"/>
        </w:rPr>
        <w:t>、投标人、投标人的“三类人员”、拟派项目组主要人员未被列入全国水利建</w:t>
      </w:r>
      <w:r>
        <w:rPr>
          <w:rFonts w:ascii="宋体" w:eastAsia="宋体" w:cs="宋体"/>
          <w:b w:val="0"/>
          <w:color w:val="auto"/>
          <w:spacing w:val="0"/>
          <w:sz w:val="24"/>
          <w:szCs w:val="24"/>
          <w:highlight w:val="none"/>
          <w:lang w:eastAsia="zh-CN"/>
        </w:rPr>
        <w:t>设市场信用平台“黑名单”。</w:t>
      </w:r>
    </w:p>
    <w:p w14:paraId="0094EE51">
      <w:pPr>
        <w:kinsoku/>
        <w:spacing w:before="0" w:beforeLines="0" w:afterLines="0"/>
        <w:ind w:left="0" w:firstLine="420"/>
        <w:jc w:val="left"/>
        <w:rPr>
          <w:rFonts w:cs="宋体"/>
          <w:color w:val="auto"/>
          <w:szCs w:val="21"/>
          <w:highlight w:val="none"/>
          <w:lang w:eastAsia="zh-CN"/>
        </w:rPr>
      </w:pPr>
      <w:r>
        <w:rPr>
          <w:rFonts w:ascii="宋体" w:hAnsi="Times New Roman" w:eastAsia="宋体" w:cs="Times New Roman"/>
          <w:b w:val="0"/>
          <w:color w:val="auto"/>
          <w:spacing w:val="0"/>
          <w:sz w:val="24"/>
          <w:szCs w:val="24"/>
          <w:highlight w:val="none"/>
          <w:lang w:eastAsia="zh-CN"/>
        </w:rPr>
        <w:t>6</w:t>
      </w:r>
      <w:r>
        <w:rPr>
          <w:rFonts w:ascii="宋体" w:eastAsia="宋体" w:cs="宋体"/>
          <w:b w:val="0"/>
          <w:color w:val="auto"/>
          <w:spacing w:val="0"/>
          <w:sz w:val="24"/>
          <w:szCs w:val="24"/>
          <w:highlight w:val="none"/>
          <w:lang w:eastAsia="zh-CN"/>
        </w:rPr>
        <w:t>、投标人及拟派项目负责人未被行政主管部门限制参加投标。</w:t>
      </w:r>
    </w:p>
    <w:p w14:paraId="09B23972">
      <w:pPr>
        <w:kinsoku/>
        <w:spacing w:beforeLines="0" w:afterLines="0"/>
        <w:ind w:left="0" w:firstLine="420"/>
        <w:jc w:val="left"/>
        <w:rPr>
          <w:rFonts w:cs="宋体"/>
          <w:color w:val="auto"/>
          <w:szCs w:val="21"/>
          <w:highlight w:val="none"/>
          <w:lang w:eastAsia="zh-CN"/>
        </w:rPr>
      </w:pPr>
      <w:r>
        <w:rPr>
          <w:rFonts w:ascii="宋体" w:hAnsi="Times New Roman" w:eastAsia="宋体" w:cs="Times New Roman"/>
          <w:b w:val="0"/>
          <w:color w:val="auto"/>
          <w:spacing w:val="0"/>
          <w:sz w:val="24"/>
          <w:szCs w:val="24"/>
          <w:highlight w:val="none"/>
          <w:lang w:eastAsia="zh-CN"/>
        </w:rPr>
        <w:t>7</w:t>
      </w:r>
      <w:r>
        <w:rPr>
          <w:rFonts w:ascii="宋体" w:eastAsia="宋体" w:cs="宋体"/>
          <w:b w:val="0"/>
          <w:color w:val="auto"/>
          <w:spacing w:val="0"/>
          <w:sz w:val="24"/>
          <w:szCs w:val="24"/>
          <w:highlight w:val="none"/>
          <w:lang w:eastAsia="zh-CN"/>
        </w:rPr>
        <w:t>、投标文件无虚假、伪造的内容。若投标文件中存在虚假、伪造的内容，同意作无效投标处理，投标保证金并不予退还；若中标之后被查实弄虚作假，同意取消中标资格，投标保证金并不予退还。</w:t>
      </w:r>
    </w:p>
    <w:p w14:paraId="1E0CDA7E">
      <w:pPr>
        <w:kinsoku/>
        <w:spacing w:before="0" w:beforeLines="0" w:afterLines="0"/>
        <w:ind w:left="0" w:firstLine="420"/>
        <w:jc w:val="left"/>
        <w:rPr>
          <w:rFonts w:cs="宋体"/>
          <w:color w:val="auto"/>
          <w:sz w:val="24"/>
          <w:szCs w:val="24"/>
          <w:highlight w:val="none"/>
          <w:lang w:eastAsia="zh-CN"/>
        </w:rPr>
      </w:pPr>
      <w:r>
        <w:rPr>
          <w:rFonts w:ascii="宋体" w:hAnsi="Times New Roman" w:eastAsia="宋体" w:cs="Times New Roman"/>
          <w:b w:val="0"/>
          <w:color w:val="auto"/>
          <w:spacing w:val="0"/>
          <w:sz w:val="24"/>
          <w:szCs w:val="24"/>
          <w:highlight w:val="none"/>
          <w:lang w:eastAsia="zh-CN"/>
        </w:rPr>
        <w:t>8</w:t>
      </w:r>
      <w:r>
        <w:rPr>
          <w:rFonts w:ascii="宋体" w:eastAsia="宋体" w:cs="宋体"/>
          <w:b w:val="0"/>
          <w:color w:val="auto"/>
          <w:spacing w:val="0"/>
          <w:sz w:val="24"/>
          <w:szCs w:val="24"/>
          <w:highlight w:val="none"/>
          <w:lang w:eastAsia="zh-CN"/>
        </w:rPr>
        <w:t>、其他：</w:t>
      </w:r>
      <w:r>
        <w:rPr>
          <w:rFonts w:ascii="宋体" w:eastAsia="宋体" w:cs="宋体"/>
          <w:b w:val="0"/>
          <w:color w:val="auto"/>
          <w:spacing w:val="0"/>
          <w:sz w:val="24"/>
          <w:szCs w:val="24"/>
          <w:highlight w:val="none"/>
          <w:u w:val="single"/>
          <w:lang w:eastAsia="zh-CN"/>
        </w:rPr>
        <w:t>（招标人可根据实际情况增加相应的条款）</w:t>
      </w:r>
    </w:p>
    <w:p w14:paraId="5D76500F">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sz w:val="24"/>
          <w:szCs w:val="24"/>
          <w:highlight w:val="none"/>
          <w:lang w:eastAsia="zh-CN"/>
        </w:rPr>
        <w:t>以上情况如有不实，愿意被取消中标资格并上报行政主管部门，由行政主管部门列入不良行为记录；招标人可不退还投标保证金。给招标人造成损失的，愿意依法承担赔偿责任。</w:t>
      </w:r>
    </w:p>
    <w:p w14:paraId="7444BB1F">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sz w:val="24"/>
          <w:szCs w:val="24"/>
          <w:highlight w:val="none"/>
          <w:lang w:eastAsia="zh-CN"/>
        </w:rPr>
        <w:t>附：法定代表人及拟派项目负责人身份证复制件</w:t>
      </w:r>
    </w:p>
    <w:p w14:paraId="75B3632D">
      <w:pPr>
        <w:kinsoku/>
        <w:spacing w:before="0" w:beforeLines="0" w:afterLines="0"/>
        <w:ind w:left="0" w:firstLine="420"/>
        <w:jc w:val="left"/>
        <w:rPr>
          <w:rFonts w:cs="宋体"/>
          <w:color w:val="auto"/>
          <w:szCs w:val="21"/>
          <w:highlight w:val="none"/>
          <w:lang w:eastAsia="zh-CN"/>
        </w:rPr>
      </w:pPr>
      <w:r>
        <w:rPr>
          <w:rFonts w:ascii="宋体" w:eastAsia="宋体" w:cs="宋体"/>
          <w:b w:val="0"/>
          <w:color w:val="auto"/>
          <w:spacing w:val="0"/>
          <w:w w:val="100"/>
          <w:sz w:val="24"/>
          <w:szCs w:val="24"/>
          <w:highlight w:val="none"/>
          <w:lang w:eastAsia="zh-CN"/>
        </w:rPr>
        <w:t>投标人：</w:t>
      </w:r>
      <w:r>
        <w:rPr>
          <w:rFonts w:ascii="宋体" w:eastAsia="宋体" w:cs="宋体"/>
          <w:b w:val="0"/>
          <w:color w:val="auto"/>
          <w:spacing w:val="0"/>
          <w:sz w:val="24"/>
          <w:szCs w:val="24"/>
          <w:highlight w:val="none"/>
          <w:u w:val="single"/>
          <w:lang w:eastAsia="zh-CN"/>
        </w:rPr>
        <w:t>（盖单位公章）</w:t>
      </w:r>
    </w:p>
    <w:p w14:paraId="439AA5B6">
      <w:pPr>
        <w:kinsoku/>
        <w:spacing w:beforeLines="0" w:afterLines="0"/>
        <w:ind w:firstLine="420"/>
        <w:jc w:val="left"/>
        <w:rPr>
          <w:rFonts w:cs="宋体"/>
          <w:color w:val="auto"/>
          <w:szCs w:val="21"/>
          <w:highlight w:val="none"/>
          <w:lang w:eastAsia="zh-CN"/>
        </w:rPr>
      </w:pPr>
    </w:p>
    <w:p w14:paraId="76EC90B7">
      <w:pPr>
        <w:kinsoku/>
        <w:adjustRightInd/>
        <w:snapToGrid/>
        <w:spacing w:beforeLines="0" w:afterLines="0" w:line="360" w:lineRule="auto"/>
        <w:ind w:firstLine="420"/>
        <w:jc w:val="left"/>
        <w:textAlignment w:val="auto"/>
        <w:rPr>
          <w:rFonts w:cs="宋体"/>
          <w:color w:val="auto"/>
          <w:szCs w:val="21"/>
          <w:highlight w:val="none"/>
          <w:lang w:eastAsia="zh-CN"/>
        </w:rPr>
      </w:pPr>
      <w:r>
        <w:rPr>
          <w:rFonts w:hint="eastAsia" w:ascii="宋体" w:eastAsia="宋体" w:cs="宋体"/>
          <w:b w:val="0"/>
          <w:color w:val="auto"/>
          <w:sz w:val="24"/>
          <w:szCs w:val="24"/>
          <w:highlight w:val="none"/>
          <w:lang w:eastAsia="zh-CN"/>
        </w:rPr>
        <w:t xml:space="preserve">    年   月   日</w:t>
      </w:r>
    </w:p>
    <w:sectPr>
      <w:headerReference r:id="rId17" w:type="default"/>
      <w:footerReference r:id="rId18" w:type="default"/>
      <w:pgSz w:w="11905" w:h="16840"/>
      <w:pgMar w:top="1616" w:right="1418" w:bottom="1616" w:left="1418" w:header="851" w:footer="1304" w:gutter="0"/>
      <w:pgNumType w:fmt="decimal"/>
      <w:cols w:space="720" w:num="1"/>
      <w:docGrid w:linePitch="381"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51">
      <wne:acd wne:acdName="acd3"/>
    </wne:keymap>
    <wne:keymap wne:kcmPrimary="0453">
      <wne:acd wne:acdName="acd4"/>
    </wne:keymap>
  </wne:keymaps>
  <wne:acds>
    <wne:acd wne:argValue="AQAAAAEA" wne:acdName="acd0" wne:fciIndexBasedOn="0065"/>
    <wne:acd wne:argValue="AQAAAAIA" wne:acdName="acd1" wne:fciIndexBasedOn="0065"/>
    <wne:acd wne:argValue="AQAAAAMA" wne:acdName="acd2" wne:fciIndexBasedOn="0065"/>
    <wne:acd wne:argValue="AQAAAAAA" wne:acdName="acd3" wne:fciIndexBasedOn="0065"/>
    <wne:acd wne:argValue="AQAAABwA" wne:acdName="acd4"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69D429F-631F-45A0-9A74-06648371C102}"/>
  </w:font>
  <w:font w:name="黑体">
    <w:panose1 w:val="02010609060101010101"/>
    <w:charset w:val="86"/>
    <w:family w:val="auto"/>
    <w:pitch w:val="default"/>
    <w:sig w:usb0="800002BF" w:usb1="38CF7CFA" w:usb2="00000016" w:usb3="00000000" w:csb0="00040001" w:csb1="00000000"/>
    <w:embedRegular r:id="rId2" w:fontKey="{878467E9-A2B6-4154-AB76-987D70FB6D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5FF1BC4-3E53-4DBC-995A-6077065C5279}"/>
  </w:font>
  <w:font w:name="Mongolian Baiti">
    <w:panose1 w:val="03000500000000000000"/>
    <w:charset w:val="00"/>
    <w:family w:val="script"/>
    <w:pitch w:val="default"/>
    <w:sig w:usb0="80000023" w:usb1="00000000" w:usb2="00020000" w:usb3="00000000" w:csb0="00000001" w:csb1="00000000"/>
    <w:embedRegular r:id="rId4" w:fontKey="{FE11FBA4-31C2-45AE-B4C1-DECEBAC2DA2D}"/>
  </w:font>
  <w:font w:name="楷体_GB2312">
    <w:panose1 w:val="02010609030101010101"/>
    <w:charset w:val="86"/>
    <w:family w:val="modern"/>
    <w:pitch w:val="default"/>
    <w:sig w:usb0="00000001" w:usb1="080E0000" w:usb2="00000000" w:usb3="00000000" w:csb0="00040000" w:csb1="00000000"/>
    <w:embedRegular r:id="rId5" w:fontKey="{8939894B-15BE-4760-9107-BF66576C3F23}"/>
  </w:font>
  <w:font w:name="方正小标宋_GBK">
    <w:panose1 w:val="02000000000000000000"/>
    <w:charset w:val="86"/>
    <w:family w:val="script"/>
    <w:pitch w:val="default"/>
    <w:sig w:usb0="A00002BF" w:usb1="38CF7CFA" w:usb2="00082016" w:usb3="00000000" w:csb0="00040001" w:csb1="00000000"/>
    <w:embedRegular r:id="rId6" w:fontKey="{A1E4C07B-F47D-4D75-BB63-410344287D1F}"/>
  </w:font>
  <w:font w:name="华文中宋">
    <w:panose1 w:val="02010600040101010101"/>
    <w:charset w:val="86"/>
    <w:family w:val="auto"/>
    <w:pitch w:val="default"/>
    <w:sig w:usb0="00000287" w:usb1="080F0000" w:usb2="00000000" w:usb3="00000000" w:csb0="0004009F" w:csb1="DFD70000"/>
    <w:embedRegular r:id="rId7" w:fontKey="{65037A2D-1903-4A8E-9A4A-F874938DDF95}"/>
  </w:font>
  <w:font w:name="新宋体">
    <w:panose1 w:val="02010609030101010101"/>
    <w:charset w:val="86"/>
    <w:family w:val="modern"/>
    <w:pitch w:val="default"/>
    <w:sig w:usb0="00000203" w:usb1="288F0000" w:usb2="00000006" w:usb3="00000000" w:csb0="00040001" w:csb1="00000000"/>
    <w:embedRegular r:id="rId8" w:fontKey="{528A78E3-9893-4620-A4FD-8E7B01FB0DD4}"/>
  </w:font>
  <w:font w:name="微软雅黑">
    <w:panose1 w:val="020B0503020204020204"/>
    <w:charset w:val="86"/>
    <w:family w:val="swiss"/>
    <w:pitch w:val="default"/>
    <w:sig w:usb0="80000287" w:usb1="2ACF3C50" w:usb2="00000016" w:usb3="00000000" w:csb0="0004001F" w:csb1="00000000"/>
    <w:embedRegular r:id="rId9" w:fontKey="{79AFCEE6-7245-4626-A9C0-BA32549D2E78}"/>
  </w:font>
  <w:font w:name="楷体">
    <w:panose1 w:val="02010609060101010101"/>
    <w:charset w:val="86"/>
    <w:family w:val="modern"/>
    <w:pitch w:val="default"/>
    <w:sig w:usb0="800002BF" w:usb1="38CF7CFA" w:usb2="00000016" w:usb3="00000000" w:csb0="00040001" w:csb1="00000000"/>
    <w:embedRegular r:id="rId10" w:fontKey="{E6BCC552-7D8C-47F1-A2A5-B9B198192B07}"/>
  </w:font>
  <w:font w:name="Cambria">
    <w:panose1 w:val="02040503050406030204"/>
    <w:charset w:val="00"/>
    <w:family w:val="roman"/>
    <w:pitch w:val="default"/>
    <w:sig w:usb0="E00006FF" w:usb1="420024FF" w:usb2="02000000" w:usb3="00000000" w:csb0="2000019F" w:csb1="00000000"/>
    <w:embedRegular r:id="rId11" w:fontKey="{C777C4A4-0EEA-4587-9C1E-CAE71BBC2B8B}"/>
  </w:font>
  <w:font w:name="仿宋">
    <w:panose1 w:val="02010609060101010101"/>
    <w:charset w:val="86"/>
    <w:family w:val="modern"/>
    <w:pitch w:val="default"/>
    <w:sig w:usb0="800002BF" w:usb1="38CF7CFA" w:usb2="00000016" w:usb3="00000000" w:csb0="00040001" w:csb1="00000000"/>
    <w:embedRegular r:id="rId12" w:fontKey="{5AE7144C-A5CA-4ABE-952F-D72D08F66D0D}"/>
  </w:font>
  <w:font w:name="Microsoft JhengHei">
    <w:panose1 w:val="020B0604030504040204"/>
    <w:charset w:val="88"/>
    <w:family w:val="swiss"/>
    <w:pitch w:val="default"/>
    <w:sig w:usb0="000002A7" w:usb1="28CF4400" w:usb2="00000016" w:usb3="00000000" w:csb0="00100009" w:csb1="00000000"/>
    <w:embedRegular r:id="rId13" w:fontKey="{9CC68E88-3624-4F15-82D5-046D550B0A84}"/>
  </w:font>
  <w:font w:name="Cambria Math">
    <w:panose1 w:val="02040503050406030204"/>
    <w:charset w:val="00"/>
    <w:family w:val="roman"/>
    <w:pitch w:val="default"/>
    <w:sig w:usb0="E00006FF" w:usb1="420024FF" w:usb2="02000000" w:usb3="00000000" w:csb0="2000019F" w:csb1="00000000"/>
    <w:embedRegular r:id="rId14" w:fontKey="{05EA1126-873C-4F01-91F5-9161004AC404}"/>
  </w:font>
  <w:font w:name="MS Mincho">
    <w:panose1 w:val="02020609040205080304"/>
    <w:charset w:val="80"/>
    <w:family w:val="modern"/>
    <w:pitch w:val="default"/>
    <w:sig w:usb0="A00002BF" w:usb1="68C7FCFB" w:usb2="00000010" w:usb3="00000000" w:csb0="4002009F" w:csb1="DFD70000"/>
    <w:embedRegular r:id="rId15" w:fontKey="{B22E16A6-456B-4DA4-87A4-595BF005F92C}"/>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6240B">
    <w:pPr>
      <w:pStyle w:val="1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63A27">
    <w:pPr>
      <w:pStyle w:val="11"/>
      <w:spacing w:line="240" w:lineRule="auto"/>
      <w:ind w:firstLine="0" w:firstLineChars="0"/>
      <w:jc w:val="center"/>
      <w:rPr>
        <w:rFonts w:ascii="Times New Roman" w:hAnsi="Times New Roman" w:cs="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7CE9A">
                          <w:pPr>
                            <w:pStyle w:val="1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257CE9A">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7BFD1">
    <w:pPr>
      <w:widowControl w:val="0"/>
      <w:pBdr>
        <w:top w:val="single" w:color="auto" w:sz="4" w:space="1"/>
      </w:pBdr>
      <w:tabs>
        <w:tab w:val="center" w:pos="4153"/>
        <w:tab w:val="right" w:pos="8306"/>
      </w:tabs>
      <w:autoSpaceDE w:val="0"/>
      <w:autoSpaceDN w:val="0"/>
      <w:adjustRightInd w:val="0"/>
      <w:snapToGrid/>
      <w:spacing w:line="240" w:lineRule="auto"/>
      <w:ind w:firstLine="0" w:firstLineChars="0"/>
      <w:jc w:val="both"/>
      <w:textAlignment w:val="baseline"/>
      <w:rPr>
        <w:rFonts w:ascii="Times New Roman" w:hAnsi="Times New Roman" w:eastAsia="宋体" w:cs="Times New Roman"/>
        <w:snapToGrid w:val="0"/>
        <w:sz w:val="18"/>
        <w:szCs w:val="24"/>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F4F3B">
                          <w:pPr>
                            <w:pStyle w:val="11"/>
                          </w:pPr>
                          <w:r>
                            <w:fldChar w:fldCharType="begin"/>
                          </w:r>
                          <w:r>
                            <w:instrText xml:space="preserve"> PAGE  \* MERGEFORMAT </w:instrText>
                          </w:r>
                          <w:r>
                            <w:fldChar w:fldCharType="separate"/>
                          </w:r>
                          <w:r>
                            <w:t>166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98F4F3B">
                    <w:pPr>
                      <w:pStyle w:val="11"/>
                    </w:pPr>
                    <w:r>
                      <w:fldChar w:fldCharType="begin"/>
                    </w:r>
                    <w:r>
                      <w:instrText xml:space="preserve"> PAGE  \* MERGEFORMAT </w:instrText>
                    </w:r>
                    <w:r>
                      <w:fldChar w:fldCharType="separate"/>
                    </w:r>
                    <w:r>
                      <w:t>166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B601D">
    <w:pPr>
      <w:widowControl/>
      <w:kinsoku w:val="0"/>
      <w:autoSpaceDE w:val="0"/>
      <w:autoSpaceDN w:val="0"/>
      <w:spacing w:line="176" w:lineRule="auto"/>
      <w:ind w:firstLine="0" w:firstLineChars="0"/>
      <w:jc w:val="right"/>
      <w:rPr>
        <w:rFonts w:ascii="Times New Roman" w:hAnsi="Times New Roman" w:eastAsia="Times New Roman" w:cs="Times New Roman"/>
        <w:kern w:val="0"/>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AB9FD">
                          <w:pPr>
                            <w:pStyle w:val="11"/>
                          </w:pPr>
                          <w:r>
                            <w:fldChar w:fldCharType="begin"/>
                          </w:r>
                          <w:r>
                            <w:instrText xml:space="preserve"> PAGE  \* MERGEFORMAT </w:instrText>
                          </w:r>
                          <w:r>
                            <w:fldChar w:fldCharType="separate"/>
                          </w:r>
                          <w:r>
                            <w:t>467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A4AB9FD">
                    <w:pPr>
                      <w:pStyle w:val="11"/>
                    </w:pPr>
                    <w:r>
                      <w:fldChar w:fldCharType="begin"/>
                    </w:r>
                    <w:r>
                      <w:instrText xml:space="preserve"> PAGE  \* MERGEFORMAT </w:instrText>
                    </w:r>
                    <w:r>
                      <w:fldChar w:fldCharType="separate"/>
                    </w:r>
                    <w:r>
                      <w:t>467</w:t>
                    </w:r>
                    <w:r>
                      <w:fldChar w:fldCharType="end"/>
                    </w:r>
                  </w:p>
                </w:txbxContent>
              </v:textbox>
            </v:shape>
          </w:pict>
        </mc:Fallback>
      </mc:AlternateContent>
    </w:r>
    <w:r>
      <w:rPr>
        <w:rFonts w:ascii="Times New Roman" w:hAnsi="Times New Roman" w:eastAsia="Times New Roman" w:cs="Times New Roman"/>
        <w:spacing w:val="-1"/>
        <w:kern w:val="0"/>
        <w:sz w:val="18"/>
        <w:szCs w:val="18"/>
      </w:rPr>
      <w:t>481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382A0">
    <w:pPr>
      <w:widowControl/>
      <w:kinsoku w:val="0"/>
      <w:autoSpaceDE w:val="0"/>
      <w:autoSpaceDN w:val="0"/>
      <w:spacing w:line="176" w:lineRule="auto"/>
      <w:ind w:firstLine="0" w:firstLineChars="0"/>
      <w:jc w:val="right"/>
      <w:rPr>
        <w:rFonts w:ascii="Times New Roman" w:hAnsi="Times New Roman" w:eastAsia="Times New Roman" w:cs="Times New Roman"/>
        <w:kern w:val="0"/>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E74B8">
                          <w:pPr>
                            <w:pStyle w:val="11"/>
                          </w:pPr>
                          <w:r>
                            <w:fldChar w:fldCharType="begin"/>
                          </w:r>
                          <w:r>
                            <w:instrText xml:space="preserve"> PAGE  \* MERGEFORMAT </w:instrText>
                          </w:r>
                          <w:r>
                            <w:fldChar w:fldCharType="separate"/>
                          </w:r>
                          <w:r>
                            <w:t>476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FFE74B8">
                    <w:pPr>
                      <w:pStyle w:val="11"/>
                    </w:pPr>
                    <w:r>
                      <w:fldChar w:fldCharType="begin"/>
                    </w:r>
                    <w:r>
                      <w:instrText xml:space="preserve"> PAGE  \* MERGEFORMAT </w:instrText>
                    </w:r>
                    <w:r>
                      <w:fldChar w:fldCharType="separate"/>
                    </w:r>
                    <w:r>
                      <w:t>476</w:t>
                    </w:r>
                    <w:r>
                      <w:fldChar w:fldCharType="end"/>
                    </w:r>
                  </w:p>
                </w:txbxContent>
              </v:textbox>
            </v:shape>
          </w:pict>
        </mc:Fallback>
      </mc:AlternateContent>
    </w:r>
    <w:r>
      <w:rPr>
        <w:rFonts w:ascii="Times New Roman" w:hAnsi="Times New Roman" w:eastAsia="Times New Roman" w:cs="Times New Roman"/>
        <w:spacing w:val="-1"/>
        <w:kern w:val="0"/>
        <w:sz w:val="18"/>
        <w:szCs w:val="18"/>
      </w:rPr>
      <w:t>483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E87D8">
    <w:pPr>
      <w:widowControl/>
      <w:kinsoku w:val="0"/>
      <w:autoSpaceDE w:val="0"/>
      <w:autoSpaceDN w:val="0"/>
      <w:spacing w:line="176" w:lineRule="auto"/>
      <w:ind w:left="13744" w:firstLine="0" w:firstLineChars="0"/>
      <w:jc w:val="left"/>
      <w:rPr>
        <w:rFonts w:ascii="Times New Roman" w:hAnsi="Times New Roman" w:eastAsia="Times New Roman" w:cs="Times New Roman"/>
        <w:kern w:val="0"/>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3E0D8">
                          <w:pPr>
                            <w:pStyle w:val="11"/>
                          </w:pPr>
                          <w:r>
                            <w:fldChar w:fldCharType="begin"/>
                          </w:r>
                          <w:r>
                            <w:instrText xml:space="preserve"> PAGE  \* MERGEFORMAT </w:instrText>
                          </w:r>
                          <w:r>
                            <w:fldChar w:fldCharType="separate"/>
                          </w:r>
                          <w:r>
                            <w:t>484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AF3E0D8">
                    <w:pPr>
                      <w:pStyle w:val="11"/>
                    </w:pPr>
                    <w:r>
                      <w:fldChar w:fldCharType="begin"/>
                    </w:r>
                    <w:r>
                      <w:instrText xml:space="preserve"> PAGE  \* MERGEFORMAT </w:instrText>
                    </w:r>
                    <w:r>
                      <w:fldChar w:fldCharType="separate"/>
                    </w:r>
                    <w:r>
                      <w:t>484</w:t>
                    </w:r>
                    <w:r>
                      <w:fldChar w:fldCharType="end"/>
                    </w:r>
                  </w:p>
                </w:txbxContent>
              </v:textbox>
            </v:shape>
          </w:pict>
        </mc:Fallback>
      </mc:AlternateContent>
    </w:r>
    <w:r>
      <w:rPr>
        <w:rFonts w:ascii="Times New Roman" w:hAnsi="Times New Roman" w:eastAsia="Times New Roman" w:cs="Times New Roman"/>
        <w:spacing w:val="-1"/>
        <w:kern w:val="0"/>
        <w:sz w:val="18"/>
        <w:szCs w:val="18"/>
      </w:rPr>
      <w:t>491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569DD">
    <w:pPr>
      <w:pStyle w:val="11"/>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625CCD">
                          <w:pPr>
                            <w:pStyle w:val="11"/>
                          </w:pPr>
                          <w:r>
                            <w:fldChar w:fldCharType="begin"/>
                          </w:r>
                          <w:r>
                            <w:instrText xml:space="preserve"> PAGE  \* MERGEFORMAT </w:instrText>
                          </w:r>
                          <w:r>
                            <w:fldChar w:fldCharType="separate"/>
                          </w:r>
                          <w:r>
                            <w:t>491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4625CCD">
                    <w:pPr>
                      <w:pStyle w:val="11"/>
                    </w:pPr>
                    <w:r>
                      <w:fldChar w:fldCharType="begin"/>
                    </w:r>
                    <w:r>
                      <w:instrText xml:space="preserve"> PAGE  \* MERGEFORMAT </w:instrText>
                    </w:r>
                    <w:r>
                      <w:fldChar w:fldCharType="separate"/>
                    </w:r>
                    <w:r>
                      <w:t>491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A6796">
    <w:pPr>
      <w:pStyle w:val="11"/>
      <w:ind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82E92A">
                          <w:pPr>
                            <w:pStyle w:val="11"/>
                          </w:pPr>
                          <w:r>
                            <w:fldChar w:fldCharType="begin"/>
                          </w:r>
                          <w:r>
                            <w:instrText xml:space="preserve"> PAGE  \* MERGEFORMAT </w:instrText>
                          </w:r>
                          <w:r>
                            <w:fldChar w:fldCharType="separate"/>
                          </w:r>
                          <w:r>
                            <w:t>493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382E92A">
                    <w:pPr>
                      <w:pStyle w:val="11"/>
                    </w:pPr>
                    <w:r>
                      <w:fldChar w:fldCharType="begin"/>
                    </w:r>
                    <w:r>
                      <w:instrText xml:space="preserve"> PAGE  \* MERGEFORMAT </w:instrText>
                    </w:r>
                    <w:r>
                      <w:fldChar w:fldCharType="separate"/>
                    </w:r>
                    <w:r>
                      <w:t>493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691CB">
    <w:pPr>
      <w:pStyle w:val="11"/>
      <w:ind w:firstLine="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AD11CF">
                          <w:pPr>
                            <w:pStyle w:val="11"/>
                          </w:pPr>
                          <w:r>
                            <w:fldChar w:fldCharType="begin"/>
                          </w:r>
                          <w:r>
                            <w:instrText xml:space="preserve"> PAGE  \* MERGEFORMAT </w:instrText>
                          </w:r>
                          <w:r>
                            <w:fldChar w:fldCharType="separate"/>
                          </w:r>
                          <w:r>
                            <w:t>494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7AD11CF">
                    <w:pPr>
                      <w:pStyle w:val="11"/>
                    </w:pPr>
                    <w:r>
                      <w:fldChar w:fldCharType="begin"/>
                    </w:r>
                    <w:r>
                      <w:instrText xml:space="preserve"> PAGE  \* MERGEFORMAT </w:instrText>
                    </w:r>
                    <w:r>
                      <w:fldChar w:fldCharType="separate"/>
                    </w:r>
                    <w:r>
                      <w:t>494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A0B55">
    <w:pPr>
      <w:pStyle w:val="1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9A3E6">
    <w:pPr>
      <w:widowControl w:val="0"/>
      <w:pBdr>
        <w:top w:val="none" w:color="auto" w:sz="0" w:space="1"/>
        <w:left w:val="none" w:color="auto" w:sz="0" w:space="4"/>
        <w:bottom w:val="none" w:color="auto" w:sz="0" w:space="1"/>
        <w:right w:val="none" w:color="auto" w:sz="0" w:space="4"/>
      </w:pBdr>
      <w:tabs>
        <w:tab w:val="center" w:pos="4153"/>
        <w:tab w:val="right" w:pos="8306"/>
      </w:tabs>
      <w:autoSpaceDE w:val="0"/>
      <w:autoSpaceDN w:val="0"/>
      <w:snapToGrid w:val="0"/>
      <w:spacing w:line="240" w:lineRule="auto"/>
      <w:ind w:firstLine="306" w:firstLineChars="170"/>
      <w:jc w:val="both"/>
      <w:textAlignment w:val="baseline"/>
      <w:rPr>
        <w:rFonts w:ascii="Times New Roman" w:hAnsi="Times New Roman" w:eastAsia="宋体" w:cs="Times New Roman"/>
        <w:snapToGrid w:val="0"/>
        <w:sz w:val="18"/>
        <w:szCs w:val="24"/>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3127A">
    <w:pPr>
      <w:pStyle w:val="1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9FDBE">
    <w:pPr>
      <w:pStyle w:val="12"/>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BC69E">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83F4C2"/>
    <w:multiLevelType w:val="singleLevel"/>
    <w:tmpl w:val="8F83F4C2"/>
    <w:lvl w:ilvl="0" w:tentative="0">
      <w:start w:val="1"/>
      <w:numFmt w:val="decimal"/>
      <w:suff w:val="nothing"/>
      <w:lvlText w:val="%1）"/>
      <w:lvlJc w:val="left"/>
    </w:lvl>
  </w:abstractNum>
  <w:abstractNum w:abstractNumId="1">
    <w:nsid w:val="A1C55B29"/>
    <w:multiLevelType w:val="singleLevel"/>
    <w:tmpl w:val="A1C55B29"/>
    <w:lvl w:ilvl="0" w:tentative="0">
      <w:start w:val="1"/>
      <w:numFmt w:val="decimal"/>
      <w:suff w:val="nothing"/>
      <w:lvlText w:val="%1．"/>
      <w:lvlJc w:val="left"/>
    </w:lvl>
  </w:abstractNum>
  <w:abstractNum w:abstractNumId="2">
    <w:nsid w:val="20F6C7A4"/>
    <w:multiLevelType w:val="singleLevel"/>
    <w:tmpl w:val="20F6C7A4"/>
    <w:lvl w:ilvl="0" w:tentative="0">
      <w:start w:val="3"/>
      <w:numFmt w:val="decimal"/>
      <w:suff w:val="nothing"/>
      <w:lvlText w:val="（%1）"/>
      <w:lvlJc w:val="left"/>
    </w:lvl>
  </w:abstractNum>
  <w:abstractNum w:abstractNumId="3">
    <w:nsid w:val="2B99419D"/>
    <w:multiLevelType w:val="singleLevel"/>
    <w:tmpl w:val="2B99419D"/>
    <w:lvl w:ilvl="0" w:tentative="0">
      <w:start w:val="2"/>
      <w:numFmt w:val="decimal"/>
      <w:suff w:val="nothing"/>
      <w:lvlText w:val="（%1）"/>
      <w:lvlJc w:val="left"/>
    </w:lvl>
  </w:abstractNum>
  <w:abstractNum w:abstractNumId="4">
    <w:nsid w:val="3A6BADDF"/>
    <w:multiLevelType w:val="singleLevel"/>
    <w:tmpl w:val="3A6BADDF"/>
    <w:lvl w:ilvl="0" w:tentative="0">
      <w:start w:val="5"/>
      <w:numFmt w:val="decimal"/>
      <w:suff w:val="nothing"/>
      <w:lvlText w:val="%1）"/>
      <w:lvlJc w:val="left"/>
    </w:lvl>
  </w:abstractNum>
  <w:abstractNum w:abstractNumId="5">
    <w:nsid w:val="45244BEA"/>
    <w:multiLevelType w:val="singleLevel"/>
    <w:tmpl w:val="45244BEA"/>
    <w:lvl w:ilvl="0" w:tentative="0">
      <w:start w:val="29"/>
      <w:numFmt w:val="decimal"/>
      <w:suff w:val="nothing"/>
      <w:lvlText w:val="（%1）"/>
      <w:lvlJc w:val="left"/>
      <w:rPr>
        <w:rFonts w:hint="default"/>
        <w:strike w:val="0"/>
        <w:dstrike w:val="0"/>
      </w:rPr>
    </w:lvl>
  </w:abstractNum>
  <w:abstractNum w:abstractNumId="6">
    <w:nsid w:val="4A0B469E"/>
    <w:multiLevelType w:val="singleLevel"/>
    <w:tmpl w:val="4A0B469E"/>
    <w:lvl w:ilvl="0" w:tentative="0">
      <w:start w:val="19"/>
      <w:numFmt w:val="decimal"/>
      <w:suff w:val="space"/>
      <w:lvlText w:val="%1."/>
      <w:lvlJc w:val="left"/>
    </w:lvl>
  </w:abstractNum>
  <w:abstractNum w:abstractNumId="7">
    <w:nsid w:val="53ABC3E1"/>
    <w:multiLevelType w:val="singleLevel"/>
    <w:tmpl w:val="53ABC3E1"/>
    <w:lvl w:ilvl="0" w:tentative="0">
      <w:start w:val="19"/>
      <w:numFmt w:val="decimal"/>
      <w:suff w:val="space"/>
      <w:lvlText w:val="%1."/>
      <w:lvlJc w:val="left"/>
    </w:lvl>
  </w:abstractNum>
  <w:abstractNum w:abstractNumId="8">
    <w:nsid w:val="6C4F225E"/>
    <w:multiLevelType w:val="singleLevel"/>
    <w:tmpl w:val="6C4F225E"/>
    <w:lvl w:ilvl="0" w:tentative="0">
      <w:start w:val="1"/>
      <w:numFmt w:val="decimal"/>
      <w:suff w:val="nothing"/>
      <w:lvlText w:val="（%1）"/>
      <w:lvlJc w:val="left"/>
    </w:lvl>
  </w:abstractNum>
  <w:num w:numId="1">
    <w:abstractNumId w:val="1"/>
  </w:num>
  <w:num w:numId="2">
    <w:abstractNumId w:val="5"/>
  </w:num>
  <w:num w:numId="3">
    <w:abstractNumId w:val="2"/>
  </w:num>
  <w:num w:numId="4">
    <w:abstractNumId w:val="3"/>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hideSpellingErrors/>
  <w:documentProtection w:edit="readOnly" w:enforcement="0"/>
  <w:defaultTabStop w:val="4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kNzUwODU3YmQwNWZlMmM2YTg2M2EwYjM4NDQ2YzIifQ=="/>
  </w:docVars>
  <w:rsids>
    <w:rsidRoot w:val="00744609"/>
    <w:rsid w:val="00006844"/>
    <w:rsid w:val="00021D8D"/>
    <w:rsid w:val="00037CA3"/>
    <w:rsid w:val="00063E12"/>
    <w:rsid w:val="00083FFE"/>
    <w:rsid w:val="000E2BEF"/>
    <w:rsid w:val="00150169"/>
    <w:rsid w:val="0018274C"/>
    <w:rsid w:val="00196EC3"/>
    <w:rsid w:val="001F3AF1"/>
    <w:rsid w:val="0022335F"/>
    <w:rsid w:val="0023335B"/>
    <w:rsid w:val="002730E5"/>
    <w:rsid w:val="00282812"/>
    <w:rsid w:val="002E0B1E"/>
    <w:rsid w:val="002F325D"/>
    <w:rsid w:val="0031455A"/>
    <w:rsid w:val="00327CF2"/>
    <w:rsid w:val="003563BE"/>
    <w:rsid w:val="00377FB0"/>
    <w:rsid w:val="003C590F"/>
    <w:rsid w:val="0041485C"/>
    <w:rsid w:val="00421E23"/>
    <w:rsid w:val="00435F9B"/>
    <w:rsid w:val="00465005"/>
    <w:rsid w:val="004E1634"/>
    <w:rsid w:val="00591D3F"/>
    <w:rsid w:val="00597A89"/>
    <w:rsid w:val="005E491D"/>
    <w:rsid w:val="00685874"/>
    <w:rsid w:val="006A3512"/>
    <w:rsid w:val="006D0CE9"/>
    <w:rsid w:val="00716717"/>
    <w:rsid w:val="00744609"/>
    <w:rsid w:val="007619B4"/>
    <w:rsid w:val="0078143C"/>
    <w:rsid w:val="007A0163"/>
    <w:rsid w:val="00881949"/>
    <w:rsid w:val="009207CB"/>
    <w:rsid w:val="00923A89"/>
    <w:rsid w:val="0096547F"/>
    <w:rsid w:val="009F58FD"/>
    <w:rsid w:val="009F6CC3"/>
    <w:rsid w:val="00A313EA"/>
    <w:rsid w:val="00A508DD"/>
    <w:rsid w:val="00A84F72"/>
    <w:rsid w:val="00A9133B"/>
    <w:rsid w:val="00A94B49"/>
    <w:rsid w:val="00AA431F"/>
    <w:rsid w:val="00AF6B76"/>
    <w:rsid w:val="00B30555"/>
    <w:rsid w:val="00B406C6"/>
    <w:rsid w:val="00B566BE"/>
    <w:rsid w:val="00C05073"/>
    <w:rsid w:val="00C1153A"/>
    <w:rsid w:val="00C7469B"/>
    <w:rsid w:val="00C96352"/>
    <w:rsid w:val="00CD0E41"/>
    <w:rsid w:val="00CD25AB"/>
    <w:rsid w:val="00CD3FA8"/>
    <w:rsid w:val="00D025D0"/>
    <w:rsid w:val="00D133C4"/>
    <w:rsid w:val="00D30C06"/>
    <w:rsid w:val="00D61E60"/>
    <w:rsid w:val="00D9283B"/>
    <w:rsid w:val="00DA6267"/>
    <w:rsid w:val="00DD4379"/>
    <w:rsid w:val="00E423C3"/>
    <w:rsid w:val="00E641FB"/>
    <w:rsid w:val="00ED06CA"/>
    <w:rsid w:val="00F036E0"/>
    <w:rsid w:val="00F52053"/>
    <w:rsid w:val="011473B7"/>
    <w:rsid w:val="01361677"/>
    <w:rsid w:val="014324AF"/>
    <w:rsid w:val="01527EDF"/>
    <w:rsid w:val="01562C9A"/>
    <w:rsid w:val="01762EF5"/>
    <w:rsid w:val="01804A4C"/>
    <w:rsid w:val="0182106A"/>
    <w:rsid w:val="01A05729"/>
    <w:rsid w:val="01B65656"/>
    <w:rsid w:val="01BC3830"/>
    <w:rsid w:val="01C5413E"/>
    <w:rsid w:val="01E10167"/>
    <w:rsid w:val="01E21263"/>
    <w:rsid w:val="01E70628"/>
    <w:rsid w:val="01E948A9"/>
    <w:rsid w:val="02026FF4"/>
    <w:rsid w:val="02105DD0"/>
    <w:rsid w:val="0213766F"/>
    <w:rsid w:val="021D61B5"/>
    <w:rsid w:val="02391D2E"/>
    <w:rsid w:val="024617F2"/>
    <w:rsid w:val="024F3AFA"/>
    <w:rsid w:val="025C7268"/>
    <w:rsid w:val="0270686F"/>
    <w:rsid w:val="0284570C"/>
    <w:rsid w:val="02B42A56"/>
    <w:rsid w:val="02C10E79"/>
    <w:rsid w:val="02C43119"/>
    <w:rsid w:val="02CA1C6D"/>
    <w:rsid w:val="02CB34D2"/>
    <w:rsid w:val="02CD301E"/>
    <w:rsid w:val="02D74B40"/>
    <w:rsid w:val="02DC3F04"/>
    <w:rsid w:val="02F73FA3"/>
    <w:rsid w:val="030A1C2A"/>
    <w:rsid w:val="030D3864"/>
    <w:rsid w:val="031B62B7"/>
    <w:rsid w:val="03337D64"/>
    <w:rsid w:val="034508EE"/>
    <w:rsid w:val="03595555"/>
    <w:rsid w:val="03767EB5"/>
    <w:rsid w:val="037E4A43"/>
    <w:rsid w:val="038F71C9"/>
    <w:rsid w:val="03B46C2F"/>
    <w:rsid w:val="03C16C0B"/>
    <w:rsid w:val="03F434D0"/>
    <w:rsid w:val="03F90555"/>
    <w:rsid w:val="04041965"/>
    <w:rsid w:val="042E3546"/>
    <w:rsid w:val="04367644"/>
    <w:rsid w:val="043C2D23"/>
    <w:rsid w:val="044A18C8"/>
    <w:rsid w:val="044F0706"/>
    <w:rsid w:val="04522959"/>
    <w:rsid w:val="045B52FD"/>
    <w:rsid w:val="04604C2D"/>
    <w:rsid w:val="04627307"/>
    <w:rsid w:val="04700DA8"/>
    <w:rsid w:val="04714B20"/>
    <w:rsid w:val="04983E5B"/>
    <w:rsid w:val="04A55858"/>
    <w:rsid w:val="04D841F1"/>
    <w:rsid w:val="04DD163F"/>
    <w:rsid w:val="04E452F2"/>
    <w:rsid w:val="04E6106A"/>
    <w:rsid w:val="04F217BD"/>
    <w:rsid w:val="05355B4E"/>
    <w:rsid w:val="053973EC"/>
    <w:rsid w:val="053A2939"/>
    <w:rsid w:val="054A15F9"/>
    <w:rsid w:val="055C5A89"/>
    <w:rsid w:val="056C4B41"/>
    <w:rsid w:val="05860158"/>
    <w:rsid w:val="059B00A7"/>
    <w:rsid w:val="05A131E3"/>
    <w:rsid w:val="05C0366A"/>
    <w:rsid w:val="05CA273A"/>
    <w:rsid w:val="05D20C69"/>
    <w:rsid w:val="06093262"/>
    <w:rsid w:val="060A6344"/>
    <w:rsid w:val="060C045C"/>
    <w:rsid w:val="06255BC2"/>
    <w:rsid w:val="063F5BF8"/>
    <w:rsid w:val="068621B7"/>
    <w:rsid w:val="069233FF"/>
    <w:rsid w:val="06A0405C"/>
    <w:rsid w:val="06B64A6C"/>
    <w:rsid w:val="06DC3A75"/>
    <w:rsid w:val="06EB0BBA"/>
    <w:rsid w:val="07322345"/>
    <w:rsid w:val="073A38EF"/>
    <w:rsid w:val="07416A2C"/>
    <w:rsid w:val="074E3BC1"/>
    <w:rsid w:val="07554285"/>
    <w:rsid w:val="075D1DBF"/>
    <w:rsid w:val="077566D6"/>
    <w:rsid w:val="078136E1"/>
    <w:rsid w:val="079F0AA0"/>
    <w:rsid w:val="07BC05B9"/>
    <w:rsid w:val="07CA3F4E"/>
    <w:rsid w:val="07CC1890"/>
    <w:rsid w:val="080B45BA"/>
    <w:rsid w:val="08204893"/>
    <w:rsid w:val="0823260B"/>
    <w:rsid w:val="08251EAA"/>
    <w:rsid w:val="083E2F6B"/>
    <w:rsid w:val="083E3D2E"/>
    <w:rsid w:val="08425850"/>
    <w:rsid w:val="08682CCD"/>
    <w:rsid w:val="08695754"/>
    <w:rsid w:val="08803584"/>
    <w:rsid w:val="08955281"/>
    <w:rsid w:val="08AA5145"/>
    <w:rsid w:val="08E47FB5"/>
    <w:rsid w:val="08F8136C"/>
    <w:rsid w:val="09045944"/>
    <w:rsid w:val="09047ACD"/>
    <w:rsid w:val="090A6C0F"/>
    <w:rsid w:val="09105803"/>
    <w:rsid w:val="093323A4"/>
    <w:rsid w:val="09335119"/>
    <w:rsid w:val="0935198D"/>
    <w:rsid w:val="09621E05"/>
    <w:rsid w:val="096864F2"/>
    <w:rsid w:val="096D4B17"/>
    <w:rsid w:val="097035F9"/>
    <w:rsid w:val="097B203A"/>
    <w:rsid w:val="097E5D15"/>
    <w:rsid w:val="09824924"/>
    <w:rsid w:val="099D53F0"/>
    <w:rsid w:val="09B33201"/>
    <w:rsid w:val="09B63A9B"/>
    <w:rsid w:val="09BB1615"/>
    <w:rsid w:val="09C676BC"/>
    <w:rsid w:val="09E51FB1"/>
    <w:rsid w:val="09E96D68"/>
    <w:rsid w:val="09F315D3"/>
    <w:rsid w:val="0A0211D5"/>
    <w:rsid w:val="0A075B91"/>
    <w:rsid w:val="0A171CC6"/>
    <w:rsid w:val="0A1B17B6"/>
    <w:rsid w:val="0A1E03AA"/>
    <w:rsid w:val="0A3B443C"/>
    <w:rsid w:val="0A4271BB"/>
    <w:rsid w:val="0A5D3B7D"/>
    <w:rsid w:val="0A623037"/>
    <w:rsid w:val="0A673DA7"/>
    <w:rsid w:val="0A8F55FF"/>
    <w:rsid w:val="0AA01CBB"/>
    <w:rsid w:val="0AAA48E8"/>
    <w:rsid w:val="0AB344FD"/>
    <w:rsid w:val="0AD75331"/>
    <w:rsid w:val="0AD87B45"/>
    <w:rsid w:val="0B197335"/>
    <w:rsid w:val="0B575693"/>
    <w:rsid w:val="0B68023F"/>
    <w:rsid w:val="0B753CE7"/>
    <w:rsid w:val="0B825D4F"/>
    <w:rsid w:val="0B835865"/>
    <w:rsid w:val="0B9A2BAF"/>
    <w:rsid w:val="0BBA6DAD"/>
    <w:rsid w:val="0BC43662"/>
    <w:rsid w:val="0BCF2858"/>
    <w:rsid w:val="0BD9627E"/>
    <w:rsid w:val="0BF81018"/>
    <w:rsid w:val="0C00196B"/>
    <w:rsid w:val="0C056686"/>
    <w:rsid w:val="0C0D4231"/>
    <w:rsid w:val="0C324B95"/>
    <w:rsid w:val="0C336D77"/>
    <w:rsid w:val="0C434FF4"/>
    <w:rsid w:val="0C4F1625"/>
    <w:rsid w:val="0C635CB8"/>
    <w:rsid w:val="0C6E2C7C"/>
    <w:rsid w:val="0C90360D"/>
    <w:rsid w:val="0CA65B34"/>
    <w:rsid w:val="0CCE7B2C"/>
    <w:rsid w:val="0CE677AF"/>
    <w:rsid w:val="0D026C5D"/>
    <w:rsid w:val="0D1E3AE0"/>
    <w:rsid w:val="0D322207"/>
    <w:rsid w:val="0D3A01A5"/>
    <w:rsid w:val="0D3A1F53"/>
    <w:rsid w:val="0D3C216F"/>
    <w:rsid w:val="0D474670"/>
    <w:rsid w:val="0D9378B6"/>
    <w:rsid w:val="0D985A2E"/>
    <w:rsid w:val="0DB55A7E"/>
    <w:rsid w:val="0DC45E43"/>
    <w:rsid w:val="0DC7138E"/>
    <w:rsid w:val="0DEB76F2"/>
    <w:rsid w:val="0DFE5A24"/>
    <w:rsid w:val="0E1F4C1A"/>
    <w:rsid w:val="0E3508EC"/>
    <w:rsid w:val="0E3D2DD9"/>
    <w:rsid w:val="0E4F5ED2"/>
    <w:rsid w:val="0E5C0622"/>
    <w:rsid w:val="0E653000"/>
    <w:rsid w:val="0E7476E7"/>
    <w:rsid w:val="0EAE2BD9"/>
    <w:rsid w:val="0EC52941"/>
    <w:rsid w:val="0ECC7523"/>
    <w:rsid w:val="0ECD3432"/>
    <w:rsid w:val="0ED427C3"/>
    <w:rsid w:val="0EDA356D"/>
    <w:rsid w:val="0EEA5BFB"/>
    <w:rsid w:val="0EFB005A"/>
    <w:rsid w:val="0F1556B5"/>
    <w:rsid w:val="0F3375A2"/>
    <w:rsid w:val="0F765CFD"/>
    <w:rsid w:val="0F887046"/>
    <w:rsid w:val="0F900A8A"/>
    <w:rsid w:val="0FA14E3A"/>
    <w:rsid w:val="0FA61347"/>
    <w:rsid w:val="0FF62DD8"/>
    <w:rsid w:val="10142F30"/>
    <w:rsid w:val="101A606C"/>
    <w:rsid w:val="102A0BC3"/>
    <w:rsid w:val="103F1DCB"/>
    <w:rsid w:val="10572EFB"/>
    <w:rsid w:val="10783DE7"/>
    <w:rsid w:val="10805EF8"/>
    <w:rsid w:val="109E0333"/>
    <w:rsid w:val="10AB12C6"/>
    <w:rsid w:val="10AD2599"/>
    <w:rsid w:val="10AF141C"/>
    <w:rsid w:val="10CE27F7"/>
    <w:rsid w:val="10E36DA6"/>
    <w:rsid w:val="10E70644"/>
    <w:rsid w:val="10E751CB"/>
    <w:rsid w:val="10EA570D"/>
    <w:rsid w:val="10F375E2"/>
    <w:rsid w:val="10FE187B"/>
    <w:rsid w:val="1112737F"/>
    <w:rsid w:val="111B209C"/>
    <w:rsid w:val="112E0994"/>
    <w:rsid w:val="11344FBA"/>
    <w:rsid w:val="113B273E"/>
    <w:rsid w:val="114B0ADA"/>
    <w:rsid w:val="11515ABE"/>
    <w:rsid w:val="11677F10"/>
    <w:rsid w:val="117D384D"/>
    <w:rsid w:val="1181582E"/>
    <w:rsid w:val="11D35EA9"/>
    <w:rsid w:val="11D41DF1"/>
    <w:rsid w:val="11D82756"/>
    <w:rsid w:val="11D87F8D"/>
    <w:rsid w:val="11FD5C45"/>
    <w:rsid w:val="12007A84"/>
    <w:rsid w:val="120C7C36"/>
    <w:rsid w:val="12152F8F"/>
    <w:rsid w:val="121960FF"/>
    <w:rsid w:val="123635C4"/>
    <w:rsid w:val="12452986"/>
    <w:rsid w:val="12541D09"/>
    <w:rsid w:val="125515DD"/>
    <w:rsid w:val="125A22EC"/>
    <w:rsid w:val="128B005A"/>
    <w:rsid w:val="129E2F84"/>
    <w:rsid w:val="12AA012C"/>
    <w:rsid w:val="12AC208B"/>
    <w:rsid w:val="12C34799"/>
    <w:rsid w:val="12CA5B28"/>
    <w:rsid w:val="12DB6F44"/>
    <w:rsid w:val="12DC32CF"/>
    <w:rsid w:val="12E0534B"/>
    <w:rsid w:val="12EC7DBC"/>
    <w:rsid w:val="12F2507E"/>
    <w:rsid w:val="12FE3A23"/>
    <w:rsid w:val="131B2827"/>
    <w:rsid w:val="131D5869"/>
    <w:rsid w:val="1324792E"/>
    <w:rsid w:val="134428A9"/>
    <w:rsid w:val="13580061"/>
    <w:rsid w:val="135846F1"/>
    <w:rsid w:val="135B29BE"/>
    <w:rsid w:val="136536F1"/>
    <w:rsid w:val="137E28AA"/>
    <w:rsid w:val="138C3FD0"/>
    <w:rsid w:val="138F127E"/>
    <w:rsid w:val="13A303FD"/>
    <w:rsid w:val="13AE0697"/>
    <w:rsid w:val="13AE3916"/>
    <w:rsid w:val="13B33EEB"/>
    <w:rsid w:val="13C12574"/>
    <w:rsid w:val="13CB16C1"/>
    <w:rsid w:val="13D75747"/>
    <w:rsid w:val="13D80718"/>
    <w:rsid w:val="13EC0E96"/>
    <w:rsid w:val="13EF7DF0"/>
    <w:rsid w:val="14045069"/>
    <w:rsid w:val="1413312E"/>
    <w:rsid w:val="14321BD6"/>
    <w:rsid w:val="143660B2"/>
    <w:rsid w:val="146862BB"/>
    <w:rsid w:val="14692F06"/>
    <w:rsid w:val="14777A4B"/>
    <w:rsid w:val="149C34F4"/>
    <w:rsid w:val="14AD5701"/>
    <w:rsid w:val="14AF21AC"/>
    <w:rsid w:val="14B95E54"/>
    <w:rsid w:val="14BF0C39"/>
    <w:rsid w:val="14BF5618"/>
    <w:rsid w:val="14CF2040"/>
    <w:rsid w:val="14ED1FA1"/>
    <w:rsid w:val="150B474F"/>
    <w:rsid w:val="156307DA"/>
    <w:rsid w:val="15B50F25"/>
    <w:rsid w:val="15BA0E49"/>
    <w:rsid w:val="15D55DE5"/>
    <w:rsid w:val="15D81A14"/>
    <w:rsid w:val="15D908D7"/>
    <w:rsid w:val="15DC2BB3"/>
    <w:rsid w:val="15EE2E6F"/>
    <w:rsid w:val="15EE5FD1"/>
    <w:rsid w:val="16190030"/>
    <w:rsid w:val="16236B8C"/>
    <w:rsid w:val="162C356B"/>
    <w:rsid w:val="16461969"/>
    <w:rsid w:val="164A3911"/>
    <w:rsid w:val="16583F5A"/>
    <w:rsid w:val="16681976"/>
    <w:rsid w:val="166B13D0"/>
    <w:rsid w:val="166B7621"/>
    <w:rsid w:val="1674297A"/>
    <w:rsid w:val="168042A0"/>
    <w:rsid w:val="16A7036B"/>
    <w:rsid w:val="16AE7FA5"/>
    <w:rsid w:val="16B40F81"/>
    <w:rsid w:val="16E22011"/>
    <w:rsid w:val="16EC3D76"/>
    <w:rsid w:val="17141A67"/>
    <w:rsid w:val="17233A58"/>
    <w:rsid w:val="17325217"/>
    <w:rsid w:val="17397720"/>
    <w:rsid w:val="1741697B"/>
    <w:rsid w:val="17611932"/>
    <w:rsid w:val="17643773"/>
    <w:rsid w:val="178E244B"/>
    <w:rsid w:val="179A3525"/>
    <w:rsid w:val="17A57629"/>
    <w:rsid w:val="17AC04B0"/>
    <w:rsid w:val="17AD104E"/>
    <w:rsid w:val="17B45A93"/>
    <w:rsid w:val="17B943BD"/>
    <w:rsid w:val="17BF269A"/>
    <w:rsid w:val="17C414AC"/>
    <w:rsid w:val="17D92AA6"/>
    <w:rsid w:val="17DC0478"/>
    <w:rsid w:val="17E558FA"/>
    <w:rsid w:val="17E96A4D"/>
    <w:rsid w:val="17F453F5"/>
    <w:rsid w:val="1807337A"/>
    <w:rsid w:val="180C6E5D"/>
    <w:rsid w:val="182C2775"/>
    <w:rsid w:val="18390462"/>
    <w:rsid w:val="186F6C45"/>
    <w:rsid w:val="18722C56"/>
    <w:rsid w:val="187D188E"/>
    <w:rsid w:val="188D36A9"/>
    <w:rsid w:val="18A46C1D"/>
    <w:rsid w:val="18A8386A"/>
    <w:rsid w:val="18AB01A9"/>
    <w:rsid w:val="18AC74FF"/>
    <w:rsid w:val="18AD02D3"/>
    <w:rsid w:val="18AF707B"/>
    <w:rsid w:val="18B54B84"/>
    <w:rsid w:val="18BE6351"/>
    <w:rsid w:val="18BF3C55"/>
    <w:rsid w:val="18C13529"/>
    <w:rsid w:val="18D70F9E"/>
    <w:rsid w:val="18F20563"/>
    <w:rsid w:val="190A7AE3"/>
    <w:rsid w:val="191C723B"/>
    <w:rsid w:val="191F46F3"/>
    <w:rsid w:val="19404D95"/>
    <w:rsid w:val="19573E8D"/>
    <w:rsid w:val="19622F5E"/>
    <w:rsid w:val="19704DB0"/>
    <w:rsid w:val="19766FD2"/>
    <w:rsid w:val="199901F4"/>
    <w:rsid w:val="19AF6669"/>
    <w:rsid w:val="19C02B62"/>
    <w:rsid w:val="19CA45B1"/>
    <w:rsid w:val="19DF6679"/>
    <w:rsid w:val="19E82D37"/>
    <w:rsid w:val="19EE17C2"/>
    <w:rsid w:val="19F3005A"/>
    <w:rsid w:val="19F648EB"/>
    <w:rsid w:val="1A044015"/>
    <w:rsid w:val="1A2C4218"/>
    <w:rsid w:val="1A454EBE"/>
    <w:rsid w:val="1A501008"/>
    <w:rsid w:val="1A562397"/>
    <w:rsid w:val="1A5F749D"/>
    <w:rsid w:val="1A7D527F"/>
    <w:rsid w:val="1A7E6EB4"/>
    <w:rsid w:val="1A965A6F"/>
    <w:rsid w:val="1A974BCC"/>
    <w:rsid w:val="1AB32372"/>
    <w:rsid w:val="1AD51892"/>
    <w:rsid w:val="1B0167A6"/>
    <w:rsid w:val="1B032373"/>
    <w:rsid w:val="1B125653"/>
    <w:rsid w:val="1B1E117D"/>
    <w:rsid w:val="1B3339A4"/>
    <w:rsid w:val="1B527002"/>
    <w:rsid w:val="1B6F5412"/>
    <w:rsid w:val="1B7C5E2D"/>
    <w:rsid w:val="1B7F7AE4"/>
    <w:rsid w:val="1B886580"/>
    <w:rsid w:val="1B8B69F2"/>
    <w:rsid w:val="1B954B98"/>
    <w:rsid w:val="1BB92BDD"/>
    <w:rsid w:val="1BD9073D"/>
    <w:rsid w:val="1C0C002B"/>
    <w:rsid w:val="1C20736E"/>
    <w:rsid w:val="1C362879"/>
    <w:rsid w:val="1C384BD6"/>
    <w:rsid w:val="1C3A5DDF"/>
    <w:rsid w:val="1C3E30E2"/>
    <w:rsid w:val="1C6E7E6B"/>
    <w:rsid w:val="1C7C329D"/>
    <w:rsid w:val="1C9B73A9"/>
    <w:rsid w:val="1CA669AB"/>
    <w:rsid w:val="1CCA26E9"/>
    <w:rsid w:val="1CDA09B6"/>
    <w:rsid w:val="1CDB1039"/>
    <w:rsid w:val="1CDB5F31"/>
    <w:rsid w:val="1D077978"/>
    <w:rsid w:val="1D344C11"/>
    <w:rsid w:val="1D4806BC"/>
    <w:rsid w:val="1D5232E9"/>
    <w:rsid w:val="1D573933"/>
    <w:rsid w:val="1D5C5F16"/>
    <w:rsid w:val="1D656883"/>
    <w:rsid w:val="1D666835"/>
    <w:rsid w:val="1D7C130D"/>
    <w:rsid w:val="1D972D03"/>
    <w:rsid w:val="1DAE3F9A"/>
    <w:rsid w:val="1DBB111B"/>
    <w:rsid w:val="1DC67833"/>
    <w:rsid w:val="1DD72A9A"/>
    <w:rsid w:val="1DDC7057"/>
    <w:rsid w:val="1DDE0D31"/>
    <w:rsid w:val="1DDE75EB"/>
    <w:rsid w:val="1DE245F0"/>
    <w:rsid w:val="1E0D0FBE"/>
    <w:rsid w:val="1E487669"/>
    <w:rsid w:val="1E5A233A"/>
    <w:rsid w:val="1E5A374E"/>
    <w:rsid w:val="1EA1262F"/>
    <w:rsid w:val="1EA9518B"/>
    <w:rsid w:val="1EDF090D"/>
    <w:rsid w:val="1EEB57A3"/>
    <w:rsid w:val="1EF02DBA"/>
    <w:rsid w:val="1F09194A"/>
    <w:rsid w:val="1F093E7B"/>
    <w:rsid w:val="1F095C2A"/>
    <w:rsid w:val="1F356A1F"/>
    <w:rsid w:val="1F3A481C"/>
    <w:rsid w:val="1F3F141B"/>
    <w:rsid w:val="1F4B43A4"/>
    <w:rsid w:val="1F7C464D"/>
    <w:rsid w:val="1FAE057F"/>
    <w:rsid w:val="1FAF4A23"/>
    <w:rsid w:val="1FB43DE7"/>
    <w:rsid w:val="1FBB64FE"/>
    <w:rsid w:val="1FD77AD6"/>
    <w:rsid w:val="1FE50C78"/>
    <w:rsid w:val="1FE55012"/>
    <w:rsid w:val="20017D5D"/>
    <w:rsid w:val="200B289B"/>
    <w:rsid w:val="200F7270"/>
    <w:rsid w:val="20120B0E"/>
    <w:rsid w:val="201D2493"/>
    <w:rsid w:val="20455760"/>
    <w:rsid w:val="206F41B2"/>
    <w:rsid w:val="20B0636B"/>
    <w:rsid w:val="20C62288"/>
    <w:rsid w:val="20CF13CE"/>
    <w:rsid w:val="20F053A2"/>
    <w:rsid w:val="20FB5A46"/>
    <w:rsid w:val="210C7026"/>
    <w:rsid w:val="21303941"/>
    <w:rsid w:val="21647076"/>
    <w:rsid w:val="21692022"/>
    <w:rsid w:val="21717AB6"/>
    <w:rsid w:val="218C499A"/>
    <w:rsid w:val="21914A35"/>
    <w:rsid w:val="21920158"/>
    <w:rsid w:val="21937A2C"/>
    <w:rsid w:val="219A43EE"/>
    <w:rsid w:val="219B78EA"/>
    <w:rsid w:val="219D0C9F"/>
    <w:rsid w:val="21BE2CFB"/>
    <w:rsid w:val="21BF7C0C"/>
    <w:rsid w:val="21F26E49"/>
    <w:rsid w:val="22071821"/>
    <w:rsid w:val="221C2118"/>
    <w:rsid w:val="221E19EC"/>
    <w:rsid w:val="225A5718"/>
    <w:rsid w:val="226A4C31"/>
    <w:rsid w:val="226C6F07"/>
    <w:rsid w:val="22721D38"/>
    <w:rsid w:val="22BC4355"/>
    <w:rsid w:val="22BF14F8"/>
    <w:rsid w:val="22C06159"/>
    <w:rsid w:val="22D56B65"/>
    <w:rsid w:val="22EF3A5E"/>
    <w:rsid w:val="22F72A56"/>
    <w:rsid w:val="23080E41"/>
    <w:rsid w:val="230F5B30"/>
    <w:rsid w:val="230F7587"/>
    <w:rsid w:val="232B2612"/>
    <w:rsid w:val="233E43F8"/>
    <w:rsid w:val="23413354"/>
    <w:rsid w:val="234B2E28"/>
    <w:rsid w:val="2351081D"/>
    <w:rsid w:val="237911B3"/>
    <w:rsid w:val="23933AD9"/>
    <w:rsid w:val="239A1546"/>
    <w:rsid w:val="23AB72AF"/>
    <w:rsid w:val="23AE6D9F"/>
    <w:rsid w:val="23BA0077"/>
    <w:rsid w:val="23C139E0"/>
    <w:rsid w:val="23CD5677"/>
    <w:rsid w:val="23D3331D"/>
    <w:rsid w:val="23DF33FD"/>
    <w:rsid w:val="23F549CE"/>
    <w:rsid w:val="23FC5D5D"/>
    <w:rsid w:val="2401106F"/>
    <w:rsid w:val="24076176"/>
    <w:rsid w:val="240902B3"/>
    <w:rsid w:val="240E3476"/>
    <w:rsid w:val="242463F5"/>
    <w:rsid w:val="2429624F"/>
    <w:rsid w:val="243A6885"/>
    <w:rsid w:val="243F18B1"/>
    <w:rsid w:val="244A6AC8"/>
    <w:rsid w:val="24561911"/>
    <w:rsid w:val="2460183D"/>
    <w:rsid w:val="24732BFD"/>
    <w:rsid w:val="24733B76"/>
    <w:rsid w:val="24992D39"/>
    <w:rsid w:val="24B57F51"/>
    <w:rsid w:val="24B82CC9"/>
    <w:rsid w:val="24E061FB"/>
    <w:rsid w:val="24E63832"/>
    <w:rsid w:val="24F95648"/>
    <w:rsid w:val="25056E93"/>
    <w:rsid w:val="25145F24"/>
    <w:rsid w:val="25284930"/>
    <w:rsid w:val="25286498"/>
    <w:rsid w:val="254F010E"/>
    <w:rsid w:val="25553977"/>
    <w:rsid w:val="255542D9"/>
    <w:rsid w:val="25590984"/>
    <w:rsid w:val="25860352"/>
    <w:rsid w:val="25893620"/>
    <w:rsid w:val="259A2BAD"/>
    <w:rsid w:val="25B10E34"/>
    <w:rsid w:val="25CD5C03"/>
    <w:rsid w:val="25DD59B4"/>
    <w:rsid w:val="25E35426"/>
    <w:rsid w:val="25EC4515"/>
    <w:rsid w:val="260E7FC9"/>
    <w:rsid w:val="261E645E"/>
    <w:rsid w:val="26270DA8"/>
    <w:rsid w:val="262D0265"/>
    <w:rsid w:val="26340291"/>
    <w:rsid w:val="265D7C82"/>
    <w:rsid w:val="26747E2C"/>
    <w:rsid w:val="267918E7"/>
    <w:rsid w:val="269E134D"/>
    <w:rsid w:val="26AD4B22"/>
    <w:rsid w:val="26B26802"/>
    <w:rsid w:val="26BE379D"/>
    <w:rsid w:val="26E11636"/>
    <w:rsid w:val="27042C3A"/>
    <w:rsid w:val="270F10A1"/>
    <w:rsid w:val="273534BD"/>
    <w:rsid w:val="27441EF5"/>
    <w:rsid w:val="274C7976"/>
    <w:rsid w:val="276A59DB"/>
    <w:rsid w:val="27995703"/>
    <w:rsid w:val="27BF67C0"/>
    <w:rsid w:val="27CC1EEA"/>
    <w:rsid w:val="27CC3C98"/>
    <w:rsid w:val="27CC5901"/>
    <w:rsid w:val="28033821"/>
    <w:rsid w:val="282B4E63"/>
    <w:rsid w:val="282D21E8"/>
    <w:rsid w:val="285223EF"/>
    <w:rsid w:val="28550417"/>
    <w:rsid w:val="285B737A"/>
    <w:rsid w:val="28616AD6"/>
    <w:rsid w:val="28697739"/>
    <w:rsid w:val="287B419B"/>
    <w:rsid w:val="287B7F79"/>
    <w:rsid w:val="289D1B7C"/>
    <w:rsid w:val="28A05DDC"/>
    <w:rsid w:val="28D42442"/>
    <w:rsid w:val="28D449CC"/>
    <w:rsid w:val="28FB39B3"/>
    <w:rsid w:val="292E5FEA"/>
    <w:rsid w:val="29443E41"/>
    <w:rsid w:val="294837F2"/>
    <w:rsid w:val="294F2DD3"/>
    <w:rsid w:val="2955704E"/>
    <w:rsid w:val="296A19BB"/>
    <w:rsid w:val="298E56A9"/>
    <w:rsid w:val="298F5002"/>
    <w:rsid w:val="29A30B6B"/>
    <w:rsid w:val="29AF647C"/>
    <w:rsid w:val="29BF1D06"/>
    <w:rsid w:val="29E654E5"/>
    <w:rsid w:val="29E9416A"/>
    <w:rsid w:val="29EA6657"/>
    <w:rsid w:val="29F31612"/>
    <w:rsid w:val="2A043BBD"/>
    <w:rsid w:val="2A065DFB"/>
    <w:rsid w:val="2A133E00"/>
    <w:rsid w:val="2A361EFA"/>
    <w:rsid w:val="2A461F39"/>
    <w:rsid w:val="2A5106F4"/>
    <w:rsid w:val="2AA375B1"/>
    <w:rsid w:val="2ABD4084"/>
    <w:rsid w:val="2AC71290"/>
    <w:rsid w:val="2AF3683D"/>
    <w:rsid w:val="2AF5527C"/>
    <w:rsid w:val="2AF93DB6"/>
    <w:rsid w:val="2B2112CD"/>
    <w:rsid w:val="2B25203D"/>
    <w:rsid w:val="2B286A75"/>
    <w:rsid w:val="2B3D15CB"/>
    <w:rsid w:val="2B8265CB"/>
    <w:rsid w:val="2BAA2542"/>
    <w:rsid w:val="2BAA609E"/>
    <w:rsid w:val="2BB242BF"/>
    <w:rsid w:val="2BCA19DA"/>
    <w:rsid w:val="2BF34AD8"/>
    <w:rsid w:val="2C094E7F"/>
    <w:rsid w:val="2C165923"/>
    <w:rsid w:val="2C244DF9"/>
    <w:rsid w:val="2C2E6CCF"/>
    <w:rsid w:val="2C3D6B91"/>
    <w:rsid w:val="2C460EDF"/>
    <w:rsid w:val="2C5D75B5"/>
    <w:rsid w:val="2C7A714B"/>
    <w:rsid w:val="2C803B90"/>
    <w:rsid w:val="2CB10DE5"/>
    <w:rsid w:val="2CB2345D"/>
    <w:rsid w:val="2CBE6F5B"/>
    <w:rsid w:val="2CC118F2"/>
    <w:rsid w:val="2CC77EF2"/>
    <w:rsid w:val="2CD535EF"/>
    <w:rsid w:val="2CD71FA0"/>
    <w:rsid w:val="2CE15B9C"/>
    <w:rsid w:val="2CF2792E"/>
    <w:rsid w:val="2D4F6511"/>
    <w:rsid w:val="2D536383"/>
    <w:rsid w:val="2D5E5C46"/>
    <w:rsid w:val="2D7063EB"/>
    <w:rsid w:val="2D7C4FB3"/>
    <w:rsid w:val="2D840FDE"/>
    <w:rsid w:val="2DA105FB"/>
    <w:rsid w:val="2DAA05D8"/>
    <w:rsid w:val="2DAD2DC4"/>
    <w:rsid w:val="2DB35827"/>
    <w:rsid w:val="2DCE2068"/>
    <w:rsid w:val="2DF950BB"/>
    <w:rsid w:val="2E1C5821"/>
    <w:rsid w:val="2E2D7583"/>
    <w:rsid w:val="2E502266"/>
    <w:rsid w:val="2E5612CA"/>
    <w:rsid w:val="2E5E6B74"/>
    <w:rsid w:val="2E743FE1"/>
    <w:rsid w:val="2E951981"/>
    <w:rsid w:val="2E9D340C"/>
    <w:rsid w:val="2EAE1F72"/>
    <w:rsid w:val="2EBA6EE4"/>
    <w:rsid w:val="2EBD43A5"/>
    <w:rsid w:val="2EC6134C"/>
    <w:rsid w:val="2EEF6C15"/>
    <w:rsid w:val="2EFA1AD4"/>
    <w:rsid w:val="2F127BBF"/>
    <w:rsid w:val="2F1E302B"/>
    <w:rsid w:val="2F220C7D"/>
    <w:rsid w:val="2F351A2F"/>
    <w:rsid w:val="2F487E33"/>
    <w:rsid w:val="2F49095D"/>
    <w:rsid w:val="2F4E644C"/>
    <w:rsid w:val="2F782E8B"/>
    <w:rsid w:val="2F8A043E"/>
    <w:rsid w:val="2F8D6403"/>
    <w:rsid w:val="2F9A5379"/>
    <w:rsid w:val="2FA005EA"/>
    <w:rsid w:val="2FA45E31"/>
    <w:rsid w:val="2FB175E8"/>
    <w:rsid w:val="2FB67708"/>
    <w:rsid w:val="2FC34DA4"/>
    <w:rsid w:val="2FC43093"/>
    <w:rsid w:val="2FD17A5A"/>
    <w:rsid w:val="2FE24741"/>
    <w:rsid w:val="2FE9252E"/>
    <w:rsid w:val="303E69F2"/>
    <w:rsid w:val="30407520"/>
    <w:rsid w:val="3052185B"/>
    <w:rsid w:val="30536D05"/>
    <w:rsid w:val="3059019D"/>
    <w:rsid w:val="305D1A86"/>
    <w:rsid w:val="30612770"/>
    <w:rsid w:val="307355F9"/>
    <w:rsid w:val="30817D16"/>
    <w:rsid w:val="308B0251"/>
    <w:rsid w:val="30AC28B9"/>
    <w:rsid w:val="30BA4FD6"/>
    <w:rsid w:val="30D10B44"/>
    <w:rsid w:val="30D32C5B"/>
    <w:rsid w:val="30E861C4"/>
    <w:rsid w:val="30F304E8"/>
    <w:rsid w:val="30F524B2"/>
    <w:rsid w:val="30F73B34"/>
    <w:rsid w:val="311741D6"/>
    <w:rsid w:val="3118160C"/>
    <w:rsid w:val="3119625B"/>
    <w:rsid w:val="31210BB1"/>
    <w:rsid w:val="313A6116"/>
    <w:rsid w:val="314E25B9"/>
    <w:rsid w:val="315C42DF"/>
    <w:rsid w:val="318231C5"/>
    <w:rsid w:val="31943A79"/>
    <w:rsid w:val="31B75DC7"/>
    <w:rsid w:val="31C818D2"/>
    <w:rsid w:val="31D56391"/>
    <w:rsid w:val="31DF7E10"/>
    <w:rsid w:val="31E0281A"/>
    <w:rsid w:val="31F24D64"/>
    <w:rsid w:val="31F91E2B"/>
    <w:rsid w:val="32032452"/>
    <w:rsid w:val="320A7897"/>
    <w:rsid w:val="322975E7"/>
    <w:rsid w:val="32454706"/>
    <w:rsid w:val="325F5E35"/>
    <w:rsid w:val="326229DD"/>
    <w:rsid w:val="3268280F"/>
    <w:rsid w:val="32724C85"/>
    <w:rsid w:val="328B52E2"/>
    <w:rsid w:val="3292332D"/>
    <w:rsid w:val="32B4641F"/>
    <w:rsid w:val="32CA457B"/>
    <w:rsid w:val="32D33460"/>
    <w:rsid w:val="32DA370D"/>
    <w:rsid w:val="32ED5C55"/>
    <w:rsid w:val="330B7D6A"/>
    <w:rsid w:val="33114C55"/>
    <w:rsid w:val="331A3CD6"/>
    <w:rsid w:val="333875BA"/>
    <w:rsid w:val="333C6176"/>
    <w:rsid w:val="334B5646"/>
    <w:rsid w:val="335E31A0"/>
    <w:rsid w:val="337362C0"/>
    <w:rsid w:val="33877B65"/>
    <w:rsid w:val="339A5589"/>
    <w:rsid w:val="33A1786D"/>
    <w:rsid w:val="33D12B57"/>
    <w:rsid w:val="33D50AB3"/>
    <w:rsid w:val="33E72753"/>
    <w:rsid w:val="33E95CD3"/>
    <w:rsid w:val="33F627C9"/>
    <w:rsid w:val="340053F5"/>
    <w:rsid w:val="341C28EF"/>
    <w:rsid w:val="34371578"/>
    <w:rsid w:val="344D2753"/>
    <w:rsid w:val="34580D8D"/>
    <w:rsid w:val="346F0BB2"/>
    <w:rsid w:val="34780948"/>
    <w:rsid w:val="34854902"/>
    <w:rsid w:val="349E4B2E"/>
    <w:rsid w:val="34A044E2"/>
    <w:rsid w:val="34B166F0"/>
    <w:rsid w:val="34B34764"/>
    <w:rsid w:val="34C5219B"/>
    <w:rsid w:val="34CA14F3"/>
    <w:rsid w:val="34CA155F"/>
    <w:rsid w:val="34D2328A"/>
    <w:rsid w:val="34DD36E9"/>
    <w:rsid w:val="34E6186B"/>
    <w:rsid w:val="34E7066C"/>
    <w:rsid w:val="34EA14AF"/>
    <w:rsid w:val="34EE524E"/>
    <w:rsid w:val="34F5482E"/>
    <w:rsid w:val="35061822"/>
    <w:rsid w:val="3509393A"/>
    <w:rsid w:val="35123632"/>
    <w:rsid w:val="351567A2"/>
    <w:rsid w:val="354E655F"/>
    <w:rsid w:val="355E6877"/>
    <w:rsid w:val="3564627D"/>
    <w:rsid w:val="35661AE4"/>
    <w:rsid w:val="358B2E3D"/>
    <w:rsid w:val="35931348"/>
    <w:rsid w:val="35A90EA2"/>
    <w:rsid w:val="35D022C0"/>
    <w:rsid w:val="35F9034E"/>
    <w:rsid w:val="36141BBC"/>
    <w:rsid w:val="36187367"/>
    <w:rsid w:val="361E2C0F"/>
    <w:rsid w:val="361E756D"/>
    <w:rsid w:val="36291D94"/>
    <w:rsid w:val="36324719"/>
    <w:rsid w:val="36343134"/>
    <w:rsid w:val="36500594"/>
    <w:rsid w:val="36545584"/>
    <w:rsid w:val="365F2302"/>
    <w:rsid w:val="36632192"/>
    <w:rsid w:val="3672604C"/>
    <w:rsid w:val="367C4ADB"/>
    <w:rsid w:val="36AF4EB1"/>
    <w:rsid w:val="36E16BA3"/>
    <w:rsid w:val="36EE7787"/>
    <w:rsid w:val="36FC32F9"/>
    <w:rsid w:val="37006181"/>
    <w:rsid w:val="370E7B58"/>
    <w:rsid w:val="37160A8C"/>
    <w:rsid w:val="371D62BE"/>
    <w:rsid w:val="372708C5"/>
    <w:rsid w:val="37313B18"/>
    <w:rsid w:val="37356704"/>
    <w:rsid w:val="3736112E"/>
    <w:rsid w:val="37384385"/>
    <w:rsid w:val="373C7683"/>
    <w:rsid w:val="37503F9E"/>
    <w:rsid w:val="37555A58"/>
    <w:rsid w:val="375A7A49"/>
    <w:rsid w:val="375B2943"/>
    <w:rsid w:val="375F172C"/>
    <w:rsid w:val="37632E05"/>
    <w:rsid w:val="37661A13"/>
    <w:rsid w:val="3769685F"/>
    <w:rsid w:val="376B0DD8"/>
    <w:rsid w:val="37833145"/>
    <w:rsid w:val="37847074"/>
    <w:rsid w:val="37857C71"/>
    <w:rsid w:val="37AC159F"/>
    <w:rsid w:val="37BA1D5F"/>
    <w:rsid w:val="38251D99"/>
    <w:rsid w:val="38302EA0"/>
    <w:rsid w:val="38356476"/>
    <w:rsid w:val="383F58ED"/>
    <w:rsid w:val="38465F6D"/>
    <w:rsid w:val="3851592F"/>
    <w:rsid w:val="385C4BC4"/>
    <w:rsid w:val="387463B2"/>
    <w:rsid w:val="38912AC0"/>
    <w:rsid w:val="38A20DF8"/>
    <w:rsid w:val="38BE1B53"/>
    <w:rsid w:val="38D044D2"/>
    <w:rsid w:val="38EC5F48"/>
    <w:rsid w:val="38F13A35"/>
    <w:rsid w:val="390908A8"/>
    <w:rsid w:val="390C0398"/>
    <w:rsid w:val="39167469"/>
    <w:rsid w:val="39262D37"/>
    <w:rsid w:val="394C6378"/>
    <w:rsid w:val="39573E18"/>
    <w:rsid w:val="395E2F2C"/>
    <w:rsid w:val="395E3DBA"/>
    <w:rsid w:val="396C52DB"/>
    <w:rsid w:val="397330FD"/>
    <w:rsid w:val="3976099D"/>
    <w:rsid w:val="397B250A"/>
    <w:rsid w:val="398D69D5"/>
    <w:rsid w:val="398E0DAD"/>
    <w:rsid w:val="399565E0"/>
    <w:rsid w:val="39AD2FBC"/>
    <w:rsid w:val="39AF6B17"/>
    <w:rsid w:val="39D318E6"/>
    <w:rsid w:val="39D837CE"/>
    <w:rsid w:val="39DA0497"/>
    <w:rsid w:val="39F2758E"/>
    <w:rsid w:val="3A064979"/>
    <w:rsid w:val="3A0D550F"/>
    <w:rsid w:val="3A1439A9"/>
    <w:rsid w:val="3A3C2EFF"/>
    <w:rsid w:val="3A52002D"/>
    <w:rsid w:val="3A5842DA"/>
    <w:rsid w:val="3A5901AD"/>
    <w:rsid w:val="3A6B7341"/>
    <w:rsid w:val="3A751F6D"/>
    <w:rsid w:val="3A8A00E5"/>
    <w:rsid w:val="3AAF722D"/>
    <w:rsid w:val="3AB97A67"/>
    <w:rsid w:val="3AD01C0B"/>
    <w:rsid w:val="3AE55534"/>
    <w:rsid w:val="3AF26C4B"/>
    <w:rsid w:val="3AF45588"/>
    <w:rsid w:val="3B0A0856"/>
    <w:rsid w:val="3B15706C"/>
    <w:rsid w:val="3B1654FE"/>
    <w:rsid w:val="3B225C51"/>
    <w:rsid w:val="3B5F5322"/>
    <w:rsid w:val="3B675D5A"/>
    <w:rsid w:val="3BA26D92"/>
    <w:rsid w:val="3BA64BA7"/>
    <w:rsid w:val="3C090C5B"/>
    <w:rsid w:val="3C106A77"/>
    <w:rsid w:val="3C2809C3"/>
    <w:rsid w:val="3C2A2C9F"/>
    <w:rsid w:val="3C2B4FD9"/>
    <w:rsid w:val="3C3A5ABD"/>
    <w:rsid w:val="3C457DEA"/>
    <w:rsid w:val="3C5C711F"/>
    <w:rsid w:val="3C8841DA"/>
    <w:rsid w:val="3CAE10FA"/>
    <w:rsid w:val="3CE55188"/>
    <w:rsid w:val="3D007D17"/>
    <w:rsid w:val="3D0221DE"/>
    <w:rsid w:val="3D23467C"/>
    <w:rsid w:val="3D2C2DB7"/>
    <w:rsid w:val="3D393726"/>
    <w:rsid w:val="3D4626B0"/>
    <w:rsid w:val="3D4F6AA6"/>
    <w:rsid w:val="3D55642B"/>
    <w:rsid w:val="3D581DFE"/>
    <w:rsid w:val="3D680FDC"/>
    <w:rsid w:val="3DBA03C3"/>
    <w:rsid w:val="3DBD4357"/>
    <w:rsid w:val="3DC62E7C"/>
    <w:rsid w:val="3DC729DF"/>
    <w:rsid w:val="3DD0354C"/>
    <w:rsid w:val="3DD27E02"/>
    <w:rsid w:val="3DE713D4"/>
    <w:rsid w:val="3DEF41B5"/>
    <w:rsid w:val="3E061F95"/>
    <w:rsid w:val="3E0C2BE9"/>
    <w:rsid w:val="3E1A5306"/>
    <w:rsid w:val="3E371679"/>
    <w:rsid w:val="3E432AAE"/>
    <w:rsid w:val="3E4D4B98"/>
    <w:rsid w:val="3E6B790F"/>
    <w:rsid w:val="3E8135D7"/>
    <w:rsid w:val="3E834CDC"/>
    <w:rsid w:val="3EA620D8"/>
    <w:rsid w:val="3EAB0654"/>
    <w:rsid w:val="3EAD2F01"/>
    <w:rsid w:val="3EB0220E"/>
    <w:rsid w:val="3ED56571"/>
    <w:rsid w:val="3EDC6A5F"/>
    <w:rsid w:val="3EF60223"/>
    <w:rsid w:val="3F1538A4"/>
    <w:rsid w:val="3F3603B6"/>
    <w:rsid w:val="3FBA19D1"/>
    <w:rsid w:val="3FC30AFB"/>
    <w:rsid w:val="3FCC6E01"/>
    <w:rsid w:val="3FE51083"/>
    <w:rsid w:val="3FF1653A"/>
    <w:rsid w:val="3FF423FB"/>
    <w:rsid w:val="3FF53C7D"/>
    <w:rsid w:val="40047C86"/>
    <w:rsid w:val="406717B6"/>
    <w:rsid w:val="40682F5F"/>
    <w:rsid w:val="406B3BF6"/>
    <w:rsid w:val="40E55CFB"/>
    <w:rsid w:val="40F005A0"/>
    <w:rsid w:val="40FC4C39"/>
    <w:rsid w:val="40FF07E3"/>
    <w:rsid w:val="411140D5"/>
    <w:rsid w:val="411E510D"/>
    <w:rsid w:val="412C1CD5"/>
    <w:rsid w:val="412D25B4"/>
    <w:rsid w:val="413A36FE"/>
    <w:rsid w:val="41641121"/>
    <w:rsid w:val="41695505"/>
    <w:rsid w:val="4178424B"/>
    <w:rsid w:val="417F0FDE"/>
    <w:rsid w:val="419110C2"/>
    <w:rsid w:val="41B07D3E"/>
    <w:rsid w:val="41C23831"/>
    <w:rsid w:val="41DA4C53"/>
    <w:rsid w:val="41F83DC6"/>
    <w:rsid w:val="41FC1942"/>
    <w:rsid w:val="41FD11C6"/>
    <w:rsid w:val="42005999"/>
    <w:rsid w:val="420C67D1"/>
    <w:rsid w:val="420D7B8C"/>
    <w:rsid w:val="42181B5C"/>
    <w:rsid w:val="421B1721"/>
    <w:rsid w:val="42415557"/>
    <w:rsid w:val="4269685C"/>
    <w:rsid w:val="42903F56"/>
    <w:rsid w:val="42975177"/>
    <w:rsid w:val="42996CD2"/>
    <w:rsid w:val="42B37AD7"/>
    <w:rsid w:val="42C0315B"/>
    <w:rsid w:val="42C84A20"/>
    <w:rsid w:val="42CA7F80"/>
    <w:rsid w:val="42CB2EEC"/>
    <w:rsid w:val="42E776BB"/>
    <w:rsid w:val="42FA4D29"/>
    <w:rsid w:val="42FE1677"/>
    <w:rsid w:val="42FF4759"/>
    <w:rsid w:val="430976F7"/>
    <w:rsid w:val="434075BC"/>
    <w:rsid w:val="435272F0"/>
    <w:rsid w:val="43561376"/>
    <w:rsid w:val="43635059"/>
    <w:rsid w:val="438576C5"/>
    <w:rsid w:val="43906E2B"/>
    <w:rsid w:val="439E6E16"/>
    <w:rsid w:val="43A324A6"/>
    <w:rsid w:val="43B2772D"/>
    <w:rsid w:val="43CA332A"/>
    <w:rsid w:val="43CB41B9"/>
    <w:rsid w:val="43D60064"/>
    <w:rsid w:val="43DD12AF"/>
    <w:rsid w:val="43E26707"/>
    <w:rsid w:val="43E73EDC"/>
    <w:rsid w:val="43FF1967"/>
    <w:rsid w:val="44010C17"/>
    <w:rsid w:val="44041C96"/>
    <w:rsid w:val="44250560"/>
    <w:rsid w:val="443133A9"/>
    <w:rsid w:val="4443084A"/>
    <w:rsid w:val="44623562"/>
    <w:rsid w:val="446E63AB"/>
    <w:rsid w:val="448B4867"/>
    <w:rsid w:val="448E1279"/>
    <w:rsid w:val="44AA25BC"/>
    <w:rsid w:val="44C304A5"/>
    <w:rsid w:val="44C31D73"/>
    <w:rsid w:val="44D547B5"/>
    <w:rsid w:val="44F05012"/>
    <w:rsid w:val="44F87135"/>
    <w:rsid w:val="44FA23B6"/>
    <w:rsid w:val="44FD4628"/>
    <w:rsid w:val="450705BE"/>
    <w:rsid w:val="450A2511"/>
    <w:rsid w:val="451900C5"/>
    <w:rsid w:val="451F28B3"/>
    <w:rsid w:val="45416DC7"/>
    <w:rsid w:val="454B3FF6"/>
    <w:rsid w:val="454C693D"/>
    <w:rsid w:val="45597E91"/>
    <w:rsid w:val="455B692F"/>
    <w:rsid w:val="45740942"/>
    <w:rsid w:val="45795008"/>
    <w:rsid w:val="458A58E3"/>
    <w:rsid w:val="45997458"/>
    <w:rsid w:val="45C160DF"/>
    <w:rsid w:val="45CA3066"/>
    <w:rsid w:val="45F2656A"/>
    <w:rsid w:val="45F36B68"/>
    <w:rsid w:val="46032B23"/>
    <w:rsid w:val="46130FB8"/>
    <w:rsid w:val="46157C7E"/>
    <w:rsid w:val="46160AA8"/>
    <w:rsid w:val="465B6EA4"/>
    <w:rsid w:val="4666536E"/>
    <w:rsid w:val="466E0464"/>
    <w:rsid w:val="469F3F0A"/>
    <w:rsid w:val="469F50DB"/>
    <w:rsid w:val="46A41C10"/>
    <w:rsid w:val="46A71700"/>
    <w:rsid w:val="46E53D45"/>
    <w:rsid w:val="46E75F2E"/>
    <w:rsid w:val="46EE63EF"/>
    <w:rsid w:val="46F030A7"/>
    <w:rsid w:val="46F30DEA"/>
    <w:rsid w:val="47017063"/>
    <w:rsid w:val="47066FCD"/>
    <w:rsid w:val="47077CD9"/>
    <w:rsid w:val="470B3285"/>
    <w:rsid w:val="471B356C"/>
    <w:rsid w:val="475B762C"/>
    <w:rsid w:val="476D64A6"/>
    <w:rsid w:val="47835CCA"/>
    <w:rsid w:val="47903CD9"/>
    <w:rsid w:val="479E7E51"/>
    <w:rsid w:val="47A120FB"/>
    <w:rsid w:val="47A4657E"/>
    <w:rsid w:val="47BC2131"/>
    <w:rsid w:val="47BE03B7"/>
    <w:rsid w:val="47C22C51"/>
    <w:rsid w:val="47C6205A"/>
    <w:rsid w:val="47E32C0C"/>
    <w:rsid w:val="47E50732"/>
    <w:rsid w:val="47EA1446"/>
    <w:rsid w:val="47EE340A"/>
    <w:rsid w:val="47F35B6C"/>
    <w:rsid w:val="48086251"/>
    <w:rsid w:val="48223BD4"/>
    <w:rsid w:val="48240195"/>
    <w:rsid w:val="48242B78"/>
    <w:rsid w:val="483D231C"/>
    <w:rsid w:val="486041A3"/>
    <w:rsid w:val="4862226D"/>
    <w:rsid w:val="486378A9"/>
    <w:rsid w:val="48644951"/>
    <w:rsid w:val="48651873"/>
    <w:rsid w:val="48706A99"/>
    <w:rsid w:val="48780264"/>
    <w:rsid w:val="487815A6"/>
    <w:rsid w:val="489F6B33"/>
    <w:rsid w:val="48BB1493"/>
    <w:rsid w:val="48D50FA7"/>
    <w:rsid w:val="48D569F9"/>
    <w:rsid w:val="48FD1AAC"/>
    <w:rsid w:val="48FE276E"/>
    <w:rsid w:val="49195E87"/>
    <w:rsid w:val="4924528A"/>
    <w:rsid w:val="49374FBE"/>
    <w:rsid w:val="493E2FDE"/>
    <w:rsid w:val="49467027"/>
    <w:rsid w:val="49521DF7"/>
    <w:rsid w:val="49644AFA"/>
    <w:rsid w:val="497A5F59"/>
    <w:rsid w:val="49834A60"/>
    <w:rsid w:val="49950BD2"/>
    <w:rsid w:val="49B04D70"/>
    <w:rsid w:val="49B16916"/>
    <w:rsid w:val="49B556C3"/>
    <w:rsid w:val="49B93C25"/>
    <w:rsid w:val="49C049B9"/>
    <w:rsid w:val="49CF51F6"/>
    <w:rsid w:val="49D92519"/>
    <w:rsid w:val="49F17C49"/>
    <w:rsid w:val="4A031344"/>
    <w:rsid w:val="4A6441E0"/>
    <w:rsid w:val="4A705A0A"/>
    <w:rsid w:val="4A78588E"/>
    <w:rsid w:val="4A7933B4"/>
    <w:rsid w:val="4A893E90"/>
    <w:rsid w:val="4A9326C8"/>
    <w:rsid w:val="4AAD03B1"/>
    <w:rsid w:val="4AB76F01"/>
    <w:rsid w:val="4ABD7744"/>
    <w:rsid w:val="4AC7411F"/>
    <w:rsid w:val="4ACA3C0F"/>
    <w:rsid w:val="4AD5594C"/>
    <w:rsid w:val="4B054C48"/>
    <w:rsid w:val="4B111EB1"/>
    <w:rsid w:val="4B122D83"/>
    <w:rsid w:val="4B296C14"/>
    <w:rsid w:val="4B471BDF"/>
    <w:rsid w:val="4B480736"/>
    <w:rsid w:val="4B603EF9"/>
    <w:rsid w:val="4B606FBE"/>
    <w:rsid w:val="4B692C1A"/>
    <w:rsid w:val="4B7B7C81"/>
    <w:rsid w:val="4B7E244C"/>
    <w:rsid w:val="4B84171C"/>
    <w:rsid w:val="4B8A2A0D"/>
    <w:rsid w:val="4BA803F5"/>
    <w:rsid w:val="4BEF1E9D"/>
    <w:rsid w:val="4BEF261D"/>
    <w:rsid w:val="4BF74F07"/>
    <w:rsid w:val="4C0849EF"/>
    <w:rsid w:val="4C1E1EFD"/>
    <w:rsid w:val="4C2D08FA"/>
    <w:rsid w:val="4C2D178C"/>
    <w:rsid w:val="4C380D83"/>
    <w:rsid w:val="4C4109A5"/>
    <w:rsid w:val="4C527FFA"/>
    <w:rsid w:val="4C536133"/>
    <w:rsid w:val="4C9A5B3B"/>
    <w:rsid w:val="4CB22BAD"/>
    <w:rsid w:val="4CD77A52"/>
    <w:rsid w:val="4D0C69C4"/>
    <w:rsid w:val="4D0F7FFF"/>
    <w:rsid w:val="4D134C3B"/>
    <w:rsid w:val="4D1426FB"/>
    <w:rsid w:val="4D1A1853"/>
    <w:rsid w:val="4D3C54BD"/>
    <w:rsid w:val="4D582C81"/>
    <w:rsid w:val="4D5A127B"/>
    <w:rsid w:val="4D61529C"/>
    <w:rsid w:val="4D7F33D7"/>
    <w:rsid w:val="4D907392"/>
    <w:rsid w:val="4DA156E0"/>
    <w:rsid w:val="4DAF13DD"/>
    <w:rsid w:val="4DB50BA7"/>
    <w:rsid w:val="4DBC05B9"/>
    <w:rsid w:val="4DBF77E3"/>
    <w:rsid w:val="4DD52FF7"/>
    <w:rsid w:val="4DDD3C5A"/>
    <w:rsid w:val="4DF07E6B"/>
    <w:rsid w:val="4DFF1AA1"/>
    <w:rsid w:val="4E0631B0"/>
    <w:rsid w:val="4E0833CC"/>
    <w:rsid w:val="4E085791"/>
    <w:rsid w:val="4E184475"/>
    <w:rsid w:val="4E2552AD"/>
    <w:rsid w:val="4E340BD7"/>
    <w:rsid w:val="4E372EB3"/>
    <w:rsid w:val="4E3C3076"/>
    <w:rsid w:val="4E402B66"/>
    <w:rsid w:val="4E4C2032"/>
    <w:rsid w:val="4E4E6FC6"/>
    <w:rsid w:val="4E587BEE"/>
    <w:rsid w:val="4E6910A0"/>
    <w:rsid w:val="4E915170"/>
    <w:rsid w:val="4EB726FD"/>
    <w:rsid w:val="4EC07B5F"/>
    <w:rsid w:val="4ED33266"/>
    <w:rsid w:val="4EDC2820"/>
    <w:rsid w:val="4F021BCA"/>
    <w:rsid w:val="4F0676C0"/>
    <w:rsid w:val="4F073684"/>
    <w:rsid w:val="4F2A7373"/>
    <w:rsid w:val="4F2C4280"/>
    <w:rsid w:val="4F38383D"/>
    <w:rsid w:val="4F42290E"/>
    <w:rsid w:val="4F443F90"/>
    <w:rsid w:val="4F8658C2"/>
    <w:rsid w:val="4F9513BA"/>
    <w:rsid w:val="4FD01CC8"/>
    <w:rsid w:val="4FE319FB"/>
    <w:rsid w:val="4FFA7173"/>
    <w:rsid w:val="50034F5C"/>
    <w:rsid w:val="50041972"/>
    <w:rsid w:val="501222E0"/>
    <w:rsid w:val="502B2984"/>
    <w:rsid w:val="505843D2"/>
    <w:rsid w:val="505A4E7C"/>
    <w:rsid w:val="505E72D4"/>
    <w:rsid w:val="506A1275"/>
    <w:rsid w:val="50944501"/>
    <w:rsid w:val="50CA2BBB"/>
    <w:rsid w:val="50CA44B6"/>
    <w:rsid w:val="50DC3A46"/>
    <w:rsid w:val="50E579F5"/>
    <w:rsid w:val="50EA500B"/>
    <w:rsid w:val="50EE1CF2"/>
    <w:rsid w:val="51042AB0"/>
    <w:rsid w:val="51141D44"/>
    <w:rsid w:val="5128521C"/>
    <w:rsid w:val="51317965"/>
    <w:rsid w:val="513454B5"/>
    <w:rsid w:val="513A7EA6"/>
    <w:rsid w:val="51583D23"/>
    <w:rsid w:val="51654EC6"/>
    <w:rsid w:val="516C3C72"/>
    <w:rsid w:val="517B4B12"/>
    <w:rsid w:val="51965349"/>
    <w:rsid w:val="51A027D4"/>
    <w:rsid w:val="51A73EBF"/>
    <w:rsid w:val="51A93D45"/>
    <w:rsid w:val="51AB479B"/>
    <w:rsid w:val="51BF0246"/>
    <w:rsid w:val="51CB6B09"/>
    <w:rsid w:val="51D21E7F"/>
    <w:rsid w:val="51FC2412"/>
    <w:rsid w:val="520143BB"/>
    <w:rsid w:val="52110A39"/>
    <w:rsid w:val="52170BAF"/>
    <w:rsid w:val="523F4EE3"/>
    <w:rsid w:val="52522E68"/>
    <w:rsid w:val="526F087B"/>
    <w:rsid w:val="52802336"/>
    <w:rsid w:val="52833022"/>
    <w:rsid w:val="528C5004"/>
    <w:rsid w:val="528E7A12"/>
    <w:rsid w:val="52AA100F"/>
    <w:rsid w:val="52BB20B5"/>
    <w:rsid w:val="52DA6232"/>
    <w:rsid w:val="52E90D6A"/>
    <w:rsid w:val="52EC1CE1"/>
    <w:rsid w:val="52EF06B7"/>
    <w:rsid w:val="53042DB3"/>
    <w:rsid w:val="5320789E"/>
    <w:rsid w:val="532B49B2"/>
    <w:rsid w:val="53466F6F"/>
    <w:rsid w:val="53506828"/>
    <w:rsid w:val="53513EE3"/>
    <w:rsid w:val="538877C4"/>
    <w:rsid w:val="539B083F"/>
    <w:rsid w:val="53B872B7"/>
    <w:rsid w:val="53BA5797"/>
    <w:rsid w:val="53C30947"/>
    <w:rsid w:val="53DD49B3"/>
    <w:rsid w:val="53F1045F"/>
    <w:rsid w:val="54034D46"/>
    <w:rsid w:val="54316AAD"/>
    <w:rsid w:val="543A1E06"/>
    <w:rsid w:val="545F361A"/>
    <w:rsid w:val="546C2C8D"/>
    <w:rsid w:val="546D0B51"/>
    <w:rsid w:val="547E22A8"/>
    <w:rsid w:val="54837309"/>
    <w:rsid w:val="548739B0"/>
    <w:rsid w:val="54AB2576"/>
    <w:rsid w:val="54B813E9"/>
    <w:rsid w:val="54BA6AA3"/>
    <w:rsid w:val="54C04E83"/>
    <w:rsid w:val="54C358E3"/>
    <w:rsid w:val="54C71234"/>
    <w:rsid w:val="54D062C6"/>
    <w:rsid w:val="54D96CA8"/>
    <w:rsid w:val="54DA5642"/>
    <w:rsid w:val="54DC088F"/>
    <w:rsid w:val="54E3249D"/>
    <w:rsid w:val="54E57FC4"/>
    <w:rsid w:val="54E94076"/>
    <w:rsid w:val="54F61F69"/>
    <w:rsid w:val="54F834E2"/>
    <w:rsid w:val="54FF02B0"/>
    <w:rsid w:val="550E3200"/>
    <w:rsid w:val="55180399"/>
    <w:rsid w:val="551828B9"/>
    <w:rsid w:val="55190EB2"/>
    <w:rsid w:val="5521161C"/>
    <w:rsid w:val="55221AF5"/>
    <w:rsid w:val="552D196B"/>
    <w:rsid w:val="55320D2F"/>
    <w:rsid w:val="55322ADD"/>
    <w:rsid w:val="553920BD"/>
    <w:rsid w:val="5579200B"/>
    <w:rsid w:val="558A1536"/>
    <w:rsid w:val="558C6691"/>
    <w:rsid w:val="558D2C7D"/>
    <w:rsid w:val="55AE327D"/>
    <w:rsid w:val="55C73B6D"/>
    <w:rsid w:val="55DD1A43"/>
    <w:rsid w:val="55DF0EB7"/>
    <w:rsid w:val="55E62245"/>
    <w:rsid w:val="55E72358"/>
    <w:rsid w:val="55F26047"/>
    <w:rsid w:val="55F304BE"/>
    <w:rsid w:val="55F339EE"/>
    <w:rsid w:val="56032D54"/>
    <w:rsid w:val="56130B60"/>
    <w:rsid w:val="561641AD"/>
    <w:rsid w:val="56171DB9"/>
    <w:rsid w:val="56372AA1"/>
    <w:rsid w:val="563C00B7"/>
    <w:rsid w:val="56434DC2"/>
    <w:rsid w:val="566C0C48"/>
    <w:rsid w:val="5676448A"/>
    <w:rsid w:val="56801233"/>
    <w:rsid w:val="56846234"/>
    <w:rsid w:val="56892BD1"/>
    <w:rsid w:val="56921A85"/>
    <w:rsid w:val="56A14DA2"/>
    <w:rsid w:val="56B7277E"/>
    <w:rsid w:val="56C66E8C"/>
    <w:rsid w:val="56CB4F97"/>
    <w:rsid w:val="56D34460"/>
    <w:rsid w:val="56E35E53"/>
    <w:rsid w:val="56F42740"/>
    <w:rsid w:val="56F773FE"/>
    <w:rsid w:val="57080140"/>
    <w:rsid w:val="570D3802"/>
    <w:rsid w:val="57137F76"/>
    <w:rsid w:val="574718F6"/>
    <w:rsid w:val="57697831"/>
    <w:rsid w:val="57733867"/>
    <w:rsid w:val="57781A31"/>
    <w:rsid w:val="578D1B53"/>
    <w:rsid w:val="57C00874"/>
    <w:rsid w:val="57D652CB"/>
    <w:rsid w:val="57EF1159"/>
    <w:rsid w:val="57F16C7F"/>
    <w:rsid w:val="57FB5D50"/>
    <w:rsid w:val="581747BE"/>
    <w:rsid w:val="584119B5"/>
    <w:rsid w:val="584720E0"/>
    <w:rsid w:val="58514EC4"/>
    <w:rsid w:val="587B7026"/>
    <w:rsid w:val="588261A9"/>
    <w:rsid w:val="58AF7060"/>
    <w:rsid w:val="58BC07AC"/>
    <w:rsid w:val="58C2274A"/>
    <w:rsid w:val="58FC3B2E"/>
    <w:rsid w:val="590F5B0B"/>
    <w:rsid w:val="59345092"/>
    <w:rsid w:val="593C68FB"/>
    <w:rsid w:val="594125E1"/>
    <w:rsid w:val="59452D05"/>
    <w:rsid w:val="594A6647"/>
    <w:rsid w:val="5980475F"/>
    <w:rsid w:val="59890B4E"/>
    <w:rsid w:val="598C4EB2"/>
    <w:rsid w:val="5991500E"/>
    <w:rsid w:val="599D70BF"/>
    <w:rsid w:val="59C83A10"/>
    <w:rsid w:val="59EE791A"/>
    <w:rsid w:val="59FE5684"/>
    <w:rsid w:val="5A037755"/>
    <w:rsid w:val="5A1621EF"/>
    <w:rsid w:val="5A56726E"/>
    <w:rsid w:val="5A64019D"/>
    <w:rsid w:val="5A656F50"/>
    <w:rsid w:val="5A6E2809"/>
    <w:rsid w:val="5A77219E"/>
    <w:rsid w:val="5A7B0A82"/>
    <w:rsid w:val="5A7D2A4C"/>
    <w:rsid w:val="5A81078E"/>
    <w:rsid w:val="5A844577"/>
    <w:rsid w:val="5AA24261"/>
    <w:rsid w:val="5AA30141"/>
    <w:rsid w:val="5AAF7962"/>
    <w:rsid w:val="5AC73CC7"/>
    <w:rsid w:val="5ADF3408"/>
    <w:rsid w:val="5AE350F6"/>
    <w:rsid w:val="5AF2100E"/>
    <w:rsid w:val="5AF95DD8"/>
    <w:rsid w:val="5B0F1498"/>
    <w:rsid w:val="5B1A473F"/>
    <w:rsid w:val="5B416C51"/>
    <w:rsid w:val="5B583BEB"/>
    <w:rsid w:val="5B631C42"/>
    <w:rsid w:val="5B7B3430"/>
    <w:rsid w:val="5B9242D5"/>
    <w:rsid w:val="5B991165"/>
    <w:rsid w:val="5B994151"/>
    <w:rsid w:val="5BA67D81"/>
    <w:rsid w:val="5BDD7C46"/>
    <w:rsid w:val="5C20620F"/>
    <w:rsid w:val="5C2607E5"/>
    <w:rsid w:val="5C2C297C"/>
    <w:rsid w:val="5C3929A3"/>
    <w:rsid w:val="5C451D35"/>
    <w:rsid w:val="5C4750C0"/>
    <w:rsid w:val="5C491224"/>
    <w:rsid w:val="5C49708A"/>
    <w:rsid w:val="5C5A45EF"/>
    <w:rsid w:val="5C6466F4"/>
    <w:rsid w:val="5C652C7F"/>
    <w:rsid w:val="5C662A50"/>
    <w:rsid w:val="5C6815EF"/>
    <w:rsid w:val="5C732359"/>
    <w:rsid w:val="5C7560D1"/>
    <w:rsid w:val="5C7969B5"/>
    <w:rsid w:val="5C7D4F86"/>
    <w:rsid w:val="5C976331"/>
    <w:rsid w:val="5CA154EB"/>
    <w:rsid w:val="5CAC26CB"/>
    <w:rsid w:val="5CBA0400"/>
    <w:rsid w:val="5CC251C0"/>
    <w:rsid w:val="5CDC7EFE"/>
    <w:rsid w:val="5CDF79EE"/>
    <w:rsid w:val="5CE61362"/>
    <w:rsid w:val="5D053E5C"/>
    <w:rsid w:val="5D053F7F"/>
    <w:rsid w:val="5D261179"/>
    <w:rsid w:val="5D3820D9"/>
    <w:rsid w:val="5D4B5084"/>
    <w:rsid w:val="5D4D2BAA"/>
    <w:rsid w:val="5D584DCA"/>
    <w:rsid w:val="5D5F7CC1"/>
    <w:rsid w:val="5D681761"/>
    <w:rsid w:val="5D704B3B"/>
    <w:rsid w:val="5D7E2D63"/>
    <w:rsid w:val="5D8D5FDA"/>
    <w:rsid w:val="5D9E6F62"/>
    <w:rsid w:val="5D9F1A1B"/>
    <w:rsid w:val="5DA602E2"/>
    <w:rsid w:val="5DB22A0D"/>
    <w:rsid w:val="5DBB48CC"/>
    <w:rsid w:val="5DC00580"/>
    <w:rsid w:val="5DCA4341"/>
    <w:rsid w:val="5DCD5A99"/>
    <w:rsid w:val="5DCE3495"/>
    <w:rsid w:val="5DD77991"/>
    <w:rsid w:val="5DEE7E97"/>
    <w:rsid w:val="5DFC012C"/>
    <w:rsid w:val="5E1E199A"/>
    <w:rsid w:val="5E225DE5"/>
    <w:rsid w:val="5E2558D5"/>
    <w:rsid w:val="5E3178EB"/>
    <w:rsid w:val="5E323B4E"/>
    <w:rsid w:val="5E435D5B"/>
    <w:rsid w:val="5E5F664B"/>
    <w:rsid w:val="5E6A6AA9"/>
    <w:rsid w:val="5E756369"/>
    <w:rsid w:val="5E7E45FE"/>
    <w:rsid w:val="5E816FDD"/>
    <w:rsid w:val="5E8E6FD6"/>
    <w:rsid w:val="5E985041"/>
    <w:rsid w:val="5EA467FA"/>
    <w:rsid w:val="5EC27110"/>
    <w:rsid w:val="5ECF0FEE"/>
    <w:rsid w:val="5EDE56B9"/>
    <w:rsid w:val="5F047C1E"/>
    <w:rsid w:val="5F0C558A"/>
    <w:rsid w:val="5F100A56"/>
    <w:rsid w:val="5F14535C"/>
    <w:rsid w:val="5F193B52"/>
    <w:rsid w:val="5F1B04DA"/>
    <w:rsid w:val="5F261904"/>
    <w:rsid w:val="5F29288B"/>
    <w:rsid w:val="5F36141C"/>
    <w:rsid w:val="5F3759A0"/>
    <w:rsid w:val="5F5B78AA"/>
    <w:rsid w:val="5F681281"/>
    <w:rsid w:val="5F702B80"/>
    <w:rsid w:val="5F8B1768"/>
    <w:rsid w:val="5FB62A8E"/>
    <w:rsid w:val="5FDB26EF"/>
    <w:rsid w:val="5FDC6FF7"/>
    <w:rsid w:val="5FF61782"/>
    <w:rsid w:val="5FFE63DD"/>
    <w:rsid w:val="600C0AFA"/>
    <w:rsid w:val="60487659"/>
    <w:rsid w:val="605F2313"/>
    <w:rsid w:val="606F2847"/>
    <w:rsid w:val="6074563B"/>
    <w:rsid w:val="607602AB"/>
    <w:rsid w:val="608F7035"/>
    <w:rsid w:val="609701A8"/>
    <w:rsid w:val="609805E0"/>
    <w:rsid w:val="60997EB4"/>
    <w:rsid w:val="609F65A9"/>
    <w:rsid w:val="60A42096"/>
    <w:rsid w:val="60AE32D7"/>
    <w:rsid w:val="60D64C64"/>
    <w:rsid w:val="60D94755"/>
    <w:rsid w:val="60E7011F"/>
    <w:rsid w:val="60FC3760"/>
    <w:rsid w:val="611814CD"/>
    <w:rsid w:val="61250763"/>
    <w:rsid w:val="61442516"/>
    <w:rsid w:val="6148266D"/>
    <w:rsid w:val="61596B36"/>
    <w:rsid w:val="61761B12"/>
    <w:rsid w:val="6183303E"/>
    <w:rsid w:val="61882403"/>
    <w:rsid w:val="61931F26"/>
    <w:rsid w:val="61A86230"/>
    <w:rsid w:val="61AC4C30"/>
    <w:rsid w:val="61C72C6F"/>
    <w:rsid w:val="61CC1473"/>
    <w:rsid w:val="61CF2F54"/>
    <w:rsid w:val="61CF5C9D"/>
    <w:rsid w:val="61D45803"/>
    <w:rsid w:val="61D52815"/>
    <w:rsid w:val="61D61087"/>
    <w:rsid w:val="61FA2959"/>
    <w:rsid w:val="62055C39"/>
    <w:rsid w:val="620D2908"/>
    <w:rsid w:val="62116A72"/>
    <w:rsid w:val="621622D7"/>
    <w:rsid w:val="621A3DA5"/>
    <w:rsid w:val="622C619A"/>
    <w:rsid w:val="622F0AAA"/>
    <w:rsid w:val="62550AF8"/>
    <w:rsid w:val="626F19F8"/>
    <w:rsid w:val="62774225"/>
    <w:rsid w:val="628964F1"/>
    <w:rsid w:val="628D3A49"/>
    <w:rsid w:val="629D1EDE"/>
    <w:rsid w:val="629E17B2"/>
    <w:rsid w:val="62A46BEE"/>
    <w:rsid w:val="62AC0373"/>
    <w:rsid w:val="62BC176F"/>
    <w:rsid w:val="62C31218"/>
    <w:rsid w:val="62D376AD"/>
    <w:rsid w:val="62E775FD"/>
    <w:rsid w:val="62F02493"/>
    <w:rsid w:val="62FC2E12"/>
    <w:rsid w:val="6309501A"/>
    <w:rsid w:val="6312766C"/>
    <w:rsid w:val="631A15BC"/>
    <w:rsid w:val="63250337"/>
    <w:rsid w:val="63273EE9"/>
    <w:rsid w:val="63352116"/>
    <w:rsid w:val="634C2B4E"/>
    <w:rsid w:val="63732C3E"/>
    <w:rsid w:val="63833F43"/>
    <w:rsid w:val="63924CA5"/>
    <w:rsid w:val="63AE1EC8"/>
    <w:rsid w:val="63BB4093"/>
    <w:rsid w:val="63BF6FD1"/>
    <w:rsid w:val="63C334D0"/>
    <w:rsid w:val="63CD67F3"/>
    <w:rsid w:val="63EA26B5"/>
    <w:rsid w:val="63F17E5D"/>
    <w:rsid w:val="64017D37"/>
    <w:rsid w:val="642301C1"/>
    <w:rsid w:val="642660BF"/>
    <w:rsid w:val="64346872"/>
    <w:rsid w:val="64417664"/>
    <w:rsid w:val="644B3FD6"/>
    <w:rsid w:val="64631FA7"/>
    <w:rsid w:val="64641DE6"/>
    <w:rsid w:val="647153D0"/>
    <w:rsid w:val="64760C38"/>
    <w:rsid w:val="647924D6"/>
    <w:rsid w:val="64A31301"/>
    <w:rsid w:val="64AA6B34"/>
    <w:rsid w:val="64B662BA"/>
    <w:rsid w:val="64CC1176"/>
    <w:rsid w:val="64D44401"/>
    <w:rsid w:val="64DB0A9B"/>
    <w:rsid w:val="64E33DF4"/>
    <w:rsid w:val="64E46C13"/>
    <w:rsid w:val="650A271C"/>
    <w:rsid w:val="650D2C1F"/>
    <w:rsid w:val="654B64F1"/>
    <w:rsid w:val="656474A8"/>
    <w:rsid w:val="65692DF8"/>
    <w:rsid w:val="656C649E"/>
    <w:rsid w:val="659D21F5"/>
    <w:rsid w:val="65A75E64"/>
    <w:rsid w:val="65B751DF"/>
    <w:rsid w:val="65DC272C"/>
    <w:rsid w:val="66177D53"/>
    <w:rsid w:val="662569E8"/>
    <w:rsid w:val="66343EE4"/>
    <w:rsid w:val="663D7795"/>
    <w:rsid w:val="663E7534"/>
    <w:rsid w:val="66424284"/>
    <w:rsid w:val="665B0080"/>
    <w:rsid w:val="666421AC"/>
    <w:rsid w:val="66703465"/>
    <w:rsid w:val="667529CC"/>
    <w:rsid w:val="667D6E57"/>
    <w:rsid w:val="668A10A4"/>
    <w:rsid w:val="669C425A"/>
    <w:rsid w:val="669F0140"/>
    <w:rsid w:val="66A3383B"/>
    <w:rsid w:val="66A52D12"/>
    <w:rsid w:val="66BD690D"/>
    <w:rsid w:val="66C11670"/>
    <w:rsid w:val="66C34AD7"/>
    <w:rsid w:val="66CD4D5B"/>
    <w:rsid w:val="67006EDF"/>
    <w:rsid w:val="670342D9"/>
    <w:rsid w:val="67065EAD"/>
    <w:rsid w:val="672101E2"/>
    <w:rsid w:val="6723497B"/>
    <w:rsid w:val="672B78DD"/>
    <w:rsid w:val="67313CD0"/>
    <w:rsid w:val="673A282D"/>
    <w:rsid w:val="673D77EE"/>
    <w:rsid w:val="67427FD5"/>
    <w:rsid w:val="67430B7A"/>
    <w:rsid w:val="67580AC9"/>
    <w:rsid w:val="675D60DF"/>
    <w:rsid w:val="677C04BF"/>
    <w:rsid w:val="678E30F0"/>
    <w:rsid w:val="67CA446A"/>
    <w:rsid w:val="67CF4176"/>
    <w:rsid w:val="67DB2545"/>
    <w:rsid w:val="67EB5499"/>
    <w:rsid w:val="680E2794"/>
    <w:rsid w:val="68185BEC"/>
    <w:rsid w:val="68185DB0"/>
    <w:rsid w:val="683430E3"/>
    <w:rsid w:val="6834396F"/>
    <w:rsid w:val="68352BB8"/>
    <w:rsid w:val="683A4770"/>
    <w:rsid w:val="685E210F"/>
    <w:rsid w:val="68600C8A"/>
    <w:rsid w:val="68773D84"/>
    <w:rsid w:val="68776D2D"/>
    <w:rsid w:val="687818B2"/>
    <w:rsid w:val="68951C23"/>
    <w:rsid w:val="689945F4"/>
    <w:rsid w:val="689B72B9"/>
    <w:rsid w:val="68B00491"/>
    <w:rsid w:val="68B77053"/>
    <w:rsid w:val="68BC5088"/>
    <w:rsid w:val="68DE5A98"/>
    <w:rsid w:val="68F93287"/>
    <w:rsid w:val="68FF0055"/>
    <w:rsid w:val="690E0A31"/>
    <w:rsid w:val="691B3B5C"/>
    <w:rsid w:val="6934747A"/>
    <w:rsid w:val="693C3AD3"/>
    <w:rsid w:val="693E3CEF"/>
    <w:rsid w:val="693F44AA"/>
    <w:rsid w:val="6941024E"/>
    <w:rsid w:val="694D7EA1"/>
    <w:rsid w:val="69595A37"/>
    <w:rsid w:val="695F6AA7"/>
    <w:rsid w:val="69C2117F"/>
    <w:rsid w:val="6A0D2111"/>
    <w:rsid w:val="6A1A7B2E"/>
    <w:rsid w:val="6A1C1987"/>
    <w:rsid w:val="6A22716C"/>
    <w:rsid w:val="6A3A2708"/>
    <w:rsid w:val="6A4B0471"/>
    <w:rsid w:val="6A521800"/>
    <w:rsid w:val="6A57033F"/>
    <w:rsid w:val="6A5B4F3A"/>
    <w:rsid w:val="6A615C0C"/>
    <w:rsid w:val="6A7150BE"/>
    <w:rsid w:val="6A794FDE"/>
    <w:rsid w:val="6A805791"/>
    <w:rsid w:val="6A87794F"/>
    <w:rsid w:val="6AB55B20"/>
    <w:rsid w:val="6AB9187F"/>
    <w:rsid w:val="6AC621DA"/>
    <w:rsid w:val="6ACF0CFE"/>
    <w:rsid w:val="6AD22940"/>
    <w:rsid w:val="6AE27497"/>
    <w:rsid w:val="6AF02DC7"/>
    <w:rsid w:val="6AF87719"/>
    <w:rsid w:val="6AFC5C0F"/>
    <w:rsid w:val="6B49014F"/>
    <w:rsid w:val="6B5330DC"/>
    <w:rsid w:val="6B8511EB"/>
    <w:rsid w:val="6B8E2EE0"/>
    <w:rsid w:val="6BE53927"/>
    <w:rsid w:val="6BE760C1"/>
    <w:rsid w:val="6BEF005D"/>
    <w:rsid w:val="6BF07522"/>
    <w:rsid w:val="6BF44EAF"/>
    <w:rsid w:val="6BFD3AA1"/>
    <w:rsid w:val="6C007039"/>
    <w:rsid w:val="6C482A24"/>
    <w:rsid w:val="6C4F38EA"/>
    <w:rsid w:val="6C5555D7"/>
    <w:rsid w:val="6C586513"/>
    <w:rsid w:val="6C5970B1"/>
    <w:rsid w:val="6C5E0AE3"/>
    <w:rsid w:val="6C824F82"/>
    <w:rsid w:val="6C8372C5"/>
    <w:rsid w:val="6C907761"/>
    <w:rsid w:val="6C9C4A54"/>
    <w:rsid w:val="6CA420BB"/>
    <w:rsid w:val="6CAD5B56"/>
    <w:rsid w:val="6CC91389"/>
    <w:rsid w:val="6CDA51DD"/>
    <w:rsid w:val="6D1622F5"/>
    <w:rsid w:val="6D2B458A"/>
    <w:rsid w:val="6D2C6F7C"/>
    <w:rsid w:val="6D4441F0"/>
    <w:rsid w:val="6D594C53"/>
    <w:rsid w:val="6D5C19F7"/>
    <w:rsid w:val="6D6326C2"/>
    <w:rsid w:val="6D6C3F14"/>
    <w:rsid w:val="6D8223FC"/>
    <w:rsid w:val="6D8D1723"/>
    <w:rsid w:val="6D8E6FF3"/>
    <w:rsid w:val="6DB30807"/>
    <w:rsid w:val="6DB56CBE"/>
    <w:rsid w:val="6DC742B3"/>
    <w:rsid w:val="6DE763B7"/>
    <w:rsid w:val="6DEF7365"/>
    <w:rsid w:val="6DF83CA5"/>
    <w:rsid w:val="6E001573"/>
    <w:rsid w:val="6E1127B0"/>
    <w:rsid w:val="6E243EE6"/>
    <w:rsid w:val="6E331948"/>
    <w:rsid w:val="6E334A27"/>
    <w:rsid w:val="6E4B6C92"/>
    <w:rsid w:val="6E4D2CED"/>
    <w:rsid w:val="6E7862F5"/>
    <w:rsid w:val="6E850527"/>
    <w:rsid w:val="6E910CC8"/>
    <w:rsid w:val="6E9D1BBC"/>
    <w:rsid w:val="6EA36ACE"/>
    <w:rsid w:val="6EBB1D37"/>
    <w:rsid w:val="6EC23737"/>
    <w:rsid w:val="6ECB572E"/>
    <w:rsid w:val="6ECB7DD2"/>
    <w:rsid w:val="6ECC175F"/>
    <w:rsid w:val="6ED749C9"/>
    <w:rsid w:val="6EFC1D3A"/>
    <w:rsid w:val="6EFC61DE"/>
    <w:rsid w:val="6F173018"/>
    <w:rsid w:val="6F33173A"/>
    <w:rsid w:val="6F3F1180"/>
    <w:rsid w:val="6F7361A4"/>
    <w:rsid w:val="6F7B35A7"/>
    <w:rsid w:val="6F9A1CC2"/>
    <w:rsid w:val="6FA46A19"/>
    <w:rsid w:val="6FA64737"/>
    <w:rsid w:val="6FB424BF"/>
    <w:rsid w:val="6FB50225"/>
    <w:rsid w:val="6FC75550"/>
    <w:rsid w:val="6FCF56A0"/>
    <w:rsid w:val="6FF4457F"/>
    <w:rsid w:val="70001CFE"/>
    <w:rsid w:val="7003050D"/>
    <w:rsid w:val="703F23C8"/>
    <w:rsid w:val="706406DD"/>
    <w:rsid w:val="70671D7D"/>
    <w:rsid w:val="706E5B0D"/>
    <w:rsid w:val="70885675"/>
    <w:rsid w:val="708B58B2"/>
    <w:rsid w:val="70A5064C"/>
    <w:rsid w:val="70B34FC2"/>
    <w:rsid w:val="70CC3DEB"/>
    <w:rsid w:val="70EA61F8"/>
    <w:rsid w:val="70F6426E"/>
    <w:rsid w:val="70FD7FEB"/>
    <w:rsid w:val="710C4630"/>
    <w:rsid w:val="71117E32"/>
    <w:rsid w:val="71145A61"/>
    <w:rsid w:val="71306613"/>
    <w:rsid w:val="7131740F"/>
    <w:rsid w:val="71357785"/>
    <w:rsid w:val="71515BD8"/>
    <w:rsid w:val="71654D19"/>
    <w:rsid w:val="717C7162"/>
    <w:rsid w:val="71833A0B"/>
    <w:rsid w:val="719426FE"/>
    <w:rsid w:val="71B20DD6"/>
    <w:rsid w:val="71B9461D"/>
    <w:rsid w:val="71D662F7"/>
    <w:rsid w:val="71EF3DD8"/>
    <w:rsid w:val="72054D8D"/>
    <w:rsid w:val="722826E8"/>
    <w:rsid w:val="723B3782"/>
    <w:rsid w:val="72406FD7"/>
    <w:rsid w:val="72654FED"/>
    <w:rsid w:val="726F6CC7"/>
    <w:rsid w:val="727530DA"/>
    <w:rsid w:val="72917DE8"/>
    <w:rsid w:val="72987FCC"/>
    <w:rsid w:val="72A921D9"/>
    <w:rsid w:val="72AA67FC"/>
    <w:rsid w:val="72B63CCC"/>
    <w:rsid w:val="72C37A54"/>
    <w:rsid w:val="72FF12A0"/>
    <w:rsid w:val="73196D06"/>
    <w:rsid w:val="73257AFD"/>
    <w:rsid w:val="73426189"/>
    <w:rsid w:val="73497518"/>
    <w:rsid w:val="735071F1"/>
    <w:rsid w:val="737956B3"/>
    <w:rsid w:val="737C169B"/>
    <w:rsid w:val="737E3665"/>
    <w:rsid w:val="738A0313"/>
    <w:rsid w:val="73902BA3"/>
    <w:rsid w:val="739131F1"/>
    <w:rsid w:val="73A3682E"/>
    <w:rsid w:val="73A43B44"/>
    <w:rsid w:val="73AB2921"/>
    <w:rsid w:val="73B61F92"/>
    <w:rsid w:val="73B74401"/>
    <w:rsid w:val="73CD0149"/>
    <w:rsid w:val="73D414D7"/>
    <w:rsid w:val="73F25E01"/>
    <w:rsid w:val="741B08FE"/>
    <w:rsid w:val="74375FCC"/>
    <w:rsid w:val="745F3497"/>
    <w:rsid w:val="747F61D2"/>
    <w:rsid w:val="748A29CA"/>
    <w:rsid w:val="748F6929"/>
    <w:rsid w:val="749332CB"/>
    <w:rsid w:val="74B86E6E"/>
    <w:rsid w:val="74BB20D6"/>
    <w:rsid w:val="74EB0C12"/>
    <w:rsid w:val="74F654B3"/>
    <w:rsid w:val="75021CAB"/>
    <w:rsid w:val="750E6D6A"/>
    <w:rsid w:val="752D5AEB"/>
    <w:rsid w:val="75335098"/>
    <w:rsid w:val="756D573F"/>
    <w:rsid w:val="75B3511C"/>
    <w:rsid w:val="75BE4570"/>
    <w:rsid w:val="75BF7F65"/>
    <w:rsid w:val="75C0221A"/>
    <w:rsid w:val="75CA7AAF"/>
    <w:rsid w:val="75CD79D6"/>
    <w:rsid w:val="75CF621A"/>
    <w:rsid w:val="75D61A57"/>
    <w:rsid w:val="75E10069"/>
    <w:rsid w:val="75E32440"/>
    <w:rsid w:val="762A3678"/>
    <w:rsid w:val="762A3A5D"/>
    <w:rsid w:val="763612C0"/>
    <w:rsid w:val="764C198E"/>
    <w:rsid w:val="76571F4C"/>
    <w:rsid w:val="765E6BE4"/>
    <w:rsid w:val="766A1C7F"/>
    <w:rsid w:val="766D54BA"/>
    <w:rsid w:val="76736C0F"/>
    <w:rsid w:val="7686417E"/>
    <w:rsid w:val="769F5FFB"/>
    <w:rsid w:val="76A97301"/>
    <w:rsid w:val="76C21ABB"/>
    <w:rsid w:val="76C2215E"/>
    <w:rsid w:val="76D91319"/>
    <w:rsid w:val="76DE441B"/>
    <w:rsid w:val="7706409E"/>
    <w:rsid w:val="771040AD"/>
    <w:rsid w:val="7717695B"/>
    <w:rsid w:val="773A5AF5"/>
    <w:rsid w:val="77493A41"/>
    <w:rsid w:val="774A174C"/>
    <w:rsid w:val="775407D3"/>
    <w:rsid w:val="777D59E2"/>
    <w:rsid w:val="77A0497B"/>
    <w:rsid w:val="77A3571E"/>
    <w:rsid w:val="77A613DD"/>
    <w:rsid w:val="77B400B5"/>
    <w:rsid w:val="77ED6F6B"/>
    <w:rsid w:val="77F05D92"/>
    <w:rsid w:val="77FF289B"/>
    <w:rsid w:val="7803238B"/>
    <w:rsid w:val="780B2412"/>
    <w:rsid w:val="78106856"/>
    <w:rsid w:val="781E0018"/>
    <w:rsid w:val="78341F20"/>
    <w:rsid w:val="783A509C"/>
    <w:rsid w:val="78434E7D"/>
    <w:rsid w:val="7865060D"/>
    <w:rsid w:val="786D2B16"/>
    <w:rsid w:val="788B412F"/>
    <w:rsid w:val="789E20B4"/>
    <w:rsid w:val="78AA0A59"/>
    <w:rsid w:val="78BB732F"/>
    <w:rsid w:val="78BD078C"/>
    <w:rsid w:val="78C37D6C"/>
    <w:rsid w:val="78C52FA6"/>
    <w:rsid w:val="78C942A5"/>
    <w:rsid w:val="78EA52F9"/>
    <w:rsid w:val="78F45A6B"/>
    <w:rsid w:val="790B1EAE"/>
    <w:rsid w:val="79112C9F"/>
    <w:rsid w:val="79220486"/>
    <w:rsid w:val="79224A93"/>
    <w:rsid w:val="79285305"/>
    <w:rsid w:val="793D5330"/>
    <w:rsid w:val="79522E9F"/>
    <w:rsid w:val="796740A3"/>
    <w:rsid w:val="79694470"/>
    <w:rsid w:val="79915775"/>
    <w:rsid w:val="799534B7"/>
    <w:rsid w:val="79A24919"/>
    <w:rsid w:val="79B871A5"/>
    <w:rsid w:val="79C54162"/>
    <w:rsid w:val="79D12138"/>
    <w:rsid w:val="79E85CDC"/>
    <w:rsid w:val="79ED32F3"/>
    <w:rsid w:val="79EE114A"/>
    <w:rsid w:val="79F04B91"/>
    <w:rsid w:val="7A020BB7"/>
    <w:rsid w:val="7A067F11"/>
    <w:rsid w:val="7A0B5527"/>
    <w:rsid w:val="7A1523AF"/>
    <w:rsid w:val="7A1778A4"/>
    <w:rsid w:val="7A2134D3"/>
    <w:rsid w:val="7A2B7977"/>
    <w:rsid w:val="7A3202F2"/>
    <w:rsid w:val="7A6A2589"/>
    <w:rsid w:val="7A7B6C5E"/>
    <w:rsid w:val="7A8F6158"/>
    <w:rsid w:val="7A9D51F4"/>
    <w:rsid w:val="7AAA71F7"/>
    <w:rsid w:val="7ABB7A70"/>
    <w:rsid w:val="7AC202DC"/>
    <w:rsid w:val="7AC76E2D"/>
    <w:rsid w:val="7AD848B6"/>
    <w:rsid w:val="7ADC7965"/>
    <w:rsid w:val="7AFB0237"/>
    <w:rsid w:val="7B0B1699"/>
    <w:rsid w:val="7B360CE6"/>
    <w:rsid w:val="7B476157"/>
    <w:rsid w:val="7B604649"/>
    <w:rsid w:val="7B66338F"/>
    <w:rsid w:val="7B7F441F"/>
    <w:rsid w:val="7B7F7228"/>
    <w:rsid w:val="7B845156"/>
    <w:rsid w:val="7BA71F7C"/>
    <w:rsid w:val="7BCE6B3D"/>
    <w:rsid w:val="7BD04C7A"/>
    <w:rsid w:val="7BE735E0"/>
    <w:rsid w:val="7BF22E42"/>
    <w:rsid w:val="7BF61EB4"/>
    <w:rsid w:val="7BF943A3"/>
    <w:rsid w:val="7C120DEF"/>
    <w:rsid w:val="7C1C00B4"/>
    <w:rsid w:val="7C35247C"/>
    <w:rsid w:val="7C5B1752"/>
    <w:rsid w:val="7C5B4DE5"/>
    <w:rsid w:val="7C5B6663"/>
    <w:rsid w:val="7C6453C2"/>
    <w:rsid w:val="7C7061BC"/>
    <w:rsid w:val="7C8732AD"/>
    <w:rsid w:val="7C903412"/>
    <w:rsid w:val="7CB579CC"/>
    <w:rsid w:val="7CD862DC"/>
    <w:rsid w:val="7CDC3B85"/>
    <w:rsid w:val="7D036989"/>
    <w:rsid w:val="7D097C47"/>
    <w:rsid w:val="7D0C1750"/>
    <w:rsid w:val="7D1110A6"/>
    <w:rsid w:val="7D192609"/>
    <w:rsid w:val="7D2863F0"/>
    <w:rsid w:val="7D2F2924"/>
    <w:rsid w:val="7D3134F6"/>
    <w:rsid w:val="7D781125"/>
    <w:rsid w:val="7D976E56"/>
    <w:rsid w:val="7DA407F4"/>
    <w:rsid w:val="7DA4082D"/>
    <w:rsid w:val="7DA8204B"/>
    <w:rsid w:val="7DE844FD"/>
    <w:rsid w:val="7E0230E5"/>
    <w:rsid w:val="7E0B44FF"/>
    <w:rsid w:val="7E0E1A8A"/>
    <w:rsid w:val="7E260B81"/>
    <w:rsid w:val="7E2748F9"/>
    <w:rsid w:val="7E413C0D"/>
    <w:rsid w:val="7E696CC0"/>
    <w:rsid w:val="7E7109CC"/>
    <w:rsid w:val="7E835FD4"/>
    <w:rsid w:val="7E837D82"/>
    <w:rsid w:val="7E9A50CB"/>
    <w:rsid w:val="7EA55CBC"/>
    <w:rsid w:val="7EAF6DC9"/>
    <w:rsid w:val="7EBD3B94"/>
    <w:rsid w:val="7EC97D8B"/>
    <w:rsid w:val="7EDD3A1E"/>
    <w:rsid w:val="7EE14AF8"/>
    <w:rsid w:val="7EF50B7A"/>
    <w:rsid w:val="7F125D8F"/>
    <w:rsid w:val="7F1629A4"/>
    <w:rsid w:val="7F30688D"/>
    <w:rsid w:val="7F3E1EFB"/>
    <w:rsid w:val="7F3E639F"/>
    <w:rsid w:val="7F78540D"/>
    <w:rsid w:val="7F8006C2"/>
    <w:rsid w:val="7F8517BA"/>
    <w:rsid w:val="7F9C7B44"/>
    <w:rsid w:val="7FAB57B6"/>
    <w:rsid w:val="7FAF4BA7"/>
    <w:rsid w:val="7FB2469E"/>
    <w:rsid w:val="7FB77780"/>
    <w:rsid w:val="7FD02A1D"/>
    <w:rsid w:val="7FF1421B"/>
    <w:rsid w:val="7FF33517"/>
    <w:rsid w:val="7FF806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kinsoku/>
      <w:adjustRightInd w:val="0"/>
      <w:snapToGrid w:val="0"/>
      <w:spacing w:line="360" w:lineRule="auto"/>
      <w:ind w:firstLine="200" w:firstLineChars="200"/>
      <w:jc w:val="both"/>
      <w:textAlignment w:val="baseline"/>
      <w:pPrChange w:id="0" w:author="Administrator" w:date="2024-07-29T12:30:00Z">
        <w:pPr>
          <w:kinsoku w:val="0"/>
          <w:autoSpaceDE w:val="0"/>
          <w:autoSpaceDN w:val="0"/>
          <w:adjustRightInd w:val="0"/>
          <w:snapToGrid w:val="0"/>
          <w:spacing w:line="360" w:lineRule="auto"/>
          <w:textAlignment w:val="baseline"/>
        </w:pPr>
      </w:pPrChange>
    </w:pPr>
    <w:rPr>
      <w:rFonts w:ascii="宋体" w:hAnsi="宋体" w:eastAsia="宋体" w:cs="Arial"/>
      <w:snapToGrid w:val="0"/>
      <w:color w:val="000000"/>
      <w:sz w:val="24"/>
      <w:szCs w:val="21"/>
      <w:lang w:val="en-US" w:eastAsia="en-US" w:bidi="ar-SA"/>
      <w:rPrChange w:id="1" w:author="Administrator" w:date="2024-07-29T12:30:00Z">
        <w:rPr>
          <w:rFonts w:ascii="Arial" w:hAnsi="Arial" w:eastAsia="宋体" w:cs="Arial"/>
          <w:snapToGrid w:val="0"/>
          <w:color w:val="000000"/>
          <w:sz w:val="21"/>
          <w:szCs w:val="21"/>
          <w:lang w:val="en-US" w:eastAsia="en-US" w:bidi="ar-SA"/>
        </w:rPr>
      </w:rPrChange>
    </w:rPr>
  </w:style>
  <w:style w:type="paragraph" w:styleId="2">
    <w:name w:val="heading 1"/>
    <w:basedOn w:val="1"/>
    <w:next w:val="1"/>
    <w:link w:val="59"/>
    <w:qFormat/>
    <w:uiPriority w:val="0"/>
    <w:pPr>
      <w:keepNext/>
      <w:keepLines/>
      <w:ind w:firstLine="0" w:firstLineChars="0"/>
      <w:jc w:val="center"/>
      <w:outlineLvl w:val="0"/>
      <w:pPrChange w:id="2" w:author="Administrator" w:date="2024-07-29T12:42:00Z">
        <w:pPr>
          <w:keepNext/>
          <w:keepLines/>
          <w:kinsoku w:val="0"/>
          <w:autoSpaceDE w:val="0"/>
          <w:autoSpaceDN w:val="0"/>
          <w:adjustRightInd w:val="0"/>
          <w:snapToGrid w:val="0"/>
          <w:spacing w:line="576" w:lineRule="auto"/>
          <w:textAlignment w:val="baseline"/>
          <w:outlineLvl w:val="0"/>
        </w:pPr>
      </w:pPrChange>
    </w:pPr>
    <w:rPr>
      <w:b/>
      <w:kern w:val="44"/>
      <w:sz w:val="36"/>
      <w:rPrChange w:id="3" w:author="Administrator" w:date="2024-07-29T12:42:00Z">
        <w:rPr>
          <w:rFonts w:ascii="Arial" w:hAnsi="Arial" w:eastAsia="宋体" w:cs="Arial"/>
          <w:b/>
          <w:snapToGrid w:val="0"/>
          <w:color w:val="000000"/>
          <w:kern w:val="44"/>
          <w:sz w:val="32"/>
          <w:szCs w:val="21"/>
          <w:lang w:val="en-US" w:eastAsia="en-US" w:bidi="ar-SA"/>
        </w:rPr>
      </w:rPrChange>
    </w:rPr>
  </w:style>
  <w:style w:type="paragraph" w:styleId="3">
    <w:name w:val="heading 2"/>
    <w:basedOn w:val="1"/>
    <w:next w:val="1"/>
    <w:link w:val="60"/>
    <w:qFormat/>
    <w:uiPriority w:val="99"/>
    <w:pPr>
      <w:keepNext/>
      <w:keepLines/>
      <w:kinsoku/>
      <w:wordWrap w:val="0"/>
      <w:adjustRightInd/>
      <w:snapToGrid/>
      <w:ind w:firstLine="0" w:firstLineChars="0"/>
      <w:textAlignment w:val="auto"/>
      <w:outlineLvl w:val="1"/>
    </w:pPr>
    <w:rPr>
      <w:rFonts w:cs="Mongolian Baiti"/>
      <w:b/>
      <w:bCs/>
      <w:snapToGrid/>
      <w:sz w:val="30"/>
      <w:szCs w:val="32"/>
      <w:lang w:eastAsia="zh-CN" w:bidi="en-US"/>
    </w:rPr>
  </w:style>
  <w:style w:type="paragraph" w:styleId="4">
    <w:name w:val="heading 3"/>
    <w:basedOn w:val="1"/>
    <w:next w:val="1"/>
    <w:link w:val="41"/>
    <w:qFormat/>
    <w:uiPriority w:val="0"/>
    <w:pPr>
      <w:keepNext/>
      <w:keepLines/>
      <w:tabs>
        <w:tab w:val="left" w:pos="3229"/>
      </w:tabs>
      <w:ind w:firstLine="0" w:firstLineChars="0"/>
      <w:outlineLvl w:val="2"/>
    </w:pPr>
    <w:rPr>
      <w:b/>
      <w:sz w:val="24"/>
      <w:szCs w:val="20"/>
      <w:lang w:eastAsia="zh-CN"/>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0" w:firstLineChars="0"/>
    </w:pPr>
  </w:style>
  <w:style w:type="paragraph" w:styleId="6">
    <w:name w:val="annotation text"/>
    <w:basedOn w:val="1"/>
    <w:link w:val="61"/>
    <w:semiHidden/>
    <w:qFormat/>
    <w:uiPriority w:val="0"/>
  </w:style>
  <w:style w:type="paragraph" w:styleId="7">
    <w:name w:val="Body Text"/>
    <w:basedOn w:val="1"/>
    <w:link w:val="62"/>
    <w:qFormat/>
    <w:uiPriority w:val="0"/>
  </w:style>
  <w:style w:type="paragraph" w:styleId="8">
    <w:name w:val="toc 3"/>
    <w:basedOn w:val="1"/>
    <w:next w:val="1"/>
    <w:qFormat/>
    <w:uiPriority w:val="0"/>
    <w:pPr>
      <w:ind w:left="840" w:leftChars="400"/>
    </w:pPr>
  </w:style>
  <w:style w:type="paragraph" w:styleId="9">
    <w:name w:val="Plain Text"/>
    <w:basedOn w:val="1"/>
    <w:qFormat/>
    <w:uiPriority w:val="0"/>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200" w:firstLineChars="200"/>
      <w:jc w:val="both"/>
      <w:textAlignment w:val="baseline"/>
    </w:pPr>
    <w:rPr>
      <w:rFonts w:hint="eastAsia" w:ascii="宋体" w:hAnsi="Courier New" w:eastAsia="宋体" w:cs="Arial"/>
      <w:color w:val="000000"/>
      <w:kern w:val="0"/>
      <w:sz w:val="24"/>
      <w:szCs w:val="24"/>
      <w:lang w:val="en-US" w:eastAsia="zh-CN" w:bidi="ar"/>
    </w:rPr>
  </w:style>
  <w:style w:type="paragraph" w:styleId="10">
    <w:name w:val="Balloon Text"/>
    <w:basedOn w:val="1"/>
    <w:link w:val="40"/>
    <w:qFormat/>
    <w:uiPriority w:val="0"/>
    <w:rPr>
      <w:sz w:val="18"/>
      <w:szCs w:val="18"/>
    </w:rPr>
  </w:style>
  <w:style w:type="paragraph" w:styleId="11">
    <w:name w:val="footer"/>
    <w:basedOn w:val="1"/>
    <w:link w:val="39"/>
    <w:qFormat/>
    <w:uiPriority w:val="0"/>
    <w:pPr>
      <w:tabs>
        <w:tab w:val="center" w:pos="4153"/>
        <w:tab w:val="right" w:pos="8306"/>
      </w:tabs>
    </w:pPr>
    <w:rPr>
      <w:sz w:val="18"/>
      <w:szCs w:val="18"/>
    </w:rPr>
  </w:style>
  <w:style w:type="paragraph" w:styleId="12">
    <w:name w:val="header"/>
    <w:basedOn w:val="1"/>
    <w:link w:val="63"/>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13">
    <w:name w:val="toc 1"/>
    <w:basedOn w:val="1"/>
    <w:next w:val="1"/>
    <w:qFormat/>
    <w:uiPriority w:val="0"/>
  </w:style>
  <w:style w:type="paragraph" w:styleId="14">
    <w:name w:val="toc 6"/>
    <w:basedOn w:val="1"/>
    <w:next w:val="1"/>
    <w:qFormat/>
    <w:uiPriority w:val="0"/>
    <w:pPr>
      <w:ind w:left="1200"/>
    </w:pPr>
    <w:rPr>
      <w:sz w:val="18"/>
      <w:szCs w:val="18"/>
    </w:rPr>
  </w:style>
  <w:style w:type="paragraph" w:styleId="15">
    <w:name w:val="toc 2"/>
    <w:basedOn w:val="1"/>
    <w:next w:val="1"/>
    <w:qFormat/>
    <w:uiPriority w:val="0"/>
    <w:pPr>
      <w:ind w:left="420" w:leftChars="200"/>
    </w:pPr>
  </w:style>
  <w:style w:type="paragraph" w:styleId="16">
    <w:name w:val="Normal (Web)"/>
    <w:basedOn w:val="1"/>
    <w:qFormat/>
    <w:uiPriority w:val="99"/>
    <w:pPr>
      <w:kinsoku/>
      <w:wordWrap w:val="0"/>
      <w:adjustRightInd/>
      <w:snapToGrid/>
      <w:spacing w:before="100" w:beforeAutospacing="1" w:after="100" w:afterAutospacing="1"/>
      <w:textAlignment w:val="auto"/>
    </w:pPr>
    <w:rPr>
      <w:rFonts w:cs="宋体"/>
      <w:snapToGrid/>
      <w:szCs w:val="24"/>
      <w:lang w:eastAsia="zh-CN" w:bidi="en-US"/>
    </w:rPr>
  </w:style>
  <w:style w:type="paragraph" w:styleId="17">
    <w:name w:val="Body Text First Indent"/>
    <w:basedOn w:val="7"/>
    <w:next w:val="14"/>
    <w:link w:val="64"/>
    <w:qFormat/>
    <w:uiPriority w:val="0"/>
    <w:pPr>
      <w:ind w:firstLine="420" w:firstLineChars="100"/>
    </w:pPr>
    <w:rPr>
      <w:lang w:eastAsia="zh-CN"/>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qFormat/>
    <w:uiPriority w:val="99"/>
    <w:rPr>
      <w:color w:val="0000FF"/>
      <w:u w:val="single"/>
    </w:rPr>
  </w:style>
  <w:style w:type="character" w:styleId="22">
    <w:name w:val="annotation reference"/>
    <w:basedOn w:val="20"/>
    <w:qFormat/>
    <w:uiPriority w:val="0"/>
    <w:rPr>
      <w:sz w:val="21"/>
      <w:szCs w:val="21"/>
    </w:rPr>
  </w:style>
  <w:style w:type="paragraph" w:customStyle="1" w:styleId="23">
    <w:name w:val="Table Text"/>
    <w:basedOn w:val="1"/>
    <w:semiHidden/>
    <w:qFormat/>
    <w:uiPriority w:val="0"/>
    <w:rPr>
      <w:rFonts w:cs="宋体"/>
      <w:sz w:val="18"/>
      <w:szCs w:val="18"/>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WPSOffice手动目录 1"/>
    <w:qFormat/>
    <w:uiPriority w:val="0"/>
    <w:rPr>
      <w:rFonts w:ascii="Arial" w:hAnsi="Arial" w:eastAsia="Arial" w:cs="Arial"/>
      <w:lang w:val="en-US" w:eastAsia="zh-CN" w:bidi="ar-SA"/>
    </w:rPr>
  </w:style>
  <w:style w:type="paragraph" w:customStyle="1" w:styleId="26">
    <w:name w:val="WPSOffice手动目录 2"/>
    <w:qFormat/>
    <w:uiPriority w:val="0"/>
    <w:pPr>
      <w:ind w:left="200" w:leftChars="200"/>
    </w:pPr>
    <w:rPr>
      <w:rFonts w:ascii="Arial" w:hAnsi="Arial" w:eastAsia="Arial" w:cs="Arial"/>
      <w:lang w:val="en-US" w:eastAsia="zh-CN" w:bidi="ar-SA"/>
    </w:rPr>
  </w:style>
  <w:style w:type="paragraph" w:customStyle="1" w:styleId="27">
    <w:name w:val="WPSOffice手动目录 3"/>
    <w:qFormat/>
    <w:uiPriority w:val="0"/>
    <w:pPr>
      <w:ind w:left="400" w:leftChars="400"/>
    </w:pPr>
    <w:rPr>
      <w:rFonts w:ascii="Arial" w:hAnsi="Arial" w:eastAsia="Arial" w:cs="Arial"/>
      <w:lang w:val="en-US" w:eastAsia="zh-CN" w:bidi="ar-SA"/>
    </w:rPr>
  </w:style>
  <w:style w:type="paragraph" w:customStyle="1" w:styleId="28">
    <w:name w:val="节_0"/>
    <w:basedOn w:val="29"/>
    <w:qFormat/>
    <w:uiPriority w:val="0"/>
    <w:pPr>
      <w:keepNext w:val="0"/>
      <w:tabs>
        <w:tab w:val="left" w:pos="3229"/>
      </w:tabs>
      <w:autoSpaceDE w:val="0"/>
      <w:autoSpaceDN w:val="0"/>
      <w:adjustRightInd w:val="0"/>
      <w:snapToGrid w:val="0"/>
      <w:spacing w:beforeLines="50" w:afterLines="50"/>
      <w:ind w:left="0" w:firstLine="0"/>
      <w:jc w:val="both"/>
      <w:outlineLvl w:val="1"/>
    </w:pPr>
    <w:rPr>
      <w:bCs/>
      <w:color w:val="000000"/>
      <w:sz w:val="28"/>
      <w:szCs w:val="24"/>
    </w:rPr>
  </w:style>
  <w:style w:type="paragraph" w:customStyle="1" w:styleId="29">
    <w:name w:val="标题 3_0"/>
    <w:basedOn w:val="30"/>
    <w:next w:val="31"/>
    <w:qFormat/>
    <w:uiPriority w:val="0"/>
    <w:pPr>
      <w:keepNext/>
      <w:keepLines/>
      <w:widowControl/>
      <w:tabs>
        <w:tab w:val="left" w:pos="3229"/>
      </w:tabs>
      <w:spacing w:before="120" w:after="120" w:line="360" w:lineRule="auto"/>
      <w:ind w:left="3229" w:hanging="709"/>
      <w:jc w:val="left"/>
      <w:outlineLvl w:val="2"/>
    </w:pPr>
    <w:rPr>
      <w:b/>
      <w:kern w:val="0"/>
      <w:sz w:val="32"/>
      <w:szCs w:val="20"/>
    </w:rPr>
  </w:style>
  <w:style w:type="paragraph" w:customStyle="1" w:styleId="3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正文缩进_0"/>
    <w:basedOn w:val="30"/>
    <w:qFormat/>
    <w:uiPriority w:val="0"/>
    <w:pPr>
      <w:ind w:firstLine="420" w:firstLineChars="200"/>
    </w:pPr>
  </w:style>
  <w:style w:type="paragraph" w:customStyle="1" w:styleId="32">
    <w:name w:val="条_0"/>
    <w:basedOn w:val="33"/>
    <w:qFormat/>
    <w:uiPriority w:val="0"/>
    <w:pPr>
      <w:keepNext w:val="0"/>
      <w:keepLines/>
      <w:widowControl/>
      <w:autoSpaceDE w:val="0"/>
      <w:autoSpaceDN w:val="0"/>
      <w:snapToGrid w:val="0"/>
      <w:spacing w:line="360" w:lineRule="auto"/>
      <w:ind w:firstLine="0"/>
      <w:textAlignment w:val="auto"/>
      <w:outlineLvl w:val="2"/>
    </w:pPr>
    <w:rPr>
      <w:rFonts w:eastAsia="楷体_GB2312"/>
      <w:b/>
      <w:color w:val="000000"/>
      <w:sz w:val="24"/>
      <w:szCs w:val="24"/>
    </w:rPr>
  </w:style>
  <w:style w:type="paragraph" w:customStyle="1" w:styleId="33">
    <w:name w:val="标题 4_0"/>
    <w:basedOn w:val="30"/>
    <w:next w:val="31"/>
    <w:qFormat/>
    <w:uiPriority w:val="0"/>
    <w:pPr>
      <w:keepNext/>
      <w:adjustRightInd w:val="0"/>
      <w:spacing w:line="420" w:lineRule="atLeast"/>
      <w:ind w:firstLine="454"/>
      <w:jc w:val="left"/>
      <w:textAlignment w:val="baseline"/>
      <w:outlineLvl w:val="3"/>
    </w:pPr>
    <w:rPr>
      <w:kern w:val="0"/>
      <w:szCs w:val="20"/>
    </w:rPr>
  </w:style>
  <w:style w:type="character" w:customStyle="1" w:styleId="34">
    <w:name w:val="批注引用_0"/>
    <w:qFormat/>
    <w:uiPriority w:val="0"/>
    <w:rPr>
      <w:sz w:val="21"/>
      <w:szCs w:val="21"/>
    </w:rPr>
  </w:style>
  <w:style w:type="paragraph" w:customStyle="1" w:styleId="35">
    <w:name w:val="正文_0_0_0"/>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6">
    <w:name w:val="List Paragraph"/>
    <w:basedOn w:val="1"/>
    <w:qFormat/>
    <w:uiPriority w:val="0"/>
    <w:pPr>
      <w:ind w:firstLine="420"/>
    </w:pPr>
    <w:rPr>
      <w:rFonts w:ascii="Calibri" w:hAnsi="Calibri"/>
      <w:szCs w:val="22"/>
    </w:rPr>
  </w:style>
  <w:style w:type="paragraph" w:customStyle="1" w:styleId="37">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p_MsoNormal"/>
    <w:basedOn w:val="1"/>
    <w:qFormat/>
    <w:uiPriority w:val="0"/>
    <w:rPr>
      <w:rFonts w:ascii="Calibri" w:hAnsi="Calibri" w:eastAsia="Calibri" w:cs="Calibri"/>
    </w:rPr>
  </w:style>
  <w:style w:type="character" w:customStyle="1" w:styleId="39">
    <w:name w:val="页脚 Char"/>
    <w:basedOn w:val="20"/>
    <w:link w:val="11"/>
    <w:qFormat/>
    <w:uiPriority w:val="0"/>
    <w:rPr>
      <w:rFonts w:eastAsia="Arial"/>
      <w:snapToGrid w:val="0"/>
      <w:color w:val="000000"/>
      <w:sz w:val="18"/>
      <w:szCs w:val="18"/>
      <w:lang w:eastAsia="en-US"/>
    </w:rPr>
  </w:style>
  <w:style w:type="character" w:customStyle="1" w:styleId="40">
    <w:name w:val="批注框文本 Char"/>
    <w:basedOn w:val="20"/>
    <w:link w:val="10"/>
    <w:qFormat/>
    <w:uiPriority w:val="0"/>
    <w:rPr>
      <w:rFonts w:eastAsia="Arial"/>
      <w:snapToGrid w:val="0"/>
      <w:color w:val="000000"/>
      <w:sz w:val="18"/>
      <w:szCs w:val="18"/>
      <w:lang w:eastAsia="en-US"/>
    </w:rPr>
  </w:style>
  <w:style w:type="character" w:customStyle="1" w:styleId="41">
    <w:name w:val="标题 3 Char"/>
    <w:link w:val="4"/>
    <w:qFormat/>
    <w:uiPriority w:val="0"/>
    <w:rPr>
      <w:rFonts w:ascii="宋体" w:hAnsi="宋体" w:eastAsia="宋体" w:cs="Arial"/>
      <w:b/>
      <w:snapToGrid w:val="0"/>
      <w:color w:val="000000"/>
      <w:sz w:val="24"/>
      <w:szCs w:val="20"/>
      <w:lang w:val="en-US" w:eastAsia="zh-CN" w:bidi="ar-SA"/>
    </w:rPr>
  </w:style>
  <w:style w:type="paragraph" w:customStyle="1" w:styleId="42">
    <w:name w:val="Default"/>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43">
    <w:name w:val="标题03"/>
    <w:basedOn w:val="1"/>
    <w:qFormat/>
    <w:uiPriority w:val="0"/>
    <w:pPr>
      <w:keepNext/>
      <w:outlineLvl w:val="2"/>
    </w:pPr>
    <w:rPr>
      <w:rFonts w:eastAsia="方正小标宋_GBK"/>
    </w:rPr>
  </w:style>
  <w:style w:type="paragraph" w:customStyle="1" w:styleId="44">
    <w:name w:val="111111"/>
    <w:basedOn w:val="1"/>
    <w:qFormat/>
    <w:uiPriority w:val="0"/>
    <w:rPr>
      <w:rFonts w:cs="宋体"/>
      <w:szCs w:val="20"/>
    </w:rPr>
  </w:style>
  <w:style w:type="paragraph" w:customStyle="1" w:styleId="45">
    <w:name w:val="样式 宋体 小四 行距: 1.5 倍行距1"/>
    <w:basedOn w:val="1"/>
    <w:qFormat/>
    <w:uiPriority w:val="0"/>
    <w:pPr>
      <w:spacing w:line="460" w:lineRule="exact"/>
      <w:ind w:firstLine="480"/>
    </w:pPr>
    <w:rPr>
      <w:rFonts w:cs="宋体"/>
      <w:color w:val="auto"/>
      <w:kern w:val="2"/>
      <w:szCs w:val="20"/>
      <w:lang w:eastAsia="zh-CN"/>
    </w:rPr>
  </w:style>
  <w:style w:type="paragraph" w:customStyle="1" w:styleId="46">
    <w:name w:val="错误"/>
    <w:basedOn w:val="4"/>
    <w:next w:val="1"/>
    <w:qFormat/>
    <w:uiPriority w:val="0"/>
    <w:pPr>
      <w:spacing w:before="307" w:line="228" w:lineRule="auto"/>
    </w:pPr>
    <w:rPr>
      <w:rFonts w:cs="Times New Roman"/>
      <w:bCs/>
      <w:color w:val="auto"/>
      <w:sz w:val="27"/>
      <w:szCs w:val="27"/>
    </w:rPr>
  </w:style>
  <w:style w:type="paragraph" w:customStyle="1" w:styleId="47">
    <w:name w:val="标题666"/>
    <w:basedOn w:val="1"/>
    <w:qFormat/>
    <w:uiPriority w:val="0"/>
    <w:pPr>
      <w:spacing w:before="88" w:line="228" w:lineRule="auto"/>
      <w:ind w:left="11"/>
      <w:outlineLvl w:val="1"/>
    </w:pPr>
    <w:rPr>
      <w:rFonts w:cs="宋体"/>
      <w:b/>
      <w:bCs/>
      <w:spacing w:val="-3"/>
      <w:sz w:val="32"/>
      <w:szCs w:val="32"/>
      <w:lang w:eastAsia="zh-CN"/>
    </w:rPr>
  </w:style>
  <w:style w:type="paragraph" w:customStyle="1" w:styleId="48">
    <w:name w:val="正文BS"/>
    <w:basedOn w:val="1"/>
    <w:next w:val="1"/>
    <w:qFormat/>
    <w:uiPriority w:val="0"/>
    <w:pPr>
      <w:spacing w:line="460" w:lineRule="exact"/>
      <w:ind w:firstLine="480"/>
    </w:pPr>
    <w:rPr>
      <w:rFonts w:cs="Times New Roman"/>
      <w:szCs w:val="28"/>
    </w:rPr>
  </w:style>
  <w:style w:type="paragraph" w:customStyle="1" w:styleId="49">
    <w:name w:val="普通(网站)_0"/>
    <w:basedOn w:val="50"/>
    <w:qFormat/>
    <w:uiPriority w:val="39"/>
    <w:pPr>
      <w:widowControl/>
      <w:spacing w:before="100" w:beforeAutospacing="1" w:after="100" w:afterAutospacing="1"/>
      <w:jc w:val="left"/>
    </w:pPr>
    <w:rPr>
      <w:rFonts w:ascii="宋体" w:hAnsi="宋体" w:cs="宋体"/>
      <w:kern w:val="0"/>
      <w:sz w:val="24"/>
    </w:rPr>
  </w:style>
  <w:style w:type="paragraph" w:customStyle="1" w:styleId="50">
    <w:name w:val="正文_1_0_0"/>
    <w:next w:val="5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标题 1_1"/>
    <w:basedOn w:val="50"/>
    <w:next w:val="52"/>
    <w:qFormat/>
    <w:uiPriority w:val="0"/>
    <w:pPr>
      <w:keepNext/>
      <w:keepLines/>
      <w:spacing w:before="340" w:after="330" w:line="578" w:lineRule="auto"/>
      <w:jc w:val="center"/>
      <w:outlineLvl w:val="0"/>
    </w:pPr>
    <w:rPr>
      <w:b/>
      <w:bCs/>
      <w:kern w:val="44"/>
      <w:sz w:val="44"/>
      <w:szCs w:val="44"/>
    </w:rPr>
  </w:style>
  <w:style w:type="paragraph" w:customStyle="1" w:styleId="52">
    <w:name w:val="正文_1_0"/>
    <w:next w:val="5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3">
    <w:name w:val="标题04"/>
    <w:basedOn w:val="43"/>
    <w:qFormat/>
    <w:uiPriority w:val="0"/>
    <w:pPr>
      <w:outlineLvl w:val="3"/>
    </w:pPr>
    <w:rPr>
      <w:rFonts w:eastAsia="宋体"/>
    </w:rPr>
  </w:style>
  <w:style w:type="paragraph" w:customStyle="1" w:styleId="54">
    <w:name w:val="正文2"/>
    <w:basedOn w:val="1"/>
    <w:qFormat/>
    <w:uiPriority w:val="0"/>
    <w:pPr>
      <w:suppressAutoHyphens/>
      <w:ind w:firstLine="480"/>
    </w:pPr>
    <w:rPr>
      <w:spacing w:val="-2"/>
    </w:rPr>
  </w:style>
  <w:style w:type="paragraph" w:customStyle="1" w:styleId="55">
    <w:name w:val="表格"/>
    <w:basedOn w:val="56"/>
    <w:qFormat/>
    <w:uiPriority w:val="0"/>
    <w:pPr>
      <w:keepNext w:val="0"/>
      <w:spacing w:after="0" w:line="0" w:lineRule="atLeast"/>
      <w:ind w:firstLine="0" w:firstLineChars="0"/>
      <w:jc w:val="center"/>
      <w:outlineLvl w:val="9"/>
    </w:pPr>
    <w:rPr>
      <w:rFonts w:ascii="宋体" w:eastAsia="宋体"/>
      <w:sz w:val="18"/>
    </w:rPr>
  </w:style>
  <w:style w:type="paragraph" w:customStyle="1" w:styleId="56">
    <w:name w:val="表头"/>
    <w:basedOn w:val="53"/>
    <w:qFormat/>
    <w:uiPriority w:val="0"/>
    <w:pPr>
      <w:spacing w:after="60"/>
      <w:ind w:firstLine="100" w:firstLineChars="100"/>
      <w:outlineLvl w:val="6"/>
    </w:pPr>
    <w:rPr>
      <w:rFonts w:ascii="黑体" w:eastAsia="黑体"/>
    </w:rPr>
  </w:style>
  <w:style w:type="paragraph" w:customStyle="1" w:styleId="57">
    <w:name w:val="图名"/>
    <w:basedOn w:val="55"/>
    <w:qFormat/>
    <w:uiPriority w:val="0"/>
    <w:pPr>
      <w:spacing w:line="240" w:lineRule="auto"/>
      <w:outlineLvl w:val="7"/>
    </w:pPr>
    <w:rPr>
      <w:rFonts w:ascii="黑体" w:eastAsia="黑体"/>
      <w:sz w:val="24"/>
    </w:rPr>
  </w:style>
  <w:style w:type="paragraph" w:customStyle="1" w:styleId="58">
    <w:name w:val="列出段落2"/>
    <w:basedOn w:val="1"/>
    <w:qFormat/>
    <w:uiPriority w:val="0"/>
  </w:style>
  <w:style w:type="character" w:customStyle="1" w:styleId="59">
    <w:name w:val="标题 1 Char"/>
    <w:link w:val="2"/>
    <w:qFormat/>
    <w:uiPriority w:val="0"/>
    <w:rPr>
      <w:rFonts w:hAnsi="宋体" w:eastAsia="宋体"/>
      <w:b/>
      <w:kern w:val="44"/>
      <w:sz w:val="36"/>
      <w:rPrChange w:id="4" w:author="Administrator" w:date="2024-07-29T12:42:00Z">
        <w:rPr>
          <w:rFonts w:ascii="Arial" w:hAnsi="Arial" w:eastAsia="宋体" w:cs="Arial"/>
          <w:b/>
          <w:snapToGrid w:val="0"/>
          <w:color w:val="000000"/>
          <w:kern w:val="44"/>
          <w:sz w:val="32"/>
          <w:szCs w:val="21"/>
          <w:lang w:val="en-US" w:eastAsia="en-US" w:bidi="ar-SA"/>
        </w:rPr>
      </w:rPrChange>
    </w:rPr>
  </w:style>
  <w:style w:type="character" w:customStyle="1" w:styleId="60">
    <w:name w:val="标题 2 Char"/>
    <w:link w:val="3"/>
    <w:qFormat/>
    <w:uiPriority w:val="99"/>
    <w:rPr>
      <w:rFonts w:hAnsi="宋体" w:eastAsia="宋体" w:cs="Mongolian Baiti"/>
      <w:b/>
      <w:bCs/>
      <w:snapToGrid/>
      <w:sz w:val="30"/>
      <w:szCs w:val="32"/>
      <w:lang w:eastAsia="zh-CN" w:bidi="en-US"/>
    </w:rPr>
  </w:style>
  <w:style w:type="character" w:customStyle="1" w:styleId="61">
    <w:name w:val="批注文字 Char"/>
    <w:basedOn w:val="20"/>
    <w:link w:val="6"/>
    <w:semiHidden/>
    <w:qFormat/>
    <w:uiPriority w:val="0"/>
    <w:rPr>
      <w:rFonts w:ascii="宋体" w:hAnsi="宋体" w:cs="Arial"/>
      <w:snapToGrid w:val="0"/>
      <w:color w:val="000000"/>
      <w:sz w:val="21"/>
      <w:szCs w:val="21"/>
      <w:lang w:eastAsia="en-US"/>
    </w:rPr>
  </w:style>
  <w:style w:type="character" w:customStyle="1" w:styleId="62">
    <w:name w:val="正文文本 Char"/>
    <w:basedOn w:val="20"/>
    <w:link w:val="7"/>
    <w:qFormat/>
    <w:uiPriority w:val="0"/>
    <w:rPr>
      <w:rFonts w:ascii="宋体" w:hAnsi="宋体" w:cs="Arial"/>
      <w:snapToGrid w:val="0"/>
      <w:color w:val="000000"/>
      <w:sz w:val="21"/>
      <w:szCs w:val="21"/>
      <w:lang w:eastAsia="en-US"/>
    </w:rPr>
  </w:style>
  <w:style w:type="character" w:customStyle="1" w:styleId="63">
    <w:name w:val="页眉 Char"/>
    <w:basedOn w:val="20"/>
    <w:link w:val="12"/>
    <w:qFormat/>
    <w:uiPriority w:val="0"/>
    <w:rPr>
      <w:rFonts w:ascii="宋体" w:hAnsi="宋体" w:cs="Arial"/>
      <w:snapToGrid w:val="0"/>
      <w:color w:val="000000"/>
      <w:sz w:val="18"/>
      <w:szCs w:val="21"/>
      <w:lang w:eastAsia="en-US"/>
    </w:rPr>
  </w:style>
  <w:style w:type="character" w:customStyle="1" w:styleId="64">
    <w:name w:val="正文首行缩进 Char"/>
    <w:basedOn w:val="62"/>
    <w:link w:val="17"/>
    <w:qFormat/>
    <w:uiPriority w:val="0"/>
  </w:style>
  <w:style w:type="character" w:customStyle="1" w:styleId="65">
    <w:name w:val="font21"/>
    <w:qFormat/>
    <w:uiPriority w:val="0"/>
    <w:rPr>
      <w:rFonts w:hint="eastAsia" w:ascii="宋体" w:hAnsi="宋体" w:eastAsia="宋体" w:cs="宋体"/>
      <w:color w:val="000000"/>
      <w:sz w:val="21"/>
      <w:szCs w:val="21"/>
      <w:u w:val="none"/>
    </w:rPr>
  </w:style>
  <w:style w:type="character" w:customStyle="1" w:styleId="66">
    <w:name w:val="font11"/>
    <w:basedOn w:val="20"/>
    <w:qFormat/>
    <w:uiPriority w:val="0"/>
    <w:rPr>
      <w:rFonts w:hint="eastAsia" w:ascii="宋体" w:hAnsi="宋体" w:eastAsia="宋体" w:cs="宋体"/>
      <w:color w:val="000000"/>
      <w:sz w:val="18"/>
      <w:szCs w:val="18"/>
      <w:u w:val="none"/>
    </w:rPr>
  </w:style>
  <w:style w:type="character" w:customStyle="1" w:styleId="67">
    <w:name w:val="font31"/>
    <w:basedOn w:val="20"/>
    <w:qFormat/>
    <w:uiPriority w:val="0"/>
    <w:rPr>
      <w:rFonts w:hint="eastAsia" w:ascii="宋体" w:hAnsi="宋体" w:eastAsia="宋体" w:cs="宋体"/>
      <w:color w:val="000000"/>
      <w:sz w:val="18"/>
      <w:szCs w:val="18"/>
      <w:u w:val="none"/>
      <w:vertAlign w:val="superscript"/>
    </w:rPr>
  </w:style>
  <w:style w:type="character" w:customStyle="1" w:styleId="68">
    <w:name w:val="15"/>
    <w:basedOn w:val="2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microsoft.com/office/2006/relationships/keyMapCustomizations" Target="customizations.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emf"/><Relationship Id="rId24" Type="http://schemas.openxmlformats.org/officeDocument/2006/relationships/oleObject" Target="embeddings/oleObject1.bin"/><Relationship Id="rId23" Type="http://schemas.openxmlformats.org/officeDocument/2006/relationships/image" Target="media/image4.png"/><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header" Target="header4.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518</Pages>
  <Words>328009</Words>
  <Characters>347547</Characters>
  <Lines>2865</Lines>
  <Paragraphs>806</Paragraphs>
  <TotalTime>0</TotalTime>
  <ScaleCrop>false</ScaleCrop>
  <LinksUpToDate>false</LinksUpToDate>
  <CharactersWithSpaces>353864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2024-01-08T18:27:00Z</dcterms:created>
  <dc:creator>coco</dc:creator>
  <cp:lastModifiedBy>企业用户_261364394</cp:lastModifiedBy>
  <cp:lastPrinted>2024-09-05T01:41:00Z</cp:lastPrinted>
  <dcterms:modified xsi:type="dcterms:W3CDTF">2024-09-06T09:30:13Z</dcterms:modified>
  <dc:title>&lt;4D6963726F736F667420576F7264202D20B8BDBCFE31A3BAD5E3BDADCAA1CBAEC0FBCBAEB5E7B9A4B3CCCAA9B9A4D5D0B1EACEC4BCFECABEB7B6CEC4B1BEA3A832303233C4EAA3A9323032342E312E38&gt;</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2024-01-23T15:01:46Z</vt:filetime>
  </property>
  <property fmtid="{D5CDD505-2E9C-101B-9397-08002B2CF9AE}" pid="4" name="KSOProductBuildVer">
    <vt:lpwstr>2052-12.1.0.17857</vt:lpwstr>
  </property>
  <property fmtid="{D5CDD505-2E9C-101B-9397-08002B2CF9AE}" pid="5" name="ICV">
    <vt:lpwstr>FFFAC5178C9443F1BEA80F1C344EBAE5_13</vt:lpwstr>
  </property>
</Properties>
</file>